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3"/>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83"/>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295910</wp:posOffset>
            </wp:positionV>
            <wp:extent cx="14744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32"/>
          <w:szCs w:val="32"/>
          <w:b w:val="1"/>
          <w:bCs w:val="1"/>
          <w:color w:val="auto"/>
        </w:rPr>
        <w:t>SCHEDULE 13D</w:t>
      </w:r>
    </w:p>
    <w:p>
      <w:pPr>
        <w:spacing w:after="0" w:line="228"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22"/>
          <w:szCs w:val="22"/>
          <w:b w:val="1"/>
          <w:bCs w:val="1"/>
          <w:color w:val="auto"/>
        </w:rPr>
        <w:t>(Rule 13d-102)</w:t>
      </w:r>
    </w:p>
    <w:p>
      <w:pPr>
        <w:spacing w:after="0" w:line="8"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22"/>
          <w:szCs w:val="22"/>
          <w:b w:val="1"/>
          <w:bCs w:val="1"/>
          <w:color w:val="auto"/>
        </w:rPr>
        <w:t>INFORMATION TO BE INCLUDED IN STATEMENTS FILED PURSUANT</w:t>
      </w:r>
    </w:p>
    <w:p>
      <w:pPr>
        <w:jc w:val="center"/>
        <w:ind w:right="-83"/>
        <w:spacing w:after="0" w:line="230" w:lineRule="auto"/>
        <w:rPr>
          <w:sz w:val="20"/>
          <w:szCs w:val="20"/>
          <w:color w:val="auto"/>
        </w:rPr>
      </w:pPr>
      <w:r>
        <w:rPr>
          <w:rFonts w:ascii="Times New Roman" w:cs="Times New Roman" w:eastAsia="Times New Roman" w:hAnsi="Times New Roman"/>
          <w:sz w:val="22"/>
          <w:szCs w:val="22"/>
          <w:b w:val="1"/>
          <w:bCs w:val="1"/>
          <w:color w:val="auto"/>
        </w:rPr>
        <w:t>TO RULE 13d-l(a) AND AMENDMENTS THERETO FILED PURSUANT</w:t>
      </w:r>
    </w:p>
    <w:p>
      <w:pPr>
        <w:jc w:val="center"/>
        <w:ind w:right="-83"/>
        <w:spacing w:after="0" w:line="231" w:lineRule="auto"/>
        <w:rPr>
          <w:sz w:val="20"/>
          <w:szCs w:val="20"/>
          <w:color w:val="auto"/>
        </w:rPr>
      </w:pPr>
      <w:r>
        <w:rPr>
          <w:rFonts w:ascii="Times New Roman" w:cs="Times New Roman" w:eastAsia="Times New Roman" w:hAnsi="Times New Roman"/>
          <w:sz w:val="22"/>
          <w:szCs w:val="22"/>
          <w:b w:val="1"/>
          <w:bCs w:val="1"/>
          <w:color w:val="auto"/>
        </w:rPr>
        <w:t>TO RULE 13d-2(a)</w:t>
      </w:r>
    </w:p>
    <w:p>
      <w:pPr>
        <w:jc w:val="center"/>
        <w:ind w:right="-83"/>
        <w:spacing w:after="0"/>
        <w:rPr>
          <w:sz w:val="20"/>
          <w:szCs w:val="20"/>
          <w:color w:val="auto"/>
        </w:rPr>
      </w:pPr>
      <w:r>
        <w:rPr>
          <w:rFonts w:ascii="Times New Roman" w:cs="Times New Roman" w:eastAsia="Times New Roman" w:hAnsi="Times New Roman"/>
          <w:sz w:val="22"/>
          <w:szCs w:val="22"/>
          <w:b w:val="1"/>
          <w:bCs w:val="1"/>
          <w:color w:val="auto"/>
        </w:rPr>
        <w:t>(Amendment No. 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295910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0"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40"/>
          <w:szCs w:val="40"/>
          <w:b w:val="1"/>
          <w:bCs w:val="1"/>
          <w:color w:val="auto"/>
        </w:rPr>
        <w:t>REPARE THERAPEUTICS INC.</w:t>
      </w:r>
    </w:p>
    <w:p>
      <w:pPr>
        <w:spacing w:after="0" w:line="41"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(Name of Issuer)</w:t>
      </w:r>
    </w:p>
    <w:p>
      <w:pPr>
        <w:spacing w:after="0" w:line="200" w:lineRule="exact"/>
        <w:rPr>
          <w:sz w:val="24"/>
          <w:szCs w:val="24"/>
          <w:color w:val="auto"/>
        </w:rPr>
      </w:pPr>
    </w:p>
    <w:p>
      <w:pPr>
        <w:spacing w:after="0" w:line="217"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Common Shares</w:t>
      </w:r>
    </w:p>
    <w:p>
      <w:pPr>
        <w:spacing w:after="0" w:line="25"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4"/>
          <w:szCs w:val="14"/>
          <w:b w:val="1"/>
          <w:bCs w:val="1"/>
          <w:color w:val="auto"/>
        </w:rPr>
        <w:t>(Title of Class of Securities)</w:t>
      </w:r>
    </w:p>
    <w:p>
      <w:pPr>
        <w:spacing w:after="0" w:line="200" w:lineRule="exact"/>
        <w:rPr>
          <w:sz w:val="24"/>
          <w:szCs w:val="24"/>
          <w:color w:val="auto"/>
        </w:rPr>
      </w:pPr>
    </w:p>
    <w:p>
      <w:pPr>
        <w:spacing w:after="0" w:line="204"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760273102</w:t>
      </w:r>
    </w:p>
    <w:p>
      <w:pPr>
        <w:spacing w:after="0" w:line="25"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4"/>
          <w:szCs w:val="14"/>
          <w:b w:val="1"/>
          <w:bCs w:val="1"/>
          <w:color w:val="auto"/>
        </w:rPr>
        <w:t>(CUSIP Number)</w:t>
      </w:r>
    </w:p>
    <w:p>
      <w:pPr>
        <w:spacing w:after="0" w:line="200" w:lineRule="exact"/>
        <w:rPr>
          <w:sz w:val="24"/>
          <w:szCs w:val="24"/>
          <w:color w:val="auto"/>
        </w:rPr>
      </w:pPr>
    </w:p>
    <w:p>
      <w:pPr>
        <w:spacing w:after="0" w:line="204"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Versant Venture Capital V, L.P.</w:t>
      </w:r>
    </w:p>
    <w:p>
      <w:pPr>
        <w:spacing w:after="0" w:line="31"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Robin L. Praeger</w:t>
      </w:r>
    </w:p>
    <w:p>
      <w:pPr>
        <w:spacing w:after="0" w:line="9"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One Sansome Street, Suite 3630</w:t>
      </w:r>
    </w:p>
    <w:p>
      <w:pPr>
        <w:spacing w:after="0" w:line="9"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San Francisco, CA 94104</w:t>
      </w:r>
    </w:p>
    <w:p>
      <w:pPr>
        <w:spacing w:after="0" w:line="9"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415-801-8100</w:t>
      </w:r>
    </w:p>
    <w:p>
      <w:pPr>
        <w:spacing w:after="0" w:line="2"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4"/>
          <w:szCs w:val="14"/>
          <w:b w:val="1"/>
          <w:bCs w:val="1"/>
          <w:color w:val="auto"/>
        </w:rPr>
        <w:t>(Name, Address and Telephone Number of Person Authorized to Receive Notices and Communications)</w:t>
      </w:r>
    </w:p>
    <w:p>
      <w:pPr>
        <w:spacing w:after="0" w:line="200" w:lineRule="exact"/>
        <w:rPr>
          <w:sz w:val="24"/>
          <w:szCs w:val="24"/>
          <w:color w:val="auto"/>
        </w:rPr>
      </w:pPr>
    </w:p>
    <w:p>
      <w:pPr>
        <w:spacing w:after="0" w:line="204"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8"/>
          <w:szCs w:val="18"/>
          <w:b w:val="1"/>
          <w:bCs w:val="1"/>
          <w:color w:val="auto"/>
        </w:rPr>
        <w:t>June 3, 2022</w:t>
      </w:r>
    </w:p>
    <w:p>
      <w:pPr>
        <w:spacing w:after="0" w:line="25" w:lineRule="exact"/>
        <w:rPr>
          <w:sz w:val="24"/>
          <w:szCs w:val="24"/>
          <w:color w:val="auto"/>
        </w:rPr>
      </w:pPr>
    </w:p>
    <w:p>
      <w:pPr>
        <w:jc w:val="center"/>
        <w:ind w:right="-83"/>
        <w:spacing w:after="0"/>
        <w:rPr>
          <w:sz w:val="20"/>
          <w:szCs w:val="20"/>
          <w:color w:val="auto"/>
        </w:rPr>
      </w:pPr>
      <w:r>
        <w:rPr>
          <w:rFonts w:ascii="Times New Roman" w:cs="Times New Roman" w:eastAsia="Times New Roman" w:hAnsi="Times New Roman"/>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304800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9" w:lineRule="exact"/>
        <w:rPr>
          <w:sz w:val="24"/>
          <w:szCs w:val="24"/>
          <w:color w:val="auto"/>
        </w:rPr>
      </w:pPr>
    </w:p>
    <w:p>
      <w:pPr>
        <w:ind w:left="4" w:right="100"/>
        <w:spacing w:after="0" w:line="235" w:lineRule="exact"/>
        <w:rPr>
          <w:sz w:val="20"/>
          <w:szCs w:val="20"/>
          <w:color w:val="auto"/>
        </w:rPr>
      </w:pPr>
      <w:r>
        <w:rPr>
          <w:rFonts w:ascii="Times New Roman" w:cs="Times New Roman" w:eastAsia="Times New Roman" w:hAnsi="Times New Roman"/>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206" w:lineRule="exact"/>
        <w:rPr>
          <w:sz w:val="24"/>
          <w:szCs w:val="24"/>
          <w:color w:val="auto"/>
        </w:rPr>
      </w:pPr>
    </w:p>
    <w:p>
      <w:pPr>
        <w:ind w:left="224" w:right="180" w:hanging="224"/>
        <w:spacing w:after="0" w:line="282" w:lineRule="auto"/>
        <w:tabs>
          <w:tab w:leader="none" w:pos="224"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62" w:lineRule="exact"/>
        <w:rPr>
          <w:sz w:val="24"/>
          <w:szCs w:val="24"/>
          <w:color w:val="auto"/>
        </w:rPr>
      </w:pPr>
    </w:p>
    <w:p>
      <w:pPr>
        <w:ind w:left="4"/>
        <w:spacing w:after="0" w:line="282" w:lineRule="auto"/>
        <w:rPr>
          <w:sz w:val="20"/>
          <w:szCs w:val="20"/>
          <w:color w:val="auto"/>
        </w:rPr>
      </w:pPr>
      <w:r>
        <w:rPr>
          <w:rFonts w:ascii="Times New Roman" w:cs="Times New Roman" w:eastAsia="Times New Roman" w:hAnsi="Times New Roman"/>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122555</wp:posOffset>
            </wp:positionV>
            <wp:extent cx="699516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165735</wp:posOffset>
            </wp:positionV>
            <wp:extent cx="699516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0924"/>
          </w:cols>
          <w:pgMar w:left="436" w:top="376" w:right="539" w:bottom="1440" w:gutter="0" w:footer="0" w:header="0"/>
        </w:sectPr>
      </w:pPr>
    </w:p>
    <w:bookmarkStart w:id="1" w:name="page2"/>
    <w:bookmarkEnd w:id="1"/>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Venture Capital V, L.P.</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Delaware, United States</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850,560 Common Shares (2)</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850,560 Common Shares (2)</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850,560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2.0%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24" w:hanging="424"/>
        <w:spacing w:after="0" w:line="252" w:lineRule="auto"/>
        <w:tabs>
          <w:tab w:leader="none" w:pos="424"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Versant Venture Capital V, L.P. (“VVC V”), Versant Affiliates Fund V, L.P. (“VAF V”), Versant Ophthalmic Affiliates Fund I, L.P. (“VOA”), Versant Ventures V, LLC (“VV V”), Versant Venture Capital VI, L.P. (“Versant VI”), Versant Ventures VI GP, L.P. (“GP VI”), Versant Ventures VI GP-GP, LLC (“LLC VI”), Versant Vantage I, L.P. (“Vantage LP”), Versant Vantage I GP, L.P. (“Vantage GP”), Versant Vantage I GP-GP, LLC (“Vantage LLC”), Versant Ventures V GP-GP (Canada), Inc. (“VV V CAN GP”), Versant Ventures V (Canada), L.P. (“VV V CAN”), Versant Venture Capital V (Canada) LP (“VVC CAN” and, with VV V CAN GP, Vantage LLC, VVC V, VAF V, VOA, VV V CAN, VV V, Versant VI, GP VI, LLC VI, Vantage LP and Vantage GP, collectively, the “Reporting Persons”). VV V is the sole general partner of VVC V, VAF V and VOA. LLC VI is the general partner of GP VI, which is the general partner of Versant VI. Each of LLC VI and GP VI share voting and dispositive power over the shares held by Versant VI. Vantage LLC is the general partner of Vantage GP, which is the general partner of Vantage LP. Each of Vantage LLC and Vantage GP share voting and dispositive power over the shares held by Vantage LP. VV V CAN GP is the sole general partner of VV V CAN, and VV V CAN is the sole general partner of VVC CAN. Each of VV V CAN GP and VV V CAN share voting and dispositive power over the shares held by VVC CAN. The Reporting Persons expressly disclaim status as a “group” for purposes of this Schedule 13D.</w:t>
      </w:r>
    </w:p>
    <w:p>
      <w:pPr>
        <w:spacing w:after="0" w:line="2" w:lineRule="exact"/>
        <w:rPr>
          <w:rFonts w:ascii="Times New Roman" w:cs="Times New Roman" w:eastAsia="Times New Roman" w:hAnsi="Times New Roman"/>
          <w:sz w:val="18"/>
          <w:szCs w:val="18"/>
          <w:color w:val="auto"/>
        </w:rPr>
      </w:pPr>
    </w:p>
    <w:p>
      <w:pPr>
        <w:ind w:left="424" w:right="200" w:hanging="424"/>
        <w:spacing w:after="0" w:line="250" w:lineRule="auto"/>
        <w:tabs>
          <w:tab w:leader="none" w:pos="424"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VVC V. VV V is the sole general partner of VVC V and may be deemed to have voting and dispositive power over the securities held by VVC V and as a result may be deemed to have beneficial ownership over such securities.</w:t>
      </w:r>
    </w:p>
    <w:p>
      <w:pPr>
        <w:ind w:left="424" w:right="20" w:hanging="424"/>
        <w:spacing w:after="0" w:line="255" w:lineRule="auto"/>
        <w:tabs>
          <w:tab w:leader="none" w:pos="424"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Issuer’s quarterly report on Form 10-Q for the quarter ended March 31, 2022, filed with the United States Securities and Exchange Commission on May 5, 2022 (the “Form 10-Q”).</w:t>
      </w:r>
    </w:p>
    <w:p>
      <w:pPr>
        <w:sectPr>
          <w:pgSz w:w="11900" w:h="16838" w:orient="portrait"/>
          <w:cols w:equalWidth="0" w:num="1">
            <w:col w:w="11004"/>
          </w:cols>
          <w:pgMar w:left="436" w:top="270" w:right="459" w:bottom="1440" w:gutter="0" w:footer="0" w:header="0"/>
        </w:sectPr>
      </w:pPr>
    </w:p>
    <w:bookmarkStart w:id="2" w:name="page3"/>
    <w:bookmarkEnd w:id="2"/>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Affiliates Fund V, L.P.</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Delaware, United States</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25,587 Common Shares (2)</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25,587 Common Shares (2)</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25,587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0.1%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424" w:right="40" w:hanging="424"/>
        <w:spacing w:after="0" w:line="261" w:lineRule="auto"/>
        <w:tabs>
          <w:tab w:leader="none" w:pos="424"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ind w:left="424" w:right="200" w:hanging="424"/>
        <w:spacing w:after="0" w:line="250" w:lineRule="auto"/>
        <w:tabs>
          <w:tab w:leader="none" w:pos="424"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VAF V. VV V is the sole general partner of VAF V and may be deemed to have voting and dispositive power over the securities held by VAF V and as a result may be deemed to have beneficial ownership over such securities.</w:t>
      </w:r>
    </w:p>
    <w:p>
      <w:pPr>
        <w:ind w:left="424" w:hanging="424"/>
        <w:spacing w:after="0"/>
        <w:tabs>
          <w:tab w:leader="none" w:pos="424"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0904"/>
          </w:cols>
          <w:pgMar w:left="436" w:top="270" w:right="559" w:bottom="1440" w:gutter="0" w:footer="0" w:header="0"/>
        </w:sectPr>
      </w:pPr>
    </w:p>
    <w:bookmarkStart w:id="3" w:name="page4"/>
    <w:bookmarkEnd w:id="3"/>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Ophthalmic Affiliates Fund I, L.P.</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Delaware, United States</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28,322 Common Shares (2)</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28,322 Common Shares (2)</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28,322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0.1%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24" w:right="40" w:hanging="424"/>
        <w:spacing w:after="0" w:line="261" w:lineRule="auto"/>
        <w:tabs>
          <w:tab w:leader="none" w:pos="42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ind w:left="424" w:right="420" w:hanging="424"/>
        <w:spacing w:after="0" w:line="250" w:lineRule="auto"/>
        <w:tabs>
          <w:tab w:leader="none" w:pos="42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VOA. VV V is the sole general partner of VOA and may be deemed to have voting and dispositive power over the securities held by VOA and as a result may be deemed to have beneficial ownership over such securities.</w:t>
      </w:r>
    </w:p>
    <w:p>
      <w:pPr>
        <w:ind w:left="424" w:hanging="424"/>
        <w:spacing w:after="0"/>
        <w:tabs>
          <w:tab w:leader="none" w:pos="42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0904"/>
          </w:cols>
          <w:pgMar w:left="436" w:top="270" w:right="559" w:bottom="1440" w:gutter="0" w:footer="0" w:header="0"/>
        </w:sectPr>
      </w:pPr>
    </w:p>
    <w:bookmarkStart w:id="4" w:name="page5"/>
    <w:bookmarkEnd w:id="4"/>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Ventures V, LLC</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Delaware</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904,469 Common Shares (2)</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904,469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904,469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2.2%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OO</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24" w:right="40" w:hanging="424"/>
        <w:spacing w:after="0" w:line="261" w:lineRule="auto"/>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ind w:left="424" w:right="60" w:hanging="424"/>
        <w:spacing w:after="0" w:line="250" w:lineRule="auto"/>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(i) 850,560 shares are held by VVC V, (ii) 25,587 shares held by VAF V, and (iii) 28,322 shares held by VOA. VV V is the sole general partner of VVC V, VAF V and VOA and may be deemed to have voting and dispositive power over the securities held by VVC V, VAF V and VOA.</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0904"/>
          </w:cols>
          <w:pgMar w:left="436" w:top="270" w:right="559" w:bottom="1440" w:gutter="0" w:footer="0" w:header="0"/>
        </w:sectPr>
      </w:pPr>
    </w:p>
    <w:bookmarkStart w:id="5" w:name="page6"/>
    <w:bookmarkEnd w:id="5"/>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Venture Capital V (Canada) LP</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Ontario, Canada</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64,731 Common Shares (2)</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64,731 Common Shares (2)</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64,731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0.2%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24" w:right="160" w:hanging="424"/>
        <w:spacing w:after="0" w:line="261" w:lineRule="auto"/>
        <w:tabs>
          <w:tab w:leader="none" w:pos="424"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ind w:left="424" w:hanging="424"/>
        <w:spacing w:after="0" w:line="250" w:lineRule="auto"/>
        <w:tabs>
          <w:tab w:leader="none" w:pos="424"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VVC CAN. VV V CAN GP is the sole general partner of VV V CAN, and VV V CAN is the sole general partner of VVC CAN. Each of VV V CAN GP and VV V CAN share voting and dispositive power over the shares held by VVC CAN and as a result may be deemed to have beneficial ownership over such securities.</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1024"/>
          </w:cols>
          <w:pgMar w:left="436" w:top="270" w:right="439" w:bottom="1440" w:gutter="0" w:footer="0" w:header="0"/>
        </w:sectPr>
      </w:pPr>
    </w:p>
    <w:bookmarkStart w:id="6" w:name="page7"/>
    <w:bookmarkEnd w:id="6"/>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Ventures V GP-GP (Canada), Inc.</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Delaware</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64,731 Common Shares (2)</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64,731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64,731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0.2%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CO</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424" w:right="160" w:hanging="424"/>
        <w:spacing w:after="0" w:line="261" w:lineRule="auto"/>
        <w:tabs>
          <w:tab w:leader="none" w:pos="42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ind w:left="424" w:hanging="424"/>
        <w:spacing w:after="0" w:line="250" w:lineRule="auto"/>
        <w:tabs>
          <w:tab w:leader="none" w:pos="42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VVC CAN. VV V CAN GP is the sole general partner of VV V CAN, and VV V CAN is the sole general partner of VVC CAN. Each of VV V CAN GP and VV V CAN share voting and dispositive power over the shares held by VVC CAN and as a result may be deemed to have beneficial ownership over such securities.</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1024"/>
          </w:cols>
          <w:pgMar w:left="436" w:top="270" w:right="439" w:bottom="1440" w:gutter="0" w:footer="0" w:header="0"/>
        </w:sectPr>
      </w:pPr>
    </w:p>
    <w:bookmarkStart w:id="7" w:name="page8"/>
    <w:bookmarkEnd w:id="7"/>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Ventures V (Canada), L.P.</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Delaware</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64,731 Common Shares (2)</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64,731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64,731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0.2%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424" w:right="160" w:hanging="424"/>
        <w:spacing w:after="0" w:line="261" w:lineRule="auto"/>
        <w:tabs>
          <w:tab w:leader="none" w:pos="424"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ind w:left="424" w:hanging="424"/>
        <w:spacing w:after="0" w:line="250" w:lineRule="auto"/>
        <w:tabs>
          <w:tab w:leader="none" w:pos="424"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VVC CAN. VV V CAN GP is the sole general partner of VV V CAN, and VV V CAN is the sole general partner of VVC CAN. Each of VV V CAN GP and VV V CAN share voting and dispositive power over the shares held by VVC CAN and as a result may be deemed to have beneficial ownership over such securities.</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1024"/>
          </w:cols>
          <w:pgMar w:left="436" w:top="270" w:right="439" w:bottom="1440" w:gutter="0" w:footer="0" w:header="0"/>
        </w:sectPr>
      </w:pPr>
    </w:p>
    <w:bookmarkStart w:id="8" w:name="page9"/>
    <w:bookmarkEnd w:id="8"/>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Venture Capital VI, L.P.</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Delaware</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2,344,451 Common Shares (2)</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2,344,451 Common Shares (2)</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2,344,451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5.6%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424" w:right="40" w:hanging="424"/>
        <w:spacing w:after="0" w:line="261" w:lineRule="auto"/>
        <w:tabs>
          <w:tab w:leader="none" w:pos="424"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ind w:left="424" w:right="20" w:hanging="424"/>
        <w:spacing w:after="0" w:line="250" w:lineRule="auto"/>
        <w:tabs>
          <w:tab w:leader="none" w:pos="424"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Versant VI. LLC VI is the general partner of GP VI, which is the general partner of Versant VI. Each of LLC VI and GP VI share voting and dispositive power over the shares held by Versant VI and as a result may be deemed to have beneficial ownership over such securities.</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0904"/>
          </w:cols>
          <w:pgMar w:left="436" w:top="270" w:right="559" w:bottom="1440" w:gutter="0" w:footer="0" w:header="0"/>
        </w:sectPr>
      </w:pPr>
    </w:p>
    <w:bookmarkStart w:id="9" w:name="page10"/>
    <w:bookmarkEnd w:id="9"/>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Ventures VI GP, L.P.</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Delaware</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2,344,451 Common Shares (2)</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2,344,451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2,344,451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5.6%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424" w:right="40" w:hanging="424"/>
        <w:spacing w:after="0" w:line="261" w:lineRule="auto"/>
        <w:tabs>
          <w:tab w:leader="none" w:pos="424"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ind w:left="424" w:right="20" w:hanging="424"/>
        <w:spacing w:after="0" w:line="250" w:lineRule="auto"/>
        <w:tabs>
          <w:tab w:leader="none" w:pos="424"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Versant VI. LLC VI is the general partner of GP VI, which is the general partner of Versant VI. Each of LLC VI and GP VI share voting and dispositive power over the shares held by Versant VI and as a result may be deemed to have beneficial ownership over such securities.</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0904"/>
          </w:cols>
          <w:pgMar w:left="436" w:top="270" w:right="559" w:bottom="1440" w:gutter="0" w:footer="0" w:header="0"/>
        </w:sectPr>
      </w:pPr>
    </w:p>
    <w:bookmarkStart w:id="10" w:name="page11"/>
    <w:bookmarkEnd w:id="10"/>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Ventures VI GP-GP, LLC</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Delaware</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2,344,451 Common Shares (2)</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2,344,451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2,344,451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5.6%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OO</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24" w:right="40" w:hanging="424"/>
        <w:spacing w:after="0" w:line="261" w:lineRule="auto"/>
        <w:tabs>
          <w:tab w:leader="none" w:pos="424"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ind w:left="424" w:right="20" w:hanging="424"/>
        <w:spacing w:after="0" w:line="250" w:lineRule="auto"/>
        <w:tabs>
          <w:tab w:leader="none" w:pos="424"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Versant VI. LLC VI is the general partner of GP VI, which is the general partner of Versant VI. Each of LLC VI and GP VI share voting and dispositive power over the shares held by Versant VI and as a result may be deemed to have beneficial ownership over such securities.</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0904"/>
          </w:cols>
          <w:pgMar w:left="436" w:top="270" w:right="559" w:bottom="1440" w:gutter="0" w:footer="0" w:header="0"/>
        </w:sectPr>
      </w:pPr>
    </w:p>
    <w:bookmarkStart w:id="11" w:name="page12"/>
    <w:bookmarkEnd w:id="11"/>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Vantage I, L.P.</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WC</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Delaware</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231,211 Common Shares (2)</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231,211 Common Shares (2)</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231,211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0.6%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24" w:right="40" w:hanging="424"/>
        <w:spacing w:after="0" w:line="261" w:lineRule="auto"/>
        <w:tabs>
          <w:tab w:leader="none" w:pos="424"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jc w:val="both"/>
        <w:ind w:left="424" w:right="360" w:hanging="424"/>
        <w:spacing w:after="0" w:line="250" w:lineRule="auto"/>
        <w:tabs>
          <w:tab w:leader="none" w:pos="424"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Vantage LP. Vantage LLC is the general partner of Vantage GP, which is the general partner of Vantage LP. Each of Vantage LLC and Vantage GP share voting and dispositive power over the shares held by Vantage LP and as a result may be deemed to have beneficial ownership over such securities.</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0904"/>
          </w:cols>
          <w:pgMar w:left="436" w:top="270" w:right="559" w:bottom="1440" w:gutter="0" w:footer="0" w:header="0"/>
        </w:sectPr>
      </w:pPr>
    </w:p>
    <w:bookmarkStart w:id="12" w:name="page13"/>
    <w:bookmarkEnd w:id="12"/>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Vantage I GP, L.P.</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Delaware</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231,211 Common Shares (2)</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36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231,211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231,211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0.6%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PN</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24" w:right="40" w:hanging="424"/>
        <w:spacing w:after="0" w:line="261" w:lineRule="auto"/>
        <w:tabs>
          <w:tab w:leader="none" w:pos="424"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jc w:val="both"/>
        <w:ind w:left="424" w:right="360" w:hanging="424"/>
        <w:spacing w:after="0" w:line="250" w:lineRule="auto"/>
        <w:tabs>
          <w:tab w:leader="none" w:pos="424"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Vantage LP. Vantage LLC is the general partner of Vantage GP, which is the general partner of Vantage LP. Each of Vantage LLC and Vantage GP share voting and dispositive power over the shares held by Vantage LP and as a result may be deemed to have beneficial ownership over such securities.</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0904"/>
          </w:cols>
          <w:pgMar w:left="436" w:top="270" w:right="559" w:bottom="1440" w:gutter="0" w:footer="0" w:header="0"/>
        </w:sectPr>
      </w:pPr>
    </w:p>
    <w:bookmarkStart w:id="13" w:name="page14"/>
    <w:bookmarkEnd w:id="13"/>
    <w:tbl>
      <w:tblPr>
        <w:tblLayout w:type="fixed"/>
        <w:tblInd w:w="14" w:type="dxa"/>
        <w:tblCellMar>
          <w:top w:w="0" w:type="dxa"/>
          <w:left w:w="0" w:type="dxa"/>
          <w:bottom w:w="0" w:type="dxa"/>
          <w:right w:w="0" w:type="dxa"/>
        </w:tblCellMar>
      </w:tblPr>
      <w:tr>
        <w:trPr>
          <w:trHeight w:val="234"/>
        </w:trPr>
        <w:tc>
          <w:tcPr>
            <w:tcW w:w="1720" w:type="dxa"/>
            <w:vAlign w:val="bottom"/>
            <w:gridSpan w:val="6"/>
          </w:tcPr>
          <w:p>
            <w:pPr>
              <w:jc w:val="right"/>
              <w:spacing w:after="0"/>
              <w:rPr>
                <w:sz w:val="20"/>
                <w:szCs w:val="20"/>
                <w:color w:val="auto"/>
              </w:rPr>
            </w:pPr>
            <w:r>
              <w:rPr>
                <w:rFonts w:ascii="Times New Roman" w:cs="Times New Roman" w:eastAsia="Times New Roman" w:hAnsi="Times New Roman"/>
                <w:sz w:val="18"/>
                <w:szCs w:val="18"/>
                <w:color w:val="auto"/>
                <w:w w:val="99"/>
              </w:rPr>
              <w:t>CUSIP No. 760273102</w:t>
            </w:r>
          </w:p>
        </w:tc>
        <w:tc>
          <w:tcPr>
            <w:tcW w:w="9200" w:type="dxa"/>
            <w:vAlign w:val="bottom"/>
          </w:tcPr>
          <w:p>
            <w:pPr>
              <w:ind w:left="3860"/>
              <w:spacing w:after="0"/>
              <w:rPr>
                <w:sz w:val="20"/>
                <w:szCs w:val="20"/>
                <w:color w:val="auto"/>
              </w:rPr>
            </w:pPr>
            <w:r>
              <w:rPr>
                <w:rFonts w:ascii="Times New Roman" w:cs="Times New Roman" w:eastAsia="Times New Roman" w:hAnsi="Times New Roman"/>
                <w:sz w:val="18"/>
                <w:szCs w:val="18"/>
                <w:color w:val="auto"/>
              </w:rPr>
              <w:t>13D</w:t>
            </w:r>
          </w:p>
        </w:tc>
        <w:tc>
          <w:tcPr>
            <w:tcW w:w="0" w:type="dxa"/>
            <w:vAlign w:val="bottom"/>
          </w:tcPr>
          <w:p>
            <w:pPr>
              <w:spacing w:after="0"/>
              <w:rPr>
                <w:sz w:val="1"/>
                <w:szCs w:val="1"/>
                <w:color w:val="auto"/>
              </w:rPr>
            </w:pPr>
          </w:p>
        </w:tc>
      </w:tr>
      <w:tr>
        <w:trPr>
          <w:trHeight w:val="148"/>
        </w:trPr>
        <w:tc>
          <w:tcPr>
            <w:tcW w:w="3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spacing w:after="0"/>
              <w:rPr>
                <w:sz w:val="12"/>
                <w:szCs w:val="12"/>
                <w:color w:val="auto"/>
              </w:rPr>
            </w:pPr>
          </w:p>
        </w:tc>
        <w:tc>
          <w:tcPr>
            <w:tcW w:w="9360" w:type="dxa"/>
            <w:vAlign w:val="bottom"/>
            <w:tcBorders>
              <w:bottom w:val="single" w:sz="8" w:color="auto"/>
            </w:tcBorders>
            <w:gridSpan w:val="2"/>
          </w:tcPr>
          <w:p>
            <w:pPr>
              <w:spacing w:after="0"/>
              <w:rPr>
                <w:sz w:val="12"/>
                <w:szCs w:val="12"/>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Name of Reporting Persons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Versant Vantage I GP-GP, LLC</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10440" w:type="dxa"/>
            <w:vAlign w:val="bottom"/>
            <w:tcBorders>
              <w:right w:val="single" w:sz="8" w:color="auto"/>
            </w:tcBorders>
            <w:gridSpan w:val="5"/>
          </w:tcPr>
          <w:p>
            <w:pPr>
              <w:ind w:left="180"/>
              <w:spacing w:after="0" w:line="169" w:lineRule="exact"/>
              <w:rPr>
                <w:sz w:val="20"/>
                <w:szCs w:val="20"/>
                <w:color w:val="auto"/>
              </w:rPr>
            </w:pPr>
            <w:r>
              <w:rPr>
                <w:rFonts w:ascii="Times New Roman" w:cs="Times New Roman" w:eastAsia="Times New Roman" w:hAnsi="Times New Roman"/>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3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5"/>
              </w:rPr>
              <w:t>(b)</w:t>
            </w:r>
          </w:p>
        </w:tc>
        <w:tc>
          <w:tcPr>
            <w:tcW w:w="9200" w:type="dxa"/>
            <w:vAlign w:val="bottom"/>
            <w:tcBorders>
              <w:right w:val="single" w:sz="8" w:color="auto"/>
            </w:tcBorders>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w:t>
            </w:r>
          </w:p>
        </w:tc>
        <w:tc>
          <w:tcPr>
            <w:tcW w:w="0" w:type="dxa"/>
            <w:vAlign w:val="bottom"/>
          </w:tcPr>
          <w:p>
            <w:pPr>
              <w:spacing w:after="0"/>
              <w:rPr>
                <w:sz w:val="1"/>
                <w:szCs w:val="1"/>
                <w:color w:val="auto"/>
              </w:rPr>
            </w:pPr>
          </w:p>
        </w:tc>
      </w:tr>
      <w:tr>
        <w:trPr>
          <w:trHeight w:val="237"/>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SEC USE ONLY</w:t>
            </w:r>
          </w:p>
        </w:tc>
        <w:tc>
          <w:tcPr>
            <w:tcW w:w="0" w:type="dxa"/>
            <w:vAlign w:val="bottom"/>
          </w:tcPr>
          <w:p>
            <w:pPr>
              <w:spacing w:after="0"/>
              <w:rPr>
                <w:sz w:val="1"/>
                <w:szCs w:val="1"/>
                <w:color w:val="auto"/>
              </w:rPr>
            </w:pPr>
          </w:p>
        </w:tc>
      </w:tr>
      <w:tr>
        <w:trPr>
          <w:trHeight w:val="238"/>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gridSpan w:val="2"/>
          </w:tcPr>
          <w:p>
            <w:pPr>
              <w:spacing w:after="0"/>
              <w:rPr>
                <w:sz w:val="20"/>
                <w:szCs w:val="20"/>
                <w:color w:val="auto"/>
              </w:rPr>
            </w:pPr>
          </w:p>
        </w:tc>
        <w:tc>
          <w:tcPr>
            <w:tcW w:w="936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Source of Funds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AF</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Disclosure of Legal Proceedings Is Required Pursuant to Item 2(d) or 2(e)</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Citizenship or Place of Organization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Delaware</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Sole Voting Power</w:t>
            </w:r>
          </w:p>
        </w:tc>
        <w:tc>
          <w:tcPr>
            <w:tcW w:w="0" w:type="dxa"/>
            <w:vAlign w:val="bottom"/>
          </w:tcPr>
          <w:p>
            <w:pPr>
              <w:spacing w:after="0"/>
              <w:rPr>
                <w:sz w:val="1"/>
                <w:szCs w:val="1"/>
                <w:color w:val="auto"/>
              </w:rPr>
            </w:pPr>
          </w:p>
        </w:tc>
      </w:tr>
      <w:tr>
        <w:trPr>
          <w:trHeight w:val="387"/>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Number of</w:t>
            </w: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Shares</w:t>
            </w: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continue"/>
          </w:tcPr>
          <w:p>
            <w:pPr>
              <w:spacing w:after="0"/>
              <w:rPr>
                <w:sz w:val="10"/>
                <w:szCs w:val="10"/>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Shared Voting Power</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Beneficially</w:t>
            </w:r>
          </w:p>
        </w:tc>
        <w:tc>
          <w:tcPr>
            <w:tcW w:w="32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1140" w:type="dxa"/>
            <w:vAlign w:val="bottom"/>
            <w:tcBorders>
              <w:left w:val="single" w:sz="8" w:color="auto"/>
              <w:right w:val="single" w:sz="8" w:color="auto"/>
            </w:tcBorders>
            <w:gridSpan w:val="3"/>
            <w:vMerge w:val="continue"/>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9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Times New Roman" w:cs="Times New Roman" w:eastAsia="Times New Roman" w:hAnsi="Times New Roman"/>
                <w:sz w:val="18"/>
                <w:szCs w:val="18"/>
                <w:color w:val="auto"/>
                <w:w w:val="99"/>
              </w:rPr>
              <w:t>Owned by</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231,211 Common Shares (2)</w:t>
            </w:r>
          </w:p>
        </w:tc>
        <w:tc>
          <w:tcPr>
            <w:tcW w:w="0" w:type="dxa"/>
            <w:vAlign w:val="bottom"/>
          </w:tcPr>
          <w:p>
            <w:pPr>
              <w:spacing w:after="0"/>
              <w:rPr>
                <w:sz w:val="1"/>
                <w:szCs w:val="1"/>
                <w:color w:val="auto"/>
              </w:rPr>
            </w:pPr>
          </w:p>
        </w:tc>
      </w:tr>
      <w:tr>
        <w:trPr>
          <w:trHeight w:val="120"/>
        </w:trPr>
        <w:tc>
          <w:tcPr>
            <w:tcW w:w="380" w:type="dxa"/>
            <w:vAlign w:val="bottom"/>
            <w:tcBorders>
              <w:left w:val="single" w:sz="8" w:color="auto"/>
            </w:tcBorders>
          </w:tcPr>
          <w:p>
            <w:pPr>
              <w:spacing w:after="0"/>
              <w:rPr>
                <w:sz w:val="10"/>
                <w:szCs w:val="10"/>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Times New Roman" w:cs="Times New Roman" w:eastAsia="Times New Roman" w:hAnsi="Times New Roman"/>
                <w:sz w:val="18"/>
                <w:szCs w:val="18"/>
                <w:color w:val="auto"/>
                <w:w w:val="99"/>
              </w:rPr>
              <w:t>Each</w:t>
            </w: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92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380" w:type="dxa"/>
            <w:vAlign w:val="bottom"/>
            <w:tcBorders>
              <w:left w:val="single" w:sz="8" w:color="auto"/>
            </w:tcBorders>
          </w:tcPr>
          <w:p>
            <w:pPr>
              <w:spacing w:after="0"/>
              <w:rPr>
                <w:sz w:val="6"/>
                <w:szCs w:val="6"/>
                <w:color w:val="auto"/>
              </w:rPr>
            </w:pPr>
          </w:p>
        </w:tc>
        <w:tc>
          <w:tcPr>
            <w:tcW w:w="760" w:type="dxa"/>
            <w:vAlign w:val="bottom"/>
            <w:tcBorders>
              <w:right w:val="single" w:sz="8" w:color="auto"/>
            </w:tcBorders>
            <w:gridSpan w:val="2"/>
            <w:vMerge w:val="continue"/>
          </w:tcPr>
          <w:p>
            <w:pPr>
              <w:spacing w:after="0"/>
              <w:rPr>
                <w:sz w:val="6"/>
                <w:szCs w:val="6"/>
                <w:color w:val="auto"/>
              </w:rPr>
            </w:pPr>
          </w:p>
        </w:tc>
        <w:tc>
          <w:tcPr>
            <w:tcW w:w="3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Sole Dispositive Power</w:t>
            </w:r>
          </w:p>
        </w:tc>
        <w:tc>
          <w:tcPr>
            <w:tcW w:w="0" w:type="dxa"/>
            <w:vAlign w:val="bottom"/>
          </w:tcPr>
          <w:p>
            <w:pPr>
              <w:spacing w:after="0"/>
              <w:rPr>
                <w:sz w:val="1"/>
                <w:szCs w:val="1"/>
                <w:color w:val="auto"/>
              </w:rPr>
            </w:pPr>
          </w:p>
        </w:tc>
      </w:tr>
      <w:tr>
        <w:trPr>
          <w:trHeight w:val="158"/>
        </w:trPr>
        <w:tc>
          <w:tcPr>
            <w:tcW w:w="1140" w:type="dxa"/>
            <w:vAlign w:val="bottom"/>
            <w:tcBorders>
              <w:left w:val="single" w:sz="8" w:color="auto"/>
              <w:right w:val="single" w:sz="8" w:color="auto"/>
            </w:tcBorders>
            <w:gridSpan w:val="3"/>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Reporting</w:t>
            </w:r>
          </w:p>
        </w:tc>
        <w:tc>
          <w:tcPr>
            <w:tcW w:w="32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40" w:type="dxa"/>
            <w:vAlign w:val="bottom"/>
            <w:tcBorders>
              <w:left w:val="single" w:sz="8" w:color="auto"/>
              <w:right w:val="single" w:sz="8" w:color="auto"/>
            </w:tcBorders>
            <w:gridSpan w:val="3"/>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9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Times New Roman" w:cs="Times New Roman" w:eastAsia="Times New Roman" w:hAnsi="Times New Roman"/>
                <w:sz w:val="18"/>
                <w:szCs w:val="18"/>
                <w:color w:val="auto"/>
                <w:w w:val="97"/>
              </w:rPr>
              <w:t>Person</w:t>
            </w: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2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0" w:type="dxa"/>
            <w:vAlign w:val="bottom"/>
          </w:tcPr>
          <w:p>
            <w:pPr>
              <w:spacing w:after="0"/>
              <w:rPr>
                <w:sz w:val="1"/>
                <w:szCs w:val="1"/>
                <w:color w:val="auto"/>
              </w:rPr>
            </w:pPr>
          </w:p>
        </w:tc>
      </w:tr>
      <w:tr>
        <w:trPr>
          <w:trHeight w:val="180"/>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60" w:lineRule="exact"/>
              <w:rPr>
                <w:sz w:val="20"/>
                <w:szCs w:val="20"/>
                <w:color w:val="auto"/>
              </w:rPr>
            </w:pPr>
            <w:r>
              <w:rPr>
                <w:rFonts w:ascii="Times New Roman" w:cs="Times New Roman" w:eastAsia="Times New Roman" w:hAnsi="Times New Roman"/>
                <w:sz w:val="18"/>
                <w:szCs w:val="18"/>
                <w:color w:val="auto"/>
                <w:w w:val="99"/>
              </w:rPr>
              <w:t>With</w:t>
            </w:r>
          </w:p>
        </w:tc>
        <w:tc>
          <w:tcPr>
            <w:tcW w:w="32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20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Borders>
              <w:right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92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Shared Dispositive Power</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36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231,211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3"/>
          </w:tcPr>
          <w:p>
            <w:pPr>
              <w:ind w:left="160"/>
              <w:spacing w:after="0"/>
              <w:rPr>
                <w:sz w:val="20"/>
                <w:szCs w:val="20"/>
                <w:color w:val="auto"/>
              </w:rPr>
            </w:pPr>
            <w:r>
              <w:rPr>
                <w:rFonts w:ascii="Times New Roman" w:cs="Times New Roman" w:eastAsia="Times New Roman" w:hAnsi="Times New Roman"/>
                <w:sz w:val="18"/>
                <w:szCs w:val="18"/>
                <w:color w:val="auto"/>
              </w:rPr>
              <w:t>Aggregate</w:t>
            </w:r>
          </w:p>
        </w:tc>
        <w:tc>
          <w:tcPr>
            <w:tcW w:w="93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Amount Beneficially Owned by Each Reporting Person</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440" w:type="dxa"/>
            <w:vAlign w:val="bottom"/>
            <w:tcBorders>
              <w:bottom w:val="single" w:sz="8" w:color="auto"/>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231,211 Common Shares (2)</w:t>
            </w: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4"/>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4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18"/>
                <w:szCs w:val="18"/>
                <w:color w:val="auto"/>
              </w:rPr>
              <w:t>Percent of Class Represented by Amount in Row 11</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gridSpan w:val="2"/>
          </w:tcPr>
          <w:p>
            <w:pPr>
              <w:ind w:left="180"/>
              <w:spacing w:after="0"/>
              <w:rPr>
                <w:sz w:val="20"/>
                <w:szCs w:val="20"/>
                <w:color w:val="auto"/>
              </w:rPr>
            </w:pPr>
            <w:r>
              <w:rPr>
                <w:rFonts w:ascii="Times New Roman" w:cs="Times New Roman" w:eastAsia="Times New Roman" w:hAnsi="Times New Roman"/>
                <w:sz w:val="18"/>
                <w:szCs w:val="18"/>
                <w:color w:val="auto"/>
              </w:rPr>
              <w:t>0.6% (3)</w:t>
            </w: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44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18"/>
                <w:szCs w:val="18"/>
                <w:color w:val="auto"/>
              </w:rPr>
              <w:t>Type of Reporting Person (see instructions)</w:t>
            </w:r>
          </w:p>
        </w:tc>
        <w:tc>
          <w:tcPr>
            <w:tcW w:w="0" w:type="dxa"/>
            <w:vAlign w:val="bottom"/>
          </w:tcPr>
          <w:p>
            <w:pPr>
              <w:spacing w:after="0"/>
              <w:rPr>
                <w:sz w:val="1"/>
                <w:szCs w:val="1"/>
                <w:color w:val="auto"/>
              </w:rPr>
            </w:pPr>
          </w:p>
        </w:tc>
      </w:tr>
      <w:tr>
        <w:trPr>
          <w:trHeight w:val="44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Times New Roman" w:cs="Times New Roman" w:eastAsia="Times New Roman" w:hAnsi="Times New Roman"/>
                <w:sz w:val="18"/>
                <w:szCs w:val="18"/>
                <w:color w:val="auto"/>
              </w:rPr>
              <w:t>OO</w:t>
            </w: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24" w:right="40" w:hanging="424"/>
        <w:spacing w:after="0" w:line="261" w:lineRule="auto"/>
        <w:tabs>
          <w:tab w:leader="none" w:pos="424"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 the Reporting Persons. The Reporting Persons expressly disclaim status as a “group” for purposes of this Schedule 13D.</w:t>
      </w:r>
    </w:p>
    <w:p>
      <w:pPr>
        <w:jc w:val="both"/>
        <w:ind w:left="424" w:right="360" w:hanging="424"/>
        <w:spacing w:after="0" w:line="250" w:lineRule="auto"/>
        <w:tabs>
          <w:tab w:leader="none" w:pos="424"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shares are held by Vantage LP. Vantage LLC is the general partner of Vantage GP, which is the general partner of Vantage LP. Each of Vantage LLC and Vantage GP share voting and dispositive power over the shares held by Vantage LP and as a result may be deemed to have beneficial ownership over such securities.</w:t>
      </w:r>
    </w:p>
    <w:p>
      <w:pPr>
        <w:spacing w:after="0" w:line="1" w:lineRule="exact"/>
        <w:rPr>
          <w:rFonts w:ascii="Times New Roman" w:cs="Times New Roman" w:eastAsia="Times New Roman" w:hAnsi="Times New Roman"/>
          <w:sz w:val="18"/>
          <w:szCs w:val="18"/>
          <w:color w:val="auto"/>
        </w:rPr>
      </w:pPr>
    </w:p>
    <w:p>
      <w:pPr>
        <w:ind w:left="424" w:hanging="424"/>
        <w:spacing w:after="0"/>
        <w:tabs>
          <w:tab w:leader="none" w:pos="424"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calculation is based upon 41,894,235 shares of the Issuer’s Common Shares outstanding as of May 5, 2022, as reported in the Form 10-Q.</w:t>
      </w:r>
    </w:p>
    <w:p>
      <w:pPr>
        <w:sectPr>
          <w:pgSz w:w="11900" w:h="16838" w:orient="portrait"/>
          <w:cols w:equalWidth="0" w:num="1">
            <w:col w:w="10904"/>
          </w:cols>
          <w:pgMar w:left="436" w:top="270" w:right="559" w:bottom="1440" w:gutter="0" w:footer="0" w:header="0"/>
        </w:sectPr>
      </w:pPr>
    </w:p>
    <w:bookmarkStart w:id="14" w:name="page15"/>
    <w:bookmarkEnd w:id="14"/>
    <w:tbl>
      <w:tblPr>
        <w:tblLayout w:type="fixed"/>
        <w:tblInd w:w="4" w:type="dxa"/>
        <w:tblCellMar>
          <w:top w:w="0" w:type="dxa"/>
          <w:left w:w="0" w:type="dxa"/>
          <w:bottom w:w="0" w:type="dxa"/>
          <w:right w:w="0" w:type="dxa"/>
        </w:tblCellMar>
      </w:tblPr>
      <w:tr>
        <w:trPr>
          <w:trHeight w:val="234"/>
        </w:trPr>
        <w:tc>
          <w:tcPr>
            <w:tcW w:w="3620" w:type="dxa"/>
            <w:vAlign w:val="bottom"/>
          </w:tcPr>
          <w:p>
            <w:pPr>
              <w:spacing w:after="0"/>
              <w:rPr>
                <w:sz w:val="20"/>
                <w:szCs w:val="20"/>
                <w:color w:val="auto"/>
              </w:rPr>
            </w:pPr>
            <w:r>
              <w:rPr>
                <w:rFonts w:ascii="Times New Roman" w:cs="Times New Roman" w:eastAsia="Times New Roman" w:hAnsi="Times New Roman"/>
                <w:sz w:val="18"/>
                <w:szCs w:val="18"/>
                <w:color w:val="auto"/>
              </w:rPr>
              <w:t>CUSIP No. 760273102</w:t>
            </w:r>
          </w:p>
        </w:tc>
        <w:tc>
          <w:tcPr>
            <w:tcW w:w="2280" w:type="dxa"/>
            <w:vAlign w:val="bottom"/>
          </w:tcPr>
          <w:p>
            <w:pPr>
              <w:ind w:left="1960"/>
              <w:spacing w:after="0"/>
              <w:rPr>
                <w:sz w:val="20"/>
                <w:szCs w:val="20"/>
                <w:color w:val="auto"/>
              </w:rPr>
            </w:pPr>
            <w:r>
              <w:rPr>
                <w:rFonts w:ascii="Times New Roman" w:cs="Times New Roman" w:eastAsia="Times New Roman" w:hAnsi="Times New Roman"/>
                <w:sz w:val="18"/>
                <w:szCs w:val="18"/>
                <w:color w:val="auto"/>
                <w:w w:val="96"/>
              </w:rPr>
              <w:t>13D</w:t>
            </w:r>
          </w:p>
        </w:tc>
      </w:tr>
    </w:tbl>
    <w:p>
      <w:pPr>
        <w:spacing w:after="0" w:line="12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
        <w:spacing w:after="0"/>
        <w:rPr>
          <w:sz w:val="20"/>
          <w:szCs w:val="20"/>
          <w:color w:val="auto"/>
        </w:rPr>
      </w:pPr>
      <w:r>
        <w:rPr>
          <w:rFonts w:ascii="Times New Roman" w:cs="Times New Roman" w:eastAsia="Times New Roman" w:hAnsi="Times New Roman"/>
          <w:sz w:val="18"/>
          <w:szCs w:val="18"/>
          <w:b w:val="1"/>
          <w:bCs w:val="1"/>
          <w:color w:val="auto"/>
        </w:rPr>
        <w:t>Explanatory Note:</w:t>
      </w:r>
    </w:p>
    <w:p>
      <w:pPr>
        <w:spacing w:after="0" w:line="121" w:lineRule="exact"/>
        <w:rPr>
          <w:sz w:val="20"/>
          <w:szCs w:val="20"/>
          <w:color w:val="auto"/>
        </w:rPr>
      </w:pPr>
    </w:p>
    <w:p>
      <w:pPr>
        <w:ind w:left="4"/>
        <w:spacing w:after="0" w:line="256" w:lineRule="auto"/>
        <w:rPr>
          <w:sz w:val="20"/>
          <w:szCs w:val="20"/>
          <w:color w:val="auto"/>
        </w:rPr>
      </w:pPr>
      <w:r>
        <w:rPr>
          <w:rFonts w:ascii="Times New Roman" w:cs="Times New Roman" w:eastAsia="Times New Roman" w:hAnsi="Times New Roman"/>
          <w:sz w:val="18"/>
          <w:szCs w:val="18"/>
          <w:color w:val="auto"/>
        </w:rPr>
        <w:t>This Amendment No 4. (“Amendment”) amends and supplements the Schedule 13D originally filed by the Reporting Persons with the United States Securities and Exchange Commission (the “Commission”) on July 7, 2020, as amended by Amendment No. 1 filed with the Commission on January 25, 2021, Amendment No. 2 filed with the Commission on February 26, 2021 and Amendment No. 3 filed with the Commission on August 16, 2021 (collectively, the “Original 13D”). Only those items that are hereby reported are amended; all other items reported in the Original 13D remain unchanged. Information given in response to each item shall be deemed incorporated by reference in all other items, as applicable. Capitalized terms not defined in this Amendment have the meanings ascribed to them in the Original 13D.</w:t>
      </w:r>
    </w:p>
    <w:p>
      <w:pPr>
        <w:spacing w:after="0" w:line="29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Item 1. Security and Issuer</w:t>
      </w:r>
    </w:p>
    <w:p>
      <w:pPr>
        <w:spacing w:after="0" w:line="121" w:lineRule="exact"/>
        <w:rPr>
          <w:sz w:val="20"/>
          <w:szCs w:val="20"/>
          <w:color w:val="auto"/>
        </w:rPr>
      </w:pPr>
    </w:p>
    <w:p>
      <w:pPr>
        <w:ind w:left="4" w:right="140"/>
        <w:spacing w:after="0" w:line="266" w:lineRule="auto"/>
        <w:rPr>
          <w:sz w:val="20"/>
          <w:szCs w:val="20"/>
          <w:color w:val="auto"/>
        </w:rPr>
      </w:pPr>
      <w:r>
        <w:rPr>
          <w:rFonts w:ascii="Times New Roman" w:cs="Times New Roman" w:eastAsia="Times New Roman" w:hAnsi="Times New Roman"/>
          <w:sz w:val="18"/>
          <w:szCs w:val="18"/>
          <w:color w:val="auto"/>
        </w:rPr>
        <w:t>This Amendment relates to the common shares (the “Common Shares”) of Repare Therapeutics, Inc., a corporation organized under the Business Corporations Act (Quèbec) (the “Issuer”), with its principal executive offices located at 7210 Frederick-Banting, Suite 100, Montrèal, Quèbec, Canada H4S 2A1. The Common Shares have no par value.</w:t>
      </w:r>
    </w:p>
    <w:p>
      <w:pPr>
        <w:spacing w:after="0" w:line="280"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Item 5. Interest in Securities of the Issuer</w:t>
      </w:r>
    </w:p>
    <w:p>
      <w:pPr>
        <w:spacing w:after="0" w:line="12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Solely on behalf of, and only to the extent that it relates to the Reporting Persons, Item 5 of the Original 13D is hereby amended as follows:</w:t>
      </w:r>
    </w:p>
    <w:p>
      <w:pPr>
        <w:spacing w:after="0" w:line="225"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(a) and (b) See Items 7-11 of the cover pages of this Amendment.</w:t>
      </w:r>
    </w:p>
    <w:p>
      <w:pPr>
        <w:spacing w:after="0" w:line="225" w:lineRule="exact"/>
        <w:rPr>
          <w:sz w:val="20"/>
          <w:szCs w:val="20"/>
          <w:color w:val="auto"/>
        </w:rPr>
      </w:pPr>
    </w:p>
    <w:p>
      <w:pPr>
        <w:ind w:left="4" w:right="120" w:hanging="4"/>
        <w:spacing w:after="0" w:line="282" w:lineRule="auto"/>
        <w:tabs>
          <w:tab w:leader="none" w:pos="249"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June 3, 2022, VVC V sold 438,795 Common Shares at a weighted average price per share of $12.2517 for aggregate proceeds of approximately $5,375,984.70.</w:t>
      </w:r>
    </w:p>
    <w:p>
      <w:pPr>
        <w:spacing w:after="0" w:line="162" w:lineRule="exact"/>
        <w:rPr>
          <w:sz w:val="20"/>
          <w:szCs w:val="20"/>
          <w:color w:val="auto"/>
        </w:rPr>
      </w:pPr>
    </w:p>
    <w:p>
      <w:pPr>
        <w:ind w:left="4" w:right="480"/>
        <w:spacing w:after="0" w:line="282" w:lineRule="auto"/>
        <w:rPr>
          <w:sz w:val="20"/>
          <w:szCs w:val="20"/>
          <w:color w:val="auto"/>
        </w:rPr>
      </w:pPr>
      <w:r>
        <w:rPr>
          <w:rFonts w:ascii="Times New Roman" w:cs="Times New Roman" w:eastAsia="Times New Roman" w:hAnsi="Times New Roman"/>
          <w:sz w:val="18"/>
          <w:szCs w:val="18"/>
          <w:color w:val="auto"/>
        </w:rPr>
        <w:t>On June 3, 2022, VAF V sold 13,199 Common Shares at a weighted average price per share of $12.2517 for aggregate proceeds of approximately $161,710.19.</w:t>
      </w:r>
    </w:p>
    <w:p>
      <w:pPr>
        <w:spacing w:after="0" w:line="162" w:lineRule="exact"/>
        <w:rPr>
          <w:sz w:val="20"/>
          <w:szCs w:val="20"/>
          <w:color w:val="auto"/>
        </w:rPr>
      </w:pPr>
    </w:p>
    <w:p>
      <w:pPr>
        <w:ind w:left="4" w:right="620"/>
        <w:spacing w:after="0" w:line="282" w:lineRule="auto"/>
        <w:rPr>
          <w:sz w:val="20"/>
          <w:szCs w:val="20"/>
          <w:color w:val="auto"/>
        </w:rPr>
      </w:pPr>
      <w:r>
        <w:rPr>
          <w:rFonts w:ascii="Times New Roman" w:cs="Times New Roman" w:eastAsia="Times New Roman" w:hAnsi="Times New Roman"/>
          <w:sz w:val="18"/>
          <w:szCs w:val="18"/>
          <w:color w:val="auto"/>
        </w:rPr>
        <w:t>On June 3, 2022, VOA sold 14,611 Common Shares at a weighted average price per share of $12.2517 for aggregate proceeds of approximately $179,009.59.</w:t>
      </w:r>
    </w:p>
    <w:p>
      <w:pPr>
        <w:spacing w:after="0" w:line="162" w:lineRule="exact"/>
        <w:rPr>
          <w:sz w:val="20"/>
          <w:szCs w:val="20"/>
          <w:color w:val="auto"/>
        </w:rPr>
      </w:pPr>
    </w:p>
    <w:p>
      <w:pPr>
        <w:ind w:left="4" w:right="200"/>
        <w:spacing w:after="0" w:line="282" w:lineRule="auto"/>
        <w:rPr>
          <w:sz w:val="20"/>
          <w:szCs w:val="20"/>
          <w:color w:val="auto"/>
        </w:rPr>
      </w:pPr>
      <w:r>
        <w:rPr>
          <w:rFonts w:ascii="Times New Roman" w:cs="Times New Roman" w:eastAsia="Times New Roman" w:hAnsi="Times New Roman"/>
          <w:sz w:val="18"/>
          <w:szCs w:val="18"/>
          <w:color w:val="auto"/>
        </w:rPr>
        <w:t>On June 3, 2022, VVC CAN sold 33,395 Common Shares at a weighted average price per share of $12.2517 for aggregate proceeds of approximately $409,145.52.</w:t>
      </w:r>
    </w:p>
    <w:p>
      <w:pPr>
        <w:spacing w:after="0" w:line="162" w:lineRule="exact"/>
        <w:rPr>
          <w:sz w:val="20"/>
          <w:szCs w:val="20"/>
          <w:color w:val="auto"/>
        </w:rPr>
      </w:pPr>
    </w:p>
    <w:p>
      <w:pPr>
        <w:jc w:val="both"/>
        <w:ind w:left="4" w:right="140"/>
        <w:spacing w:after="0" w:line="282" w:lineRule="auto"/>
        <w:rPr>
          <w:sz w:val="20"/>
          <w:szCs w:val="20"/>
          <w:color w:val="auto"/>
        </w:rPr>
      </w:pPr>
      <w:r>
        <w:rPr>
          <w:rFonts w:ascii="Times New Roman" w:cs="Times New Roman" w:eastAsia="Times New Roman" w:hAnsi="Times New Roman"/>
          <w:sz w:val="18"/>
          <w:szCs w:val="18"/>
          <w:color w:val="auto"/>
        </w:rPr>
        <w:t>On June 3, 2022, Versant VI sold 250,000 Common Shares at a weighted average price per share of $12.2517 for aggregate proceeds of approximately $3,062,925.00.</w:t>
      </w:r>
    </w:p>
    <w:p>
      <w:pPr>
        <w:spacing w:after="0" w:line="162" w:lineRule="exact"/>
        <w:rPr>
          <w:sz w:val="20"/>
          <w:szCs w:val="20"/>
          <w:color w:val="auto"/>
        </w:rPr>
      </w:pPr>
    </w:p>
    <w:p>
      <w:pPr>
        <w:jc w:val="both"/>
        <w:ind w:left="4" w:right="140"/>
        <w:spacing w:after="0" w:line="266" w:lineRule="auto"/>
        <w:rPr>
          <w:sz w:val="20"/>
          <w:szCs w:val="20"/>
          <w:color w:val="auto"/>
        </w:rPr>
      </w:pPr>
      <w:r>
        <w:rPr>
          <w:rFonts w:ascii="Times New Roman" w:cs="Times New Roman" w:eastAsia="Times New Roman" w:hAnsi="Times New Roman"/>
          <w:sz w:val="18"/>
          <w:szCs w:val="18"/>
          <w:color w:val="auto"/>
        </w:rPr>
        <w:t>On June 6, 2022, VVC V effected a pro rata distribution without additional consideration of 614,315 Common Shares to (i) VV V, its general partner, and (ii) its limited partners. VV V then effected a pro rata distribution without additional consideration of the shares that it received in connection with such distribution to its members.</w:t>
      </w:r>
    </w:p>
    <w:p>
      <w:pPr>
        <w:spacing w:after="0" w:line="176" w:lineRule="exact"/>
        <w:rPr>
          <w:sz w:val="20"/>
          <w:szCs w:val="20"/>
          <w:color w:val="auto"/>
        </w:rPr>
      </w:pPr>
    </w:p>
    <w:p>
      <w:pPr>
        <w:ind w:left="4"/>
        <w:spacing w:after="0"/>
        <w:rPr>
          <w:sz w:val="20"/>
          <w:szCs w:val="20"/>
          <w:color w:val="auto"/>
        </w:rPr>
      </w:pPr>
      <w:r>
        <w:rPr>
          <w:rFonts w:ascii="Times New Roman" w:cs="Times New Roman" w:eastAsia="Times New Roman" w:hAnsi="Times New Roman"/>
          <w:sz w:val="17"/>
          <w:szCs w:val="17"/>
          <w:color w:val="auto"/>
        </w:rPr>
        <w:t>On June 6, 2022, VAF V effected a pro rata distribution without additional consideration of 18,478 Common Shares to (i) VV V, its general partner, and</w:t>
      </w:r>
    </w:p>
    <w:p>
      <w:pPr>
        <w:spacing w:after="0" w:line="39" w:lineRule="exact"/>
        <w:rPr>
          <w:sz w:val="20"/>
          <w:szCs w:val="20"/>
          <w:color w:val="auto"/>
        </w:rPr>
      </w:pPr>
    </w:p>
    <w:p>
      <w:pPr>
        <w:ind w:left="4" w:right="60" w:hanging="4"/>
        <w:spacing w:after="0" w:line="260" w:lineRule="auto"/>
        <w:tabs>
          <w:tab w:leader="none" w:pos="269"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limited partners. VV V then effected a pro rata distribution without additional consideration of the shares that it received in connection with such distribution to its members.</w:t>
      </w:r>
    </w:p>
    <w:p>
      <w:pPr>
        <w:spacing w:after="0" w:line="18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On June 6, 2022, VOA effected a pro rata distribution without additional consideration of 20,454 Common Shares to (i) VV V, its general partner, and</w:t>
      </w:r>
    </w:p>
    <w:p>
      <w:pPr>
        <w:spacing w:after="0" w:line="27" w:lineRule="exact"/>
        <w:rPr>
          <w:sz w:val="20"/>
          <w:szCs w:val="20"/>
          <w:color w:val="auto"/>
        </w:rPr>
      </w:pPr>
    </w:p>
    <w:p>
      <w:pPr>
        <w:ind w:left="4" w:right="60" w:hanging="4"/>
        <w:spacing w:after="0" w:line="260" w:lineRule="auto"/>
        <w:tabs>
          <w:tab w:leader="none" w:pos="269"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limited partners. VV V then effected a pro rata distribution without additional consideration of the shares that it received in connection with such distribution to its members.</w:t>
      </w:r>
    </w:p>
    <w:p>
      <w:pPr>
        <w:spacing w:after="0" w:line="181" w:lineRule="exact"/>
        <w:rPr>
          <w:sz w:val="20"/>
          <w:szCs w:val="20"/>
          <w:color w:val="auto"/>
        </w:rPr>
      </w:pPr>
    </w:p>
    <w:p>
      <w:pPr>
        <w:ind w:left="4" w:right="200"/>
        <w:spacing w:after="0" w:line="266" w:lineRule="auto"/>
        <w:rPr>
          <w:sz w:val="20"/>
          <w:szCs w:val="20"/>
          <w:color w:val="auto"/>
        </w:rPr>
      </w:pPr>
      <w:r>
        <w:rPr>
          <w:rFonts w:ascii="Times New Roman" w:cs="Times New Roman" w:eastAsia="Times New Roman" w:hAnsi="Times New Roman"/>
          <w:sz w:val="18"/>
          <w:szCs w:val="18"/>
          <w:color w:val="auto"/>
        </w:rPr>
        <w:t>On June 6, 2022, VVC CAN effected a pro rata distribution without additional consideration of 46,753 Common Shares to (i) VV V CAN, its general partner, and (ii) its limited partners. VV V CAN then effected a pro rata distribution without additional consideration of the shares that it received in connection with such distribution to its limited partners.</w:t>
      </w:r>
    </w:p>
    <w:p>
      <w:pPr>
        <w:spacing w:after="0" w:line="176" w:lineRule="exact"/>
        <w:rPr>
          <w:sz w:val="20"/>
          <w:szCs w:val="20"/>
          <w:color w:val="auto"/>
        </w:rPr>
      </w:pPr>
    </w:p>
    <w:p>
      <w:pPr>
        <w:jc w:val="both"/>
        <w:ind w:left="4" w:right="80" w:hanging="4"/>
        <w:spacing w:after="0" w:line="266" w:lineRule="auto"/>
        <w:tabs>
          <w:tab w:leader="none" w:pos="259"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Under certain circumstances set forth in the respective limited partnership agreements of each of VVC V, VAF V, VOA, VVC CAN, Versant VI and Vantage LP (the “Funds”), the respective general partners and limited partners of the Funds may be deemed to have the right to receive dividends from, or the proceeds from, the sale of shares of the Issuer owned by such entity of which they are a partner.</w:t>
      </w:r>
    </w:p>
    <w:p>
      <w:pPr>
        <w:spacing w:after="0" w:line="175" w:lineRule="exact"/>
        <w:rPr>
          <w:rFonts w:ascii="Times New Roman" w:cs="Times New Roman" w:eastAsia="Times New Roman" w:hAnsi="Times New Roman"/>
          <w:sz w:val="18"/>
          <w:szCs w:val="18"/>
          <w:color w:val="auto"/>
        </w:rPr>
      </w:pPr>
    </w:p>
    <w:p>
      <w:pPr>
        <w:ind w:left="244" w:hanging="244"/>
        <w:spacing w:after="0"/>
        <w:tabs>
          <w:tab w:leader="none" w:pos="244"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 applicable.</w:t>
      </w:r>
    </w:p>
    <w:p>
      <w:pPr>
        <w:sectPr>
          <w:pgSz w:w="11900" w:h="16838" w:orient="portrait"/>
          <w:cols w:equalWidth="0" w:num="1">
            <w:col w:w="10984"/>
          </w:cols>
          <w:pgMar w:left="436" w:top="270" w:right="479" w:bottom="1440" w:gutter="0" w:footer="0" w:header="0"/>
        </w:sectPr>
      </w:pPr>
    </w:p>
    <w:bookmarkStart w:id="15" w:name="page16"/>
    <w:bookmarkEnd w:id="15"/>
    <w:p>
      <w:pPr>
        <w:ind w:left="498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SIGNATURE</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After reasonable inquiry and to the best of my knowledge and belief, I certify that the information set forth in this statement is true, complete and correct.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June 13, 2022</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Venture Capital V, L.P.</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Ventures V,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Affiliates Fund V, L.P.</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Ventures V,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Ophthalmic Affiliates Fund I, L.P.</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Ventures V,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Ventures V, LLC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Venture Capital V (Canada) LP</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Ventures V (Canada), L.P.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Ventures V GP-GP (Canada), Inc.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Robin L. Praeger,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Ventures V GP-GP (Canada),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562860" cy="8890"/>
                    </a:xfrm>
                    <a:prstGeom prst="rect">
                      <a:avLst/>
                    </a:prstGeom>
                    <a:noFill/>
                  </pic:spPr>
                </pic:pic>
              </a:graphicData>
            </a:graphic>
          </wp:anchor>
        </w:drawing>
      </w:r>
    </w:p>
    <w:p>
      <w:pPr>
        <w:spacing w:after="0" w:line="1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Robin L. Praeger,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Ventures V (Canada), L.P.</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Ventures V GP-GP (Canada), Inc.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562860" cy="8890"/>
                    </a:xfrm>
                    <a:prstGeom prst="rect">
                      <a:avLst/>
                    </a:prstGeom>
                    <a:noFill/>
                  </pic:spPr>
                </pic:pic>
              </a:graphicData>
            </a:graphic>
          </wp:anchor>
        </w:drawing>
      </w:r>
    </w:p>
    <w:p>
      <w:pPr>
        <w:spacing w:after="0" w:line="1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Robin L. Praeger, Director</w:t>
      </w:r>
    </w:p>
    <w:p>
      <w:pPr>
        <w:sectPr>
          <w:pgSz w:w="11900" w:h="16838" w:orient="portrait"/>
          <w:cols w:equalWidth="0" w:num="1">
            <w:col w:w="10460"/>
          </w:cols>
          <w:pgMar w:left="440" w:top="266" w:right="99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Versant Venture Capital VI, L.P.</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Ventures VI GP, L.P.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Ventures VI GP-GP, LLC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562860" cy="8890"/>
                    </a:xfrm>
                    <a:prstGeom prst="rect">
                      <a:avLst/>
                    </a:prstGeom>
                    <a:noFill/>
                  </pic:spPr>
                </pic:pic>
              </a:graphicData>
            </a:graphic>
          </wp:anchor>
        </w:drawing>
      </w:r>
    </w:p>
    <w:p>
      <w:pPr>
        <w:spacing w:after="0" w:line="16" w:lineRule="exact"/>
        <w:rPr>
          <w:sz w:val="20"/>
          <w:szCs w:val="20"/>
          <w:color w:val="auto"/>
        </w:rPr>
      </w:pPr>
    </w:p>
    <w:p>
      <w:pPr>
        <w:jc w:val="right"/>
        <w:ind w:right="6959"/>
        <w:spacing w:after="0"/>
        <w:rPr>
          <w:sz w:val="20"/>
          <w:szCs w:val="20"/>
          <w:color w:val="auto"/>
        </w:rPr>
      </w:pPr>
      <w:r>
        <w:rPr>
          <w:rFonts w:ascii="Times New Roman" w:cs="Times New Roman" w:eastAsia="Times New Roman" w:hAnsi="Times New Roman"/>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Ventures VI GP, L.P.</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Ventures VI GP-GP,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jc w:val="right"/>
        <w:ind w:right="6959"/>
        <w:spacing w:after="0"/>
        <w:rPr>
          <w:sz w:val="20"/>
          <w:szCs w:val="20"/>
          <w:color w:val="auto"/>
        </w:rPr>
      </w:pPr>
      <w:r>
        <w:rPr>
          <w:rFonts w:ascii="Times New Roman" w:cs="Times New Roman" w:eastAsia="Times New Roman" w:hAnsi="Times New Roman"/>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Ventures VI GP-GP, LLC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562860" cy="8890"/>
                    </a:xfrm>
                    <a:prstGeom prst="rect">
                      <a:avLst/>
                    </a:prstGeom>
                    <a:noFill/>
                  </pic:spPr>
                </pic:pic>
              </a:graphicData>
            </a:graphic>
          </wp:anchor>
        </w:drawing>
      </w:r>
    </w:p>
    <w:p>
      <w:pPr>
        <w:spacing w:after="0" w:line="16" w:lineRule="exact"/>
        <w:rPr>
          <w:sz w:val="20"/>
          <w:szCs w:val="20"/>
          <w:color w:val="auto"/>
        </w:rPr>
      </w:pPr>
    </w:p>
    <w:p>
      <w:pPr>
        <w:jc w:val="right"/>
        <w:ind w:right="6959"/>
        <w:spacing w:after="0"/>
        <w:rPr>
          <w:sz w:val="20"/>
          <w:szCs w:val="20"/>
          <w:color w:val="auto"/>
        </w:rPr>
      </w:pPr>
      <w:r>
        <w:rPr>
          <w:rFonts w:ascii="Times New Roman" w:cs="Times New Roman" w:eastAsia="Times New Roman" w:hAnsi="Times New Roman"/>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Vantage I, L.P.</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Vantage I GP, L.P.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Vantage I GP-GP,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jc w:val="right"/>
        <w:ind w:right="6959"/>
        <w:spacing w:after="0"/>
        <w:rPr>
          <w:sz w:val="20"/>
          <w:szCs w:val="20"/>
          <w:color w:val="auto"/>
        </w:rPr>
      </w:pPr>
      <w:r>
        <w:rPr>
          <w:rFonts w:ascii="Times New Roman" w:cs="Times New Roman" w:eastAsia="Times New Roman" w:hAnsi="Times New Roman"/>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Vantage I GP, L.P.</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Versant Vantage I GP-GP,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jc w:val="right"/>
        <w:ind w:right="6959"/>
        <w:spacing w:after="0"/>
        <w:rPr>
          <w:sz w:val="20"/>
          <w:szCs w:val="20"/>
          <w:color w:val="auto"/>
        </w:rPr>
      </w:pPr>
      <w:r>
        <w:rPr>
          <w:rFonts w:ascii="Times New Roman" w:cs="Times New Roman" w:eastAsia="Times New Roman" w:hAnsi="Times New Roman"/>
          <w:sz w:val="18"/>
          <w:szCs w:val="18"/>
          <w:color w:val="auto"/>
        </w:rPr>
        <w:t>Robin L. Praeger, Managing Director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Versant Vantage I GP-GP, LLC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17145</wp:posOffset>
            </wp:positionV>
            <wp:extent cx="256286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562860" cy="8255"/>
                    </a:xfrm>
                    <a:prstGeom prst="rect">
                      <a:avLst/>
                    </a:prstGeom>
                    <a:noFill/>
                  </pic:spPr>
                </pic:pic>
              </a:graphicData>
            </a:graphic>
          </wp:anchor>
        </w:drawing>
      </w:r>
    </w:p>
    <w:p>
      <w:pPr>
        <w:spacing w:after="0" w:line="16" w:lineRule="exact"/>
        <w:rPr>
          <w:sz w:val="20"/>
          <w:szCs w:val="20"/>
          <w:color w:val="auto"/>
        </w:rPr>
      </w:pPr>
    </w:p>
    <w:p>
      <w:pPr>
        <w:jc w:val="right"/>
        <w:ind w:right="6959"/>
        <w:spacing w:after="0"/>
        <w:rPr>
          <w:sz w:val="20"/>
          <w:szCs w:val="20"/>
          <w:color w:val="auto"/>
        </w:rPr>
      </w:pPr>
      <w:r>
        <w:rPr>
          <w:rFonts w:ascii="Times New Roman" w:cs="Times New Roman" w:eastAsia="Times New Roman" w:hAnsi="Times New Roman"/>
          <w:sz w:val="18"/>
          <w:szCs w:val="18"/>
          <w:color w:val="auto"/>
        </w:rPr>
        <w:t>Robin L. Praeger, Managing Director</w:t>
      </w:r>
    </w:p>
    <w:sectPr>
      <w:pgSz w:w="11900" w:h="16838" w:orient="portrait"/>
      <w:cols w:equalWidth="0" w:num="1">
        <w:col w:w="10019"/>
      </w:cols>
      <w:pgMar w:left="440" w:top="48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2200854"/>
    <w:multiLevelType w:val="hybridMultilevel"/>
    <w:lvl w:ilvl="0">
      <w:lvlJc w:val="left"/>
      <w:lvlText w:val="*"/>
      <w:numFmt w:val="bullet"/>
      <w:start w:val="1"/>
    </w:lvl>
  </w:abstractNum>
  <w:abstractNum w:abstractNumId="1">
    <w:nsid w:val="4DB127F8"/>
    <w:multiLevelType w:val="hybridMultilevel"/>
    <w:lvl w:ilvl="0">
      <w:lvlJc w:val="left"/>
      <w:lvlText w:val="(%1)"/>
      <w:numFmt w:val="decimal"/>
      <w:start w:val="1"/>
    </w:lvl>
  </w:abstractNum>
  <w:abstractNum w:abstractNumId="2">
    <w:nsid w:val="216231B"/>
    <w:multiLevelType w:val="hybridMultilevel"/>
    <w:lvl w:ilvl="0">
      <w:lvlJc w:val="left"/>
      <w:lvlText w:val="(%1)"/>
      <w:numFmt w:val="decimal"/>
      <w:start w:val="1"/>
    </w:lvl>
  </w:abstractNum>
  <w:abstractNum w:abstractNumId="3">
    <w:nsid w:val="1F16E9E8"/>
    <w:multiLevelType w:val="hybridMultilevel"/>
    <w:lvl w:ilvl="0">
      <w:lvlJc w:val="left"/>
      <w:lvlText w:val="(%1)"/>
      <w:numFmt w:val="decimal"/>
      <w:start w:val="1"/>
    </w:lvl>
  </w:abstractNum>
  <w:abstractNum w:abstractNumId="4">
    <w:nsid w:val="1190CDE7"/>
    <w:multiLevelType w:val="hybridMultilevel"/>
    <w:lvl w:ilvl="0">
      <w:lvlJc w:val="left"/>
      <w:lvlText w:val="(%1)"/>
      <w:numFmt w:val="decimal"/>
      <w:start w:val="1"/>
    </w:lvl>
  </w:abstractNum>
  <w:abstractNum w:abstractNumId="5">
    <w:nsid w:val="66EF438D"/>
    <w:multiLevelType w:val="hybridMultilevel"/>
    <w:lvl w:ilvl="0">
      <w:lvlJc w:val="left"/>
      <w:lvlText w:val="(%1)"/>
      <w:numFmt w:val="decimal"/>
      <w:start w:val="1"/>
    </w:lvl>
  </w:abstractNum>
  <w:abstractNum w:abstractNumId="6">
    <w:nsid w:val="140E0F76"/>
    <w:multiLevelType w:val="hybridMultilevel"/>
    <w:lvl w:ilvl="0">
      <w:lvlJc w:val="left"/>
      <w:lvlText w:val="(%1)"/>
      <w:numFmt w:val="decimal"/>
      <w:start w:val="1"/>
    </w:lvl>
  </w:abstractNum>
  <w:abstractNum w:abstractNumId="7">
    <w:nsid w:val="3352255A"/>
    <w:multiLevelType w:val="hybridMultilevel"/>
    <w:lvl w:ilvl="0">
      <w:lvlJc w:val="left"/>
      <w:lvlText w:val="(%1)"/>
      <w:numFmt w:val="decimal"/>
      <w:start w:val="1"/>
    </w:lvl>
  </w:abstractNum>
  <w:abstractNum w:abstractNumId="8">
    <w:nsid w:val="109CF92E"/>
    <w:multiLevelType w:val="hybridMultilevel"/>
    <w:lvl w:ilvl="0">
      <w:lvlJc w:val="left"/>
      <w:lvlText w:val="(%1)"/>
      <w:numFmt w:val="decimal"/>
      <w:start w:val="1"/>
    </w:lvl>
  </w:abstractNum>
  <w:abstractNum w:abstractNumId="9">
    <w:nsid w:val="DED7263"/>
    <w:multiLevelType w:val="hybridMultilevel"/>
    <w:lvl w:ilvl="0">
      <w:lvlJc w:val="left"/>
      <w:lvlText w:val="(%1)"/>
      <w:numFmt w:val="decimal"/>
      <w:start w:val="1"/>
    </w:lvl>
  </w:abstractNum>
  <w:abstractNum w:abstractNumId="10">
    <w:nsid w:val="7FDCC233"/>
    <w:multiLevelType w:val="hybridMultilevel"/>
    <w:lvl w:ilvl="0">
      <w:lvlJc w:val="left"/>
      <w:lvlText w:val="(%1)"/>
      <w:numFmt w:val="decimal"/>
      <w:start w:val="1"/>
    </w:lvl>
  </w:abstractNum>
  <w:abstractNum w:abstractNumId="11">
    <w:nsid w:val="1BEFD79F"/>
    <w:multiLevelType w:val="hybridMultilevel"/>
    <w:lvl w:ilvl="0">
      <w:lvlJc w:val="left"/>
      <w:lvlText w:val="(%1)"/>
      <w:numFmt w:val="decimal"/>
      <w:start w:val="1"/>
    </w:lvl>
  </w:abstractNum>
  <w:abstractNum w:abstractNumId="12">
    <w:nsid w:val="41A7C4C9"/>
    <w:multiLevelType w:val="hybridMultilevel"/>
    <w:lvl w:ilvl="0">
      <w:lvlJc w:val="left"/>
      <w:lvlText w:val="(%1)"/>
      <w:numFmt w:val="decimal"/>
      <w:start w:val="1"/>
    </w:lvl>
  </w:abstractNum>
  <w:abstractNum w:abstractNumId="13">
    <w:nsid w:val="6B68079A"/>
    <w:multiLevelType w:val="hybridMultilevel"/>
    <w:lvl w:ilvl="0">
      <w:lvlJc w:val="left"/>
      <w:lvlText w:val="(%1)"/>
      <w:numFmt w:val="decimal"/>
      <w:start w:val="1"/>
    </w:lvl>
  </w:abstractNum>
  <w:abstractNum w:abstractNumId="14">
    <w:nsid w:val="4E6AFB66"/>
    <w:multiLevelType w:val="hybridMultilevel"/>
    <w:lvl w:ilvl="0">
      <w:lvlJc w:val="left"/>
      <w:lvlText w:val="(%1)"/>
      <w:numFmt w:val="lowerLetter"/>
      <w:start w:val="3"/>
    </w:lvl>
  </w:abstractNum>
  <w:abstractNum w:abstractNumId="15">
    <w:nsid w:val="25E45D32"/>
    <w:multiLevelType w:val="hybridMultilevel"/>
    <w:lvl w:ilvl="0">
      <w:lvlJc w:val="left"/>
      <w:lvlText w:val="(%1)"/>
      <w:numFmt w:val="lowerRoman"/>
      <w:start w:val="2"/>
    </w:lvl>
  </w:abstractNum>
  <w:abstractNum w:abstractNumId="16">
    <w:nsid w:val="519B500D"/>
    <w:multiLevelType w:val="hybridMultilevel"/>
    <w:lvl w:ilvl="0">
      <w:lvlJc w:val="left"/>
      <w:lvlText w:val="(%1)"/>
      <w:numFmt w:val="lowerRoman"/>
      <w:start w:val="2"/>
    </w:lvl>
  </w:abstractNum>
  <w:abstractNum w:abstractNumId="17">
    <w:nsid w:val="431BD7B7"/>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2022-06-13T15:40:34Z</dcterms:created>
  <dcterms:modified xsi:type="dcterms:W3CDTF">2022-06-13T15:40:34Z</dcterms:modified>
</cp:coreProperties>
</file>