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Kulkarni Samarth</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06/18/2020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Repare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RPTX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REPARE THERAPEUTICS INC.</w:t>
      </w:r>
    </w:p>
    <w:p>
      <w:pPr>
        <w:spacing w:after="0" w:line="93" w:lineRule="exact"/>
        <w:rPr>
          <w:sz w:val="24"/>
          <w:szCs w:val="24"/>
          <w:color w:val="auto"/>
        </w:rPr>
      </w:pPr>
    </w:p>
    <w:p>
      <w:pPr>
        <w:ind w:left="140" w:right="1637"/>
        <w:spacing w:after="0" w:line="269" w:lineRule="auto"/>
        <w:rPr>
          <w:sz w:val="20"/>
          <w:szCs w:val="20"/>
          <w:color w:val="auto"/>
        </w:rPr>
      </w:pPr>
      <w:r>
        <w:rPr>
          <w:rFonts w:ascii="Arial" w:cs="Arial" w:eastAsia="Arial" w:hAnsi="Arial"/>
          <w:sz w:val="20"/>
          <w:szCs w:val="20"/>
          <w:color w:val="0000FF"/>
        </w:rPr>
        <w:t>7210 FREDERICK-BANTING, SUITE 100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000" w:type="dxa"/>
            <w:vAlign w:val="bottom"/>
          </w:tcPr>
          <w:p>
            <w:pPr>
              <w:spacing w:after="0"/>
              <w:rPr>
                <w:sz w:val="20"/>
                <w:szCs w:val="20"/>
                <w:color w:val="auto"/>
              </w:rPr>
            </w:pPr>
            <w:r>
              <w:rPr>
                <w:rFonts w:ascii="Arial" w:cs="Arial" w:eastAsia="Arial" w:hAnsi="Arial"/>
                <w:sz w:val="15"/>
                <w:szCs w:val="15"/>
                <w:color w:val="auto"/>
              </w:rPr>
              <w:t>(Street)</w:t>
            </w:r>
          </w:p>
        </w:tc>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000" w:type="dxa"/>
            <w:vAlign w:val="bottom"/>
          </w:tcPr>
          <w:p>
            <w:pPr>
              <w:ind w:left="40"/>
              <w:spacing w:after="0"/>
              <w:rPr>
                <w:sz w:val="20"/>
                <w:szCs w:val="20"/>
                <w:color w:val="auto"/>
              </w:rPr>
            </w:pPr>
            <w:r>
              <w:rPr>
                <w:rFonts w:ascii="Arial" w:cs="Arial" w:eastAsia="Arial" w:hAnsi="Arial"/>
                <w:sz w:val="20"/>
                <w:szCs w:val="20"/>
                <w:color w:val="0000FF"/>
              </w:rPr>
              <w:t>ST-</w:t>
            </w:r>
          </w:p>
        </w:tc>
        <w:tc>
          <w:tcPr>
            <w:tcW w:w="700" w:type="dxa"/>
            <w:vAlign w:val="bottom"/>
            <w:vMerge w:val="restart"/>
          </w:tcPr>
          <w:p>
            <w:pPr>
              <w:ind w:left="60"/>
              <w:spacing w:after="0"/>
              <w:rPr>
                <w:sz w:val="20"/>
                <w:szCs w:val="20"/>
                <w:color w:val="auto"/>
              </w:rPr>
            </w:pPr>
            <w:r>
              <w:rPr>
                <w:rFonts w:ascii="Arial" w:cs="Arial" w:eastAsia="Arial" w:hAnsi="Arial"/>
                <w:sz w:val="20"/>
                <w:szCs w:val="20"/>
                <w:color w:val="0000FF"/>
              </w:rPr>
              <w:t>A8</w:t>
            </w:r>
          </w:p>
        </w:tc>
        <w:tc>
          <w:tcPr>
            <w:tcW w:w="1120" w:type="dxa"/>
            <w:vAlign w:val="bottom"/>
            <w:vMerge w:val="restart"/>
          </w:tcPr>
          <w:p>
            <w:pPr>
              <w:ind w:left="400"/>
              <w:spacing w:after="0"/>
              <w:rPr>
                <w:sz w:val="20"/>
                <w:szCs w:val="20"/>
                <w:color w:val="auto"/>
              </w:rPr>
            </w:pPr>
            <w:r>
              <w:rPr>
                <w:rFonts w:ascii="Arial" w:cs="Arial" w:eastAsia="Arial" w:hAnsi="Arial"/>
                <w:sz w:val="20"/>
                <w:szCs w:val="20"/>
                <w:color w:val="0000FF"/>
                <w:w w:val="87"/>
              </w:rPr>
              <w:t>H4S 2A1</w:t>
            </w:r>
          </w:p>
        </w:tc>
        <w:tc>
          <w:tcPr>
            <w:tcW w:w="0" w:type="dxa"/>
            <w:vAlign w:val="bottom"/>
          </w:tcPr>
          <w:p>
            <w:pPr>
              <w:spacing w:after="0"/>
              <w:rPr>
                <w:sz w:val="1"/>
                <w:szCs w:val="1"/>
                <w:color w:val="auto"/>
              </w:rPr>
            </w:pPr>
          </w:p>
        </w:tc>
      </w:tr>
      <w:tr>
        <w:trPr>
          <w:trHeight w:val="248"/>
        </w:trPr>
        <w:tc>
          <w:tcPr>
            <w:tcW w:w="1000" w:type="dxa"/>
            <w:vAlign w:val="bottom"/>
          </w:tcPr>
          <w:p>
            <w:pPr>
              <w:ind w:left="40"/>
              <w:spacing w:after="0"/>
              <w:rPr>
                <w:sz w:val="20"/>
                <w:szCs w:val="20"/>
                <w:color w:val="auto"/>
              </w:rPr>
            </w:pPr>
            <w:r>
              <w:rPr>
                <w:rFonts w:ascii="Arial" w:cs="Arial" w:eastAsia="Arial" w:hAnsi="Arial"/>
                <w:sz w:val="20"/>
                <w:szCs w:val="20"/>
                <w:color w:val="0000FF"/>
              </w:rPr>
              <w:t>LAURENT</w:t>
            </w:r>
          </w:p>
        </w:tc>
        <w:tc>
          <w:tcPr>
            <w:tcW w:w="70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924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246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Pr>
          <w:p>
            <w:pPr>
              <w:jc w:val="center"/>
              <w:spacing w:after="0"/>
              <w:rPr>
                <w:sz w:val="20"/>
                <w:szCs w:val="20"/>
                <w:color w:val="auto"/>
              </w:rPr>
            </w:pPr>
            <w:r>
              <w:rPr>
                <w:rFonts w:ascii="Arial" w:cs="Arial" w:eastAsia="Arial" w:hAnsi="Arial"/>
                <w:sz w:val="15"/>
                <w:szCs w:val="15"/>
                <w:color w:val="0000FF"/>
                <w:w w:val="87"/>
              </w:rPr>
              <w:t>11/21/2029</w:t>
            </w:r>
          </w:p>
        </w:tc>
        <w:tc>
          <w:tcPr>
            <w:tcW w:w="1740" w:type="dxa"/>
            <w:vAlign w:val="bottom"/>
          </w:tcPr>
          <w:p>
            <w:pPr>
              <w:ind w:left="280"/>
              <w:spacing w:after="0"/>
              <w:rPr>
                <w:sz w:val="20"/>
                <w:szCs w:val="20"/>
                <w:color w:val="auto"/>
              </w:rPr>
            </w:pPr>
            <w:r>
              <w:rPr>
                <w:rFonts w:ascii="Arial" w:cs="Arial" w:eastAsia="Arial" w:hAnsi="Arial"/>
                <w:sz w:val="20"/>
                <w:szCs w:val="20"/>
                <w:color w:val="0000FF"/>
                <w:w w:val="95"/>
              </w:rPr>
              <w:t>Common Shares</w:t>
            </w:r>
          </w:p>
        </w:tc>
        <w:tc>
          <w:tcPr>
            <w:tcW w:w="840" w:type="dxa"/>
            <w:vAlign w:val="bottom"/>
          </w:tcPr>
          <w:p>
            <w:pPr>
              <w:ind w:left="200"/>
              <w:spacing w:after="0"/>
              <w:rPr>
                <w:sz w:val="20"/>
                <w:szCs w:val="20"/>
                <w:color w:val="auto"/>
              </w:rPr>
            </w:pPr>
            <w:r>
              <w:rPr>
                <w:rFonts w:ascii="Arial" w:cs="Arial" w:eastAsia="Arial" w:hAnsi="Arial"/>
                <w:sz w:val="20"/>
                <w:szCs w:val="20"/>
                <w:color w:val="0000FF"/>
              </w:rPr>
              <w:t>37,941</w:t>
            </w:r>
          </w:p>
        </w:tc>
        <w:tc>
          <w:tcPr>
            <w:tcW w:w="980" w:type="dxa"/>
            <w:vAlign w:val="bottom"/>
          </w:tcPr>
          <w:p>
            <w:pPr>
              <w:ind w:left="260"/>
              <w:spacing w:after="0"/>
              <w:rPr>
                <w:sz w:val="20"/>
                <w:szCs w:val="20"/>
                <w:color w:val="auto"/>
              </w:rPr>
            </w:pPr>
            <w:r>
              <w:rPr>
                <w:rFonts w:ascii="Arial" w:cs="Arial" w:eastAsia="Arial" w:hAnsi="Arial"/>
                <w:sz w:val="20"/>
                <w:szCs w:val="20"/>
                <w:color w:val="0000FF"/>
              </w:rPr>
              <w:t>2.425</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12/16/2029</w:t>
            </w:r>
          </w:p>
        </w:tc>
        <w:tc>
          <w:tcPr>
            <w:tcW w:w="1740" w:type="dxa"/>
            <w:vAlign w:val="bottom"/>
          </w:tcPr>
          <w:p>
            <w:pPr>
              <w:ind w:left="280"/>
              <w:spacing w:after="0"/>
              <w:rPr>
                <w:sz w:val="20"/>
                <w:szCs w:val="20"/>
                <w:color w:val="auto"/>
              </w:rPr>
            </w:pPr>
            <w:r>
              <w:rPr>
                <w:rFonts w:ascii="Arial" w:cs="Arial" w:eastAsia="Arial" w:hAnsi="Arial"/>
                <w:sz w:val="20"/>
                <w:szCs w:val="20"/>
                <w:color w:val="0000FF"/>
                <w:w w:val="95"/>
              </w:rPr>
              <w:t>Common Shares</w:t>
            </w:r>
          </w:p>
        </w:tc>
        <w:tc>
          <w:tcPr>
            <w:tcW w:w="840" w:type="dxa"/>
            <w:vAlign w:val="bottom"/>
          </w:tcPr>
          <w:p>
            <w:pPr>
              <w:ind w:left="200"/>
              <w:spacing w:after="0"/>
              <w:rPr>
                <w:sz w:val="20"/>
                <w:szCs w:val="20"/>
                <w:color w:val="auto"/>
              </w:rPr>
            </w:pPr>
            <w:r>
              <w:rPr>
                <w:rFonts w:ascii="Arial" w:cs="Arial" w:eastAsia="Arial" w:hAnsi="Arial"/>
                <w:sz w:val="20"/>
                <w:szCs w:val="20"/>
                <w:color w:val="0000FF"/>
              </w:rPr>
              <w:t>32,992</w:t>
            </w:r>
          </w:p>
        </w:tc>
        <w:tc>
          <w:tcPr>
            <w:tcW w:w="980" w:type="dxa"/>
            <w:vAlign w:val="bottom"/>
          </w:tcPr>
          <w:p>
            <w:pPr>
              <w:ind w:left="260"/>
              <w:spacing w:after="0"/>
              <w:rPr>
                <w:sz w:val="20"/>
                <w:szCs w:val="20"/>
                <w:color w:val="auto"/>
              </w:rPr>
            </w:pPr>
            <w:r>
              <w:rPr>
                <w:rFonts w:ascii="Arial" w:cs="Arial" w:eastAsia="Arial" w:hAnsi="Arial"/>
                <w:sz w:val="20"/>
                <w:szCs w:val="20"/>
                <w:color w:val="0000FF"/>
              </w:rPr>
              <w:t>2.425</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-646430</wp:posOffset>
            </wp:positionV>
            <wp:extent cx="6927850" cy="495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495300"/>
                    </a:xfrm>
                    <a:prstGeom prst="rect">
                      <a:avLst/>
                    </a:prstGeom>
                    <a:noFill/>
                  </pic:spPr>
                </pic:pic>
              </a:graphicData>
            </a:graphic>
          </wp:anchor>
        </w:drawing>
      </w:r>
    </w:p>
    <w:p>
      <w:pPr>
        <w:spacing w:after="0" w:line="15" w:lineRule="exact"/>
        <w:rPr>
          <w:sz w:val="24"/>
          <w:szCs w:val="24"/>
          <w:color w:val="auto"/>
        </w:rPr>
      </w:pPr>
    </w:p>
    <w:p>
      <w:pPr>
        <w:ind w:left="40" w:right="2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Twenty-five percent (25%) of the shares subject to the option shall vest on November 21, 2020, and one thirty-sixth (1/36th) of the remaining shares subject to the option shall vest each month thereafter, subject to Reporting Person continuing to provide service through each such date.</w:t>
      </w:r>
    </w:p>
    <w:p>
      <w:pPr>
        <w:spacing w:after="0" w:line="26" w:lineRule="exact"/>
        <w:rPr>
          <w:rFonts w:ascii="Arial" w:cs="Arial" w:eastAsia="Arial" w:hAnsi="Arial"/>
          <w:sz w:val="15"/>
          <w:szCs w:val="15"/>
          <w:color w:val="008000"/>
        </w:rPr>
      </w:pPr>
    </w:p>
    <w:p>
      <w:pPr>
        <w:ind w:left="40" w:right="2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Twenty-five percent (25%) of the shares subject to the option shall vest on December 16, 2020, and one thirty-ninth (1/39th) of the remaining shares subject to the option shall vest each month thereafter, subject to Reporting Person continuing to provide service through each such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8"/>
              </w:rPr>
              <w:t>/s/ Steve Forte, Attorney-</w:t>
            </w:r>
          </w:p>
        </w:tc>
        <w:tc>
          <w:tcPr>
            <w:tcW w:w="2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06/18/2020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30" w:lineRule="exact"/>
        <w:rPr>
          <w:sz w:val="20"/>
          <w:szCs w:val="20"/>
          <w:color w:val="auto"/>
        </w:rPr>
      </w:pPr>
    </w:p>
    <w:p>
      <w:pPr>
        <w:ind w:right="1300"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Lloyd M. Segal and Steve Forte of Repare Therapeutics Inc. (the "Company") and Divakar Gupta, Courtney Thorne, Trey Reilly and Jason Minio of Cooley LLP, signing individually, the undersigned's true and lawful attorneys-in fact and agents to:</w:t>
      </w:r>
    </w:p>
    <w:p>
      <w:pPr>
        <w:spacing w:after="0" w:line="232" w:lineRule="exact"/>
        <w:rPr>
          <w:sz w:val="20"/>
          <w:szCs w:val="20"/>
          <w:color w:val="auto"/>
        </w:rPr>
      </w:pPr>
    </w:p>
    <w:p>
      <w:pPr>
        <w:ind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 and</w:t>
      </w:r>
    </w:p>
    <w:p>
      <w:pPr>
        <w:spacing w:after="0" w:line="4" w:lineRule="exact"/>
        <w:rPr>
          <w:rFonts w:ascii="Courier New" w:cs="Courier New" w:eastAsia="Courier New" w:hAnsi="Courier New"/>
          <w:sz w:val="20"/>
          <w:szCs w:val="20"/>
          <w:color w:val="auto"/>
        </w:rPr>
      </w:pPr>
    </w:p>
    <w:p>
      <w:pPr>
        <w:ind w:right="1420"/>
        <w:spacing w:after="0" w:line="269"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07" w:lineRule="exact"/>
        <w:rPr>
          <w:rFonts w:ascii="Courier New" w:cs="Courier New" w:eastAsia="Courier New" w:hAnsi="Courier New"/>
          <w:sz w:val="20"/>
          <w:szCs w:val="20"/>
          <w:color w:val="auto"/>
        </w:rPr>
      </w:pPr>
    </w:p>
    <w:p>
      <w:pPr>
        <w:ind w:right="240"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ID and Forms</w:t>
      </w:r>
    </w:p>
    <w:p>
      <w:pPr>
        <w:spacing w:after="0" w:line="4" w:lineRule="exact"/>
        <w:rPr>
          <w:rFonts w:ascii="Courier New" w:cs="Courier New" w:eastAsia="Courier New" w:hAnsi="Courier New"/>
          <w:sz w:val="20"/>
          <w:szCs w:val="20"/>
          <w:color w:val="auto"/>
        </w:rPr>
      </w:pPr>
    </w:p>
    <w:p>
      <w:pPr>
        <w:ind w:right="1520"/>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3, 4 or 5 (including amendments thereto and joint filing agreements in connection therewith) and file such forms with the SEC and any stock exchange, self-regulatory association or any similar authority; and</w:t>
      </w:r>
    </w:p>
    <w:p>
      <w:pPr>
        <w:spacing w:after="0" w:line="23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w:t>
      </w:r>
    </w:p>
    <w:p>
      <w:pPr>
        <w:spacing w:after="0" w:line="1" w:lineRule="exact"/>
        <w:rPr>
          <w:rFonts w:ascii="Courier New" w:cs="Courier New" w:eastAsia="Courier New" w:hAnsi="Courier New"/>
          <w:sz w:val="18"/>
          <w:szCs w:val="18"/>
          <w:color w:val="auto"/>
        </w:rPr>
      </w:pPr>
    </w:p>
    <w:p>
      <w:pPr>
        <w:ind w:right="142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2" w:lineRule="exact"/>
        <w:rPr>
          <w:sz w:val="20"/>
          <w:szCs w:val="20"/>
          <w:color w:val="auto"/>
        </w:rPr>
      </w:pPr>
    </w:p>
    <w:p>
      <w:pPr>
        <w:ind w:right="1060" w:firstLine="937"/>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40"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spacing w:after="0" w:line="2"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233"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June 15, 2020</w:t>
      </w:r>
    </w:p>
    <w:p>
      <w:pPr>
        <w:spacing w:after="0" w:line="238" w:lineRule="auto"/>
        <w:rPr>
          <w:sz w:val="20"/>
          <w:szCs w:val="20"/>
          <w:color w:val="auto"/>
        </w:rPr>
      </w:pPr>
      <w:r>
        <w:rPr>
          <w:rFonts w:ascii="Courier New" w:cs="Courier New" w:eastAsia="Courier New" w:hAnsi="Courier New"/>
          <w:sz w:val="20"/>
          <w:szCs w:val="20"/>
          <w:color w:val="auto"/>
        </w:rPr>
        <w:t>/s/ Samarth Kulkarni, Ph.D.</w:t>
      </w:r>
    </w:p>
    <w:p>
      <w:pPr>
        <w:spacing w:after="0" w:line="238" w:lineRule="auto"/>
        <w:rPr>
          <w:sz w:val="20"/>
          <w:szCs w:val="20"/>
          <w:color w:val="auto"/>
        </w:rPr>
      </w:pPr>
      <w:r>
        <w:rPr>
          <w:rFonts w:ascii="Courier New" w:cs="Courier New" w:eastAsia="Courier New" w:hAnsi="Courier New"/>
          <w:sz w:val="20"/>
          <w:szCs w:val="20"/>
          <w:color w:val="auto"/>
        </w:rPr>
        <w:t>Samarth Kulkarni, Ph.D.</w:t>
      </w:r>
    </w:p>
    <w:sectPr>
      <w:pgSz w:w="11900" w:h="16838" w:orient="portrait"/>
      <w:cols w:equalWidth="0" w:num="1">
        <w:col w:w="10660"/>
      </w:cols>
      <w:pgMar w:left="480" w:top="13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682019" TargetMode="External"/><Relationship Id="rId11" Type="http://schemas.openxmlformats.org/officeDocument/2006/relationships/hyperlink" Target="http://www.sec.gov/cgi-bin/browse-edgar?action=getcompany&amp;CIK=00018081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2020-06-18T20:32:37Z</dcterms:created>
  <dcterms:modified xsi:type="dcterms:W3CDTF">2020-06-18T20:32:37Z</dcterms:modified>
</cp:coreProperties>
</file>