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Redmile Group,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Repare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RPTX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LETTERMAN DRIVE,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BUILDING 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D3-300</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5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94129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7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2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72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2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640" w:type="dxa"/>
            <w:vAlign w:val="bottom"/>
            <w:gridSpan w:val="3"/>
          </w:tcPr>
          <w:p>
            <w:pPr>
              <w:ind w:left="80"/>
              <w:spacing w:after="0"/>
              <w:rPr>
                <w:sz w:val="20"/>
                <w:szCs w:val="20"/>
                <w:color w:val="auto"/>
              </w:rPr>
            </w:pPr>
            <w:r>
              <w:rPr>
                <w:rFonts w:ascii="Arial" w:cs="Arial" w:eastAsia="Arial" w:hAnsi="Arial"/>
                <w:sz w:val="20"/>
                <w:szCs w:val="20"/>
                <w:color w:val="0000FF"/>
                <w:w w:val="96"/>
              </w:rPr>
              <w:t>Class B Convertible Preferred</w:t>
            </w:r>
          </w:p>
        </w:tc>
        <w:tc>
          <w:tcPr>
            <w:tcW w:w="1280" w:type="dxa"/>
            <w:vAlign w:val="bottom"/>
            <w:vMerge w:val="restart"/>
          </w:tcPr>
          <w:p>
            <w:pPr>
              <w:ind w:left="640"/>
              <w:spacing w:after="0"/>
              <w:rPr>
                <w:sz w:val="20"/>
                <w:szCs w:val="20"/>
                <w:color w:val="auto"/>
              </w:rPr>
            </w:pPr>
            <w:r>
              <w:rPr>
                <w:rFonts w:ascii="Arial" w:cs="Arial" w:eastAsia="Arial" w:hAnsi="Arial"/>
                <w:sz w:val="13"/>
                <w:szCs w:val="13"/>
                <w:color w:val="008000"/>
              </w:rPr>
              <w:t>(1)</w:t>
            </w:r>
          </w:p>
        </w:tc>
        <w:tc>
          <w:tcPr>
            <w:tcW w:w="74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008000"/>
              </w:rPr>
              <w:t>(1)</w:t>
            </w:r>
          </w:p>
        </w:tc>
        <w:tc>
          <w:tcPr>
            <w:tcW w:w="30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Shares   1,586,174</w:t>
            </w:r>
            <w:r>
              <w:rPr>
                <w:rFonts w:ascii="Arial" w:cs="Arial" w:eastAsia="Arial" w:hAnsi="Arial"/>
                <w:sz w:val="25"/>
                <w:szCs w:val="25"/>
                <w:color w:val="008000"/>
                <w:w w:val="99"/>
                <w:vertAlign w:val="superscript"/>
              </w:rPr>
              <w:t>(1)</w:t>
            </w:r>
          </w:p>
        </w:tc>
        <w:tc>
          <w:tcPr>
            <w:tcW w:w="820" w:type="dxa"/>
            <w:vAlign w:val="bottom"/>
            <w:vMerge w:val="restart"/>
          </w:tcPr>
          <w:p>
            <w:pPr>
              <w:jc w:val="right"/>
              <w:ind w:right="37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620" w:type="dxa"/>
            <w:vAlign w:val="bottom"/>
            <w:vMerge w:val="restart"/>
          </w:tcPr>
          <w:p>
            <w:pPr>
              <w:ind w:left="26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20"/>
                <w:szCs w:val="20"/>
                <w:color w:val="0000FF"/>
              </w:rPr>
              <w:t>Shares</w:t>
            </w:r>
          </w:p>
        </w:tc>
        <w:tc>
          <w:tcPr>
            <w:tcW w:w="1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30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820" w:type="dxa"/>
            <w:vAlign w:val="bottom"/>
            <w:tcBorders>
              <w:bottom w:val="single" w:sz="8" w:color="2C2C2C"/>
            </w:tcBorders>
            <w:gridSpan w:val="3"/>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4"/>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Redmile Group, LLC</w:t>
              </w:r>
            </w:hyperlink>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20"/>
              <w:spacing w:after="0"/>
              <w:rPr>
                <w:sz w:val="20"/>
                <w:szCs w:val="20"/>
                <w:color w:val="auto"/>
              </w:rPr>
            </w:pPr>
            <w:r>
              <w:rPr>
                <w:rFonts w:ascii="Arial" w:cs="Arial" w:eastAsia="Arial" w:hAnsi="Arial"/>
                <w:sz w:val="15"/>
                <w:szCs w:val="15"/>
                <w:color w:val="auto"/>
              </w:rPr>
              <w:t>(First)</w:t>
            </w:r>
          </w:p>
        </w:tc>
        <w:tc>
          <w:tcPr>
            <w:tcW w:w="1280" w:type="dxa"/>
            <w:vAlign w:val="bottom"/>
          </w:tcPr>
          <w:p>
            <w:pPr>
              <w:ind w:left="24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20"/>
                <w:szCs w:val="20"/>
                <w:color w:val="0000FF"/>
              </w:rPr>
              <w:t>ONE LETTERMAN DRIVE, BUILDING 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0"/>
                <w:szCs w:val="20"/>
                <w:color w:val="0000FF"/>
              </w:rPr>
              <w:t>SUITE D3-300</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20"/>
                <w:szCs w:val="20"/>
                <w:color w:val="0000FF"/>
              </w:rPr>
              <w:t>SAN</w:t>
            </w:r>
          </w:p>
        </w:tc>
        <w:tc>
          <w:tcPr>
            <w:tcW w:w="1160" w:type="dxa"/>
            <w:vAlign w:val="bottom"/>
            <w:vMerge w:val="restart"/>
          </w:tcPr>
          <w:p>
            <w:pPr>
              <w:ind w:left="20"/>
              <w:spacing w:after="0"/>
              <w:rPr>
                <w:sz w:val="20"/>
                <w:szCs w:val="20"/>
                <w:color w:val="auto"/>
              </w:rPr>
            </w:pPr>
            <w:r>
              <w:rPr>
                <w:rFonts w:ascii="Arial" w:cs="Arial" w:eastAsia="Arial" w:hAnsi="Arial"/>
                <w:sz w:val="20"/>
                <w:szCs w:val="20"/>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20"/>
                <w:szCs w:val="20"/>
                <w:color w:val="0000FF"/>
              </w:rPr>
              <w:t>94129</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vMerge w:val="restart"/>
          </w:tcPr>
          <w:p>
            <w:pPr>
              <w:ind w:left="20"/>
              <w:spacing w:after="0"/>
              <w:rPr>
                <w:sz w:val="20"/>
                <w:szCs w:val="20"/>
                <w:color w:val="auto"/>
              </w:rPr>
            </w:pPr>
            <w:r>
              <w:rPr>
                <w:rFonts w:ascii="Arial" w:cs="Arial" w:eastAsia="Arial" w:hAnsi="Arial"/>
                <w:sz w:val="20"/>
                <w:szCs w:val="20"/>
                <w:color w:val="0000FF"/>
              </w:rPr>
              <w:t>FRANCISCO</w:t>
            </w:r>
          </w:p>
        </w:tc>
        <w:tc>
          <w:tcPr>
            <w:tcW w:w="11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0"/>
              <w:spacing w:after="0"/>
              <w:rPr>
                <w:sz w:val="20"/>
                <w:szCs w:val="20"/>
                <w:color w:val="auto"/>
              </w:rPr>
            </w:pPr>
            <w:r>
              <w:rPr>
                <w:rFonts w:ascii="Arial" w:cs="Arial" w:eastAsia="Arial" w:hAnsi="Arial"/>
                <w:sz w:val="15"/>
                <w:szCs w:val="15"/>
                <w:color w:val="auto"/>
              </w:rPr>
              <w:t>(State)</w:t>
            </w:r>
          </w:p>
        </w:tc>
        <w:tc>
          <w:tcPr>
            <w:tcW w:w="1280" w:type="dxa"/>
            <w:vAlign w:val="bottom"/>
          </w:tcPr>
          <w:p>
            <w:pPr>
              <w:ind w:left="24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20" w:type="dxa"/>
            <w:vAlign w:val="bottom"/>
            <w:gridSpan w:val="4"/>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ind w:left="20"/>
              <w:spacing w:after="0"/>
              <w:rPr>
                <w:rFonts w:ascii="Arial" w:cs="Arial" w:eastAsia="Arial" w:hAnsi="Arial"/>
                <w:sz w:val="24"/>
                <w:szCs w:val="24"/>
                <w:u w:val="single" w:color="auto"/>
                <w:color w:val="0000EE"/>
                <w:w w:val="88"/>
              </w:rPr>
            </w:pPr>
            <w:hyperlink r:id="rId16">
              <w:r>
                <w:rPr>
                  <w:rFonts w:ascii="Arial" w:cs="Arial" w:eastAsia="Arial" w:hAnsi="Arial"/>
                  <w:sz w:val="24"/>
                  <w:szCs w:val="24"/>
                  <w:u w:val="single" w:color="auto"/>
                  <w:color w:val="0000EE"/>
                  <w:w w:val="88"/>
                </w:rPr>
                <w:t>Green Jeremy</w:t>
              </w:r>
            </w:hyperlink>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20"/>
              <w:spacing w:after="0"/>
              <w:rPr>
                <w:sz w:val="20"/>
                <w:szCs w:val="20"/>
                <w:color w:val="auto"/>
              </w:rPr>
            </w:pPr>
            <w:r>
              <w:rPr>
                <w:rFonts w:ascii="Arial" w:cs="Arial" w:eastAsia="Arial" w:hAnsi="Arial"/>
                <w:sz w:val="15"/>
                <w:szCs w:val="15"/>
                <w:color w:val="auto"/>
              </w:rPr>
              <w:t>(First)</w:t>
            </w:r>
          </w:p>
        </w:tc>
        <w:tc>
          <w:tcPr>
            <w:tcW w:w="1280" w:type="dxa"/>
            <w:vAlign w:val="bottom"/>
          </w:tcPr>
          <w:p>
            <w:pPr>
              <w:ind w:left="24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-2895600</wp:posOffset>
            </wp:positionV>
            <wp:extent cx="2773045" cy="4126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73045" cy="412623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ONE LETTERMAN DRIVE, BUILDING D</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D3-300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117475</wp:posOffset>
            </wp:positionV>
            <wp:extent cx="262064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ind w:left="140"/>
        <w:spacing w:after="0" w:line="214" w:lineRule="auto"/>
        <w:tabs>
          <w:tab w:leader="none" w:pos="1500" w:val="left"/>
          <w:tab w:leader="none" w:pos="28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94129</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107315</wp:posOffset>
            </wp:positionV>
            <wp:extent cx="262064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21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773045" cy="21907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4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Class B Convertible Preferred Shares are convertible into shares of the Issuer's common shares at any time, at the holder's election, on a 1-for-1 basis and have no expiration date.</w:t>
      </w:r>
    </w:p>
    <w:p>
      <w:pPr>
        <w:spacing w:after="0" w:line="26" w:lineRule="exact"/>
        <w:rPr>
          <w:rFonts w:ascii="Arial" w:cs="Arial" w:eastAsia="Arial" w:hAnsi="Arial"/>
          <w:sz w:val="15"/>
          <w:szCs w:val="15"/>
          <w:color w:val="008000"/>
        </w:rPr>
      </w:pPr>
    </w:p>
    <w:p>
      <w:pPr>
        <w:ind w:right="60" w:firstLine="5"/>
        <w:spacing w:after="0" w:line="286"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securities are directly owned by certain private investment vehicles managed by Redmile Group, LLC ("Redmile") and may be deemed beneficially owned by Redmile as investment manager of such private investment vehicles. The reported securities may also be deemed beneficially owned by Jeremy Green as the principal of Redmile. The Reporting Persons disclaim beneficial ownership of the reported securities except to the extent of their pecuniary interest therein, and this report shall not be deemed an admission that such Reporting Persons are the beneficial owners of the securities for purposes of Section 16 of the Securities Exchange Act of 1934, as amended, or for any other purpose.</w:t>
      </w:r>
    </w:p>
    <w:p>
      <w:pPr>
        <w:spacing w:after="0" w:line="14"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Redmile Group, LLC By: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/s/ Jeremy Green,</w:t>
            </w: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0000FF"/>
                <w:w w:val="87"/>
              </w:rPr>
              <w:t>06/19/2020</w:t>
            </w:r>
          </w:p>
        </w:tc>
      </w:tr>
      <w:tr>
        <w:trPr>
          <w:trHeight w:val="20"/>
        </w:trPr>
        <w:tc>
          <w:tcPr>
            <w:tcW w:w="1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20"/>
        </w:trPr>
        <w:tc>
          <w:tcPr>
            <w:tcW w:w="150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Managing Member</w:t>
            </w:r>
          </w:p>
        </w:tc>
        <w:tc>
          <w:tcPr>
            <w:tcW w:w="6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13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Jeremy Green</w:t>
            </w:r>
          </w:p>
        </w:tc>
        <w:tc>
          <w:tcPr>
            <w:tcW w:w="82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06/19/2020</w:t>
            </w: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8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0" Type="http://schemas.openxmlformats.org/officeDocument/2006/relationships/hyperlink" Target="http://www.sec.gov/cgi-bin/browse-edgar?action=getcompany&amp;CIK=0001425738" TargetMode="External"/><Relationship Id="rId11" Type="http://schemas.openxmlformats.org/officeDocument/2006/relationships/hyperlink" Target="http://www.sec.gov/cgi-bin/browse-edgar?action=getcompany&amp;CIK=0001808158" TargetMode="External"/><Relationship Id="rId16" Type="http://schemas.openxmlformats.org/officeDocument/2006/relationships/hyperlink" Target="http://www.sec.gov/cgi-bin/browse-edgar?action=getcompany&amp;CIK=0001650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2020-06-19T20:09:17Z</dcterms:created>
  <dcterms:modified xsi:type="dcterms:W3CDTF">2020-06-19T20:09:17Z</dcterms:modified>
</cp:coreProperties>
</file>