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15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200" w:type="dxa"/>
            <w:vAlign w:val="bottom"/>
            <w:gridSpan w:val="20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00" w:type="dxa"/>
            <w:vAlign w:val="bottom"/>
            <w:gridSpan w:val="20"/>
            <w:vMerge w:val="restart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600" w:type="dxa"/>
            <w:vAlign w:val="bottom"/>
            <w:gridSpan w:val="19"/>
            <w:vMerge w:val="restart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2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Instruction 1(b).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0" w:type="dxa"/>
            <w:vAlign w:val="bottom"/>
            <w:gridSpan w:val="1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Morrison Briggs</w:t>
              </w:r>
            </w:hyperlink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</w:tcPr>
          <w:p>
            <w:pPr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Repare Therapeutics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RPTX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06/08/2023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REPARE THERAPEUTICS INC.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</w:tcPr>
          <w:p>
            <w:pPr>
              <w:ind w:left="2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7210 FREDERICK-BANTING, SUITE 100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1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ST-LAURENT  A8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H4S 2A1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</w:rPr>
              <w:t>Rule 10b5-1(c) Transaction Indication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2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0" w:type="dxa"/>
            <w:vAlign w:val="bottom"/>
            <w:gridSpan w:val="2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40" w:type="dxa"/>
            <w:vAlign w:val="bottom"/>
            <w:gridSpan w:val="1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9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06/08/2023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27,200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06/07/2033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27,200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27,200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-5669280</wp:posOffset>
            </wp:positionV>
            <wp:extent cx="7045960" cy="58223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822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will vest in equal monthly installments over twelve (12) months from the date of grant, subject to Reporting Person continuing to provide service through each such date.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Steve Forte,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06/12/2023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00" w:firstLine="4"/>
        <w:spacing w:after="0" w:line="312" w:lineRule="auto"/>
        <w:tabs>
          <w:tab w:leader="none" w:pos="17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654430" TargetMode="External"/><Relationship Id="rId9" Type="http://schemas.openxmlformats.org/officeDocument/2006/relationships/hyperlink" Target="http://www.sec.gov/cgi-bin/browse-edgar?action=getcompany&amp;CIK=00018081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2023-06-12T15:37:43Z</dcterms:created>
  <dcterms:modified xsi:type="dcterms:W3CDTF">2023-06-12T15:37:43Z</dcterms:modified>
</cp:coreProperties>
</file>