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Bonita David 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REPARE THERAPEUTICS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7210 FREDERICK-BANTING,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Repare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RPTX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06/23/2020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2"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0" w:type="dxa"/>
            <w:vAlign w:val="bottom"/>
            <w:gridSpan w:val="7"/>
          </w:tcPr>
          <w:p>
            <w:pPr>
              <w:jc w:val="center"/>
              <w:ind w:right="69"/>
              <w:spacing w:after="0"/>
              <w:rPr>
                <w:sz w:val="20"/>
                <w:szCs w:val="20"/>
                <w:color w:val="auto"/>
              </w:rPr>
            </w:pPr>
            <w:r>
              <w:rPr>
                <w:rFonts w:ascii="Arial" w:cs="Arial" w:eastAsia="Arial" w:hAnsi="Arial"/>
                <w:sz w:val="13"/>
                <w:szCs w:val="13"/>
                <w:color w:val="auto"/>
                <w:w w:val="96"/>
              </w:rPr>
              <w:t>4. If Amendment, Date of Original Filed (Month/Day/Year)</w:t>
            </w:r>
          </w:p>
        </w:tc>
        <w:tc>
          <w:tcPr>
            <w:tcW w:w="3500" w:type="dxa"/>
            <w:vAlign w:val="bottom"/>
            <w:gridSpan w:val="8"/>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ST-LAURENT</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A8</w:t>
            </w: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color w:val="0000FF"/>
              </w:rPr>
              <w:t>H4S 2A1</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gridSpan w:val="10"/>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06/23/2020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2,601,325</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4"/>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2,601,325</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840" w:type="dxa"/>
            <w:vAlign w:val="bottom"/>
            <w:tcBorders>
              <w:top w:val="single" w:sz="8" w:color="2C2C2C"/>
            </w:tcBorders>
            <w:gridSpan w:val="4"/>
            <w:vMerge w:val="restart"/>
          </w:tcPr>
          <w:p>
            <w:pPr>
              <w:ind w:left="940"/>
              <w:spacing w:after="0"/>
              <w:rPr>
                <w:sz w:val="20"/>
                <w:szCs w:val="20"/>
                <w:color w:val="auto"/>
              </w:rPr>
            </w:pPr>
            <w:r>
              <w:rPr>
                <w:rFonts w:ascii="Arial" w:cs="Arial" w:eastAsia="Arial" w:hAnsi="Arial"/>
                <w:sz w:val="16"/>
                <w:szCs w:val="16"/>
                <w:color w:val="0000FF"/>
              </w:rPr>
              <w:t>06/23/2020</w:t>
            </w:r>
          </w:p>
        </w:tc>
        <w:tc>
          <w:tcPr>
            <w:tcW w:w="9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675,000</w:t>
            </w:r>
          </w:p>
        </w:tc>
        <w:tc>
          <w:tcPr>
            <w:tcW w:w="3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center"/>
              <w:ind w:left="74"/>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20</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2"/>
              </w:rPr>
              <w:t>3,276,325</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tcBorders>
              <w:top w:val="single" w:sz="8" w:color="2C2C2C"/>
            </w:tcBorders>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840" w:type="dxa"/>
            <w:vAlign w:val="bottom"/>
            <w:tcBorders>
              <w:top w:val="single" w:sz="8" w:color="2C2C2C"/>
            </w:tcBorders>
            <w:gridSpan w:val="4"/>
            <w:vMerge w:val="restart"/>
          </w:tcPr>
          <w:p>
            <w:pPr>
              <w:ind w:left="940"/>
              <w:spacing w:after="0"/>
              <w:rPr>
                <w:sz w:val="20"/>
                <w:szCs w:val="20"/>
                <w:color w:val="auto"/>
              </w:rPr>
            </w:pPr>
            <w:r>
              <w:rPr>
                <w:rFonts w:ascii="Arial" w:cs="Arial" w:eastAsia="Arial" w:hAnsi="Arial"/>
                <w:sz w:val="16"/>
                <w:szCs w:val="16"/>
                <w:color w:val="0000FF"/>
              </w:rPr>
              <w:t>06/23/2020</w:t>
            </w:r>
          </w:p>
        </w:tc>
        <w:tc>
          <w:tcPr>
            <w:tcW w:w="9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99,200</w:t>
            </w:r>
          </w:p>
        </w:tc>
        <w:tc>
          <w:tcPr>
            <w:tcW w:w="3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center"/>
              <w:ind w:left="74"/>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20</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99,200</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tcBorders>
              <w:top w:val="single" w:sz="8" w:color="2C2C2C"/>
            </w:tcBorders>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jc w:val="right"/>
              <w:ind w:right="2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ind w:left="220"/>
              <w:spacing w:after="0"/>
              <w:rPr>
                <w:sz w:val="20"/>
                <w:szCs w:val="20"/>
                <w:color w:val="auto"/>
              </w:rPr>
            </w:pPr>
            <w:r>
              <w:rPr>
                <w:rFonts w:ascii="Arial" w:cs="Arial" w:eastAsia="Arial" w:hAnsi="Arial"/>
                <w:sz w:val="10"/>
                <w:szCs w:val="10"/>
                <w:color w:val="008000"/>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2,601,325</w:t>
            </w:r>
          </w:p>
        </w:tc>
        <w:tc>
          <w:tcPr>
            <w:tcW w:w="20" w:type="dxa"/>
            <w:vAlign w:val="bottom"/>
          </w:tcPr>
          <w:p>
            <w:pPr>
              <w:spacing w:after="0"/>
              <w:rPr>
                <w:sz w:val="15"/>
                <w:szCs w:val="15"/>
                <w:color w:val="auto"/>
              </w:rPr>
            </w:pPr>
          </w:p>
        </w:tc>
        <w:tc>
          <w:tcPr>
            <w:tcW w:w="700" w:type="dxa"/>
            <w:vAlign w:val="bottom"/>
            <w:vMerge w:val="restart"/>
          </w:tcPr>
          <w:p>
            <w:pPr>
              <w:jc w:val="right"/>
              <w:ind w:right="259"/>
              <w:spacing w:after="0"/>
              <w:rPr>
                <w:sz w:val="20"/>
                <w:szCs w:val="20"/>
                <w:color w:val="auto"/>
              </w:rPr>
            </w:pPr>
            <w:r>
              <w:rPr>
                <w:rFonts w:ascii="Arial" w:cs="Arial" w:eastAsia="Arial" w:hAnsi="Arial"/>
                <w:sz w:val="10"/>
                <w:szCs w:val="10"/>
                <w:color w:val="008000"/>
              </w:rPr>
              <w:t>(1)</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77"/>
              <w:spacing w:after="0" w:line="121" w:lineRule="exact"/>
              <w:rPr>
                <w:sz w:val="20"/>
                <w:szCs w:val="20"/>
                <w:color w:val="auto"/>
              </w:rPr>
            </w:pPr>
            <w:r>
              <w:rPr>
                <w:rFonts w:ascii="Arial" w:cs="Arial" w:eastAsia="Arial" w:hAnsi="Arial"/>
                <w:sz w:val="13"/>
                <w:szCs w:val="13"/>
                <w:color w:val="0000FF"/>
              </w:rPr>
              <w:t>06/23/2020</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tcPr>
          <w:p>
            <w:pPr>
              <w:ind w:left="360"/>
              <w:spacing w:after="0" w:line="121" w:lineRule="exact"/>
              <w:rPr>
                <w:sz w:val="20"/>
                <w:szCs w:val="20"/>
                <w:color w:val="auto"/>
              </w:rPr>
            </w:pPr>
            <w:r>
              <w:rPr>
                <w:rFonts w:ascii="Arial" w:cs="Arial" w:eastAsia="Arial" w:hAnsi="Arial"/>
                <w:sz w:val="13"/>
                <w:szCs w:val="13"/>
                <w:color w:val="0000FF"/>
              </w:rPr>
              <w:t>2,601,325</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ind w:left="380"/>
              <w:spacing w:after="0" w:line="121"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0"/>
                <w:szCs w:val="10"/>
                <w:color w:val="008000"/>
                <w:w w:val="81"/>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140"/>
              <w:spacing w:after="0" w:line="138" w:lineRule="exact"/>
              <w:rPr>
                <w:sz w:val="20"/>
                <w:szCs w:val="20"/>
                <w:color w:val="auto"/>
              </w:rPr>
            </w:pPr>
            <w:r>
              <w:rPr>
                <w:rFonts w:ascii="Arial" w:cs="Arial" w:eastAsia="Arial" w:hAnsi="Arial"/>
                <w:sz w:val="13"/>
                <w:szCs w:val="13"/>
                <w:color w:val="0000FF"/>
              </w:rPr>
              <w:t>Shares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-3436620</wp:posOffset>
            </wp:positionV>
            <wp:extent cx="7035800" cy="3477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47789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Series B Preferred Share converted into the same number of Common Shares upon the closing of the Issuer's initial public offering and had no expiration date.</w:t>
      </w:r>
    </w:p>
    <w:p>
      <w:pPr>
        <w:spacing w:after="0" w:line="38" w:lineRule="exact"/>
        <w:rPr>
          <w:rFonts w:ascii="Arial" w:cs="Arial" w:eastAsia="Arial" w:hAnsi="Arial"/>
          <w:sz w:val="13"/>
          <w:szCs w:val="13"/>
          <w:color w:val="008000"/>
        </w:rPr>
      </w:pPr>
    </w:p>
    <w:p>
      <w:pPr>
        <w:ind w:left="40" w:right="14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held of record by OrbiMed Private Investments VII, LP ("OPI VII"). OrbiMed Capital GP VII LLC ("OrbiMed GP VII") is the general partner of OPI VII and OrbiMed Advisors LLC ("OrbiMed Advisors") is the managing member of OrbiMed GP VII. The Reporting Person is a member of OrbiMed Advisors. By virtue of such relationships, OrbiMed GP VII and OrbiMed Advisors may be deemed to have voting power and investment power over the securities held by OPI VII and as a result, may be deemed to have beneficial ownership over such securities. OrbiMed Capital LLC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 OPI VII.</w:t>
      </w:r>
    </w:p>
    <w:p>
      <w:pPr>
        <w:spacing w:after="0" w:line="30" w:lineRule="exact"/>
        <w:rPr>
          <w:rFonts w:ascii="Arial" w:cs="Arial" w:eastAsia="Arial" w:hAnsi="Arial"/>
          <w:sz w:val="13"/>
          <w:szCs w:val="13"/>
          <w:color w:val="008000"/>
        </w:rPr>
      </w:pPr>
    </w:p>
    <w:p>
      <w:pPr>
        <w:ind w:left="40" w:right="14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held of record by OrbiMed Partners Master Fund Limited ("OPM"). OrbiMed Capital is the investment advisor to OPM.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 OPM.</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 Steve Forte, Attorney-in-Fact 06/25/2020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-7620</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5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2451"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2020-06-25T16:56:00Z</dcterms:created>
  <dcterms:modified xsi:type="dcterms:W3CDTF">2020-06-25T16:56:00Z</dcterms:modified>
</cp:coreProperties>
</file>