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right"/>
        <w:ind w:right="4500"/>
        <w:spacing w:after="0"/>
        <w:rPr>
          <w:sz w:val="20"/>
          <w:szCs w:val="20"/>
          <w:color w:val="auto"/>
        </w:rPr>
      </w:pPr>
      <w:r>
        <w:rPr>
          <w:rFonts w:ascii="Arial" w:cs="Arial" w:eastAsia="Arial" w:hAnsi="Arial"/>
          <w:sz w:val="18"/>
          <w:szCs w:val="18"/>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right"/>
        <w:ind w:right="4560"/>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1,536,542</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1,536,542</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1,536,542</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BVF I GP LLC</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1,536,542</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1,536,542</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510"/>
              <w:spacing w:after="0"/>
              <w:rPr>
                <w:sz w:val="20"/>
                <w:szCs w:val="20"/>
                <w:color w:val="auto"/>
              </w:rPr>
            </w:pPr>
            <w:r>
              <w:rPr>
                <w:rFonts w:ascii="Arial" w:cs="Arial" w:eastAsia="Arial" w:hAnsi="Arial"/>
                <w:sz w:val="18"/>
                <w:szCs w:val="18"/>
                <w:color w:val="auto"/>
              </w:rPr>
              <w:t>1,536,542</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Biotechnology Value Fund II,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1,167,289</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1,167,289</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1,167,289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1,167,289</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1,167,289</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1,167,289</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198,071</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198,071</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198,071</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BVF Partners OS Ltd.</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50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5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500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500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198,071</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198,071</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1840" w:hanging="1026"/>
        <w:spacing w:after="0"/>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650"/>
              <w:spacing w:after="0"/>
              <w:rPr>
                <w:sz w:val="20"/>
                <w:szCs w:val="20"/>
                <w:color w:val="auto"/>
              </w:rPr>
            </w:pPr>
            <w:r>
              <w:rPr>
                <w:rFonts w:ascii="Arial" w:cs="Arial" w:eastAsia="Arial" w:hAnsi="Arial"/>
                <w:sz w:val="18"/>
                <w:szCs w:val="18"/>
                <w:color w:val="auto"/>
              </w:rPr>
              <w:t>198,071</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2,703,831</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2,703,831</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2,703,831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7.4%</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-4619625</wp:posOffset>
            </wp:positionV>
            <wp:extent cx="351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2,972,191</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2,972,191</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2,972,191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8.1%</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2280" w:right="6900" w:hanging="1512"/>
        <w:spacing w:after="0" w:line="527" w:lineRule="auto"/>
        <w:tabs>
          <w:tab w:leader="none" w:pos="18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BVF Inc.</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2,972,191</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2,972,191</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510"/>
              <w:spacing w:after="0"/>
              <w:rPr>
                <w:sz w:val="20"/>
                <w:szCs w:val="20"/>
                <w:color w:val="auto"/>
              </w:rPr>
            </w:pPr>
            <w:r>
              <w:rPr>
                <w:rFonts w:ascii="Arial" w:cs="Arial" w:eastAsia="Arial" w:hAnsi="Arial"/>
                <w:sz w:val="18"/>
                <w:szCs w:val="18"/>
                <w:color w:val="auto"/>
              </w:rPr>
              <w:t>2,972,191</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8.1%</w:t>
      </w:r>
    </w:p>
    <w:p>
      <w:pPr>
        <w:spacing w:after="0" w:line="23" w:lineRule="exact"/>
        <w:rPr>
          <w:sz w:val="20"/>
          <w:szCs w:val="20"/>
          <w:color w:val="auto"/>
        </w:rPr>
      </w:pPr>
    </w:p>
    <w:p>
      <w:pPr>
        <w:ind w:left="2280" w:right="6900" w:hanging="1512"/>
        <w:spacing w:after="0" w:line="527" w:lineRule="auto"/>
        <w:tabs>
          <w:tab w:leader="none" w:pos="18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2,972,191</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2,972,191</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2,972,191</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Repare Therapeutics Inc., a Canada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7210 Frederick-Banting, Suite 100</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St-Laurent, Québec, Canada H4S 2A1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540"/>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OS Ltd. (“Partners OS”)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Cayman Islands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GP Holdings LLC (“BVF GPH”)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L.P.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the foregoing is referred to as a “Reporting Person” and collectively as the “Reporting Persons.”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Shares, no par value (the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760273102</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/x/</w:t>
            </w:r>
          </w:p>
        </w:tc>
        <w:tc>
          <w:tcPr>
            <w:tcW w:w="84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(c)</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(e)</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(f)</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(g)</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(h)</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(i)</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w:t>
            </w:r>
          </w:p>
        </w:tc>
      </w:tr>
      <w:tr>
        <w:trPr>
          <w:trHeight w:val="230"/>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(j)</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(k)</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w w:val="96"/>
              </w:rPr>
              <w:t>Group, in accordance with Rule 240.13d-1(b)(1)(ii)(K). If filing as a non-U.S. institution in accordance with</w:t>
            </w:r>
          </w:p>
        </w:tc>
      </w:tr>
      <w:tr>
        <w:trPr>
          <w:trHeight w:val="230"/>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Rule 240.13d-1(b)(1)(ii)(J), please specify the type of institution: ____</w:t>
            </w: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2020, (i) BVF beneficially owned 1,536,542 Shares, (ii) BVF2 beneficially owned 1,167,289 Shares and (iii) Trading Fund OS beneficially owned 198,071.</w:t>
      </w:r>
    </w:p>
    <w:p>
      <w:pPr>
        <w:spacing w:after="0" w:line="170" w:lineRule="exact"/>
        <w:rPr>
          <w:rFonts w:ascii="Arial" w:cs="Arial" w:eastAsia="Arial" w:hAnsi="Arial"/>
          <w:sz w:val="18"/>
          <w:szCs w:val="18"/>
          <w:color w:val="auto"/>
        </w:rPr>
      </w:pPr>
    </w:p>
    <w:p>
      <w:pPr>
        <w:ind w:left="1300" w:right="540"/>
        <w:spacing w:after="0" w:line="62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1,536,542 Shares beneficially owned by BVF. BVF2 GP, as the general partner of BVF2, may be deemed to beneficially own the 1,167,289 Shares beneficially owned by BVF2.</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Partners OS, as the general partner of Trading Fund OS, may be deemed to beneficially own the 198,071 Shares beneficially owned by Trading Fund OS.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BVF GPH, as the sole member of each of BVF GP and BVF2 GP, may be deemed to beneficially own the 2,703,831 Shares beneficially owned in the aggregate by BVF and BVF2.</w:t>
      </w:r>
    </w:p>
    <w:p>
      <w:pPr>
        <w:spacing w:after="0" w:line="170"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Partners, as the investment manager of BVF, BVF2 and Trading Fund OS, and the sole member of Partners OS, may be deemed to beneficially own the 2,972,191 Shares beneficially owned in the aggregate by BVF, BVF2, Trading Fund OS, and a certain Partners managed account (the “Partners Managed Account”), including 70,289 Shares held in the Partners Managed Account.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BVF Inc., as the general partner of Partners, may be deemed to beneficially own the 2,972,191 Shares beneficially owned by Partners.</w:t>
      </w:r>
    </w:p>
    <w:p>
      <w:pPr>
        <w:spacing w:after="0" w:line="24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2,972,191 Shares beneficially owned by BVF Inc.</w:t>
      </w:r>
    </w:p>
    <w:p>
      <w:pPr>
        <w:spacing w:after="0" w:line="170"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17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36,765,013 Shares outstanding as of November 12, 2020, as disclosed in the Issuer’s Quarterly Report on Form 10-Q filed with the Securities and Exchange Commission on November 12, 2020.</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As of the close of business on December 31, 2020, (i) BVF beneficially owned approximately 4.2% of the outstanding Shares, (ii) BVF2 beneficially owned approximately 3.2% of the outstanding Shares, (iii) Trading Fund OS beneficially owned less than 1% of the outstanding Shares, (iv) BVF GP may be deemed to beneficially own approximately 4.2% of the outstanding Shares, (v) BVF2 GP may be deemed to beneficially own approximately 3.2% of the outstanding Shares, (vi) Partners OS may be deemed to beneficially own less than 1% of the outstanding Shares, (vii) BVF GPH may be deemed to beneficially own approximately 7.4% of the outstanding Shares, and (viii) each of Partners, BVF Inc. and Mr. Lampert may be deemed to beneficially own approximately 8.1% of the outstanding Shares (less than 1% of the outstanding Shares are held in the Partners Managed Account).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jc w:val="center"/>
        <w:ind w:right="6660"/>
        <w:spacing w:after="0"/>
        <w:rPr>
          <w:sz w:val="20"/>
          <w:szCs w:val="20"/>
          <w:color w:val="auto"/>
        </w:rPr>
      </w:pPr>
      <w:r>
        <w:rPr>
          <w:rFonts w:ascii="Arial" w:cs="Arial" w:eastAsia="Arial" w:hAnsi="Arial"/>
          <w:sz w:val="18"/>
          <w:szCs w:val="18"/>
          <w:color w:val="auto"/>
        </w:rPr>
        <w:t>See Cover Pages Items 5-9.</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right="140"/>
        <w:spacing w:after="0" w:line="263" w:lineRule="auto"/>
        <w:rPr>
          <w:sz w:val="20"/>
          <w:szCs w:val="20"/>
          <w:color w:val="auto"/>
        </w:rPr>
      </w:pPr>
      <w:r>
        <w:rPr>
          <w:rFonts w:ascii="Arial" w:cs="Arial" w:eastAsia="Arial" w:hAnsi="Arial"/>
          <w:sz w:val="18"/>
          <w:szCs w:val="18"/>
          <w:color w:val="auto"/>
        </w:rPr>
        <w:t>BVF GPH, Partners, BVF Inc. and Mr. Lampert share voting and dispositive power over the Shares beneficially owned by BVF and BVF2. Partners, BVF Inc. and Mr. Lampert share voting and dispositive power over the Shares beneficially owned by Trading Fund OS and the Partners Managed Account.</w:t>
      </w:r>
    </w:p>
    <w:p>
      <w:pPr>
        <w:spacing w:after="0" w:line="184"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 to the Schedule 13G filed with the Securities and Exchange Commission on June 29, 2020.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39"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14605</wp:posOffset>
            </wp:positionV>
            <wp:extent cx="35572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N. LAMPERT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4820" w:space="720"/>
        <w:col w:w="5680"/>
      </w:cols>
      <w:pgMar w:left="32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1"/>
      <w:numFmt w:val="decimal"/>
      <w:start w:val="12"/>
    </w:lvl>
  </w:abstractNum>
  <w:abstractNum w:abstractNumId="5">
    <w:nsid w:val="1BEFD79F"/>
    <w:multiLevelType w:val="hybridMultilevel"/>
    <w:lvl w:ilvl="0">
      <w:lvlJc w:val="left"/>
      <w:lvlText w:val="9"/>
      <w:numFmt w:val="bullet"/>
      <w:start w:val="1"/>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1"/>
      <w:numFmt w:val="decimal"/>
      <w:start w:val="12"/>
    </w:lvl>
  </w:abstractNum>
  <w:abstractNum w:abstractNumId="8">
    <w:nsid w:val="4E6AFB66"/>
    <w:multiLevelType w:val="hybridMultilevel"/>
    <w:lvl w:ilvl="0">
      <w:lvlJc w:val="left"/>
      <w:lvlText w:val="%1"/>
      <w:numFmt w:val="decimal"/>
      <w:start w:val="12"/>
    </w:lvl>
  </w:abstractNum>
  <w:abstractNum w:abstractNumId="9">
    <w:nsid w:val="25E45D32"/>
    <w:multiLevelType w:val="hybridMultilevel"/>
    <w:lvl w:ilvl="0">
      <w:lvlJc w:val="left"/>
      <w:lvlText w:val="%1"/>
      <w:numFmt w:val="decimal"/>
      <w:start w:val="12"/>
    </w:lvl>
  </w:abstractNum>
  <w:abstractNum w:abstractNumId="10">
    <w:nsid w:val="519B500D"/>
    <w:multiLevelType w:val="hybridMultilevel"/>
    <w:lvl w:ilvl="0">
      <w:lvlJc w:val="left"/>
      <w:lvlText w:val="9"/>
      <w:numFmt w:val="bullet"/>
      <w:start w:val="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9"/>
      <w:numFmt w:val="bullet"/>
      <w:start w:val="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bullet"/>
      <w:start w:val="1"/>
    </w:lvl>
  </w:abstractNum>
  <w:abstractNum w:abstractNumId="17">
    <w:nsid w:val="628C895D"/>
    <w:multiLevelType w:val="hybridMultilevel"/>
    <w:lvl w:ilvl="0">
      <w:lvlJc w:val="left"/>
      <w:lvlText w:val="3"/>
      <w:numFmt w:val="bullet"/>
      <w:start w:val="1"/>
    </w:lvl>
  </w:abstractNum>
  <w:abstractNum w:abstractNumId="18">
    <w:nsid w:val="333AB105"/>
    <w:multiLevelType w:val="hybridMultilevel"/>
    <w:lvl w:ilvl="0">
      <w:lvlJc w:val="left"/>
      <w:lvlText w:val="4"/>
      <w:numFmt w:val="bullet"/>
      <w:start w:val="1"/>
    </w:lvl>
  </w:abstractNum>
  <w:abstractNum w:abstractNumId="19">
    <w:nsid w:val="721DA317"/>
    <w:multiLevelType w:val="hybridMultilevel"/>
    <w:lvl w:ilvl="0">
      <w:lvlJc w:val="left"/>
      <w:lvlText w:val="%1"/>
      <w:numFmt w:val="decimal"/>
      <w:start w:val="12"/>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3"/>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2021-02-12T15:36:54Z</dcterms:created>
  <dcterms:modified xsi:type="dcterms:W3CDTF">2021-02-12T15:36:54Z</dcterms:modified>
</cp:coreProperties>
</file>