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340" w:right="2740"/>
        <w:spacing w:after="0" w:line="263"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r>
        <w:rPr>
          <w:rFonts w:ascii="Arial" w:cs="Arial" w:eastAsia="Arial" w:hAnsi="Arial"/>
          <w:sz w:val="29"/>
          <w:szCs w:val="29"/>
          <w:color w:val="auto"/>
          <w:vertAlign w:val="superscript"/>
        </w:rPr>
        <w:t>1</w:t>
      </w:r>
    </w:p>
    <w:p>
      <w:pPr>
        <w:spacing w:after="0" w:line="200" w:lineRule="exact"/>
        <w:rPr>
          <w:sz w:val="24"/>
          <w:szCs w:val="24"/>
          <w:color w:val="auto"/>
        </w:rPr>
      </w:pPr>
    </w:p>
    <w:p>
      <w:pPr>
        <w:spacing w:after="0" w:line="394"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right"/>
        <w:ind w:right="4500"/>
        <w:spacing w:after="0"/>
        <w:rPr>
          <w:sz w:val="20"/>
          <w:szCs w:val="20"/>
          <w:color w:val="auto"/>
        </w:rPr>
      </w:pPr>
      <w:r>
        <w:rPr>
          <w:rFonts w:ascii="Arial" w:cs="Arial" w:eastAsia="Arial" w:hAnsi="Arial"/>
          <w:sz w:val="18"/>
          <w:szCs w:val="18"/>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right"/>
        <w:ind w:right="4560"/>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ind w:left="5220"/>
        <w:spacing w:after="0"/>
        <w:rPr>
          <w:sz w:val="20"/>
          <w:szCs w:val="20"/>
          <w:color w:val="auto"/>
        </w:rPr>
      </w:pPr>
      <w:r>
        <w:rPr>
          <w:rFonts w:ascii="Arial" w:cs="Arial" w:eastAsia="Arial" w:hAnsi="Arial"/>
          <w:sz w:val="18"/>
          <w:szCs w:val="18"/>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60" w:hanging="340"/>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40"/>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60" w:hanging="340"/>
        <w:spacing w:after="0"/>
        <w:tabs>
          <w:tab w:leader="none" w:pos="9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1,907,598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1,907,598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1,907,598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5.2%</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2</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760273102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6"/>
              </w:rPr>
              <w:t>BVF I GP LLC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1,907,598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1,907,598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1,907,598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5.2%</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3</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II,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1,507,005</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1,507,005</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1,507,005</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4</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9"/>
              </w:rPr>
              <w:t>BVF II GP LLC</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1,507,005</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1,507,005</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1,507,005</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7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Biotechnology Value Trading Fund OS LP</w:t>
            </w:r>
          </w:p>
        </w:tc>
        <w:tc>
          <w:tcPr>
            <w:tcW w:w="17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2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239,571</w:t>
            </w:r>
          </w:p>
        </w:tc>
        <w:tc>
          <w:tcPr>
            <w:tcW w:w="17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239,571</w:t>
            </w: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239,571</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82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-4354830</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BVF Partners OS Ltd.</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0" w:type="dxa"/>
            <w:vAlign w:val="bottom"/>
          </w:tcPr>
          <w:p>
            <w:pPr>
              <w:spacing w:after="0"/>
              <w:rPr>
                <w:sz w:val="16"/>
                <w:szCs w:val="16"/>
                <w:color w:val="auto"/>
              </w:rPr>
            </w:pPr>
          </w:p>
        </w:tc>
        <w:tc>
          <w:tcPr>
            <w:tcW w:w="604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239,571</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0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239,571</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239,571</w:t>
            </w: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0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7</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GP HOLDINGS LLC</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3,414,603</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3,414,603</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3,414,603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9.3%</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8</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Partners L.P.</w:t>
            </w: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3,722,398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3,722,398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3,722,398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 IA</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60"/>
              <w:spacing w:after="0"/>
              <w:rPr>
                <w:sz w:val="20"/>
                <w:szCs w:val="20"/>
                <w:color w:val="auto"/>
              </w:rPr>
            </w:pPr>
            <w:r>
              <w:rPr>
                <w:rFonts w:ascii="Arial" w:cs="Arial" w:eastAsia="Arial" w:hAnsi="Arial"/>
                <w:sz w:val="18"/>
                <w:szCs w:val="18"/>
                <w:color w:val="auto"/>
              </w:rPr>
              <w:t>9</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760273102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NAME OF REPORTING PERSON</w:t>
            </w:r>
          </w:p>
        </w:tc>
        <w:tc>
          <w:tcPr>
            <w:tcW w:w="17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00" w:type="dxa"/>
            <w:vAlign w:val="bottom"/>
            <w:gridSpan w:val="2"/>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6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20" w:type="dxa"/>
            <w:vAlign w:val="bottom"/>
            <w:tcBorders>
              <w:right w:val="single" w:sz="8" w:color="auto"/>
            </w:tcBorders>
          </w:tcPr>
          <w:p>
            <w:pPr>
              <w:ind w:left="6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0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3,722,398</w:t>
            </w:r>
          </w:p>
        </w:tc>
        <w:tc>
          <w:tcPr>
            <w:tcW w:w="172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3,722,398</w:t>
            </w: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3,722,398</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20" w:type="dxa"/>
            <w:vAlign w:val="bottom"/>
            <w:tcBorders>
              <w:right w:val="single" w:sz="8" w:color="auto"/>
            </w:tcBorders>
          </w:tcPr>
          <w:p>
            <w:pPr>
              <w:ind w:left="8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10.1%</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10</w:t>
            </w: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760273102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Mark N. Lampert</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95" w:lineRule="exact"/>
        <w:rPr>
          <w:sz w:val="20"/>
          <w:szCs w:val="20"/>
          <w:color w:val="auto"/>
        </w:rPr>
      </w:pPr>
    </w:p>
    <w:p>
      <w:pPr>
        <w:ind w:left="1840" w:hanging="1026"/>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United States</w:t>
            </w:r>
          </w:p>
        </w:tc>
        <w:tc>
          <w:tcPr>
            <w:tcW w:w="6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5</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right"/>
              <w:ind w:right="730"/>
              <w:spacing w:after="0" w:line="195" w:lineRule="exact"/>
              <w:rPr>
                <w:sz w:val="20"/>
                <w:szCs w:val="20"/>
                <w:color w:val="auto"/>
              </w:rPr>
            </w:pPr>
            <w:r>
              <w:rPr>
                <w:rFonts w:ascii="Arial" w:cs="Arial" w:eastAsia="Arial" w:hAnsi="Arial"/>
                <w:sz w:val="18"/>
                <w:szCs w:val="18"/>
                <w:color w:val="auto"/>
              </w:rPr>
              <w:t>6</w:t>
            </w:r>
          </w:p>
        </w:tc>
        <w:tc>
          <w:tcPr>
            <w:tcW w:w="618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4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3,722,398</w:t>
            </w:r>
          </w:p>
        </w:tc>
        <w:tc>
          <w:tcPr>
            <w:tcW w:w="164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7</w:t>
            </w:r>
          </w:p>
        </w:tc>
        <w:tc>
          <w:tcPr>
            <w:tcW w:w="61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4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w:t>
            </w:r>
          </w:p>
        </w:tc>
        <w:tc>
          <w:tcPr>
            <w:tcW w:w="61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3,722,398</w:t>
            </w: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4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3,722,398</w:t>
            </w:r>
          </w:p>
        </w:tc>
        <w:tc>
          <w:tcPr>
            <w:tcW w:w="6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64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64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Repare Therapeutics Inc., a Canada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7210 Frederick-Banting, Suite 100</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St-Laurent, Québec, Canada H4S 2A1</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 GP LLC (“BVF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II GP LLC (“BVF2 GP”)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GP Holdings LLC (“BVF GPH”)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324"/>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BVF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Delaware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Common Shares, no par value (the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848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w w:val="90"/>
              </w:rPr>
              <w:t>760273102</w:t>
            </w:r>
          </w:p>
        </w:tc>
        <w:tc>
          <w:tcPr>
            <w:tcW w:w="6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22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/x/</w:t>
            </w:r>
          </w:p>
        </w:tc>
        <w:tc>
          <w:tcPr>
            <w:tcW w:w="848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(a)</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(b)</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(c)</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(d)</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(e)</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(f)</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(g)</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(h)</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(i)</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(j)</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(k)</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480" w:type="dxa"/>
            <w:vAlign w:val="bottom"/>
          </w:tcPr>
          <w:p>
            <w:pPr>
              <w:ind w:left="240"/>
              <w:spacing w:after="0"/>
              <w:rPr>
                <w:sz w:val="20"/>
                <w:szCs w:val="20"/>
                <w:color w:val="auto"/>
              </w:rPr>
            </w:pPr>
            <w:r>
              <w:rPr>
                <w:rFonts w:ascii="Arial" w:cs="Arial" w:eastAsia="Arial" w:hAnsi="Arial"/>
                <w:sz w:val="18"/>
                <w:szCs w:val="18"/>
                <w:color w:val="auto"/>
                <w:w w:val="98"/>
              </w:rPr>
              <w:t>Group, in accordance with Rule 240.13d-1(b)(1)(ii)(K). If filing as a non-U.S. institution in accordance with</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80" w:type="dxa"/>
            <w:vAlign w:val="bottom"/>
          </w:tcPr>
          <w:p>
            <w:pPr>
              <w:ind w:left="240"/>
              <w:spacing w:after="0"/>
              <w:rPr>
                <w:sz w:val="20"/>
                <w:szCs w:val="20"/>
                <w:color w:val="auto"/>
              </w:rPr>
            </w:pPr>
            <w:r>
              <w:rPr>
                <w:rFonts w:ascii="Arial" w:cs="Arial" w:eastAsia="Arial" w:hAnsi="Arial"/>
                <w:sz w:val="18"/>
                <w:szCs w:val="18"/>
                <w:color w:val="auto"/>
              </w:rPr>
              <w:t>Rule 240.13d-1(b)(1)(ii)(J), please specify the type of institution: ____</w:t>
            </w:r>
          </w:p>
        </w:tc>
      </w:tr>
      <w:tr>
        <w:trPr>
          <w:trHeight w:val="540"/>
        </w:trPr>
        <w:tc>
          <w:tcPr>
            <w:tcW w:w="1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As of the close of business on March 16, 2021, (i) BVF beneficially owned 1,907,598 Shares, (ii) BVF2 beneficially owned 1,507,005 Shares and (iii) Trading Fund OS beneficially owned 239,571.</w:t>
      </w:r>
    </w:p>
    <w:p>
      <w:pPr>
        <w:spacing w:after="0" w:line="170" w:lineRule="exact"/>
        <w:rPr>
          <w:rFonts w:ascii="Arial" w:cs="Arial" w:eastAsia="Arial" w:hAnsi="Arial"/>
          <w:sz w:val="18"/>
          <w:szCs w:val="18"/>
          <w:color w:val="auto"/>
        </w:rPr>
      </w:pPr>
    </w:p>
    <w:p>
      <w:pPr>
        <w:ind w:left="1300" w:right="540"/>
        <w:spacing w:after="0" w:line="563" w:lineRule="auto"/>
        <w:rPr>
          <w:rFonts w:ascii="Arial" w:cs="Arial" w:eastAsia="Arial" w:hAnsi="Arial"/>
          <w:sz w:val="18"/>
          <w:szCs w:val="18"/>
          <w:color w:val="auto"/>
        </w:rPr>
      </w:pPr>
      <w:r>
        <w:rPr>
          <w:rFonts w:ascii="Arial" w:cs="Arial" w:eastAsia="Arial" w:hAnsi="Arial"/>
          <w:sz w:val="16"/>
          <w:szCs w:val="16"/>
          <w:color w:val="auto"/>
        </w:rPr>
        <w:t>BVF GP, as the general partner of BVF, may be deemed to beneficially own the 1,907,598 Shares beneficially owned by BVF. BVF2 GP, as the general partner of BVF2, may be deemed to beneficially own the 1,507,005 Shares beneficially owned by BVF2.</w:t>
      </w:r>
    </w:p>
    <w:p>
      <w:pPr>
        <w:ind w:left="1300" w:right="2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239,571 Shares beneficially owned by Trading Fund OS.</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BVF GPH, as the sole member of each of BVF GP and BVF2 GP, may be deemed to beneficially own the 3,414,603 Shares beneficially owned in the aggregate by BVF and BVF2.</w:t>
      </w:r>
    </w:p>
    <w:p>
      <w:pPr>
        <w:spacing w:after="0" w:line="170"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Partners, as the investment manager of BVF, BVF2 and Trading Fund OS, and the sole member of Partners OS, may be deemed to beneficially own the 3,722,398 Shares beneficially owned in the aggregate by BVF, BVF2, Trading Fund OS, and a certain Partners managed account (the “Partners Managed Account”), including 68,224 Shares held in the Partners Managed Account.</w:t>
      </w:r>
    </w:p>
    <w:p>
      <w:pPr>
        <w:spacing w:after="0" w:line="16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BVF Inc., as the general partner of Partners, may be deemed to beneficially own the 3,722,398 Shares beneficially owned by Partners.</w:t>
      </w:r>
    </w:p>
    <w:p>
      <w:pPr>
        <w:spacing w:after="0" w:line="248"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Mr. Lampert, as a director and officer of BVF Inc., may be deemed to beneficially own the 3,722,398 Shares beneficially owned by BVF Inc.</w:t>
      </w:r>
    </w:p>
    <w:p>
      <w:pPr>
        <w:spacing w:after="0" w:line="170" w:lineRule="exact"/>
        <w:rPr>
          <w:rFonts w:ascii="Arial" w:cs="Arial" w:eastAsia="Arial" w:hAnsi="Arial"/>
          <w:sz w:val="18"/>
          <w:szCs w:val="18"/>
          <w:color w:val="auto"/>
        </w:rPr>
      </w:pPr>
    </w:p>
    <w:p>
      <w:pPr>
        <w:jc w:val="both"/>
        <w:ind w:left="1300"/>
        <w:spacing w:after="0" w:line="272" w:lineRule="auto"/>
        <w:rPr>
          <w:rFonts w:ascii="Arial" w:cs="Arial" w:eastAsia="Arial" w:hAnsi="Arial"/>
          <w:sz w:val="18"/>
          <w:szCs w:val="18"/>
          <w:color w:val="auto"/>
        </w:rPr>
      </w:pPr>
      <w:r>
        <w:rPr>
          <w:rFonts w:ascii="Arial" w:cs="Arial" w:eastAsia="Arial" w:hAnsi="Arial"/>
          <w:sz w:val="17"/>
          <w:szCs w:val="17"/>
          <w:color w:val="auto"/>
        </w:rPr>
        <w:t>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Trading Fund OS, and the Partners Managed Account, and the filing of this statement shall not be construed as an admission that any such person or entity is the beneficial owner of any such securities.</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36,904,446 Shares outstanding as of March 1, 2021, as disclosed in the Issuer’s Annual Report on Form 10-K filed with the Securities and Exchange Commission on March 4, 2021.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jc w:val="both"/>
        <w:ind w:left="1300"/>
        <w:spacing w:after="0" w:line="272" w:lineRule="auto"/>
        <w:rPr>
          <w:sz w:val="20"/>
          <w:szCs w:val="20"/>
          <w:color w:val="auto"/>
        </w:rPr>
      </w:pPr>
      <w:r>
        <w:rPr>
          <w:rFonts w:ascii="Arial" w:cs="Arial" w:eastAsia="Arial" w:hAnsi="Arial"/>
          <w:sz w:val="17"/>
          <w:szCs w:val="17"/>
          <w:color w:val="auto"/>
        </w:rPr>
        <w:t>As of the close of business on March 16, 2021, (i) BVF beneficially owned approximately 5.2% of the outstanding Shares, (ii) BVF2 beneficially owned approximately 4.1% of the outstanding Shares, (iii) Trading Fund OS beneficially owned less than 1% of the outstanding Shares, (iv) BVF GP may be deemed to beneficially own approximately 5.2% of the outstanding Shares, (v) BVF2 GP may be deemed to beneficially own approximately 4.1% of the outstanding Shares, (vi) Partners OS may be deemed to beneficially own less than 1% of the outstanding Shares, (vii) BVF GPH may be deemed to beneficially own approximately 9.3% of the outstanding Shares, and (viii) each of Partners, BVF Inc. and Mr. Lampert may be deemed to beneficially own approximately 10.1% of the outstanding Shares (less than 1% of the outstanding Shares are held in the Partners Managed Account).</w:t>
      </w:r>
    </w:p>
    <w:p>
      <w:pPr>
        <w:spacing w:after="0" w:line="17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1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spacing w:after="0" w:line="1" w:lineRule="exact"/>
        <w:rPr>
          <w:rFonts w:ascii="Arial" w:cs="Arial" w:eastAsia="Arial" w:hAnsi="Arial"/>
          <w:sz w:val="18"/>
          <w:szCs w:val="18"/>
          <w:color w:val="auto"/>
        </w:rPr>
      </w:pPr>
    </w:p>
    <w:p>
      <w:pPr>
        <w:ind w:left="1300" w:right="69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spacing w:after="0" w:line="1" w:lineRule="exact"/>
        <w:rPr>
          <w:rFonts w:ascii="Arial" w:cs="Arial" w:eastAsia="Arial" w:hAnsi="Arial"/>
          <w:sz w:val="18"/>
          <w:szCs w:val="18"/>
          <w:color w:val="auto"/>
        </w:rPr>
      </w:pPr>
    </w:p>
    <w:p>
      <w:pPr>
        <w:ind w:left="1300" w:right="622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spacing w:after="0" w:line="1" w:lineRule="exact"/>
        <w:rPr>
          <w:rFonts w:ascii="Arial" w:cs="Arial" w:eastAsia="Arial" w:hAnsi="Arial"/>
          <w:sz w:val="18"/>
          <w:szCs w:val="18"/>
          <w:color w:val="auto"/>
        </w:rPr>
      </w:pPr>
    </w:p>
    <w:p>
      <w:pPr>
        <w:ind w:left="1300" w:right="6040" w:hanging="644"/>
        <w:spacing w:after="0" w:line="50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right="20"/>
        <w:spacing w:after="0" w:line="259" w:lineRule="auto"/>
        <w:rPr>
          <w:sz w:val="20"/>
          <w:szCs w:val="20"/>
          <w:color w:val="auto"/>
        </w:rPr>
      </w:pPr>
      <w:r>
        <w:rPr>
          <w:rFonts w:ascii="Arial" w:cs="Arial" w:eastAsia="Arial" w:hAnsi="Arial"/>
          <w:sz w:val="18"/>
          <w:szCs w:val="18"/>
          <w:color w:val="auto"/>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the Partners Managed Account.</w:t>
      </w:r>
    </w:p>
    <w:p>
      <w:pPr>
        <w:spacing w:after="0" w:line="187" w:lineRule="exact"/>
        <w:rPr>
          <w:sz w:val="20"/>
          <w:szCs w:val="20"/>
          <w:color w:val="auto"/>
        </w:rPr>
      </w:pPr>
    </w:p>
    <w:p>
      <w:pPr>
        <w:ind w:left="1300" w:hanging="1295"/>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 to the Schedule 13G filed with the Securities and Exchange Commission on June 29, 2020.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760273102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6"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FUND II,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II GP LLC,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II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BVF Partners L.P., its sole member</w:t>
      </w:r>
    </w:p>
    <w:p>
      <w:pPr>
        <w:spacing w:after="0" w:line="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68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Partners L.P., its investment manager</w:t>
      </w:r>
    </w:p>
    <w:p>
      <w:pPr>
        <w:spacing w:after="0" w:line="23"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GP HOLDINGS LLC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BVF Inc., its general partner</w:t>
      </w:r>
    </w:p>
    <w:p>
      <w:pPr>
        <w:spacing w:after="0" w:line="239"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14605</wp:posOffset>
            </wp:positionV>
            <wp:extent cx="32746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ind w:left="100"/>
        <w:spacing w:after="0"/>
        <w:tabs>
          <w:tab w:leader="none" w:pos="520" w:val="left"/>
        </w:tabs>
        <w:rPr>
          <w:sz w:val="20"/>
          <w:szCs w:val="20"/>
          <w:color w:val="auto"/>
        </w:rPr>
      </w:pPr>
      <w:r>
        <w:rPr>
          <w:rFonts w:ascii="Arial" w:cs="Arial" w:eastAsia="Arial" w:hAnsi="Arial"/>
          <w:sz w:val="18"/>
          <w:szCs w:val="18"/>
          <w:color w:val="auto"/>
        </w:rPr>
        <w:t>By:</w:t>
        <w:tab/>
        <w:t>/s/ Mark N. Lampert</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-130175</wp:posOffset>
            </wp:positionV>
            <wp:extent cx="32746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14605</wp:posOffset>
            </wp:positionV>
            <wp:extent cx="3557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MARK N. LAMPERT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4820" w:space="720"/>
        <w:col w:w="5680"/>
      </w:cols>
      <w:pgMar w:left="32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decimal"/>
      <w:start w:val="12"/>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1"/>
      <w:numFmt w:val="decimal"/>
      <w:start w:val="12"/>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2021-03-16T16:20:07Z</dcterms:created>
  <dcterms:modified xsi:type="dcterms:W3CDTF">2021-03-16T16:20:07Z</dcterms:modified>
</cp:coreProperties>
</file>