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333-281298</w:t>
      </w:r>
    </w:p>
    <w:p>
      <w:pPr>
        <w:spacing w:after="0" w:line="135" w:lineRule="exact"/>
        <w:rPr>
          <w:sz w:val="24"/>
          <w:szCs w:val="24"/>
          <w:color w:val="auto"/>
        </w:rPr>
      </w:pPr>
    </w:p>
    <w:p>
      <w:pPr>
        <w:ind w:left="120"/>
        <w:spacing w:after="0"/>
        <w:tabs>
          <w:tab w:leader="none" w:pos="8220" w:val="left"/>
        </w:tabs>
        <w:rPr>
          <w:sz w:val="20"/>
          <w:szCs w:val="20"/>
          <w:color w:val="auto"/>
        </w:rPr>
      </w:pPr>
      <w:r>
        <w:rPr>
          <w:rFonts w:ascii="Times New Roman" w:cs="Times New Roman" w:eastAsia="Times New Roman" w:hAnsi="Times New Roman"/>
          <w:sz w:val="18"/>
          <w:szCs w:val="18"/>
          <w:b w:val="1"/>
          <w:bCs w:val="1"/>
          <w:color w:val="auto"/>
        </w:rPr>
        <w:t>PROSPECTUS SUPPLEMENT</w:t>
      </w:r>
      <w:r>
        <w:rPr>
          <w:sz w:val="20"/>
          <w:szCs w:val="20"/>
          <w:color w:val="auto"/>
        </w:rPr>
        <w:tab/>
      </w:r>
      <w:r>
        <w:rPr>
          <w:rFonts w:ascii="Times New Roman" w:cs="Times New Roman" w:eastAsia="Times New Roman" w:hAnsi="Times New Roman"/>
          <w:sz w:val="17"/>
          <w:szCs w:val="17"/>
          <w:b w:val="1"/>
          <w:bCs w:val="1"/>
          <w:color w:val="auto"/>
        </w:rPr>
        <w:t>(to Prospectus dated August 19, 2024)</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Up to $100,000,000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182245</wp:posOffset>
            </wp:positionV>
            <wp:extent cx="169735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35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or the sales agreement, with TD Securities (USA) LLC, or TD Cowen, relating to our common shares, no par value per share, offered by this prospectus supplement and the accompanying prospectus. In accordance with the terms of the sales agreement, under this prospectus supplement, we may offer and sell common shares having an aggregate offering price of up to $100,000,000 from time to time through TD Cowen, acting as our agent.</w:t>
      </w:r>
    </w:p>
    <w:p>
      <w:pPr>
        <w:spacing w:after="0" w:line="180" w:lineRule="exact"/>
        <w:rPr>
          <w:sz w:val="24"/>
          <w:szCs w:val="24"/>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“RPTX.” On November 5, 2024, the last reported sale price of our common shares on the Nasdaq Global Select Market was $3.90 per share.</w:t>
      </w:r>
    </w:p>
    <w:p>
      <w:pPr>
        <w:spacing w:after="0" w:line="162" w:lineRule="exact"/>
        <w:rPr>
          <w:sz w:val="24"/>
          <w:szCs w:val="24"/>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Sales of our common shares, if any, under this prospectus supplement and the accompanying prospectus will be made in sales deemed to be an “at the market offering” as defined in Rule 415(a)(4) promulgated under the Securities Act of 1933, as amended, or the Securities Act. TD Cowen is not required to sell any specific number or dollar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183" w:lineRule="exact"/>
        <w:rPr>
          <w:sz w:val="24"/>
          <w:szCs w:val="24"/>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The compensation to TD Cowen for sales of our common shares pursuant to the sales agreement will be up to 3.0% of the gross proceeds of any common shares sold under the sales agreement. In connection with the sale of the common shares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 or the Securities Exchange Act of 1934,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left="120" w:right="18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common shares involves a high degree of risk. You should review carefully the risks and uncertainties described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S-6 of this prospectus supplement and under similar headings in the other documents that are incorporated by reference into this prospectus supplement and the accompanying prospectus.</w:t>
      </w:r>
    </w:p>
    <w:p>
      <w:pPr>
        <w:spacing w:after="0" w:line="181" w:lineRule="exact"/>
        <w:rPr>
          <w:sz w:val="24"/>
          <w:szCs w:val="24"/>
          <w:color w:val="auto"/>
        </w:rPr>
      </w:pPr>
    </w:p>
    <w:p>
      <w:pPr>
        <w:jc w:val="both"/>
        <w:ind w:left="120" w:right="50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2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7, 2024</w:t>
      </w:r>
    </w:p>
    <w:p>
      <w:pPr>
        <w:sectPr>
          <w:pgSz w:w="11900" w:h="16838" w:orient="portrait"/>
          <w:cols w:equalWidth="0" w:num="1">
            <w:col w:w="11140"/>
          </w:cols>
          <w:pgMar w:left="320" w:top="22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60" w:type="dxa"/>
            <w:vAlign w:val="bottom"/>
            <w:gridSpan w:val="3"/>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60" w:type="dxa"/>
            <w:vAlign w:val="bottom"/>
            <w:gridSpan w:val="3"/>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2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6320" w:type="dxa"/>
            <w:vAlign w:val="bottom"/>
            <w:gridSpan w:val="4"/>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9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8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2"/>
          </w:tcPr>
          <w:p>
            <w:pPr>
              <w:spacing w:after="0"/>
              <w:rPr>
                <w:sz w:val="17"/>
                <w:szCs w:val="17"/>
                <w:color w:val="auto"/>
              </w:rPr>
            </w:pPr>
          </w:p>
        </w:tc>
        <w:tc>
          <w:tcPr>
            <w:tcW w:w="44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120" w:type="dxa"/>
            <w:vAlign w:val="bottom"/>
          </w:tcPr>
          <w:p>
            <w:pPr>
              <w:spacing w:after="0"/>
              <w:rPr>
                <w:sz w:val="17"/>
                <w:szCs w:val="17"/>
                <w:color w:val="auto"/>
              </w:rPr>
            </w:pPr>
          </w:p>
        </w:tc>
        <w:tc>
          <w:tcPr>
            <w:tcW w:w="9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7720" w:type="dxa"/>
            <w:vAlign w:val="bottom"/>
            <w:gridSpan w:val="11"/>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20" w:type="dxa"/>
            <w:vAlign w:val="bottom"/>
          </w:tcPr>
          <w:p>
            <w:pPr>
              <w:spacing w:after="0"/>
              <w:rPr>
                <w:sz w:val="17"/>
                <w:szCs w:val="17"/>
                <w:color w:val="auto"/>
              </w:rPr>
            </w:pPr>
          </w:p>
        </w:tc>
        <w:tc>
          <w:tcPr>
            <w:tcW w:w="9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458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668"/>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60" w:type="dxa"/>
            <w:vAlign w:val="bottom"/>
            <w:gridSpan w:val="3"/>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2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  </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6"/>
          </w:tcPr>
          <w:p>
            <w:pPr>
              <w:spacing w:after="0"/>
              <w:rPr>
                <w:sz w:val="17"/>
                <w:szCs w:val="17"/>
                <w:color w:val="auto"/>
              </w:rPr>
            </w:pPr>
          </w:p>
        </w:tc>
        <w:tc>
          <w:tcPr>
            <w:tcW w:w="7540" w:type="dxa"/>
            <w:vAlign w:val="bottom"/>
            <w:gridSpan w:val="10"/>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2"/>
          </w:tcPr>
          <w:p>
            <w:pPr>
              <w:spacing w:after="0"/>
              <w:rPr>
                <w:sz w:val="17"/>
                <w:szCs w:val="17"/>
                <w:color w:val="auto"/>
              </w:rPr>
            </w:pPr>
          </w:p>
        </w:tc>
        <w:tc>
          <w:tcPr>
            <w:tcW w:w="44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9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720" w:type="dxa"/>
            <w:vAlign w:val="bottom"/>
            <w:gridSpan w:val="6"/>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7280" w:type="dxa"/>
            <w:vAlign w:val="bottom"/>
            <w:gridSpan w:val="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97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DIFFERENCES BETWEEN THE BUSINESS CORPORATIONS ACT (QUÉBEC) AND THE DELAWARE GENERAL</w:t>
            </w:r>
          </w:p>
        </w:tc>
        <w:tc>
          <w:tcPr>
            <w:tcW w:w="12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CORPORATION LAW</w:t>
            </w:r>
          </w:p>
        </w:tc>
        <w:tc>
          <w:tcPr>
            <w:tcW w:w="7880" w:type="dxa"/>
            <w:vAlign w:val="bottom"/>
            <w:gridSpan w:val="1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6740" w:type="dxa"/>
            <w:vAlign w:val="bottom"/>
            <w:gridSpan w:val="7"/>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9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7720" w:type="dxa"/>
            <w:vAlign w:val="bottom"/>
            <w:gridSpan w:val="11"/>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20" w:type="dxa"/>
            <w:vAlign w:val="bottom"/>
          </w:tcPr>
          <w:p>
            <w:pPr>
              <w:spacing w:after="0"/>
              <w:rPr>
                <w:sz w:val="17"/>
                <w:szCs w:val="17"/>
                <w:color w:val="auto"/>
              </w:rPr>
            </w:pPr>
          </w:p>
        </w:tc>
        <w:tc>
          <w:tcPr>
            <w:tcW w:w="9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000" w:type="dxa"/>
            <w:vAlign w:val="bottom"/>
            <w:gridSpan w:val="1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3800" w:type="dxa"/>
            <w:vAlign w:val="bottom"/>
            <w:gridSpan w:val="16"/>
            <w:shd w:val="clear" w:color="auto" w:fill="0000EE"/>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458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4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Securities and Exchange Commission, which we refer to as the “SEC,” utilizing a “shelf” registration process. Under this prospectus supplement, we may from time to time offer our common shares having an aggregate offering price of up to $100.0 million, at prices and on terms to be determined by market conditions at the time of each such offering.</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This prospectus supplement relates to the offering of our common shares. Before buying any of the common shares that we are offering, we urge you to carefully read this prospectus supplement and the accompanying prospectus, together with the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and “Incorporation of Certain Information by Reference.” These documents contain important information that you should consider when making your investment decision.</w:t>
      </w:r>
    </w:p>
    <w:p>
      <w:pPr>
        <w:spacing w:after="0" w:line="18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common shares and also adds to and updates information contained in the documents incorporated by reference into this prospectus supplement and the accompanying prospectus. To the extent there is a conflict between the information contained in this prospectus supplement, on the one hand, and the information contained in any document incorporated by reference into this prospectus supplement and the accompanying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into this prospectus supplement — the statement in the document having the later date modifies or supersedes the earlier statement.</w:t>
      </w:r>
    </w:p>
    <w:p>
      <w:pPr>
        <w:spacing w:after="0" w:line="189" w:lineRule="exact"/>
        <w:rPr>
          <w:sz w:val="20"/>
          <w:szCs w:val="20"/>
          <w:color w:val="auto"/>
        </w:rPr>
      </w:pPr>
    </w:p>
    <w:p>
      <w:pPr>
        <w:jc w:val="both"/>
        <w:ind w:left="120" w:right="80"/>
        <w:spacing w:after="0" w:line="281" w:lineRule="auto"/>
        <w:rPr>
          <w:sz w:val="20"/>
          <w:szCs w:val="20"/>
          <w:color w:val="auto"/>
        </w:rPr>
      </w:pPr>
      <w:r>
        <w:rPr>
          <w:rFonts w:ascii="Times New Roman" w:cs="Times New Roman" w:eastAsia="Times New Roman" w:hAnsi="Times New Roman"/>
          <w:sz w:val="17"/>
          <w:szCs w:val="17"/>
          <w:color w:val="auto"/>
        </w:rPr>
        <w:t>You should rely only on the information contained in or incorporated by reference in this prospectus supplement and the accompanying prospectus, and any free writing prospectus or prospectus supplement that we have authorized for use in connection with this offering. We have not, and the sales agent has not, authorized anyone to provide you with different information. If anyone provides you with different or inconsistent information, you should not rely on it. We are not, and the sales agent is not, making an offer to sell these securities in any jurisdiction where the offer or sale is not permitted.</w:t>
      </w:r>
    </w:p>
    <w:p>
      <w:pPr>
        <w:spacing w:after="0" w:line="16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and the accompanying prospectus, the documents incorporated by reference in this prospectus supplement and the accompanying prospectus,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and the accompanying prospectus, the documents incorporated by reference in this prospectus supplement and the accompanying prospectus, and any free writing prospectus that we have authorized for use in connection with this offering, in their entirety before making an investment decision.</w:t>
      </w:r>
    </w:p>
    <w:p>
      <w:pPr>
        <w:spacing w:after="0" w:line="187"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supplement to the “company,” “Repare,” “we,” “us” and “our” refer to Repare Therapeutics Inc. and its consolidated subsidiary.</w:t>
      </w: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61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4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common shares. For a more complete understanding of our company and this offering, we encourage you to read and consider carefully the more detailed information in this prospectus supplement and the accompanying prospectus, including the information incorporated by reference in this prospectus supplement and the accompanying prospectus, and the information included in any free writing prospectus that we have authorized for use in connection with this offering, including the information under the heading “Risk Factors” in this prospectus supplement on page S-6 and in the documents incorporated by reference into this prospectus supplement and the accompanying prospectus.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60"/>
        <w:spacing w:after="0" w:line="256" w:lineRule="auto"/>
        <w:rPr>
          <w:sz w:val="20"/>
          <w:szCs w:val="20"/>
          <w:color w:val="auto"/>
        </w:rPr>
      </w:pPr>
      <w:r>
        <w:rPr>
          <w:rFonts w:ascii="Times New Roman" w:cs="Times New Roman" w:eastAsia="Times New Roman" w:hAnsi="Times New Roman"/>
          <w:sz w:val="18"/>
          <w:szCs w:val="18"/>
          <w:color w:val="auto"/>
        </w:rPr>
        <w:t>We are a leading clinical-stage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that preferentially treat cancers due to mechanisms of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20" w:hanging="422"/>
        <w:spacing w:after="0" w:line="259" w:lineRule="auto"/>
        <w:tabs>
          <w:tab w:leader="none" w:pos="7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Lunresertib </w:t>
      </w:r>
      <w:r>
        <w:rPr>
          <w:rFonts w:ascii="Times New Roman" w:cs="Times New Roman" w:eastAsia="Times New Roman" w:hAnsi="Times New Roman"/>
          <w:sz w:val="18"/>
          <w:szCs w:val="18"/>
          <w:color w:val="auto"/>
        </w:rPr>
        <w:t xml:space="preserve">(RP-6306) is a first-in-class, selective and potent oral small molecule inhibitor of Protein Kinase Membrane-associated tyrosine-and threonine- specific cdc-2 inhibitory kinase, or PKMYT1, a cancer target we discovered and identified as synthetic lethal with cyclin E1, or </w:t>
      </w:r>
      <w:r>
        <w:rPr>
          <w:rFonts w:ascii="Times New Roman" w:cs="Times New Roman" w:eastAsia="Times New Roman" w:hAnsi="Times New Roman"/>
          <w:sz w:val="18"/>
          <w:szCs w:val="18"/>
          <w:i w:val="1"/>
          <w:iCs w:val="1"/>
          <w:color w:val="auto"/>
        </w:rPr>
        <w:t>CCNE1</w:t>
      </w:r>
      <w:r>
        <w:rPr>
          <w:rFonts w:ascii="Times New Roman" w:cs="Times New Roman" w:eastAsia="Times New Roman" w:hAnsi="Times New Roman"/>
          <w:sz w:val="18"/>
          <w:szCs w:val="18"/>
          <w:color w:val="auto"/>
        </w:rPr>
        <w:t xml:space="preserve">, amplification, or deleterious alterations in </w:t>
      </w:r>
      <w:r>
        <w:rPr>
          <w:rFonts w:ascii="Times New Roman" w:cs="Times New Roman" w:eastAsia="Times New Roman" w:hAnsi="Times New Roman"/>
          <w:sz w:val="18"/>
          <w:szCs w:val="18"/>
          <w:i w:val="1"/>
          <w:iCs w:val="1"/>
          <w:color w:val="auto"/>
        </w:rPr>
        <w:t>FBXW7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PPP2R1A</w:t>
      </w:r>
      <w:r>
        <w:rPr>
          <w:rFonts w:ascii="Times New Roman" w:cs="Times New Roman" w:eastAsia="Times New Roman" w:hAnsi="Times New Roman"/>
          <w:sz w:val="18"/>
          <w:szCs w:val="18"/>
          <w:color w:val="auto"/>
        </w:rPr>
        <w:t xml:space="preserve"> in solid tumors such as gynecological, colorectal and upper gastrointestinal malignancies. Lunresertib is currently the sole PKMYT1 inhibitor known to be in clinical trials and is being evaluated alone and in combinations across several clinical trials in the United States, United Kingdom, European Union and Canada.</w:t>
      </w:r>
    </w:p>
    <w:p>
      <w:pPr>
        <w:spacing w:after="0" w:line="75" w:lineRule="exact"/>
        <w:rPr>
          <w:rFonts w:ascii="Times New Roman" w:cs="Times New Roman" w:eastAsia="Times New Roman" w:hAnsi="Times New Roman"/>
          <w:sz w:val="18"/>
          <w:szCs w:val="18"/>
          <w:b w:val="1"/>
          <w:bCs w:val="1"/>
          <w:color w:val="auto"/>
        </w:rPr>
      </w:pPr>
    </w:p>
    <w:p>
      <w:pPr>
        <w:ind w:left="72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presented positive initial Phase 1 data from our ongoing Phase 1 MYTHIC trial demonstrating proof of concept for lunresertib alone and in combination with camonsertib at the AACR-NCI-EORTC International Conference on Molecular Targets and Cancer Therapeutics, or ANE, in October 2023. Lunresertib was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0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line="245" w:lineRule="auto"/>
        <w:rPr>
          <w:sz w:val="20"/>
          <w:szCs w:val="20"/>
          <w:color w:val="auto"/>
        </w:rPr>
      </w:pPr>
      <w:r>
        <w:rPr>
          <w:rFonts w:ascii="Times New Roman" w:cs="Times New Roman" w:eastAsia="Times New Roman" w:hAnsi="Times New Roman"/>
          <w:sz w:val="18"/>
          <w:szCs w:val="18"/>
          <w:color w:val="auto"/>
        </w:rPr>
        <w:t xml:space="preserve">shown to be well tolerated, with a compelling safety profile. We further presented positive updated safety and tolerability data for the combination of camonsertib and lunresertib at the U.S. Food and Drug Administration’s, or FDA, agreed recommended Phase 2 dose highlighting the benefits of an individualized schedule for the management of anemia at the ANE conference in October 2024. We also presented data at the American Associates of Cancer Research’s (AACR) 15th Annual Ovarian Cancer Research Symposium in September 2024 demonstrating significant survival disparities, poor prognosis, and inherent chemotherapy resistance in patients harboring lunresertib-and camonsertib-sensitizing biomarkers. In December 2024, we expect to provide updated MYTHIC data from ovarian and endometrial cancer expansion cohorts in approximately 20-30 patients each with the lunresertib and camonsertib combination, and expect to begin a registrational trial in 2025. In the third quarter of 2023, we received Fast Track designation for lunresertib in combination with camonsertib for the treatment of adult patients with </w:t>
      </w:r>
      <w:r>
        <w:rPr>
          <w:rFonts w:ascii="Times New Roman" w:cs="Times New Roman" w:eastAsia="Times New Roman" w:hAnsi="Times New Roman"/>
          <w:sz w:val="18"/>
          <w:szCs w:val="18"/>
          <w:i w:val="1"/>
          <w:iCs w:val="1"/>
          <w:color w:val="auto"/>
        </w:rPr>
        <w:t>CCNE1</w:t>
      </w:r>
      <w:r>
        <w:rPr>
          <w:rFonts w:ascii="Times New Roman" w:cs="Times New Roman" w:eastAsia="Times New Roman" w:hAnsi="Times New Roman"/>
          <w:sz w:val="18"/>
          <w:szCs w:val="18"/>
          <w:color w:val="auto"/>
        </w:rPr>
        <w:t xml:space="preserve"> amplified, or </w:t>
      </w:r>
      <w:r>
        <w:rPr>
          <w:rFonts w:ascii="Times New Roman" w:cs="Times New Roman" w:eastAsia="Times New Roman" w:hAnsi="Times New Roman"/>
          <w:sz w:val="18"/>
          <w:szCs w:val="18"/>
          <w:i w:val="1"/>
          <w:iCs w:val="1"/>
          <w:color w:val="auto"/>
        </w:rPr>
        <w:t>FBXW7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PPP2R1A</w:t>
      </w:r>
      <w:r>
        <w:rPr>
          <w:rFonts w:ascii="Times New Roman" w:cs="Times New Roman" w:eastAsia="Times New Roman" w:hAnsi="Times New Roman"/>
          <w:sz w:val="18"/>
          <w:szCs w:val="18"/>
          <w:color w:val="auto"/>
        </w:rPr>
        <w:t xml:space="preserve"> mutated endometrial cancer. In June 2024, we were granted Fast-Track designation by the FDA for lunresertib in combination with camonsertib for the treatment of adult patients with </w:t>
      </w:r>
      <w:r>
        <w:rPr>
          <w:rFonts w:ascii="Times New Roman" w:cs="Times New Roman" w:eastAsia="Times New Roman" w:hAnsi="Times New Roman"/>
          <w:sz w:val="18"/>
          <w:szCs w:val="18"/>
          <w:i w:val="1"/>
          <w:iCs w:val="1"/>
          <w:color w:val="auto"/>
        </w:rPr>
        <w:t>CCNE1</w:t>
      </w:r>
      <w:r>
        <w:rPr>
          <w:rFonts w:ascii="Times New Roman" w:cs="Times New Roman" w:eastAsia="Times New Roman" w:hAnsi="Times New Roman"/>
          <w:sz w:val="18"/>
          <w:szCs w:val="18"/>
          <w:color w:val="auto"/>
        </w:rPr>
        <w:t xml:space="preserve"> amplified, or </w:t>
      </w:r>
      <w:r>
        <w:rPr>
          <w:rFonts w:ascii="Times New Roman" w:cs="Times New Roman" w:eastAsia="Times New Roman" w:hAnsi="Times New Roman"/>
          <w:sz w:val="18"/>
          <w:szCs w:val="18"/>
          <w:i w:val="1"/>
          <w:iCs w:val="1"/>
          <w:color w:val="auto"/>
        </w:rPr>
        <w:t>FBXW7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PPP2R1A</w:t>
      </w:r>
      <w:r>
        <w:rPr>
          <w:rFonts w:ascii="Times New Roman" w:cs="Times New Roman" w:eastAsia="Times New Roman" w:hAnsi="Times New Roman"/>
          <w:sz w:val="18"/>
          <w:szCs w:val="18"/>
          <w:color w:val="auto"/>
        </w:rPr>
        <w:t>-mutated platinum-resistant ovarian cancer. In preparation for a potential registrational clinical trial start in 2025, we formed a collaboration with Foundation Medicine, Inc. in September 2024 to provide prospective genomic profiling to patients in the ongoing MYTHIC study of lunresertib alone or in combinations in genomically-defined patient populations. We are additionally exploring opportunities with Foundation Medicine to develop FoundationOne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CDx, a tissue-based comprehensive genomic profiling test, as a companion diagnostic for the lunresertib program.</w:t>
      </w:r>
    </w:p>
    <w:p>
      <w:pPr>
        <w:spacing w:after="0" w:line="85" w:lineRule="exact"/>
        <w:rPr>
          <w:sz w:val="20"/>
          <w:szCs w:val="20"/>
          <w:color w:val="auto"/>
        </w:rPr>
      </w:pPr>
    </w:p>
    <w:p>
      <w:pPr>
        <w:ind w:left="720" w:right="40"/>
        <w:spacing w:after="0" w:line="253" w:lineRule="auto"/>
        <w:rPr>
          <w:sz w:val="20"/>
          <w:szCs w:val="20"/>
          <w:color w:val="auto"/>
        </w:rPr>
      </w:pPr>
      <w:r>
        <w:rPr>
          <w:rFonts w:ascii="Times New Roman" w:cs="Times New Roman" w:eastAsia="Times New Roman" w:hAnsi="Times New Roman"/>
          <w:sz w:val="18"/>
          <w:szCs w:val="18"/>
          <w:color w:val="auto"/>
        </w:rPr>
        <w:t>We initiated additional Phase 1 combination clinical trials of lunresertib with gemcitabine (MAGNETIC) in December 2021 and with FOLFIRI (MINOTAUR) in August 2022. In May 2024, we announced preliminary safety data for MINOTAUR demonstrating no significant incremental toxicities for the lunresertib and FOLFIRI combination over FOLFIRI alone and an early signal with favorable tolerability in colorectal and other gastrointestinal tumors. We announced positive initial data from the ongoing Phase 1 MINOTAUR clinical trial at the European Society of Medical Oncology Gastrointestinal Cancers Congress in June 2024. In the fourth quarter of 2022, we received Fast Track designation for lunresertib in combination with gemcitabine for the treatment of adult patients with CCNE1 amplified, or FBXW7, or PPP2R1A mutated platinum resistant ovarian cancer. We are collaborating with the Canadian Cancer Trials Group in an ongoing basket Phase 2 Investigator Sponsored Clinical Trial, or IST, that is enrolling patients with selected, advanced cancers receiving lunresertib as combination (NCT05605509). A sub-study to that protocol is also ongoing that is evaluating lunresertib in combination with gemcitabine in patients with CDK4/6 inhibitor treated ER+/HER2- metastatic breast cancer (NCT05601440). We are also collaborating with University Health Network, Toronto on an investigator-sponsored Phase 1 clinical trial of lunresertib in combination with carboplatin and paclitaxel in TP53 ovarian and uterine cancer (NCT06107868) and such trial is currently enrolling patients.</w:t>
      </w:r>
    </w:p>
    <w:p>
      <w:pPr>
        <w:spacing w:after="0" w:line="82" w:lineRule="exact"/>
        <w:rPr>
          <w:sz w:val="20"/>
          <w:szCs w:val="20"/>
          <w:color w:val="auto"/>
        </w:rPr>
      </w:pPr>
    </w:p>
    <w:p>
      <w:pPr>
        <w:ind w:left="720" w:right="20"/>
        <w:spacing w:after="0" w:line="258" w:lineRule="auto"/>
        <w:rPr>
          <w:sz w:val="20"/>
          <w:szCs w:val="20"/>
          <w:color w:val="auto"/>
        </w:rPr>
      </w:pPr>
      <w:r>
        <w:rPr>
          <w:rFonts w:ascii="Times New Roman" w:cs="Times New Roman" w:eastAsia="Times New Roman" w:hAnsi="Times New Roman"/>
          <w:sz w:val="18"/>
          <w:szCs w:val="18"/>
          <w:color w:val="auto"/>
        </w:rPr>
        <w:t>In January 2024, we announced our collaboration with Debiopharm International S.A., a Swiss-based biopharmaceutical company. As part of this collaboration, we are sponsoring a global trial as a new arm in the ongoing MYTHIC trial combining lunresertib with Debio 0123, a highly selective, brain penetrant, clinical WEE1 inhibitor. We announced the first patient was dosed with the synergistic lunresertib and Debio 0123 combination in April 2024. This is the first clinical trial inhibiting both PKMYT1 and WEE1. We expect to report initial data from this MYTHIC arm in 2025.</w:t>
      </w:r>
    </w:p>
    <w:p>
      <w:pPr>
        <w:spacing w:after="0" w:line="85" w:lineRule="exact"/>
        <w:rPr>
          <w:sz w:val="20"/>
          <w:szCs w:val="20"/>
          <w:color w:val="auto"/>
        </w:rPr>
      </w:pPr>
    </w:p>
    <w:p>
      <w:pPr>
        <w:ind w:left="720" w:right="40" w:hanging="422"/>
        <w:spacing w:after="0" w:line="268" w:lineRule="auto"/>
        <w:tabs>
          <w:tab w:leader="none" w:pos="7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Camonsertib </w:t>
      </w:r>
      <w:r>
        <w:rPr>
          <w:rFonts w:ascii="Times New Roman" w:cs="Times New Roman" w:eastAsia="Times New Roman" w:hAnsi="Times New Roman"/>
          <w:sz w:val="18"/>
          <w:szCs w:val="18"/>
          <w:color w:val="auto"/>
        </w:rPr>
        <w:t>(RP-3500) is a potent and selective oral small molecule inhibitor of Ataxia-Telangiectasia and Rad3-related protein kinase,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ATR, in clinical development for the treatment of solid tumors with specific DNA damage repair-related genomic alterations, including those in the ataxia telangiectasia mutated kinase, or ATM, gene.</w:t>
      </w:r>
    </w:p>
    <w:p>
      <w:pPr>
        <w:spacing w:after="0" w:line="66" w:lineRule="exact"/>
        <w:rPr>
          <w:rFonts w:ascii="Times New Roman" w:cs="Times New Roman" w:eastAsia="Times New Roman" w:hAnsi="Times New Roman"/>
          <w:sz w:val="18"/>
          <w:szCs w:val="18"/>
          <w:b w:val="1"/>
          <w:bCs w:val="1"/>
          <w:color w:val="auto"/>
        </w:rPr>
      </w:pPr>
    </w:p>
    <w:p>
      <w:pPr>
        <w:jc w:val="both"/>
        <w:ind w:left="72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2022, we entered into a worldwide license and collaboration agreement with Hoffmann-La Roche Inc. and F. Hoffmann-La Roche Ltd, or Roche, for the development and commercialization of camonsertib, which resulted in an initial $125.0 million upfront payment. In February 2024, we received a $40.0 million</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077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160"/>
        <w:spacing w:after="0" w:line="258" w:lineRule="auto"/>
        <w:rPr>
          <w:sz w:val="20"/>
          <w:szCs w:val="20"/>
          <w:color w:val="auto"/>
        </w:rPr>
      </w:pPr>
      <w:r>
        <w:rPr>
          <w:rFonts w:ascii="Times New Roman" w:cs="Times New Roman" w:eastAsia="Times New Roman" w:hAnsi="Times New Roman"/>
          <w:sz w:val="18"/>
          <w:szCs w:val="18"/>
          <w:color w:val="auto"/>
        </w:rPr>
        <w:t>milestone payment from Roche upon dosing of the first patient with camonsertib in Roche’s TAPISTRY trial. Over the course of the Roche camonsertib collaboration, we received a cumulative total of $182.6 million, including the upfront payment, the milestone payment, as well as additional reimbursements from Roche. On February 7, 2024, we received written notice from Roche of their election to terminate the Roche camonsertib collaboration. The termination became effective in May 2024, at which time we regained global development and commercialization rights for camonsertib from Roche.</w:t>
      </w:r>
    </w:p>
    <w:p>
      <w:pPr>
        <w:spacing w:after="0" w:line="75" w:lineRule="exact"/>
        <w:rPr>
          <w:sz w:val="20"/>
          <w:szCs w:val="20"/>
          <w:color w:val="auto"/>
        </w:rPr>
      </w:pPr>
    </w:p>
    <w:p>
      <w:pPr>
        <w:ind w:left="720" w:right="100"/>
        <w:spacing w:after="0" w:line="255" w:lineRule="auto"/>
        <w:rPr>
          <w:sz w:val="20"/>
          <w:szCs w:val="20"/>
          <w:color w:val="auto"/>
        </w:rPr>
      </w:pPr>
      <w:r>
        <w:rPr>
          <w:rFonts w:ascii="Times New Roman" w:cs="Times New Roman" w:eastAsia="Times New Roman" w:hAnsi="Times New Roman"/>
          <w:sz w:val="18"/>
          <w:szCs w:val="18"/>
          <w:color w:val="auto"/>
        </w:rPr>
        <w:t>In May 2024, we announced an expansion of the TRESR clinical trial as a Phase 2 clinical trial evaluating camonsertib monotherapy in approximately 20 patients with ATM-mutated, or ATMm, non-small cell lung cancer, or NSCLC, supported by early, promising camonsertib monotherapy signal in patients with ATMm NSCLC from the ongoing Phase 1/2 TRESR trial. We expect to report initial data from this expansion cohort TRESR trial in 2025. In September 2024, we presented Phase 1 data from a clinical trial conducted in collaboration with investigators at Memorial-Sloan Kettering Cancer Center that demonstrated camonsertib in combination with palliative radiation demonstrated higher clinical benefit in patients with metastatic tumors harboring pathogenic ATM mutations versus those with variants of unknown significance.</w:t>
      </w:r>
    </w:p>
    <w:p>
      <w:pPr>
        <w:spacing w:after="0" w:line="81"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8"/>
          <w:szCs w:val="18"/>
          <w:color w:val="auto"/>
        </w:rPr>
        <w:t>In September 2024, we presented initial clinical data from the Phase 1/2 TRESR and ATTACC clinical trials evaluating camonsertib in combination with three poly (ADP-ribose) polymerase, or PARP, inhibitors: talazoparib, niraparib, and olaparib. Camonsertib demonstrated 48% overall clinical benefit rate in patients with advanced solid tumors across tumor types regardless of choice of PARP inhibitor or platinum resistance, with a favorable safety and tolerability profile.</w:t>
      </w:r>
    </w:p>
    <w:p>
      <w:pPr>
        <w:spacing w:after="0" w:line="81" w:lineRule="exact"/>
        <w:rPr>
          <w:sz w:val="20"/>
          <w:szCs w:val="20"/>
          <w:color w:val="auto"/>
        </w:rPr>
      </w:pPr>
    </w:p>
    <w:p>
      <w:pPr>
        <w:ind w:left="720" w:right="60" w:hanging="422"/>
        <w:spacing w:after="0" w:line="257" w:lineRule="auto"/>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RP-1664 </w:t>
      </w:r>
      <w:r>
        <w:rPr>
          <w:rFonts w:ascii="Times New Roman" w:cs="Times New Roman" w:eastAsia="Times New Roman" w:hAnsi="Times New Roman"/>
          <w:sz w:val="18"/>
          <w:szCs w:val="18"/>
          <w:color w:val="auto"/>
        </w:rPr>
        <w:t>is a first-in-class, highly selective, oral PLK4 inhibitor designed to harness the synthetic lethal relationship with TRIM37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amplification or overexpression in solid tumors. Tumors rely on PLK4 for centriole biogenesis in S-phase of the cell cycle when TRIM37, an E3 ligase that reduces pericentriolar material, is high. Preclinical studies demonstrate that RP-1664 selectively inhibits PLK4 and drives potent SL in TRIM37-high and other biomarkers tumor models, both in vitro and in vivo. Elevated TRIM37 is a feature found across a range of solid tumors and in approximately 80% of high-grade neuroblastoma. RP-1664 is the only selective PLK4 inhibitor known to be in the clinic.</w:t>
      </w:r>
    </w:p>
    <w:p>
      <w:pPr>
        <w:spacing w:after="0" w:line="78" w:lineRule="exact"/>
        <w:rPr>
          <w:rFonts w:ascii="Times New Roman" w:cs="Times New Roman" w:eastAsia="Times New Roman" w:hAnsi="Times New Roman"/>
          <w:sz w:val="18"/>
          <w:szCs w:val="18"/>
          <w:b w:val="1"/>
          <w:bCs w:val="1"/>
          <w:color w:val="auto"/>
        </w:rPr>
      </w:pPr>
    </w:p>
    <w:p>
      <w:pPr>
        <w:ind w:left="7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reported comprehensive preclinical data for RP-1664 in November 2023, including deep tumor growth inhibition and regressions in multiple TRIM37-high solid tumor or neuroblastoma xenograft models. The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 evaluations were performed both internally and in collaboration with Children’s Hospital of Philadelphia. In February 2024, we dosed the first patient in the LIONS (PLK4 Inhibitor in Advanced Solid Tumors) clinical trial (NCT06232408), a multicenter, open-label Phase 1 clinical trial to investigate safety, pharmacokinetics, pharmacodynamics and the preliminary efficacy of RP-1664. After evaluating safety in adult patients with recurrent solid tumors in the LIONS clinical trial, we expect to move into a Phase 1/2 clinical trial in patients with high risk, recurrent pediatric neuroblastoma, where the patients have limited treatment options and a high prevalence of TRIM37-altered tumors.</w:t>
      </w:r>
    </w:p>
    <w:p>
      <w:pPr>
        <w:spacing w:after="0" w:line="90" w:lineRule="exact"/>
        <w:rPr>
          <w:rFonts w:ascii="Times New Roman" w:cs="Times New Roman" w:eastAsia="Times New Roman" w:hAnsi="Times New Roman"/>
          <w:sz w:val="18"/>
          <w:szCs w:val="18"/>
          <w:b w:val="1"/>
          <w:bCs w:val="1"/>
          <w:color w:val="auto"/>
        </w:rPr>
      </w:pPr>
    </w:p>
    <w:p>
      <w:pPr>
        <w:ind w:left="720" w:right="120" w:hanging="422"/>
        <w:spacing w:after="0" w:line="271" w:lineRule="auto"/>
        <w:tabs>
          <w:tab w:leader="none" w:pos="7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RP-3467 </w:t>
      </w:r>
      <w:r>
        <w:rPr>
          <w:rFonts w:ascii="Times New Roman" w:cs="Times New Roman" w:eastAsia="Times New Roman" w:hAnsi="Times New Roman"/>
          <w:sz w:val="17"/>
          <w:szCs w:val="17"/>
          <w:color w:val="auto"/>
        </w:rPr>
        <w:t>is a potential best-in-class inhibitor of adenosinetriphosphatase, or ATPase, activity on the helicase domain of DNA polymerase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theta, or Polq. Polq is a synthetic lethal target associated with homologous recombination deficiency tumors, including those with BRCA1/2 mutations or other genomic alterations. Data suggest that RP-3467 works effectively and synergistically with therapies that result in double stranded DNA breaks, such as PARP inhibition, radioligand therapy and multiple chemotherapies and antibody-drug conjugates. Initial data suggest that Polq inhibition may interfere with mechanisms central to the development of PARPi resistance, which could be relevant to currently marketed PARP 1/2 inhibitors and the emerging PARP1-selective inhibitors. We also reported comprehensive preclinical data for RP-3467 in November 2023, in which RP-3467 demonstrated complete, sustained regressions in combination with PARP inhibitors and compelling anti-tumor activity in combination with RLT and chemotherapy. We dosed our first patient in the POLAR Phase 1 dose finding clinical trial (NCT06560632) of RP-3467 alone and in combination with the poly-ADP ribose PARP inhibitor, olaparib, in October 2024.</w:t>
      </w:r>
    </w:p>
    <w:p>
      <w:pPr>
        <w:spacing w:after="0" w:line="2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264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12642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9" w:lineRule="exact"/>
        <w:rPr>
          <w:sz w:val="20"/>
          <w:szCs w:val="20"/>
          <w:color w:val="auto"/>
        </w:rPr>
      </w:pPr>
    </w:p>
    <w:p>
      <w:pPr>
        <w:ind w:left="300"/>
        <w:spacing w:after="0" w:line="257" w:lineRule="auto"/>
        <w:rPr>
          <w:sz w:val="20"/>
          <w:szCs w:val="20"/>
          <w:color w:val="auto"/>
        </w:rPr>
      </w:pPr>
      <w:r>
        <w:rPr>
          <w:rFonts w:ascii="Times New Roman" w:cs="Times New Roman" w:eastAsia="Times New Roman" w:hAnsi="Times New Roman"/>
          <w:sz w:val="18"/>
          <w:szCs w:val="18"/>
          <w:color w:val="auto"/>
        </w:rPr>
        <w:t xml:space="preserve">We were incorporated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September 6, 2016. Immediately prior to completion of our initial public offering on June 23, 2020, we were continued as a corporation under the </w:t>
      </w:r>
      <w:r>
        <w:rPr>
          <w:rFonts w:ascii="Times New Roman" w:cs="Times New Roman" w:eastAsia="Times New Roman" w:hAnsi="Times New Roman"/>
          <w:sz w:val="18"/>
          <w:szCs w:val="18"/>
          <w:i w:val="1"/>
          <w:iCs w:val="1"/>
          <w:color w:val="auto"/>
        </w:rPr>
        <w:t>Business Corporations Act (Québec)</w:t>
      </w:r>
      <w:r>
        <w:rPr>
          <w:rFonts w:ascii="Times New Roman" w:cs="Times New Roman" w:eastAsia="Times New Roman" w:hAnsi="Times New Roman"/>
          <w:sz w:val="18"/>
          <w:szCs w:val="18"/>
          <w:color w:val="auto"/>
        </w:rPr>
        <w:t xml:space="preserve">, or the QBCA. Our principal executive offices are located at 7171 Frederick-Banting, Building 2, Suite 270, Saint-Laurent, Québec, Canada H4S 1Z9, and our telephone number is (857) 412-7018. In June 2017, we incorporated our wholly-owned subsidiary, Repare Therapeutics USA Inc., a Delaware corporation. Our corporate website address is </w:t>
      </w:r>
      <w:r>
        <w:rPr>
          <w:rFonts w:ascii="Times New Roman" w:cs="Times New Roman" w:eastAsia="Times New Roman" w:hAnsi="Times New Roman"/>
          <w:sz w:val="18"/>
          <w:szCs w:val="18"/>
          <w:i w:val="1"/>
          <w:iCs w:val="1"/>
          <w:color w:val="auto"/>
        </w:rPr>
        <w:t>www.reparerx.com</w:t>
      </w:r>
      <w:r>
        <w:rPr>
          <w:rFonts w:ascii="Times New Roman" w:cs="Times New Roman" w:eastAsia="Times New Roman" w:hAnsi="Times New Roman"/>
          <w:sz w:val="18"/>
          <w:szCs w:val="18"/>
          <w:color w:val="auto"/>
        </w:rPr>
        <w:t>. Information contained on, or accessible through, our website is not a part of this prospectus supplement or the accompanying prospectus. We have included our website in this prospectus supplement solely as an inactive textual reference.</w:t>
      </w:r>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42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00"/>
          </w:cols>
          <w:pgMar w:left="320" w:top="455" w:right="67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Common Shares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shares having an aggregate offering price of up to $100.0 million.</w:t>
      </w:r>
    </w:p>
    <w:p>
      <w:pPr>
        <w:spacing w:after="0" w:line="152"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Common Shares to be Outstanding After this Offering</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Times New Roman" w:cs="Times New Roman" w:eastAsia="Times New Roman" w:hAnsi="Times New Roman"/>
          <w:sz w:val="18"/>
          <w:szCs w:val="18"/>
          <w:color w:val="auto"/>
        </w:rPr>
        <w:t>Up to 68,151,733 common shares, assuming sales of 25,641,025 common shares at an offering price of $3.90 per share, the last reported sale price of our common shares on the Nasdaq Global Select Market on November 5, 2024. The actual number of common shares issued will vary depending on the sales price under this offering.</w:t>
      </w:r>
    </w:p>
    <w:p>
      <w:pPr>
        <w:spacing w:after="0" w:line="81" w:lineRule="exact"/>
        <w:rPr>
          <w:sz w:val="20"/>
          <w:szCs w:val="20"/>
          <w:color w:val="auto"/>
        </w:rPr>
      </w:pPr>
    </w:p>
    <w:p>
      <w:pPr>
        <w:sectPr>
          <w:pgSz w:w="11900" w:h="16838" w:orient="portrait"/>
          <w:cols w:equalWidth="0" w:num="2">
            <w:col w:w="3780" w:space="56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or to our sales agent, TD Cowen. See “Plan of Distribution” on page S-11 of this prospectus supplement.</w:t>
      </w:r>
    </w:p>
    <w:p>
      <w:pPr>
        <w:spacing w:after="0" w:line="63"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general corporate purposes, including, but not limited to, research and development costs, clinical trial costs, manufacturing costs, potential strategic acquisitions or licensing of complementary businesses, services or technologies, working capital and capital expenditures. See “Use of Proceeds” on page S-10 of this prospectus supplement.</w:t>
      </w:r>
    </w:p>
    <w:p>
      <w:pPr>
        <w:spacing w:after="0" w:line="85"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Investing in our common shares involves significant risks. See “Risk Factors” on page S-6 of this prospectus supplement, and under similar headings in other documents incorporated by reference into this prospectus supplement and on page 4 of the accompanying prospectus and in the documents incorporated by reference into this prospectus supplement and the accompanying prospectus.</w:t>
      </w:r>
    </w:p>
    <w:p>
      <w:pPr>
        <w:spacing w:after="0" w:line="85"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“RPTX”</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number of our common shares that will be outstanding after this offering is based on 42,510,708 common shares outstanding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2024, and excludes:</w:t>
      </w:r>
    </w:p>
    <w:p>
      <w:pPr>
        <w:spacing w:after="0" w:line="112" w:lineRule="exact"/>
        <w:rPr>
          <w:sz w:val="20"/>
          <w:szCs w:val="20"/>
          <w:color w:val="auto"/>
        </w:rPr>
      </w:pPr>
    </w:p>
    <w:p>
      <w:pPr>
        <w:ind w:left="1240" w:right="5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11,007,275 common shares issuable upon the exercise of options outstanding as of September 30, 2024, at a weighted-average exercise price of $12.76 per share;</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804,681 common shares issuable upon the vesting and settlement of restricted share units, or RSUs, outstanding as of September 30, 2024;</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12,144,106 common shares reserved for future issuance pursuant to our 2020 Equity Incentive Plan, or the 2020 Plan, as of September 30, 2024, as well as any shares reserved pursuant to provisions in our 2020 Plan that automatically increase the number of common shares reserved for issuance under the 2020 Plan;</w:t>
      </w:r>
    </w:p>
    <w:p>
      <w:pPr>
        <w:spacing w:after="0" w:line="81" w:lineRule="exact"/>
        <w:rPr>
          <w:rFonts w:ascii="Times New Roman" w:cs="Times New Roman" w:eastAsia="Times New Roman" w:hAnsi="Times New Roman"/>
          <w:sz w:val="18"/>
          <w:szCs w:val="18"/>
          <w:color w:val="auto"/>
        </w:rPr>
      </w:pPr>
    </w:p>
    <w:p>
      <w:pPr>
        <w:ind w:left="1240" w:right="8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350,000 common shares reserved for future issuance pursuant to our 2024 Inducement Plan, or the Inducement Plan, as of September 30, 2024; and</w:t>
      </w:r>
    </w:p>
    <w:p>
      <w:pPr>
        <w:spacing w:after="0" w:line="67" w:lineRule="exact"/>
        <w:rPr>
          <w:rFonts w:ascii="Times New Roman" w:cs="Times New Roman" w:eastAsia="Times New Roman" w:hAnsi="Times New Roman"/>
          <w:sz w:val="18"/>
          <w:szCs w:val="18"/>
          <w:color w:val="auto"/>
        </w:rPr>
      </w:pPr>
    </w:p>
    <w:p>
      <w:pPr>
        <w:jc w:val="both"/>
        <w:ind w:left="1240" w:right="32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1,707,393 common shares reserved for issuance under our 2020 Employee Share Purchase Plan, or the ESPP, as of September 30, 2024, as well as any shares reserved pursuant to provisions in the ESPP that automatically increase the number of common shares reserved for issuance under the ESPP.</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00"/>
          </w:cols>
          <w:pgMar w:left="320" w:top="455" w:right="6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a high degree of risk. You should carefully review the risks and uncertainties described below and under the section titled “Risk Factors” in our most recent Annual Report on Form 10-K for the year ended December 31, 2023 and our most recent Quarterly Report on Form 10-Q for the period ended September 30, 2024, as updated by our subsequent filings under the Securities Exchange Act of 1934, as amended, or the Exchange Act, each of which is incorporated by reference into this prospectus supplement and the accompanying prospectus, together with the other information in this prospectus supplement and the information and documents incorporated by reference in this prospectus supplement and the accompanying prospectus, before deciding whether to purchase any common shares in this offering. Each of the risk factors could adversely affect our business, operating results and financial condition, as well as adversely affect the value of an investment in our common shares,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common shares in this offering, you may experience future dilution.</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Depending on the market prices prevailing at the time of sale, the offering price per share in this offering may exceed the net tangible book value per share of our common shares outstanding prior to this offering. The exercise of outstanding share options will result in further dilution of your investment.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primarily for general corporate purposes, including, but not limited to, research and development costs, clinical trial costs, manufacturing costs, potential strategic acquisitions or licensing of complementary businesses, services or technologies, working capital and capital expenditures. However, our management will have broad discretion in the application of the balance of the net proceeds from this offering and could spend the proceeds in ways that do not improve our business, financial condition or results of operations or enhance the value of our common shares. You may not agree with our decisions, and our use of the proceeds may not yield any return on your investment.</w:t>
      </w:r>
    </w:p>
    <w:p>
      <w:pPr>
        <w:spacing w:after="0" w:line="187"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growth strategy and we might not be able to yield a significant return, if any, on our investment of these net proceeds. You will not have the opportunity to influence our decisions on how to use the net proceeds from this offering. The failure by our management to apply these funds effectively could result in financial losses that could harm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common shares or other securities convertible into or exchangeable for our common shares at prices that may not be the same as the price per share in this offering. We may sell common shares or other securities in any other offering at a price per share that is less than the price per share paid by investors in this offering, and investors purchasing common shares or other securities in the future could have rights superior to existing shareholders. The price per share at which we sell additional common shares, or securities convertible or exchangeable into common shares, in future transactions may be higher or lower than the price per share paid by investors in this offering.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at any one time or in total, is uncertain.</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TD Cowen at any time throughout the term of the sales agreement. The number of common shares that are sold by TD Cowen under the sales agreement will fluctuate based on a number of factors, including the market price of the common shares during the sales period and limits we set with TD Cowen. Because the price per share of each common share sold will fluctuate based on the market price of our common shares during the sales period, it is not possible at this stage to predict the number of common shares that will be ultimately issued.</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shares offered hereby will be sold in “at the market offerings,” and investors who buy shares at different times will likely pay different prices.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Investors who purchase common shares in this offering at different times will likely pay different prices, and so may experience different levels of dilution and different outcomes in their investment results. We will have discretion, subject to market demand, to vary the timing, prices, and numbers of common shares sold in this offering. In addition, subject to the final determination by our board of directors, there is no minimum or maximum sales price for common shares to be sold in this offering. Investors may experience a decline in the value of the common shares they purchase in this offering as a result of sales made at prices lower than the prices they paid.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aggregate proceeds resulting from sales made under the sales agreement.</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TD Cowen at any time throughout the term of the sales agreement. The number of common shares that are sold through TD Cowen after delivering a placement notice will fluctuate based on a number of factors, including the market price of our common shares during the sales period, any limits we may set with TD Cowen in any applicable placement notice and the demand for our common shares. Because the price per share of each common share sold pursuant to the sales agreement will fluctuate over time, it is not currently possible to predict the aggregate proceeds to be raised in connection with sales under the sales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the documents that are incorporated by reference herein or therein contain forward-looking statements about us and our industry that involve substantial risks and uncertainties. All statements other than statements of historical facts contained in this prospectus supplement and the accompanying prospectus and the documents that are incorporated by reference herein or therein,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w:t>
      </w:r>
    </w:p>
    <w:p>
      <w:pPr>
        <w:spacing w:after="0" w:line="19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prospectus supplement and the accompanying prospectus and the documents that are incorporated by reference herein or therein, regarding, among other things:</w:t>
      </w:r>
    </w:p>
    <w:p>
      <w:pPr>
        <w:spacing w:after="0" w:line="89" w:lineRule="exact"/>
        <w:rPr>
          <w:sz w:val="20"/>
          <w:szCs w:val="20"/>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of lunresertib, camonsertib and any of our other current and future product candidates that we develop;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 using our SNIPRx platform;</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affecting the initiation, patient enrollment, development and operation of our clinical trials, including a public health emergency or pandemic;</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impact of macroeconomic events, including health pandemics, changes in inflation, the U.S. Federal Reserve raising interest rates, disruptions in access to bank deposits or lending commitments due to bank failures and the Russia-Ukraine and Middle-East conflicts on our operations, supply chains, general economic conditions, our ability to raise additional capital, and the continuity of our business, including our preclinical studies and clinical trials;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to timely and successfully complete those trials and to receive necessary regulatory approvals;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completion of enrollment and availability of data from our current preclinical studies and clinical trials, including ongoing clinical trials of lunresertib, camonsertib, RP-1664 and RP-3467;</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filings with regulatory authorities for any product candidates that we develop;</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for any current or future product candidates that we develop;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any milestone or royalty payments under our collaboration and license agreements;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with respect to lunresertib, camonsertib, or any of our other current or future product candidates, as well as innovations by current and future competitors in our industry;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working capital requirements;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maintain and enforce for intellectual property rights covering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our ability to effectively manage our anticipated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the strategic reprioritization of our research and development activities, including with respect to anticipated cost savings;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this offering,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section titled “Risk Factors.”</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neither promises nor guarantees of future performance due to a variety of risks and uncertainties and other factors, many of which are beyond our control, which could cause actual results to differ materially from those indicated by these forward looking statements, including, without limitations those more fully discussed in the “Risk Factors” section in this prospectus supplement and the accompanying prospectus entitled “Risk Factors” and the risk factors and cautionary statements described in other documents that we file from time to time with the SEC, specifically under “Item 1A. Risk Factors” and elsewhere in our most recent Annual Report on Form 10-K for the year ended December 31, 2023, and any other Annual Reports on Form 10-K, our Quarterly Reports on Form 10-Q, and Current Reports on Form 8-K that are incorporated herein by reference, and the section of the accompanying prospectus entitled “Risk Factors.”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that we incorporate by reference herein and therein completely and with the understanding that our actual future results may be materially different from what we expect. The forward-looking statements in this prospectus supplement and the accompanying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may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issue and sell common shares having aggregate gross sales proceeds of up to $100.0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TD Cowen as a source of financing.</w:t>
      </w:r>
    </w:p>
    <w:p>
      <w:pPr>
        <w:spacing w:after="0" w:line="180"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general corporate purposes, including, but not limited to, research and development costs, clinical trial costs, manufacturing costs, potential strategic acquisitions or licensing of complementary businesses, services or technologies, working capital and capital expenditures. We may also use a portion of the net proceeds to in-license, invest in or acquire businesses, assets or technologies that we believe are complementary to our own, although we have no current plans, commitments or agreements with respect to any acquisitions. We may temporarily invest the net proceeds in a variety of capital preservation instruments, including short-term, investment-grade, interest-bearing instruments and U.S. and Canadian government securities, or may hold such proceeds as cash, until they are used for their stated purpose. As of the date of this prospectus supplement, we cannot specify with certainty all of the particular uses of the net proceeds from this offering. Accordingly, we will retain broad discretion over the use of such proceeds.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We have entered into a sales agreement with TD Cowen, under which we may issue and sell from time to time up to $100.0 million of our common shares through TD Cowen, as our sales agent. Sales of our common shares, if any, will be made at market prices by any method that is deemed to be an “at the market offering” as defined in Rule 415(a)(4) under the Securities Act. Such sales may be made directly on the Nasdaq Global Select Market or on any other existing trading market for our common shares in the United States. No sales will be made on any exchange or trading market in Canada.</w:t>
      </w:r>
    </w:p>
    <w:p>
      <w:pPr>
        <w:spacing w:after="0" w:line="16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TD Cowen will offer our common shares, subject to the terms and conditions of the sales agreement, on a daily basis or as otherwise agreed upon by us and TD Cowen. We will designate the maximum amount of shares to be sold through TD Cowen on a daily basis or otherwise determine such maximum amount together with TD Cowen. Subject to the terms and conditions of the sales agreement, TD Cowen will use its commercially reasonable efforts to sell on our behalf all of the shares requested to be sold by us. We may instruct TD Cowen not to sell our common shares if the sales cannot be effected at or above the price designated by us in any such instruction. We or TD Cowen may suspend the offering of our shares being made through TD Cowen under the sales agreement upon proper notice to the other party. We and TD Cowen each have the right, by giving written notice as specified in the sales agreement, to terminate the sales agreement in each party’s sole discretion at any time.</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TD Cowen as sales agent is up to 3.0% of the gross sales price of our shares through it pursuant to the sales agreement. We have also agreed to reimburse TD Cowen up to $75,000 of TD Cowen’s actual outside legal expenses incurred by TD Cowen in connection with this offering and certain ongoing expenses. We estimate that the total expenses of the offering payable by us, excluding commissions payable to TD Cowen under the sales agreement, will be approximately $275,000.</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shares.</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TD Cowen will provide written confirmation to us following the close of trading on the Nasdaq Global Select Market on each day in which our shares are sold through it as sales agent under the sales agreement. Each confirmation will include the number of shares sold through it as sales agent on that day, the volume weighted average price of the shares sold, the percentage of the daily trading volume and the net proceeds to us.</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sold through TD Cowen under the sales agreement, and the gross proceeds to us in connection with the sales of shares.</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Settlement for sales of common shares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the sales of our common shares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shares of our common shares.</w:t>
      </w:r>
    </w:p>
    <w:p>
      <w:pPr>
        <w:spacing w:after="0" w:line="180"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and trades under the symbol “RPTX.” The transfer agent of our common stock Computershare Investor Services Inc.</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TD Cowen and/or its affiliates have provided, and may in the future provide, various investment banking and other financial services for us for which services they have received and, may in the future receive, customary fees.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Certain legal matters relating to U.S. law will be passed upon for us by Cooley LLP, Boston, Massachusetts. The validity of the issuance of our common shares being offered hereby and certain other matters of Canadian law will be passed upon for us by Stikeman Elliott LLP, Montréal, Québec. TD Securities (USA) LLC is being represented in connection with this offering by Paul Hastings LLP, New York, New York.</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Repare Therapeutics Inc. appearing in our Annual Report on Form 10-K for the year ended December 31, 2023, and the effectiveness of Repare Therapeutics Inc.’s internal control over financial reporting as of December 31, 2023 have been audited by Ernst &amp; Young LLP, independent registered public accounting firm, as set forth in their reports thereon included therein, and incorporated by reference herein. Such consolidated financial statements are incorporated herein by reference in reliance upon such report given on the authority of such firm as experts in accounting and auditing.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www.reparerx.com</w:t>
      </w:r>
      <w:r>
        <w:rPr>
          <w:rFonts w:ascii="Times New Roman" w:cs="Times New Roman" w:eastAsia="Times New Roman" w:hAnsi="Times New Roman"/>
          <w:sz w:val="18"/>
          <w:szCs w:val="18"/>
          <w:color w:val="auto"/>
        </w:rPr>
        <w:t>. The information contained on our website is not incorporated by reference into this prospectus supplement and, therefore, is not part of this prospectus supplement or the accompanying prospectus.</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on Form S-3 that we have filed with the SEC. This prospectus supplement and the accompanying prospectus do not contain all of the information set forth in the registration statement and the exhibits to the registration statement. For more detail about us and any securities that may be offered by this prospectus supplement and accompanying prospectus, you may examine the registration statement on Form S-3 and the exhibits filed with it at the locations listed in the previous paragraph. Please be aware that statements in this prospectus supplement referring to a contract or other document are summaries and you should refer to the exhibits that are part of the registration statement for a copy of the contract or document.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instead of having to repeat the information in this prospectus supplement. The information incorporated by reference is considered to be part of this prospectus supplement, and later information that we file with the SEC will automatically update and supersede this information. We incorporate by reference the documents listed below and any future filings we will make with the SEC under Sections 13(a), 13(c), 14 or 15(d) of the Exchange Act, after the date of this prospectus supplement (other than information furnished under Item 2.02 or Item 7.01 of Form 8-K) and before the sale of all the securities covered by this prospectus supplement:</w:t>
      </w:r>
    </w:p>
    <w:p>
      <w:pPr>
        <w:spacing w:after="0" w:line="93"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February 28, 2024;</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2023 from our definitive proxy statement on </w:t>
      </w:r>
      <w:hyperlink r:id="rId3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26, 2024;</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 ended March 31, 2024, filed with the SEC on </w:t>
      </w:r>
      <w:hyperlink r:id="rId34">
        <w:r>
          <w:rPr>
            <w:rFonts w:ascii="Times New Roman" w:cs="Times New Roman" w:eastAsia="Times New Roman" w:hAnsi="Times New Roman"/>
            <w:sz w:val="18"/>
            <w:szCs w:val="18"/>
            <w:u w:val="single" w:color="auto"/>
            <w:color w:val="0000EE"/>
          </w:rPr>
          <w:t>May 7, 2024</w:t>
        </w:r>
      </w:hyperlink>
      <w:r>
        <w:rPr>
          <w:rFonts w:ascii="Times New Roman" w:cs="Times New Roman" w:eastAsia="Times New Roman" w:hAnsi="Times New Roman"/>
          <w:sz w:val="18"/>
          <w:szCs w:val="18"/>
          <w:color w:val="auto"/>
        </w:rPr>
        <w:t xml:space="preserve">, the quarterly period ended June 30, 2024, filed with the SEC on </w:t>
      </w:r>
      <w:hyperlink r:id="rId35">
        <w:r>
          <w:rPr>
            <w:rFonts w:ascii="Times New Roman" w:cs="Times New Roman" w:eastAsia="Times New Roman" w:hAnsi="Times New Roman"/>
            <w:sz w:val="18"/>
            <w:szCs w:val="18"/>
            <w:u w:val="single" w:color="auto"/>
            <w:color w:val="0000EE"/>
          </w:rPr>
          <w:t>August 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quarterly period ended September 30, 2024, filed with the SEC on </w:t>
      </w:r>
      <w:hyperlink r:id="rId36">
        <w:r>
          <w:rPr>
            <w:rFonts w:ascii="Times New Roman" w:cs="Times New Roman" w:eastAsia="Times New Roman" w:hAnsi="Times New Roman"/>
            <w:sz w:val="18"/>
            <w:szCs w:val="18"/>
            <w:u w:val="single" w:color="auto"/>
            <w:color w:val="0000EE"/>
          </w:rPr>
          <w:t>November 7, 2024</w:t>
        </w:r>
      </w:hyperlink>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37">
        <w:r>
          <w:rPr>
            <w:rFonts w:ascii="Times New Roman" w:cs="Times New Roman" w:eastAsia="Times New Roman" w:hAnsi="Times New Roman"/>
            <w:sz w:val="18"/>
            <w:szCs w:val="18"/>
            <w:u w:val="single" w:color="auto"/>
            <w:color w:val="0000EE"/>
          </w:rPr>
          <w:t>January 12, 2024</w:t>
        </w:r>
      </w:hyperlink>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January 25, 2024</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February 12, 2024</w:t>
        </w:r>
      </w:hyperlink>
      <w:r>
        <w:rPr>
          <w:rFonts w:ascii="Times New Roman" w:cs="Times New Roman" w:eastAsia="Times New Roman" w:hAnsi="Times New Roman"/>
          <w:sz w:val="18"/>
          <w:szCs w:val="18"/>
          <w:color w:val="auto"/>
        </w:rPr>
        <w:t xml:space="preserve">; April 26, 2024 (with respect to Item 5.02 only); </w:t>
      </w:r>
      <w:hyperlink r:id="rId40">
        <w:r>
          <w:rPr>
            <w:rFonts w:ascii="Times New Roman" w:cs="Times New Roman" w:eastAsia="Times New Roman" w:hAnsi="Times New Roman"/>
            <w:sz w:val="18"/>
            <w:szCs w:val="18"/>
            <w:u w:val="single" w:color="auto"/>
            <w:color w:val="0000EE"/>
          </w:rPr>
          <w:t>June 17, 2024</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August 7, 2024</w:t>
        </w:r>
      </w:hyperlink>
      <w:r>
        <w:rPr>
          <w:rFonts w:ascii="Times New Roman" w:cs="Times New Roman" w:eastAsia="Times New Roman" w:hAnsi="Times New Roman"/>
          <w:sz w:val="18"/>
          <w:szCs w:val="18"/>
          <w:color w:val="auto"/>
        </w:rPr>
        <w:t xml:space="preserve">; and </w:t>
      </w:r>
      <w:hyperlink r:id="rId42">
        <w:r>
          <w:rPr>
            <w:rFonts w:ascii="Times New Roman" w:cs="Times New Roman" w:eastAsia="Times New Roman" w:hAnsi="Times New Roman"/>
            <w:sz w:val="18"/>
            <w:szCs w:val="18"/>
            <w:u w:val="single" w:color="auto"/>
            <w:color w:val="0000EE"/>
          </w:rPr>
          <w:t>August 28,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(with respect to Items 2.05 and 8.01 only);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shares contained in our registration statement on </w:t>
      </w:r>
      <w:hyperlink r:id="rId4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16, 2020, including any amendments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supplement but not delivered with the prospectus, including exhibits which are specifically incorporated by reference into such documents. You should direct any requests for documents to Repare Therapeutics Inc., Attn: Investor Relations, 7171 Frederick-Banting, Building 2, Suite 270, St-Laurent, Québec, Canada H4S 1Z9.</w:t>
      </w:r>
    </w:p>
    <w:p>
      <w:pPr>
        <w:spacing w:after="0" w:line="180" w:lineRule="exact"/>
        <w:rPr>
          <w:rFonts w:ascii="Times New Roman" w:cs="Times New Roman" w:eastAsia="Times New Roman" w:hAnsi="Times New Roman"/>
          <w:sz w:val="18"/>
          <w:szCs w:val="18"/>
          <w:color w:val="auto"/>
        </w:rPr>
      </w:pPr>
    </w:p>
    <w:p>
      <w:pPr>
        <w:jc w:val="center"/>
        <w:ind w:right="140"/>
        <w:spacing w:after="0" w:line="454"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supplement. 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182245</wp:posOffset>
            </wp:positionV>
            <wp:extent cx="1697355" cy="52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169735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Shares</w:t>
      </w: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6"/>
          <w:szCs w:val="16"/>
          <w:color w:val="auto"/>
        </w:rPr>
        <w:t>From time to time, we may offer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 The aggregate initial offering price of the securities that we may offer and sell under this prospectus will not exceed $350,000,000.</w:t>
      </w:r>
    </w:p>
    <w:p>
      <w:pPr>
        <w:spacing w:after="0" w:line="17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This prospectus may not be used to consummate a sale of any securities unless accompanied by a prospectus supplement.</w:t>
      </w:r>
    </w:p>
    <w:p>
      <w:pPr>
        <w:spacing w:after="0" w:line="237"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6"/>
          <w:szCs w:val="16"/>
          <w:color w:val="auto"/>
        </w:rPr>
        <w:t>Our common shares are listed on the Nasdaq Global Select Market under the symbol “RPTX.” On August 5, 2024, the last reported sale price of our common shares was $3.12 per share. The applicable prospectus supplement will contain information, where applicable, as to any other listing on the Nasdaq Global Select Market or any securities market or other exchange of the securities, if any, covered by the prospectus supplement.</w:t>
      </w:r>
    </w:p>
    <w:p>
      <w:pPr>
        <w:spacing w:after="0" w:line="17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6"/>
          <w:szCs w:val="16"/>
          <w:color w:val="auto"/>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contained in the applicable prospectus supplement and any related free writing prospectus, and under similar headings in the other documents that are incorporated by reference into this prospectus as described on page 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The date of this prospectus is August 19, 2024.</w:t>
      </w:r>
    </w:p>
    <w:p>
      <w:pPr>
        <w:sectPr>
          <w:pgSz w:w="11900" w:h="16838" w:orient="portrait"/>
          <w:cols w:equalWidth="0" w:num="1">
            <w:col w:w="11100"/>
          </w:cols>
          <w:pgMar w:left="320" w:top="455" w:right="4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  </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6"/>
          </w:tcPr>
          <w:p>
            <w:pPr>
              <w:spacing w:after="0"/>
              <w:rPr>
                <w:sz w:val="17"/>
                <w:szCs w:val="17"/>
                <w:color w:val="auto"/>
              </w:rPr>
            </w:pPr>
          </w:p>
        </w:tc>
        <w:tc>
          <w:tcPr>
            <w:tcW w:w="7540" w:type="dxa"/>
            <w:vAlign w:val="bottom"/>
            <w:gridSpan w:val="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0"/>
          </w:tcPr>
          <w:p>
            <w:pPr>
              <w:spacing w:after="0"/>
              <w:rPr>
                <w:sz w:val="17"/>
                <w:szCs w:val="17"/>
                <w:color w:val="auto"/>
              </w:rPr>
            </w:pPr>
          </w:p>
        </w:tc>
        <w:tc>
          <w:tcPr>
            <w:tcW w:w="44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9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72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7280" w:type="dxa"/>
            <w:vAlign w:val="bottom"/>
            <w:gridSpan w:val="7"/>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97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DIFFERENCES BETWEEN THE BUSINESS CORPORATIONS ACT (QUÉBEC) AND THE DELAWARE GENERAL</w:t>
            </w:r>
          </w:p>
        </w:tc>
        <w:tc>
          <w:tcPr>
            <w:tcW w:w="12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CORPORATION LAW</w:t>
            </w:r>
          </w:p>
        </w:tc>
        <w:tc>
          <w:tcPr>
            <w:tcW w:w="7880" w:type="dxa"/>
            <w:vAlign w:val="bottom"/>
            <w:gridSpan w:val="10"/>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674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9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7720" w:type="dxa"/>
            <w:vAlign w:val="bottom"/>
            <w:gridSpan w:val="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20" w:type="dxa"/>
            <w:vAlign w:val="bottom"/>
          </w:tcPr>
          <w:p>
            <w:pPr>
              <w:spacing w:after="0"/>
              <w:rPr>
                <w:sz w:val="17"/>
                <w:szCs w:val="17"/>
                <w:color w:val="auto"/>
              </w:rPr>
            </w:pPr>
          </w:p>
        </w:tc>
        <w:tc>
          <w:tcPr>
            <w:tcW w:w="9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3800" w:type="dxa"/>
            <w:vAlign w:val="bottom"/>
            <w:gridSpan w:val="1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458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46"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U.S. Securities and Exchange Commission, or the SEC, utilizing a “shelf” registration process. Under this shelf registration process, we may offer and sell from time to time in one or more offerings the securities described in this prospectus, for an aggregate offering price of up to $350,000,000.</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securities under this prospectus, we will provide a prospectus supplement that will contain specific information about the terms of these securities and offerings.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any documents that we have incorporated by reference into this prospectus. We urge you to read carefully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8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ind w:left="120" w:right="580" w:firstLine="44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3" w:lineRule="exact"/>
        <w:rPr>
          <w:sz w:val="20"/>
          <w:szCs w:val="20"/>
          <w:color w:val="auto"/>
        </w:rPr>
      </w:pPr>
    </w:p>
    <w:p>
      <w:pPr>
        <w:ind w:left="120" w:right="120" w:firstLine="440"/>
        <w:spacing w:after="0" w:line="230" w:lineRule="auto"/>
        <w:rPr>
          <w:sz w:val="20"/>
          <w:szCs w:val="20"/>
          <w:color w:val="auto"/>
        </w:rPr>
      </w:pPr>
      <w:r>
        <w:rPr>
          <w:rFonts w:ascii="Times New Roman" w:cs="Times New Roman" w:eastAsia="Times New Roman" w:hAnsi="Times New Roman"/>
          <w:sz w:val="18"/>
          <w:szCs w:val="18"/>
          <w:color w:val="auto"/>
        </w:rPr>
        <w:t xml:space="preserve">“Repare Therapeutics” and the Repare logo appearing in this prospectus are unregistered trademarks and SNIPRx is a registered trademark of Repare Therapeutics Inc. All other trademarks, trade names and service marks appearing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their rights thereto.</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42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This summary is not complete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2" w:lineRule="exact"/>
        <w:rPr>
          <w:sz w:val="20"/>
          <w:szCs w:val="20"/>
          <w:color w:val="auto"/>
        </w:rPr>
      </w:pPr>
    </w:p>
    <w:p>
      <w:pPr>
        <w:ind w:left="300" w:right="6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the terms “Repare,” “Repare Therapeutics,” “we,” “us,” “our” and similar references in this prospectus refer to Repare Therapeutics Inc. and its consolidated subsidiary.</w:t>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We are a leading clinical-stage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that preferentially treat cancers due to mechanisms of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w:t>
      </w: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are governed by the Business Corporations Act (Québec), or the QBCA. Our principal executive offices are located at 7171 Frederick-Banting, Building 2, Suite 270, St-Laurent, Quebec, H4S 1Z9 and our telephone number is 857-412-7018. In June 2017, we incorporated our wholly-owned subsidiary, Repare Therapeutics USA Inc., a Delaware corporation. Our corporate website address is www.reparerx.com. Information contained on, or accessible through, our website is not a part of this prospectus. We have included our website in this prospectus solely as an inactive textual reference.</w:t>
      </w:r>
    </w:p>
    <w:p>
      <w:pPr>
        <w:spacing w:after="0" w:line="3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We may offer our common shares and preferred shares, various series of debt securities and warrants to purchase any of such securities,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73"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9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30"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and Canadian federal income tax considerations.</w:t>
      </w:r>
    </w:p>
    <w:p>
      <w:pPr>
        <w:spacing w:after="0" w:line="225"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or agents;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5"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We may issue common shares from time to time. Under our articles of continuance, each holder of common shares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entitled to receive notice of, to attend and to vote at, all annual and special meetings of our shareholders. Each common share entitles the holder thereof to one vote at all meetings, other than meetings at which only holders of another specified class or series of shares have the right to vote. Subject and subordinate to the prior rights, privileges conditions and restrictions of the holders of our preferred shares ranking before common shares, the holders of common shares are entitled to receive dividends as and when declared by our board of directors. Subject and subordinate to the prior payment to the holders of our preferred shares ranking before common shares, in the event of our liquidation, dissolution or winding-up, whether voluntary or involuntary, or other distribution of our assets among our shareholders for the purposes of winding up our affairs, the holders of common shares are entitled to share pro rata in the distribution of our remaining property and assets. The holders of common shares have no preemptive, conversion rights or other subscription rights. There are no redemption or sinking fund provisions applicable to our common shares. There is no provision in our articles of continuance requiring the holders of common shares to contribute additional capital or permitting or restricting the issuance of additional securities or any other material restrictions. The rights, privileges, conditions and restrictions of the holders of common shares will be subject to and may be adversely affected by, the rights, privileges, conditions and restrictions of the holders of any series of preferred shares that we may designate in the future or any other class or series of shares that may be created and that would rank senior to the common shares.</w:t>
      </w:r>
    </w:p>
    <w:p>
      <w:pPr>
        <w:spacing w:after="0" w:line="3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5"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13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40" w:firstLine="4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color w:val="auto"/>
        </w:rPr>
        <w:t>. Pursuant to our articles of continuance, we may issue preferred shares at any time and from time to time, in one or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Under our articles of continuance, we are authorized to issue, without shareholder approval, an unlimited number of preferred shares, issuable in one or more series, and, subject to the provisions of the QBCA, having such designations, rights, privileges, restrictions and conditions, including dividend and voting rights, as our board of directors may determine, and such rights, privileges, conditions and restrictions, including dividend and voting rights, may be superior to those of the common shares.</w:t>
      </w:r>
    </w:p>
    <w:p>
      <w:pPr>
        <w:spacing w:after="0" w:line="14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If we sell any series of preferred shares under this prospectus, we will fix the designations, voting powers, preferences and rights of such series of preferred shares, as well as the qualifications, limitations or restrictions thereof, in the articles of amendment containing a description of such series. Before issuing a series of preferred shares, we will file as an exhibit to the registration statement of which this prospectus is a part, or will incorporate by reference from reports that we file with the SEC, any articles and certificates of amendment that describe the terms of the series of preferred shares that we are offering. We urge you to read the applicable prospectus supplement (and any free writing prospectus that we may authorize to be provided to you) related to the series of preferred shares being offered, as well as the complete articles and certificates of amendment that contain the terms of the applicable series of preferred shares.</w:t>
      </w:r>
    </w:p>
    <w:p>
      <w:pPr>
        <w:spacing w:after="0" w:line="158" w:lineRule="exact"/>
        <w:rPr>
          <w:sz w:val="20"/>
          <w:szCs w:val="20"/>
          <w:color w:val="auto"/>
        </w:rPr>
      </w:pPr>
    </w:p>
    <w:p>
      <w:pPr>
        <w:ind w:left="300" w:firstLine="4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From time to time, we may issue debt securities in one or more series, as either senior or subordinated debt or as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shares or other securities. Conversion may be mandatory or at the holder’s option and would be at prescribed conversion rates.</w:t>
      </w:r>
    </w:p>
    <w:p>
      <w:pPr>
        <w:spacing w:after="0" w:line="143"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the heading “Description of Debt Securities.” We urge you, however, to read the applicable prospectus supplement (and any free writing prospectus that we may authorize to be provided to you) related to the series of debt securities being offered, as well as the complete indenture(s) and any supplemental indentures that contain the terms of the debt securities. We have filed a form of indenture as an exhibit to the registration statement of which this prospectus is a part. We will file as exhibits to the registration statement of which this prospectus is a part, or will be incorporated by reference from reports that we file with the SEC, supplemental indentures and forms of debt securities containing the terms of the debt securities being offered.</w:t>
      </w:r>
    </w:p>
    <w:p>
      <w:pPr>
        <w:spacing w:after="0" w:line="147"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time to time, we may issue warrants for the purchase of common shares, preferred shares and/or debt securities, in one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series, from time to time. We may issue warrants independently or in combination with common shares, preferred shares and/or debt securities, and the warrants may be attached to or separate from these securities. In this prospectus, we have summarized certain general features of the warrants under the heading “Description of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We have filed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be incorporated by reference from reports that we file with the SEC, the form of warrant or the warrant agreement and warrant certificate, as applicable, that contain the terms of the particular series of warrants we are offering, and any supplemental agreements, before the issuance of such warrants.</w:t>
      </w:r>
    </w:p>
    <w:p>
      <w:pPr>
        <w:spacing w:after="0" w:line="162" w:lineRule="exact"/>
        <w:rPr>
          <w:sz w:val="20"/>
          <w:szCs w:val="20"/>
          <w:color w:val="auto"/>
        </w:rPr>
      </w:pPr>
    </w:p>
    <w:p>
      <w:pPr>
        <w:jc w:val="both"/>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Any warrants issued under this prospectus may be evidenced by warrant certificates. Warrants may be issued under a warrant agreement that we enter into with a warrant agent. We will indicate the name and address of the warrant agent, if applicable, in the prospectus supplement relating to the particular series of warrants being offered.</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5" w:right="6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the section titled “Risk Factors” contained in our most recent Annual Report on Form 10-K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below titled “Special Note Regarding Forward-Looking Statements.”</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Statements contained in this prospectus, the applicable prospectus supplement and in the documents incorporated by reference herein and therein that are not strictly historical in nature are forward-looking statements within the meaning of Section 27A of the Securities Act, and within the meaning of Section 21E of the Securities Exchange Act of 1934, as amended, or the Exchange Act. These forward-looking statements are subject to the “safe harbor” created by Section 27A of the Securities Act and Section 21E of the Exchange Act and may include, but are not limited to, statements related to future events or to our future operating or financial performance and involve known and unknown risks, uncertainties and other factors that may cause our actual results, performance or achievements to be materially different from any future results, performance or achievements expressed or implied by the forward-looking statements. All statements other than statements of historical facts contained in this prospectus or in the documents incorporated by reference herein and in any prospectus supplement, including statements regarding our strategy, future financial condition, future operations, research and development, planned clinical trials and preclinical studies, technology platforms, the timing and likelihood of regulatory filings and approvals for our product candidates, our ability to commercialize our product candidates, the potential benefits of collaborations, projected costs, prospects, plans, objectives of management and expected market growth, are forward-looking statements.</w:t>
      </w:r>
    </w:p>
    <w:p>
      <w:pPr>
        <w:spacing w:after="0" w:line="19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herein or incorporated by reference, in addition to the other information set forth in this prospectus, any accompanying prospectus supplement or free writing prospectus and in the documents incorporated by reference.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Except as described in any applicable prospectus supplement or in any related free writing prospectus that we may authorize to be provided to you in connection with a specific offering, we currently intend to use the net proceeds from the sale of the securities offered hereby, if any, for general corporate purposes, including research and development expenses, general and administrative expenses, sales and marketing expenses, capital expenditures, which may include costs of funding future acquisitions, and working capital or for any other purpose we describe in the applicable prospectus supplement. We will set forth in the applicable prospectus supplement or free writing prospectus our intended use for the net proceeds received from the sale of any securities sold pursuant to the prospectus supplement or free writing prospectus. Pending the use of net proceeds, we plan to invest the net proceeds in short- and intermediate-term interest-bearing obligations, investment-grade securities, certificates of deposit or government securities.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terms of our common shares and preferred shares as set forth in our articles of continuance. The following description of our share capital is intended as a summary only and is qualified in its entirety by reference to the provisions of Québec law and the complete text of our articles of continuance and amended and restated bylaws, which are filed as exhibits to the registration statement of which this prospectus is a part, and to the applicable provisions of the QBCA</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share capital consists of an unlimited number of common shares, no par value per share, and an unlimited number of preferred shares, no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Under our articles of continuance, the holders of our common shares are entitled to one vote for each share held at any meeting of the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shares, the holders of our common shares are entitled to receive dividends as and when declared by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payments that may be payable to the holders of any then-outstanding preferred shares, in the event of our liquidation, dissolution</w:t>
      </w:r>
    </w:p>
    <w:p>
      <w:pPr>
        <w:spacing w:after="0" w:line="27"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or winding-up or other distribution of its assets among our shareholders, the holders of common shares are entitled to share pro rata in the distribution of the balance of our assets.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common shares have no preemptive, conversion rights or other subscription rights. There are no redemption or sinking fund provisions applicable to our common shares. There is no provision in our articles of continuance requiring the holders of common shares to contribute additional capital or permitting or restricting the issuance of additional securities or any other material restrictions. The rights, preferences and privileges of the holders of common shares are subject to and may be adversely affected by, the rights of the holders of any series of preferred shares that we may designate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do not have any preferred shares issued and outstanding. Under our articles of continuance, we are authorized to issue, without shareholder approval, an unlimited number of preferred shares, issuable in one or more series, and, subject to the provisions of the QBCA, having such designations, rights, privileges, restrictions and conditions, including dividend and voting rights, as our board of directors may determine, and such rights and privileges, including dividend and voting rights, may be superior to those of the common shares.</w:t>
      </w:r>
    </w:p>
    <w:p>
      <w:pPr>
        <w:spacing w:after="0" w:line="180"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Subject to the filing with the applicable enterprise registrar of the articles of amendment containing a description of such series of preferred shares and the issuance of the certificate of amendment by the enterprise registrar, preferred shares could be issued relatively quickly with terms designed to delay or prevent a change in control of our company or make removal of management more difficult. Additionally, the issuance of preferred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shares may have the effect of decreasing the market price of the common shares and may adversely affect the voting power of holders of common shares and reduce the likelihood that common shareholders will receive dividend payments and payments upon liquidation, dissolution, winding-up or other distribution of assets.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of each series, as well as the qualifications, limitations or restrictions thereof, of the preferred shares of each series that we offer under this prospectus and applicable prospectus supplements in the articles of amendment relating to that series. Before issuing a series of preferred shares, we will file as an exhibit to the registration statement of which this prospectus is a part, or will incorporate by reference from reports that we file with the SEC, any articles and certificate of amendment that describes the terms of such series of preferred shares. The description of such series of preferred shares in any applicable registration statement, prospectus supplement or report filed with the SEC will include, to the extent applicable:</w:t>
      </w:r>
    </w:p>
    <w:p>
      <w:pPr>
        <w:spacing w:after="0" w:line="93"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on any securities exchange or market;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will be convertible into our common shares or other securities of ours, including depositary shares and warrants, and, if applicable, the conversion period, the conversion price, or how it will be calculated, and under what circumstances it may be adjusted;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will be exchangeable into debt securities, and, if applicable, the exchange period, the exchange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shares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and Canadian federal income tax considerations applicable to the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shares ranking senior to or on a parity with the series of preferred shares being issued as to dividend rights and rights if we liquidate, dissolve or wind up our affairs;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shares.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191 of the QBCA provides for a general rule that a special resolution that favors certain shareholders of a class or series of shares or changes prejudicially the rights attaching to all the shares of a class or series of shares must be approved by the shareholders of that class or series. The same applies to a special resolution authorizing the articles to be amended in order to allow the board of directors to change prejudicially the rights attaching to all the shares of a class or series of shares without shareholder authorization. Such approval is given by a special resolution adopted separately by the holders of each class or series of shares concerned, whether or not the shares otherwise carry voting rights. Such approval is not required if (i) the special resolution changes prejudicially in the same manner the rights attaching to all the shares issued by the corporation or (ii) under the amendment to the articles authorized by the special resolution, it is only possible to change prejudicially the rights attaching to all the shares issued by the corporation. This general rule in Section 191 of the QBCA may give rise to separate class or series votes in addition to any other vote or approval requirement set out in the QBCA or the articles. Therefore, to the extent provided for in the QBCA, the holders of preferred shares or series of preferred shares, as holders of distinct class or series of shares, would in certain circumstances have the right to vote separately as a class or as a series, as the case may be.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the courts of the Province of Québec and the appellate courts therefrom shall, to the fullest extent permitted by law, be the sole and exclusive forum for: (i) any derivative action or proceeding brought on our behalf; (ii) any action or proceeding asserting a claim for breach of a fiduciary duty owed to us by any of our directors, officers or other employees; (iii) any action or proceeding asserting a claim arising pursuant to any provision of the QBCA or our articles of continuance or amended and restated bylaws (as either may be amended from time to time); or (iv) any action or proceeding asserting a claim otherwise related to our affairs, provided that, the exclusive forum provision does not apply to suits brought to enforce any liability or duty created by the Securities Act, the Exchange Act or any other claim for which the U.S. federal courts have exclusive jurisdiction. Our amended and restated bylaws further provide that unless we consent in writing to the selection of an alternative forum, the federal district courts of the United States of America shall be the exclusive forum for the resolution of any complaint asserting a cause of action arising under the Securities Act. It is possible that a court of law could rule that the choice of forum provision contained in our amended and restated bylaws is inapplicable or unenforceable if it is challenged in a proceeding or otherwise.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shares is Computershare Investor Services Inc. The transfer agent’s address is 650 de Maisonneuve Boulevard West, 7th Floor, Montréal, Québec H3A 3T2. Nasdaq Global Select Market Listing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“RPTX.”</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The applicable prospectus supplement may also describe material Canadian federal income tax considerations generally applicable to investors described therein of purchasing, holding and disposing of debt securities that we may issue, including, in the case of an investor who is not a resident of Canada, Canadian withholding tax considerations.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U.S. federal tax purposes or any holder that is not a “resident of Canada” for Canadian federal income tax purposes;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shares or our other securities. We will include provisions as to settlement upon conversion or exchange and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66" w:lineRule="auto"/>
        <w:rPr>
          <w:sz w:val="20"/>
          <w:szCs w:val="20"/>
          <w:color w:val="auto"/>
        </w:rPr>
      </w:pPr>
      <w:r>
        <w:rPr>
          <w:rFonts w:ascii="Times New Roman" w:cs="Times New Roman" w:eastAsia="Times New Roman" w:hAnsi="Times New Roman"/>
          <w:sz w:val="18"/>
          <w:szCs w:val="18"/>
          <w:color w:val="auto"/>
        </w:rPr>
        <w:t>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5540" w:right="4440" w:hanging="4884"/>
        <w:spacing w:after="0" w:line="454" w:lineRule="auto"/>
        <w:tabs>
          <w:tab w:leader="none" w:pos="10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 14</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 or, generally, with respect to, among other things, corporate law operations, in which case the QBCA may be applicable.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shares, preferred shares or debt securities and may be issued in one or more series. Warrants may be issued independently or together with common shares, preferred shares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filed forms of the warrant agreements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applicable prospectus supplement, we will describe the terms of the series of warrants being offered, including, to the extent applicable:</w:t>
      </w:r>
    </w:p>
    <w:p>
      <w:pPr>
        <w:spacing w:after="0" w:line="13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or prices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shares or preferred shares, the number of common shares or preferred shares, as the case may be, purchasable upon the exercise of one warrant and the price at which, and the currency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the exercise of the warrants;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6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shares or preferred shares, the right to receive dividends, if any, or payments upon our liquidation, dissolution or winding up or to exercise voting rights, if any;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or, generally, with respect to, among other things, corporate law operations, in which case the QBCA may be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320" w:top="455" w:right="5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60"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MATERIAL DIFFERENCES BETWEEN THE </w:t>
      </w:r>
      <w:r>
        <w:rPr>
          <w:rFonts w:ascii="Times New Roman" w:cs="Times New Roman" w:eastAsia="Times New Roman" w:hAnsi="Times New Roman"/>
          <w:sz w:val="18"/>
          <w:szCs w:val="18"/>
          <w:b w:val="1"/>
          <w:bCs w:val="1"/>
          <w:i w:val="1"/>
          <w:iCs w:val="1"/>
          <w:color w:val="auto"/>
        </w:rPr>
        <w:t>BUSINESS CORPORATIONS ACT</w:t>
      </w:r>
      <w:r>
        <w:rPr>
          <w:rFonts w:ascii="Times New Roman" w:cs="Times New Roman" w:eastAsia="Times New Roman" w:hAnsi="Times New Roman"/>
          <w:sz w:val="18"/>
          <w:szCs w:val="18"/>
          <w:b w:val="1"/>
          <w:bCs w:val="1"/>
          <w:color w:val="auto"/>
        </w:rPr>
        <w:t xml:space="preserve"> (QUÉBEC) AND THE DELAWARE GENERAL CORPORATION LAW</w:t>
      </w:r>
    </w:p>
    <w:p>
      <w:pPr>
        <w:spacing w:after="0" w:line="15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are governed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 or the QBCA, which is generally similar to laws applicable to U.S. corporations. Significant differences between the QBCA and the Delaware General Corporation Law, or DGCL, which governs companies incorporated in the State of Delaware, include the differences summarized below. This summary is not an exhaustive review of the two statutes, and reference should be made to the full text of both statutes for particulars of the differences.</w:t>
      </w:r>
    </w:p>
    <w:p>
      <w:pPr>
        <w:sectPr>
          <w:pgSz w:w="11900" w:h="16838" w:orient="portrait"/>
          <w:cols w:equalWidth="0" w:num="1">
            <w:col w:w="11140"/>
          </w:cols>
          <w:pgMar w:left="320" w:top="455" w:right="439" w:bottom="1440" w:gutter="0" w:footer="0" w:header="0"/>
        </w:sectPr>
      </w:pP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38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28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Number and Election of Directors</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w w:val="99"/>
              </w:rPr>
              <w:t>Under the DGCL, the board of directors must consist</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w w:val="99"/>
              </w:rPr>
              <w:t>of at least one director. The number of directors shall</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be fixed by the bylaws of the corporation, unless the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fixes the number of</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directors, in which case a change in the number of</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directors shall only be made by an amendment of the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Under the DGCL,</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directors are elected at annual stockholder meetings</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by plurality vote of the stockholders, unless a</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shareholder-adopted bylaw prescribes a different</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required vote.</w:t>
            </w:r>
          </w:p>
        </w:tc>
      </w:tr>
      <w:tr>
        <w:trPr>
          <w:trHeight w:val="869"/>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Constitution and Residency of</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DGCL does not have residency requirements,</w:t>
            </w:r>
          </w:p>
        </w:tc>
      </w:tr>
      <w:tr>
        <w:trPr>
          <w:trHeight w:val="220"/>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but a corporation may prescribe qualifications for</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directors under its certificate of incorporation or</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bylaws.</w:t>
            </w: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Under the DGCL, any director or the entire board of</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directors may be removed, with or without cause, by</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holders of a majority of the shares then entitled to</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vote at an election of directors, except (i) unless the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w w:val="99"/>
              </w:rPr>
              <w:t>certificate of incorporation provides otherwise, in the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case of a corporation whose board of directors is</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classified, stockholders may effect such removal</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only for cause, or (ii) in the case of a corporation</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having cumulative voting, if less than the entire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is to be removed, no director may</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be removed without cause if the votes cast against</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his removal would be sufficient to elect him if then</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cumulatively voted at an election of</w:t>
            </w:r>
          </w:p>
        </w:tc>
      </w:tr>
      <w:tr>
        <w:trPr>
          <w:trHeight w:val="365"/>
        </w:trPr>
        <w:tc>
          <w:tcPr>
            <w:tcW w:w="3100" w:type="dxa"/>
            <w:vAlign w:val="bottom"/>
          </w:tcPr>
          <w:p>
            <w:pPr>
              <w:spacing w:after="0"/>
              <w:rPr>
                <w:sz w:val="24"/>
                <w:szCs w:val="24"/>
                <w:color w:val="auto"/>
              </w:rPr>
            </w:pPr>
          </w:p>
        </w:tc>
        <w:tc>
          <w:tcPr>
            <w:tcW w:w="38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4428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QBCA, the board of directors of a corporation whose securities are publicly traded must consist of at least three members, at least two of whom must not be officers or employees of the corporation or an affiliate of the corporation, so long as the corporation remains a “reporting issuer” for purposes of the QBCA, which includes a corporation that has made a distribution of securities to the public.</w:t>
      </w:r>
    </w:p>
    <w:p>
      <w:pPr>
        <w:spacing w:after="0" w:line="9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Under the QBCA, directors are elected by the shareholders, in the manner and for the term, not exceeding three years, set out in the corporation’s bylaws.</w:t>
      </w:r>
    </w:p>
    <w:p>
      <w:pPr>
        <w:spacing w:after="0" w:line="8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The QBCA does not have residency requirements.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Under the QBCA, unless the articles of a corporation provide for cumulative voting (which is not the case for us), shareholders of the corporation may, by resolution passed by a majority of the votes cast thereon at a special meeting of shareholders, remove any or all directors from office and may elect any qualified person to fill the resulting vacancy.</w:t>
      </w:r>
    </w:p>
    <w:p>
      <w:pPr>
        <w:sectPr>
          <w:pgSz w:w="11900" w:h="16838" w:orient="portrait"/>
          <w:cols w:equalWidth="0" w:num="2">
            <w:col w:w="7060" w:space="220"/>
            <w:col w:w="3860"/>
          </w:cols>
          <w:pgMar w:left="320" w:top="455" w:right="4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38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191"/>
        </w:trPr>
        <w:tc>
          <w:tcPr>
            <w:tcW w:w="3100" w:type="dxa"/>
            <w:vAlign w:val="bottom"/>
          </w:tcPr>
          <w:p>
            <w:pPr>
              <w:spacing w:after="0"/>
              <w:rPr>
                <w:sz w:val="16"/>
                <w:szCs w:val="16"/>
                <w:color w:val="auto"/>
              </w:rPr>
            </w:pP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the entire board of directors, or, if there are classes of</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directors, at an election of the class of directors of</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which he is a part.</w:t>
            </w: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Vacancies on the Board of Directors</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Under the DGCL, vacancies and newly created</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directorships may be filled by a majority of the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directors then in office (even though less than a</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quorum) or by a sole remaining director unless</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 otherwise provided in the certificate of</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bylaws of the corporation or (ii) the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directs that a particular</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class of stock is to elect such director, in which case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 majority of the other directors elected by such</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class, or a sole remaining director elected by such</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class, will fill such vacancy.</w:t>
            </w:r>
          </w:p>
        </w:tc>
      </w:tr>
      <w:tr>
        <w:trPr>
          <w:trHeight w:val="30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 Quorum and Vote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Under the DGCL, a majority of the total number of</w:t>
            </w:r>
          </w:p>
        </w:tc>
      </w:tr>
      <w:tr>
        <w:trPr>
          <w:trHeight w:val="220"/>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w w:val="99"/>
              </w:rPr>
              <w:t>directors shall constitute a quorum for the transaction</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of business unless the certificate of incorporation or</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bylaws require a greater number. The bylaws may</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lower the number required for a quorum to one-third</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number of directors, but no less.</w:t>
            </w:r>
          </w:p>
        </w:tc>
      </w:tr>
      <w:tr>
        <w:trPr>
          <w:trHeight w:val="319"/>
        </w:trPr>
        <w:tc>
          <w:tcPr>
            <w:tcW w:w="310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Under the DGCL, the board of directors may take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action by the majority vote of the directors present at</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 meeting at which a quorum is present unless the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or bylaws require a</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greater vote.</w:t>
            </w:r>
          </w:p>
        </w:tc>
      </w:tr>
      <w:tr>
        <w:trPr>
          <w:trHeight w:val="315"/>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Directors and</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DGCL generally provides that no transaction</w:t>
            </w:r>
          </w:p>
        </w:tc>
      </w:tr>
      <w:tr>
        <w:trPr>
          <w:trHeight w:val="220"/>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between a corporation and one or more of its</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directors or officers, or between a corporation and</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any other corporation or other organization in which</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one or more of its directors or officers, are directors</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or officers, or have a financial interest, shall be void</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or voidable solely for this reason, or solely because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director or officer is present at or participates in</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meeting of the board or committee which</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w w:val="99"/>
              </w:rPr>
              <w:t>authorizes the transaction, or solely because any such</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director’s or</w:t>
            </w:r>
          </w:p>
        </w:tc>
      </w:tr>
      <w:tr>
        <w:trPr>
          <w:trHeight w:val="365"/>
        </w:trPr>
        <w:tc>
          <w:tcPr>
            <w:tcW w:w="3100" w:type="dxa"/>
            <w:vAlign w:val="bottom"/>
          </w:tcPr>
          <w:p>
            <w:pPr>
              <w:spacing w:after="0"/>
              <w:rPr>
                <w:sz w:val="24"/>
                <w:szCs w:val="24"/>
                <w:color w:val="auto"/>
              </w:rPr>
            </w:pPr>
          </w:p>
        </w:tc>
        <w:tc>
          <w:tcPr>
            <w:tcW w:w="38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4428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Under the QBCA, vacancies that exist on the board of directors may generally be filled by the board if the remaining directors constitute a quorum. In the absence of a quorum, the remaining directors shall call a meeting of shareholders to fill the vacancy.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QBCA, subject to the corporation’s bylaws, a majority of the directors in office constitutes a quorum at any meeting of the board. Our amended and restated bylaws also provide that a majority of the directors in office constitutes a quorum at any meeting of the board.</w:t>
      </w:r>
    </w:p>
    <w:p>
      <w:pPr>
        <w:spacing w:after="0" w:line="9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 the QBCA, a quorum of directors may exercise all the powers of the directors despite any vacancy on the board.</w:t>
      </w:r>
    </w:p>
    <w:p>
      <w:pPr>
        <w:spacing w:after="0" w:line="200" w:lineRule="exact"/>
        <w:rPr>
          <w:sz w:val="20"/>
          <w:szCs w:val="20"/>
          <w:color w:val="auto"/>
        </w:rPr>
      </w:pPr>
    </w:p>
    <w:p>
      <w:pPr>
        <w:spacing w:after="0" w:line="3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QBCA, every director or officer of a corporation must disclose the nature and value of any interest he or she has in a contract or transaction to which the corporation is a party. For the purposes of this rule, “interest” means any financial stake in a contract or transaction that may reasonably be considered likely to influence decision-making. Furthermore, a proposed contract or a proposed transaction, including related negotiations, is considered a contract or transaction. In addition, a director</w:t>
      </w:r>
    </w:p>
    <w:p>
      <w:pPr>
        <w:sectPr>
          <w:pgSz w:w="11900" w:h="16838" w:orient="portrait"/>
          <w:cols w:equalWidth="0" w:num="2">
            <w:col w:w="7060" w:space="220"/>
            <w:col w:w="386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16510</wp:posOffset>
            </wp:positionV>
            <wp:extent cx="24428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9" w:lineRule="exact"/>
        <w:rPr>
          <w:sz w:val="20"/>
          <w:szCs w:val="20"/>
          <w:color w:val="auto"/>
        </w:rPr>
      </w:pPr>
    </w:p>
    <w:p>
      <w:pPr>
        <w:ind w:left="3220"/>
        <w:spacing w:after="0" w:line="251" w:lineRule="auto"/>
        <w:rPr>
          <w:sz w:val="20"/>
          <w:szCs w:val="20"/>
          <w:color w:val="auto"/>
        </w:rPr>
      </w:pPr>
      <w:r>
        <w:rPr>
          <w:rFonts w:ascii="Times New Roman" w:cs="Times New Roman" w:eastAsia="Times New Roman" w:hAnsi="Times New Roman"/>
          <w:sz w:val="18"/>
          <w:szCs w:val="18"/>
          <w:color w:val="auto"/>
        </w:rPr>
        <w:t>officer’s votes are counted for such purpose, if (i) the material facts as to the director’s or officer’s interest and as to the transaction are known to the board of directors or the committee, and the board or committee in good faith authorizes the transaction by the affirmative votes of a majority of the disinterested directors, even though the disinterested directors be less than a quorum (ii) the material facts as to the director’s or officer’s interest and as to the transaction are disclosed or are known to the stockholders entitled to vote thereon, and the transaction is specifically approved in good faith by vote of the stockholders; or (iii) the transaction is fair as to the corporation as of the time it is authorized, approved or ratified, by the board of directors, a committee or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4428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or an officer must disclose any contract or transaction to which the corporation and any of the following are a party: (i) an associate of the director or officer; (ii) a group of which the director or officer is a director or officer; or (iii) a group in which the director or officer or an associate of the director or officer has an interest. Such disclosure is required even for a contract or transaction that does not require approval by the board of directors. If a director is required to disclose his or her interest in a contract or transaction, such director is not allowed to vote on any resolution to approve, amend or terminate the contract or transaction or be present during deliberations concerning the approval, amendment or termination of such contract or transaction, unless the contract or transaction</w:t>
      </w:r>
    </w:p>
    <w:p>
      <w:pPr>
        <w:spacing w:after="0" w:line="2" w:lineRule="exact"/>
        <w:rPr>
          <w:sz w:val="20"/>
          <w:szCs w:val="20"/>
          <w:color w:val="auto"/>
        </w:rPr>
      </w:pPr>
    </w:p>
    <w:p>
      <w:pPr>
        <w:ind w:right="40" w:firstLine="4"/>
        <w:spacing w:after="0" w:line="269" w:lineRule="auto"/>
        <w:tabs>
          <w:tab w:leader="none" w:pos="2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 primarily to the remuneration of the director or an associate of the director as a director, officer, employee or mandatory of the corporation or an affiliate of the corporation, (ii) is for indemnity or liability insurance under the QBCA, or (iii) is with an affiliate of the corporation, and the sole interest of the director is as a director or officer of the affiliate.</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 director or officer does not disclose his or her interest in accordance with the QBCA, or (in the case of a director) votes in respect of a resolution on a contract or transaction in which he or she is interested contrary to the QBCA, the corporation or a shareholder may ask the court to declare the contract or transaction null and to require the director or officer to account to the corporation for any profit or gain realized on it by the director or officer or the associates of the director or officer, and to remit the profit or gain to the corporation, according to the conditions the court considers appropriate. However, the contract or</w:t>
      </w:r>
    </w:p>
    <w:p>
      <w:pPr>
        <w:sectPr>
          <w:pgSz w:w="11900" w:h="16838" w:orient="portrait"/>
          <w:cols w:equalWidth="0" w:num="2">
            <w:col w:w="7060" w:space="220"/>
            <w:col w:w="386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16510</wp:posOffset>
            </wp:positionV>
            <wp:extent cx="24428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tabs>
          <w:tab w:leader="none" w:pos="3200" w:val="left"/>
        </w:tabs>
        <w:rPr>
          <w:sz w:val="20"/>
          <w:szCs w:val="20"/>
          <w:color w:val="auto"/>
        </w:rPr>
      </w:pPr>
      <w:r>
        <w:rPr>
          <w:rFonts w:ascii="Times New Roman" w:cs="Times New Roman" w:eastAsia="Times New Roman" w:hAnsi="Times New Roman"/>
          <w:sz w:val="18"/>
          <w:szCs w:val="18"/>
          <w:b w:val="1"/>
          <w:bCs w:val="1"/>
          <w:i w:val="1"/>
          <w:iCs w:val="1"/>
          <w:color w:val="auto"/>
        </w:rPr>
        <w:t>Limitation on Liability of Directors</w:t>
      </w:r>
      <w:r>
        <w:rPr>
          <w:sz w:val="20"/>
          <w:szCs w:val="20"/>
          <w:color w:val="auto"/>
        </w:rPr>
        <w:tab/>
      </w:r>
      <w:r>
        <w:rPr>
          <w:rFonts w:ascii="Times New Roman" w:cs="Times New Roman" w:eastAsia="Times New Roman" w:hAnsi="Times New Roman"/>
          <w:sz w:val="17"/>
          <w:szCs w:val="17"/>
          <w:color w:val="auto"/>
        </w:rPr>
        <w:t>Under the DGCL, a corporation’s certificate of</w:t>
      </w:r>
    </w:p>
    <w:p>
      <w:pPr>
        <w:spacing w:after="0" w:line="31" w:lineRule="exact"/>
        <w:rPr>
          <w:sz w:val="20"/>
          <w:szCs w:val="20"/>
          <w:color w:val="auto"/>
        </w:rPr>
      </w:pPr>
    </w:p>
    <w:p>
      <w:pPr>
        <w:ind w:left="3220"/>
        <w:spacing w:after="0" w:line="252" w:lineRule="auto"/>
        <w:rPr>
          <w:sz w:val="20"/>
          <w:szCs w:val="20"/>
          <w:color w:val="auto"/>
        </w:rPr>
      </w:pPr>
      <w:r>
        <w:rPr>
          <w:rFonts w:ascii="Times New Roman" w:cs="Times New Roman" w:eastAsia="Times New Roman" w:hAnsi="Times New Roman"/>
          <w:sz w:val="18"/>
          <w:szCs w:val="18"/>
          <w:color w:val="auto"/>
        </w:rPr>
        <w:t>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9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•    breach of the director’s duty of loyalty to the</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corporation or its stockholders;</w:t>
      </w:r>
    </w:p>
    <w:p>
      <w:pPr>
        <w:spacing w:after="0" w:line="1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•    acts or omissions not in good faith or which</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involve intentional misconduct or a knowing</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violation of the law;</w:t>
      </w:r>
    </w:p>
    <w:p>
      <w:pPr>
        <w:spacing w:after="0" w:line="1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•    intentional or negligent payment of unlawful</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dividends or stock purchases or redemptions; or</w:t>
      </w:r>
    </w:p>
    <w:p>
      <w:pPr>
        <w:spacing w:after="0" w:line="1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•    for any transaction from which the director</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derived an improper personal benefit.</w:t>
      </w:r>
    </w:p>
    <w:p>
      <w:pPr>
        <w:spacing w:after="0" w:line="108" w:lineRule="exact"/>
        <w:rPr>
          <w:sz w:val="20"/>
          <w:szCs w:val="20"/>
          <w:color w:val="auto"/>
        </w:rPr>
      </w:pPr>
    </w:p>
    <w:p>
      <w:pPr>
        <w:ind w:left="120"/>
        <w:spacing w:after="0"/>
        <w:tabs>
          <w:tab w:leader="none" w:pos="3200" w:val="left"/>
        </w:tabs>
        <w:rPr>
          <w:sz w:val="20"/>
          <w:szCs w:val="20"/>
          <w:color w:val="auto"/>
        </w:rPr>
      </w:pPr>
      <w:r>
        <w:rPr>
          <w:rFonts w:ascii="Times New Roman" w:cs="Times New Roman" w:eastAsia="Times New Roman" w:hAnsi="Times New Roman"/>
          <w:sz w:val="18"/>
          <w:szCs w:val="18"/>
          <w:b w:val="1"/>
          <w:bCs w:val="1"/>
          <w:i w:val="1"/>
          <w:iCs w:val="1"/>
          <w:color w:val="auto"/>
        </w:rPr>
        <w:t>Indemnification of Directors and</w:t>
      </w:r>
      <w:r>
        <w:rPr>
          <w:sz w:val="20"/>
          <w:szCs w:val="20"/>
          <w:color w:val="auto"/>
        </w:rPr>
        <w:tab/>
      </w:r>
      <w:r>
        <w:rPr>
          <w:rFonts w:ascii="Times New Roman" w:cs="Times New Roman" w:eastAsia="Times New Roman" w:hAnsi="Times New Roman"/>
          <w:sz w:val="17"/>
          <w:szCs w:val="17"/>
          <w:color w:val="auto"/>
        </w:rPr>
        <w:t>The DGCL permits indemnification for derivative</w:t>
      </w:r>
    </w:p>
    <w:p>
      <w:pPr>
        <w:spacing w:after="0" w:line="31" w:lineRule="exact"/>
        <w:rPr>
          <w:sz w:val="20"/>
          <w:szCs w:val="20"/>
          <w:color w:val="auto"/>
        </w:rPr>
      </w:pPr>
    </w:p>
    <w:p>
      <w:pPr>
        <w:ind w:left="120"/>
        <w:spacing w:after="0"/>
        <w:tabs>
          <w:tab w:leader="none" w:pos="3200" w:val="left"/>
        </w:tabs>
        <w:rPr>
          <w:sz w:val="20"/>
          <w:szCs w:val="20"/>
          <w:color w:val="auto"/>
        </w:rPr>
      </w:pPr>
      <w:r>
        <w:rPr>
          <w:rFonts w:ascii="Times New Roman" w:cs="Times New Roman" w:eastAsia="Times New Roman" w:hAnsi="Times New Roman"/>
          <w:sz w:val="18"/>
          <w:szCs w:val="18"/>
          <w:b w:val="1"/>
          <w:bCs w:val="1"/>
          <w:i w:val="1"/>
          <w:iCs w:val="1"/>
          <w:color w:val="auto"/>
        </w:rPr>
        <w:t>Officers</w:t>
      </w:r>
      <w:r>
        <w:rPr>
          <w:sz w:val="20"/>
          <w:szCs w:val="20"/>
          <w:color w:val="auto"/>
        </w:rPr>
        <w:tab/>
      </w:r>
      <w:r>
        <w:rPr>
          <w:rFonts w:ascii="Times New Roman" w:cs="Times New Roman" w:eastAsia="Times New Roman" w:hAnsi="Times New Roman"/>
          <w:sz w:val="18"/>
          <w:szCs w:val="18"/>
          <w:color w:val="auto"/>
        </w:rPr>
        <w:t>suits only for expenses</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4428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transaction may not be declared null if it was approved by the board of directors and the contract or transaction was in the interest of the corporation when it was approved, nor may the director or officer concerned, in such a case, be required to account for any profit or gain realized or to remit the profit or gain to the corporation. In addition, the contract or transaction may not be declared null if it was approved by ordinary resolution by the shareholders entitled to vote who do not have an interest in the contract or transaction, the required disclosure was made to the shareholders and the contract or transaction was in the best interests of the corporation when it was approved, and if the director or officer acted honestly and in good faith, he or she may not be required to account for the profit or gain realized and to remit the profit or gain to the corporation.</w:t>
      </w:r>
    </w:p>
    <w:p>
      <w:pPr>
        <w:spacing w:after="0" w:line="9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QBCA does not permit the limitation of a director’s liability as the DGCL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Under the QBCA, a corporation must indemnify a director or officer, a</w:t>
      </w:r>
    </w:p>
    <w:p>
      <w:pPr>
        <w:sectPr>
          <w:pgSz w:w="11900" w:h="16838" w:orient="portrait"/>
          <w:cols w:equalWidth="0" w:num="2">
            <w:col w:w="7020" w:space="260"/>
            <w:col w:w="384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16510</wp:posOffset>
            </wp:positionV>
            <wp:extent cx="2442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 w:lineRule="exact"/>
        <w:rPr>
          <w:sz w:val="20"/>
          <w:szCs w:val="20"/>
          <w:color w:val="auto"/>
        </w:rPr>
      </w:pPr>
    </w:p>
    <w:p>
      <w:pPr>
        <w:ind w:left="3220" w:right="40"/>
        <w:spacing w:after="0" w:line="283" w:lineRule="auto"/>
        <w:rPr>
          <w:sz w:val="20"/>
          <w:szCs w:val="20"/>
          <w:color w:val="auto"/>
        </w:rPr>
      </w:pPr>
      <w:r>
        <w:rPr>
          <w:rFonts w:ascii="Times New Roman" w:cs="Times New Roman" w:eastAsia="Times New Roman" w:hAnsi="Times New Roman"/>
          <w:sz w:val="17"/>
          <w:szCs w:val="17"/>
          <w:color w:val="auto"/>
        </w:rPr>
        <w:t>(including legal fees) and only if the person is not found liable, unless a court determines the person is fairly and reasonably entitled to the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tabs>
          <w:tab w:leader="none" w:pos="3200" w:val="left"/>
        </w:tabs>
        <w:rPr>
          <w:sz w:val="20"/>
          <w:szCs w:val="20"/>
          <w:color w:val="auto"/>
        </w:rPr>
      </w:pPr>
      <w:r>
        <w:rPr>
          <w:rFonts w:ascii="Times New Roman" w:cs="Times New Roman" w:eastAsia="Times New Roman" w:hAnsi="Times New Roman"/>
          <w:sz w:val="18"/>
          <w:szCs w:val="18"/>
          <w:b w:val="1"/>
          <w:bCs w:val="1"/>
          <w:i w:val="1"/>
          <w:iCs w:val="1"/>
          <w:color w:val="auto"/>
        </w:rPr>
        <w:t>Call and Notice of Stockholder</w:t>
      </w:r>
      <w:r>
        <w:rPr>
          <w:sz w:val="20"/>
          <w:szCs w:val="20"/>
          <w:color w:val="auto"/>
        </w:rPr>
        <w:tab/>
      </w:r>
      <w:r>
        <w:rPr>
          <w:rFonts w:ascii="Times New Roman" w:cs="Times New Roman" w:eastAsia="Times New Roman" w:hAnsi="Times New Roman"/>
          <w:sz w:val="18"/>
          <w:szCs w:val="18"/>
          <w:color w:val="auto"/>
        </w:rPr>
        <w:t>Under the DGCL, an annual or special stockholder</w:t>
      </w:r>
    </w:p>
    <w:p>
      <w:pPr>
        <w:spacing w:after="0" w:line="31" w:lineRule="exact"/>
        <w:rPr>
          <w:sz w:val="20"/>
          <w:szCs w:val="20"/>
          <w:color w:val="auto"/>
        </w:rPr>
      </w:pPr>
    </w:p>
    <w:p>
      <w:pPr>
        <w:ind w:left="120"/>
        <w:spacing w:after="0"/>
        <w:tabs>
          <w:tab w:leader="none" w:pos="3200" w:val="left"/>
        </w:tabs>
        <w:rPr>
          <w:sz w:val="20"/>
          <w:szCs w:val="20"/>
          <w:color w:val="auto"/>
        </w:rPr>
      </w:pPr>
      <w:r>
        <w:rPr>
          <w:rFonts w:ascii="Times New Roman" w:cs="Times New Roman" w:eastAsia="Times New Roman" w:hAnsi="Times New Roman"/>
          <w:sz w:val="18"/>
          <w:szCs w:val="18"/>
          <w:b w:val="1"/>
          <w:bCs w:val="1"/>
          <w:i w:val="1"/>
          <w:iCs w:val="1"/>
          <w:color w:val="auto"/>
        </w:rPr>
        <w:t>Meetings</w:t>
      </w:r>
      <w:r>
        <w:rPr>
          <w:sz w:val="20"/>
          <w:szCs w:val="20"/>
          <w:color w:val="auto"/>
        </w:rPr>
        <w:tab/>
      </w:r>
      <w:r>
        <w:rPr>
          <w:rFonts w:ascii="Times New Roman" w:cs="Times New Roman" w:eastAsia="Times New Roman" w:hAnsi="Times New Roman"/>
          <w:sz w:val="18"/>
          <w:szCs w:val="18"/>
          <w:color w:val="auto"/>
        </w:rPr>
        <w:t>meeting is held on such date, at such time and at</w:t>
      </w:r>
    </w:p>
    <w:p>
      <w:pPr>
        <w:spacing w:after="0" w:line="9" w:lineRule="exact"/>
        <w:rPr>
          <w:sz w:val="20"/>
          <w:szCs w:val="20"/>
          <w:color w:val="auto"/>
        </w:rPr>
      </w:pPr>
    </w:p>
    <w:p>
      <w:pPr>
        <w:ind w:left="3220"/>
        <w:spacing w:after="0" w:line="251" w:lineRule="auto"/>
        <w:rPr>
          <w:sz w:val="20"/>
          <w:szCs w:val="20"/>
          <w:color w:val="auto"/>
        </w:rPr>
      </w:pPr>
      <w:r>
        <w:rPr>
          <w:rFonts w:ascii="Times New Roman" w:cs="Times New Roman" w:eastAsia="Times New Roman" w:hAnsi="Times New Roman"/>
          <w:sz w:val="18"/>
          <w:szCs w:val="18"/>
          <w:color w:val="auto"/>
        </w:rPr>
        <w:t>such place as may be designated by the board of directors or any other person authorized to call such meeting under the corporation’s certificate of incorporation or bylaws. If an annual meeting for election of directors is not held on the date designated or an action by written consent to elect directors in lieu of an annual meeting has not been taken within 30 days after the date designated for the annual meeting, or if no date has been designated, for a period of 13 months after the later of the last annual</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4428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former director or officer or a person who acts or acted at the corporation’s request as a director or officer, or an individual acting in a similar capacity of another group (who is referred to in this document as an indemnifiable person) against all costs, charges and expenses reasonably incurred in the exercise of their functions, including an amount paid to settle an action or satisfy a judgment, reasonably incurred by the indemnifiable person on the exercise of the person’s functions or arising from any investigative or other proceeding in which the person is involved if:</w:t>
      </w:r>
    </w:p>
    <w:p>
      <w:pPr>
        <w:spacing w:after="0" w:line="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•    the person acted with honesty and loyalty in the</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of the corporation or other group, and</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 in the case of a proceeding enforceable by a</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monetary penalty, the person had reasonable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grounds for believing the person’s conduct was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lawful.</w:t>
      </w:r>
    </w:p>
    <w:p>
      <w:pPr>
        <w:spacing w:after="0" w:line="11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QBCA also provides that a corporation must advance moneys to an indemnifiable person for the costs, charges and expenses incurred in connection with such proceeding. In the case of a derivative action, indemnity may be made only with court approval.</w:t>
      </w:r>
    </w:p>
    <w:p>
      <w:pPr>
        <w:spacing w:after="0" w:line="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QBCA, an annual meeting of shareholders must be held no later than 15 months after holding the last preceding annual meeting.</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QBCA, the directors of a corporation may call a special meeting at any time. In addition, holders of not less than 10 percent of the issued shares of a corporation that carry the right to vote at a meeting sought to be held may requisition the directors to call a meeting of shareholders.</w:t>
      </w:r>
    </w:p>
    <w:p>
      <w:pPr>
        <w:sectPr>
          <w:pgSz w:w="11900" w:h="16838" w:orient="portrait"/>
          <w:cols w:equalWidth="0" w:num="2">
            <w:col w:w="7040" w:space="240"/>
            <w:col w:w="382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38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191"/>
        </w:trPr>
        <w:tc>
          <w:tcPr>
            <w:tcW w:w="3100" w:type="dxa"/>
            <w:vAlign w:val="bottom"/>
          </w:tcPr>
          <w:p>
            <w:pPr>
              <w:spacing w:after="0"/>
              <w:rPr>
                <w:sz w:val="16"/>
                <w:szCs w:val="16"/>
                <w:color w:val="auto"/>
              </w:rPr>
            </w:pP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meeting or the last action by written consent to elect</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directors in lieu of an annual meeting, the Delaware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Court of Chancery may summarily order a meeting</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 be held upon the application of any stockholder or</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0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Under the DGCL, a majority of the stockholders of a</w:t>
            </w:r>
          </w:p>
        </w:tc>
      </w:tr>
      <w:tr>
        <w:trPr>
          <w:trHeight w:val="220"/>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Consent</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corporation may act by written consent without a</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meeting unless such action is prohibited by the</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corporation’s certificate of incorporation.</w:t>
            </w:r>
          </w:p>
        </w:tc>
      </w:tr>
      <w:tr>
        <w:trPr>
          <w:trHeight w:val="30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Nominations and</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8"/>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Proposals</w:t>
            </w:r>
          </w:p>
        </w:tc>
        <w:tc>
          <w:tcPr>
            <w:tcW w:w="3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4428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QBCA, a written resolution signed by all the shareholders of a corporation who would have been entitled to vote on the resolution at a meeting is effective to approve the resolution.</w:t>
      </w:r>
    </w:p>
    <w:p>
      <w:pPr>
        <w:spacing w:after="0" w:line="7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the QBCA, a shareholder entitled to vote at a shareholders’ meeting may submit a shareholder proposal relating to matters which the shareholder wishes to propose and discuss at an annual shareholders’ meeting and, subject to such shareholder’s compliance with the prescribed time periods and other requirements of the QBCA pertaining to shareholder proposals, the corporation is required to include such proposal in the information circular pertaining to any annual meeting at which it solicits proxies, subject to certain exceptions. Notice of such a proposal must be provided to the corporation at least 90 days before the anniversary date of the notice of meeting for the last annual shareholders’ meeting.</w:t>
      </w:r>
    </w:p>
    <w:p>
      <w:pPr>
        <w:spacing w:after="0" w:line="1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QBCA requires that any shareholder proposal that includes nominations for the election of directors must be signed by one or more holders of shares representing in the aggregate not less than five per cent of the shares or five per cent of the shares of a class or series of shares of the corporation entitled to vote at the meeting to which the proposal is to be presented.</w:t>
      </w:r>
    </w:p>
    <w:p>
      <w:pPr>
        <w:spacing w:after="0" w:line="9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require shareholders wishing to nominate directors or propose business for a meeting of shareholders</w:t>
      </w:r>
    </w:p>
    <w:p>
      <w:pPr>
        <w:sectPr>
          <w:pgSz w:w="11900" w:h="16838" w:orient="portrait"/>
          <w:cols w:equalWidth="0" w:num="2">
            <w:col w:w="7060" w:space="220"/>
            <w:col w:w="386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38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727"/>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Quorum and Vote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Under the DGCL, quorum for a stock corporation is</w:t>
            </w:r>
          </w:p>
        </w:tc>
      </w:tr>
      <w:tr>
        <w:trPr>
          <w:trHeight w:val="220"/>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 majority of the shares entitled to vote at the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meeting unless the certificate of incorporation or</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bylaws specify a different quorum, but in no event</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may a quorum be less than one-third of the shares</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entitled to vote. Unless the DGCL, certificate of</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bylaws provide for a greater vote,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generally the required vote under the DGCL is a</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shares present in person or</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represented by proxy, except for the election of</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directors which requires a plurality of the votes cast.</w:t>
            </w:r>
          </w:p>
        </w:tc>
      </w:tr>
      <w:tr>
        <w:trPr>
          <w:trHeight w:val="437"/>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Certificate of</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Generally, under the DGCL, the affirmative vote of</w:t>
            </w:r>
          </w:p>
        </w:tc>
      </w:tr>
      <w:tr>
        <w:trPr>
          <w:trHeight w:val="220"/>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holders of a majority of the outstanding stock</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entitled to vote is required to approve a proposed</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the certificate of incorporation,</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following the adoption of the amendment by the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of the corporation, provided that</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 certificate of incorporation may provide for a</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greater vote. Under the DGCL, holders of</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shares of a class or series are entitled to</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vote separately on an amendment to the certificate of</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if the amendment would have certain</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consequences, including changes that adversely</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affect the rights and preferences of such class or</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series.</w:t>
            </w: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Bylaws</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Under the DGCL, after a corporation has received</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any payment for any of its stock, the power to adopt,</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amend or repeal bylaws shall be vested in the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w w:val="99"/>
              </w:rPr>
              <w:t>stockholders entitled to vote; provided, however, that</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any corporation may, in its certificate of</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provide that bylaws may be adopted,</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amended or repealed by the board of directors. The</w:t>
            </w:r>
          </w:p>
        </w:tc>
      </w:tr>
      <w:tr>
        <w:trPr>
          <w:trHeight w:val="216"/>
        </w:trPr>
        <w:tc>
          <w:tcPr>
            <w:tcW w:w="3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fact that such power has been conferred upon the</w:t>
            </w:r>
          </w:p>
        </w:tc>
      </w:tr>
      <w:tr>
        <w:trPr>
          <w:trHeight w:val="234"/>
        </w:trPr>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shall not divest</w:t>
            </w:r>
          </w:p>
        </w:tc>
      </w:tr>
      <w:tr>
        <w:trPr>
          <w:trHeight w:val="364"/>
        </w:trPr>
        <w:tc>
          <w:tcPr>
            <w:tcW w:w="3100" w:type="dxa"/>
            <w:vAlign w:val="bottom"/>
          </w:tcPr>
          <w:p>
            <w:pPr>
              <w:spacing w:after="0"/>
              <w:rPr>
                <w:sz w:val="24"/>
                <w:szCs w:val="24"/>
                <w:color w:val="auto"/>
              </w:rPr>
            </w:pPr>
          </w:p>
        </w:tc>
        <w:tc>
          <w:tcPr>
            <w:tcW w:w="38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4428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to give timely advance notice in writing, as described in our amended and restated bylaws.</w:t>
      </w:r>
    </w:p>
    <w:p>
      <w:pPr>
        <w:spacing w:after="0" w:line="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Under the QBCA, unless the bylaws otherwise provide, the holders of a majority of the shares of a corporation entitled to vote at a meeting of shareholders, whether present in person or represented by proxy, constitute a quorum.</w:t>
      </w:r>
    </w:p>
    <w:p>
      <w:pPr>
        <w:spacing w:after="0" w:line="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to be effective immediately prior to the completion of this offering will provide that holders of 25% of the shares entitled to vote at a meeting of shareholders, whether present in person or represented by proxy, shall constitute quorum.</w:t>
      </w:r>
    </w:p>
    <w:p>
      <w:pPr>
        <w:spacing w:after="0" w:line="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QBCA, amendments to the articles of incorporation generally require the approval of not less than two-thirds of the votes cast by shareholders entitled to vote on the resolution.</w:t>
      </w:r>
    </w:p>
    <w:p>
      <w:pPr>
        <w:spacing w:after="0" w:line="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Specified amendments may also require the approval of other classes of shares. If the amendment is of a nature affecting a particular class or series in a manner requiring a separate class or series vote, that class or series is entitled to vote on the amendment whether or not it otherwise carries the right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QBCA, the directors may, by resolution, make, amend or repeal any bylaws that regulate the business or affairs of the corporation. Where the directors make, amend or repeal a bylaw, they are required under the QBCA to submit that action to the shareholders at the next meeting of shareholders and the shareholders may confirm, reject or amend that action by simple majority, or ordinary resolution. If the action is rejected by</w:t>
      </w:r>
    </w:p>
    <w:p>
      <w:pPr>
        <w:sectPr>
          <w:pgSz w:w="11900" w:h="16838" w:orient="portrait"/>
          <w:cols w:equalWidth="0" w:num="2">
            <w:col w:w="7060" w:space="220"/>
            <w:col w:w="384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Votes on Mergers, Consolidations and Sales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 of Appraisal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-634365</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16510</wp:posOffset>
            </wp:positionV>
            <wp:extent cx="24428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8"/>
          <w:szCs w:val="18"/>
          <w:color w:val="auto"/>
        </w:rPr>
        <w:t>the stockholders of the power nor limit their power to adopt, amend or repeal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DGCL provides that, unless otherwise provided in the certificate of incorporation or bylaws, the adoption of a merger agreement requires the approval of a majority of the outstanding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DGCL, a stockholder of a Delaware corporation generally has the right to dissent flume, merger or consolidation in which the Delaware corporation is participating, subject to specified procedural requirements, including that such dissenting stockholder does not vote in favor of the merger or consolidation. However, the DGCL does not confer appraisal rights, in certain circumstances,</w:t>
      </w:r>
    </w:p>
    <w:p>
      <w:pPr>
        <w:spacing w:after="0" w:line="38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4428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shareholders, or the directors of a corporation do not submit the action to the shareholders at the next meeting of shareholders, the action will cease to be effective, and no subsequent resolution of the directors to make, amend or repeal a bylaw having substantially the same purpose or effect will he effective until it is confirmed.</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QBCA, certain extraordinary corporate actions, such as amalgamations (other than with certain affiliated corporations), continuances and sales, leases or exchanges of the property of a corporation if as a result of such alienation the corporation would be unable to retain a significant part of its business activities, and other extraordinary corporate actions such as liquidations, dissolutions and (if ordered by a court) arrangements, are required to be approved by “special resolution.”</w:t>
      </w:r>
    </w:p>
    <w:p>
      <w:pPr>
        <w:spacing w:after="0" w:line="10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 “special resolution” is a resolution passed by not less than two-thirds of the votes cast by the shareholders who voted in respect of the resolution or signed by all shareholders entitled to vote on the resolution. In specified cases, a special resolution to approve the extraordinary corporate action is also required to be approved separately by the holders of a class or series of shares, including in certain cases a class or series of shares not otherwise carrying voting rights.</w:t>
      </w:r>
    </w:p>
    <w:p>
      <w:pPr>
        <w:spacing w:after="0" w:line="1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QBCA provides that shareholders of a corporation are entitled to exercise dissent rights (called “the right to demand the repurchase of shares”) and to be paid the fair value of their shares in connection with specified matters, including:</w:t>
      </w:r>
    </w:p>
    <w:p>
      <w:pPr>
        <w:spacing w:after="0" w:line="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 a squeeze-out transaction;</w:t>
      </w:r>
    </w:p>
    <w:p>
      <w:pPr>
        <w:spacing w:after="0" w:line="131" w:lineRule="exact"/>
        <w:rPr>
          <w:sz w:val="20"/>
          <w:szCs w:val="20"/>
          <w:color w:val="auto"/>
        </w:rPr>
      </w:pPr>
    </w:p>
    <w:p>
      <w:pPr>
        <w:ind w:left="360" w:right="120" w:hanging="269"/>
        <w:spacing w:after="0" w:line="282" w:lineRule="auto"/>
        <w:rPr>
          <w:sz w:val="20"/>
          <w:szCs w:val="20"/>
          <w:color w:val="auto"/>
        </w:rPr>
      </w:pPr>
      <w:r>
        <w:rPr>
          <w:rFonts w:ascii="Times New Roman" w:cs="Times New Roman" w:eastAsia="Times New Roman" w:hAnsi="Times New Roman"/>
          <w:sz w:val="18"/>
          <w:szCs w:val="18"/>
          <w:color w:val="auto"/>
        </w:rPr>
        <w:t>•   an amendment to the articles to add, change or remove a</w:t>
      </w:r>
    </w:p>
    <w:p>
      <w:pPr>
        <w:sectPr>
          <w:pgSz w:w="11900" w:h="16838" w:orient="portrait"/>
          <w:cols w:equalWidth="0" w:num="3">
            <w:col w:w="2940" w:space="280"/>
            <w:col w:w="3840" w:space="220"/>
            <w:col w:w="382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16510</wp:posOffset>
            </wp:positionV>
            <wp:extent cx="24428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 w:lineRule="exact"/>
        <w:rPr>
          <w:sz w:val="20"/>
          <w:szCs w:val="20"/>
          <w:color w:val="auto"/>
        </w:rPr>
      </w:pPr>
    </w:p>
    <w:p>
      <w:pPr>
        <w:ind w:left="3220"/>
        <w:spacing w:after="0" w:line="252" w:lineRule="auto"/>
        <w:rPr>
          <w:sz w:val="20"/>
          <w:szCs w:val="20"/>
          <w:color w:val="auto"/>
        </w:rPr>
      </w:pPr>
      <w:r>
        <w:rPr>
          <w:rFonts w:ascii="Times New Roman" w:cs="Times New Roman" w:eastAsia="Times New Roman" w:hAnsi="Times New Roman"/>
          <w:sz w:val="18"/>
          <w:szCs w:val="18"/>
          <w:color w:val="auto"/>
        </w:rPr>
        <w:t>including if the dissenting stockholder owns shares traded on a national securities exchange and will receive publicly traded shares in the merger or consolidation. Under the DGCL, a stockholder asserting appraisal rights does not receive any payment for his or her shares until the court determines the fair value or the parties otherwise agree to a value. The costs of the proceeding may be determined by the court and assessed against the parties as the court deems equitable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spacing w:after="0"/>
        <w:tabs>
          <w:tab w:leader="none" w:pos="3200" w:val="left"/>
        </w:tabs>
        <w:rPr>
          <w:sz w:val="20"/>
          <w:szCs w:val="20"/>
          <w:color w:val="auto"/>
        </w:rPr>
      </w:pPr>
      <w:r>
        <w:rPr>
          <w:rFonts w:ascii="Times New Roman" w:cs="Times New Roman" w:eastAsia="Times New Roman" w:hAnsi="Times New Roman"/>
          <w:sz w:val="18"/>
          <w:szCs w:val="18"/>
          <w:b w:val="1"/>
          <w:bCs w:val="1"/>
          <w:i w:val="1"/>
          <w:iCs w:val="1"/>
          <w:color w:val="auto"/>
        </w:rPr>
        <w:t>Oppression Remedy</w:t>
      </w:r>
      <w:r>
        <w:rPr>
          <w:sz w:val="20"/>
          <w:szCs w:val="20"/>
          <w:color w:val="auto"/>
        </w:rPr>
        <w:tab/>
      </w:r>
      <w:r>
        <w:rPr>
          <w:rFonts w:ascii="Times New Roman" w:cs="Times New Roman" w:eastAsia="Times New Roman" w:hAnsi="Times New Roman"/>
          <w:sz w:val="17"/>
          <w:szCs w:val="17"/>
          <w:color w:val="auto"/>
        </w:rPr>
        <w:t>The DGCL does not provide for a similar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442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8"/>
          <w:szCs w:val="18"/>
          <w:color w:val="auto"/>
        </w:rPr>
        <w:t>restriction on the corporation’s business activity or on the transfer of the corporation’s shares;</w:t>
      </w:r>
    </w:p>
    <w:p>
      <w:pPr>
        <w:spacing w:after="0" w:line="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 an alienation of corporation property if, as a</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result of the alienation, the corporation is unable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retain a significant part of its business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activity;</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 the corporation to permit the alienation of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property of its subsidiary;</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 an amalgamation agreement;</w:t>
      </w:r>
    </w:p>
    <w:p>
      <w:pPr>
        <w:spacing w:after="0" w:line="1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 the continuance of the corporation under the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laws of a jurisdiction other than Québec; or</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 the dissolution of the corporation is withdrawn</w:t>
      </w:r>
    </w:p>
    <w:p>
      <w:pPr>
        <w:spacing w:after="0" w:line="27" w:lineRule="exact"/>
        <w:rPr>
          <w:sz w:val="20"/>
          <w:szCs w:val="20"/>
          <w:color w:val="auto"/>
        </w:rPr>
      </w:pPr>
    </w:p>
    <w:p>
      <w:pPr>
        <w:ind w:left="360" w:right="20"/>
        <w:spacing w:after="0" w:line="253" w:lineRule="auto"/>
        <w:rPr>
          <w:sz w:val="20"/>
          <w:szCs w:val="20"/>
          <w:color w:val="auto"/>
        </w:rPr>
      </w:pPr>
      <w:r>
        <w:rPr>
          <w:rFonts w:ascii="Times New Roman" w:cs="Times New Roman" w:eastAsia="Times New Roman" w:hAnsi="Times New Roman"/>
          <w:sz w:val="18"/>
          <w:szCs w:val="18"/>
          <w:color w:val="auto"/>
        </w:rPr>
        <w:t>if, as a result of the alienation of property begun during the liquidation of the corporation, the corporation is unable to retain a significant part of its business activity.</w:t>
      </w:r>
    </w:p>
    <w:p>
      <w:pPr>
        <w:spacing w:after="0" w:line="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However, a shareholder is not entitled to dissent if an amendment to the articles is effected by a court order approving reorganization or by a court order made in connection with an action for an oppression remedy.</w:t>
      </w:r>
    </w:p>
    <w:p>
      <w:pPr>
        <w:spacing w:after="0" w:line="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QBCA provides an oppression remedy (called “rectification of abuse of power or iniquity”) that enables a court to make any order, whether interim or final, to rectify matters that are oppressive or unfairly prejudicial to the interests of any securityholder, director or officer of the corporation if an application is made to a court by an “applicant”. An “applicant” with respect to a corporation means any of the following:</w:t>
      </w:r>
    </w:p>
    <w:p>
      <w:pPr>
        <w:spacing w:after="0" w:line="94" w:lineRule="exact"/>
        <w:rPr>
          <w:sz w:val="20"/>
          <w:szCs w:val="20"/>
          <w:color w:val="auto"/>
        </w:rPr>
      </w:pPr>
    </w:p>
    <w:p>
      <w:pPr>
        <w:ind w:left="360" w:right="240" w:hanging="269"/>
        <w:spacing w:after="0" w:line="266" w:lineRule="auto"/>
        <w:rPr>
          <w:sz w:val="20"/>
          <w:szCs w:val="20"/>
          <w:color w:val="auto"/>
        </w:rPr>
      </w:pPr>
      <w:r>
        <w:rPr>
          <w:rFonts w:ascii="Times New Roman" w:cs="Times New Roman" w:eastAsia="Times New Roman" w:hAnsi="Times New Roman"/>
          <w:sz w:val="18"/>
          <w:szCs w:val="18"/>
          <w:color w:val="auto"/>
        </w:rPr>
        <w:t>•   a present or former registered holder or beneficiary of securities of the corporation or any of its affiliates;</w:t>
      </w:r>
    </w:p>
    <w:p>
      <w:pPr>
        <w:sectPr>
          <w:pgSz w:w="11900" w:h="16838" w:orient="portrait"/>
          <w:cols w:equalWidth="0" w:num="2">
            <w:col w:w="7000" w:space="280"/>
            <w:col w:w="386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16510</wp:posOffset>
            </wp:positionV>
            <wp:extent cx="24428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tabs>
          <w:tab w:leader="none" w:pos="3200" w:val="left"/>
        </w:tabs>
        <w:rPr>
          <w:sz w:val="20"/>
          <w:szCs w:val="20"/>
          <w:color w:val="auto"/>
        </w:rPr>
      </w:pPr>
      <w:r>
        <w:rPr>
          <w:rFonts w:ascii="Times New Roman" w:cs="Times New Roman" w:eastAsia="Times New Roman" w:hAnsi="Times New Roman"/>
          <w:sz w:val="18"/>
          <w:szCs w:val="18"/>
          <w:b w:val="1"/>
          <w:bCs w:val="1"/>
          <w:i w:val="1"/>
          <w:iCs w:val="1"/>
          <w:color w:val="auto"/>
        </w:rPr>
        <w:t>Shareholder Derivative Actions</w:t>
      </w:r>
      <w:r>
        <w:rPr>
          <w:sz w:val="20"/>
          <w:szCs w:val="20"/>
          <w:color w:val="auto"/>
        </w:rPr>
        <w:tab/>
      </w:r>
      <w:r>
        <w:rPr>
          <w:rFonts w:ascii="Times New Roman" w:cs="Times New Roman" w:eastAsia="Times New Roman" w:hAnsi="Times New Roman"/>
          <w:sz w:val="18"/>
          <w:szCs w:val="18"/>
          <w:color w:val="auto"/>
        </w:rPr>
        <w:t>Under the DGCL, stockholders may bring derivative</w:t>
      </w:r>
    </w:p>
    <w:p>
      <w:pPr>
        <w:spacing w:after="0" w:line="31" w:lineRule="exact"/>
        <w:rPr>
          <w:sz w:val="20"/>
          <w:szCs w:val="20"/>
          <w:color w:val="auto"/>
        </w:rPr>
      </w:pPr>
    </w:p>
    <w:p>
      <w:pPr>
        <w:ind w:left="3220"/>
        <w:spacing w:after="0" w:line="251" w:lineRule="auto"/>
        <w:rPr>
          <w:sz w:val="20"/>
          <w:szCs w:val="20"/>
          <w:color w:val="auto"/>
        </w:rPr>
      </w:pPr>
      <w:r>
        <w:rPr>
          <w:rFonts w:ascii="Times New Roman" w:cs="Times New Roman" w:eastAsia="Times New Roman" w:hAnsi="Times New Roman"/>
          <w:sz w:val="18"/>
          <w:szCs w:val="18"/>
          <w:color w:val="auto"/>
        </w:rPr>
        <w:t>actions on behalf of, and for the benefit of the corporation. The plaintiff in a derivative action on behalf of the corporation either must be or have been a stockholder of the corporation at the time of the transaction or must be a stockholder who became a stockholder by operation of law in the transaction regarding which the stockholder complains. A stockholder may not sue derivatively on behalf of the corporation unless the stockholder first makes demand on the corporation that it bring suit and the demand is refused, unless it is shown that making the demand would have been a futile act.</w:t>
      </w: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QBCA</w:t>
            </w:r>
          </w:p>
        </w:tc>
      </w:tr>
      <w:tr>
        <w:trPr>
          <w:trHeight w:val="313"/>
        </w:trPr>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 present or former officer or director of the</w:t>
            </w:r>
          </w:p>
        </w:tc>
      </w:tr>
      <w:tr>
        <w:trPr>
          <w:trHeight w:val="234"/>
        </w:trPr>
        <w:tc>
          <w:tcPr>
            <w:tcW w:w="26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corporation or any of its affiliates; and</w:t>
            </w:r>
          </w:p>
        </w:tc>
      </w:tr>
      <w:tr>
        <w:trPr>
          <w:trHeight w:val="319"/>
        </w:trPr>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 any other person who in the discretion of the</w:t>
            </w:r>
          </w:p>
        </w:tc>
      </w:tr>
      <w:tr>
        <w:trPr>
          <w:trHeight w:val="234"/>
        </w:trPr>
        <w:tc>
          <w:tcPr>
            <w:tcW w:w="26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court has the interest to make the application.</w:t>
            </w:r>
          </w:p>
        </w:tc>
      </w:tr>
    </w:tbl>
    <w:p>
      <w:pPr>
        <w:spacing w:after="0" w:line="10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oppression remedy provides the court with very broad and flexible powers to intervene in corporate affairs to protect shareholders and other complainants. While conduct that is in breach of fiduciary duties of directors or that is contrary to the legal right of a complainant will normally trigger the court’s jurisdiction under the oppression remedy, the exercise of that jurisdiction does not depend on a finding of a breach of those legal and equitable rights. Furthermore, the court may order a corporation to pay the interim expenses of an applicant seeking an oppression remedy, but the applicant may be held accountable for interim costs on final disposition of the complaint (as in the case of a derivative action as described in “Shareholder Derivative Actions” below).</w:t>
      </w:r>
    </w:p>
    <w:p>
      <w:pPr>
        <w:spacing w:after="0" w:line="1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QBCA, a shareholder of a corporation may apply to a Québec court for leave to bring an action in the name of, and on behalf of, the corporation or any subsidiary, or to intervene in an existing action to which the corporation or any of its subsidiaries is a party, for the purpose of prosecuting, defending or discontinuing an action on behalf of the corporation or its subsidiary. Under the QBCA, no action may be brought and no intervention in an action may be made unless a court is satisfied that:</w:t>
      </w:r>
    </w:p>
    <w:p>
      <w:pPr>
        <w:spacing w:after="0" w:line="100" w:lineRule="exact"/>
        <w:rPr>
          <w:sz w:val="20"/>
          <w:szCs w:val="20"/>
          <w:color w:val="auto"/>
        </w:rPr>
      </w:pPr>
    </w:p>
    <w:p>
      <w:pPr>
        <w:ind w:left="360" w:right="140" w:hanging="269"/>
        <w:spacing w:after="0" w:line="261" w:lineRule="auto"/>
        <w:rPr>
          <w:sz w:val="20"/>
          <w:szCs w:val="20"/>
          <w:color w:val="auto"/>
        </w:rPr>
      </w:pPr>
      <w:r>
        <w:rPr>
          <w:rFonts w:ascii="Times New Roman" w:cs="Times New Roman" w:eastAsia="Times New Roman" w:hAnsi="Times New Roman"/>
          <w:sz w:val="18"/>
          <w:szCs w:val="18"/>
          <w:color w:val="auto"/>
        </w:rPr>
        <w:t>•   the shareholder has given the required 14-day notice to the directors of the corporation or the subsidiary of the shareholder’s intention to apply to the court if the directors do not bring,</w:t>
      </w:r>
    </w:p>
    <w:p>
      <w:pPr>
        <w:sectPr>
          <w:pgSz w:w="11900" w:h="16838" w:orient="portrait"/>
          <w:cols w:equalWidth="0" w:num="2">
            <w:col w:w="7060" w:space="220"/>
            <w:col w:w="386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16510</wp:posOffset>
            </wp:positionV>
            <wp:extent cx="24428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tabs>
          <w:tab w:leader="none" w:pos="3200" w:val="left"/>
        </w:tabs>
        <w:rPr>
          <w:sz w:val="20"/>
          <w:szCs w:val="20"/>
          <w:color w:val="auto"/>
        </w:rPr>
      </w:pPr>
      <w:r>
        <w:rPr>
          <w:rFonts w:ascii="Times New Roman" w:cs="Times New Roman" w:eastAsia="Times New Roman" w:hAnsi="Times New Roman"/>
          <w:sz w:val="18"/>
          <w:szCs w:val="18"/>
          <w:b w:val="1"/>
          <w:bCs w:val="1"/>
          <w:i w:val="1"/>
          <w:iCs w:val="1"/>
          <w:color w:val="auto"/>
        </w:rPr>
        <w:t>Anti-Takeover and Ownership</w:t>
      </w:r>
      <w:r>
        <w:rPr>
          <w:sz w:val="20"/>
          <w:szCs w:val="20"/>
          <w:color w:val="auto"/>
        </w:rPr>
        <w:tab/>
      </w:r>
      <w:r>
        <w:rPr>
          <w:rFonts w:ascii="Times New Roman" w:cs="Times New Roman" w:eastAsia="Times New Roman" w:hAnsi="Times New Roman"/>
          <w:sz w:val="17"/>
          <w:szCs w:val="17"/>
          <w:color w:val="auto"/>
        </w:rPr>
        <w:t>Unless an issuer opts out of the provisions of</w:t>
      </w:r>
    </w:p>
    <w:p>
      <w:pPr>
        <w:spacing w:after="0" w:line="31" w:lineRule="exact"/>
        <w:rPr>
          <w:sz w:val="20"/>
          <w:szCs w:val="20"/>
          <w:color w:val="auto"/>
        </w:rPr>
      </w:pPr>
    </w:p>
    <w:p>
      <w:pPr>
        <w:ind w:left="120"/>
        <w:spacing w:after="0"/>
        <w:tabs>
          <w:tab w:leader="none" w:pos="3200" w:val="left"/>
        </w:tabs>
        <w:rPr>
          <w:sz w:val="20"/>
          <w:szCs w:val="20"/>
          <w:color w:val="auto"/>
        </w:rPr>
      </w:pPr>
      <w:r>
        <w:rPr>
          <w:rFonts w:ascii="Times New Roman" w:cs="Times New Roman" w:eastAsia="Times New Roman" w:hAnsi="Times New Roman"/>
          <w:sz w:val="18"/>
          <w:szCs w:val="18"/>
          <w:b w:val="1"/>
          <w:bCs w:val="1"/>
          <w:i w:val="1"/>
          <w:iCs w:val="1"/>
          <w:color w:val="auto"/>
        </w:rPr>
        <w:t>Provisions</w:t>
      </w:r>
      <w:r>
        <w:rPr>
          <w:sz w:val="20"/>
          <w:szCs w:val="20"/>
          <w:color w:val="auto"/>
        </w:rPr>
        <w:tab/>
      </w:r>
      <w:r>
        <w:rPr>
          <w:rFonts w:ascii="Times New Roman" w:cs="Times New Roman" w:eastAsia="Times New Roman" w:hAnsi="Times New Roman"/>
          <w:sz w:val="18"/>
          <w:szCs w:val="18"/>
          <w:color w:val="auto"/>
        </w:rPr>
        <w:t>Section 203 of the DGCL, Section 203 generally</w:t>
      </w:r>
    </w:p>
    <w:p>
      <w:pPr>
        <w:spacing w:after="0" w:line="9" w:lineRule="exact"/>
        <w:rPr>
          <w:sz w:val="20"/>
          <w:szCs w:val="20"/>
          <w:color w:val="auto"/>
        </w:rPr>
      </w:pPr>
    </w:p>
    <w:p>
      <w:pPr>
        <w:ind w:left="3220"/>
        <w:spacing w:after="0" w:line="251" w:lineRule="auto"/>
        <w:rPr>
          <w:sz w:val="20"/>
          <w:szCs w:val="20"/>
          <w:color w:val="auto"/>
        </w:rPr>
      </w:pPr>
      <w:r>
        <w:rPr>
          <w:rFonts w:ascii="Times New Roman" w:cs="Times New Roman" w:eastAsia="Times New Roman" w:hAnsi="Times New Roman"/>
          <w:sz w:val="18"/>
          <w:szCs w:val="18"/>
          <w:color w:val="auto"/>
        </w:rPr>
        <w:t>prohibits a public Delaware corporation from engaging in a “business combination” with a holder of 15% or more of the corporation’s voting stock (as defined in Section 203), referred to as an interested stockholder, for a period of three years after the date of the transaction in which the interested stockholder became an interested stockholder, except as otherwise provided in Section 203. For these purposes, the term “business combination” includes mergers, assets sales and other similar transactions with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442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8"/>
          <w:szCs w:val="18"/>
          <w:color w:val="auto"/>
        </w:rPr>
        <w:t>diligently prosecute or defend or discontinue the action;</w:t>
      </w:r>
    </w:p>
    <w:p>
      <w:pPr>
        <w:spacing w:after="0" w:line="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 the shareholder is acting in good faith; and</w:t>
      </w:r>
    </w:p>
    <w:p>
      <w:pPr>
        <w:spacing w:after="0" w:line="1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 it appears to be in the interests of the</w:t>
      </w:r>
    </w:p>
    <w:p>
      <w:pPr>
        <w:spacing w:after="0" w:line="27" w:lineRule="exact"/>
        <w:rPr>
          <w:sz w:val="20"/>
          <w:szCs w:val="20"/>
          <w:color w:val="auto"/>
        </w:rPr>
      </w:pPr>
    </w:p>
    <w:p>
      <w:pPr>
        <w:ind w:left="360" w:right="220"/>
        <w:spacing w:after="0" w:line="255" w:lineRule="auto"/>
        <w:rPr>
          <w:sz w:val="20"/>
          <w:szCs w:val="20"/>
          <w:color w:val="auto"/>
        </w:rPr>
      </w:pPr>
      <w:r>
        <w:rPr>
          <w:rFonts w:ascii="Times New Roman" w:cs="Times New Roman" w:eastAsia="Times New Roman" w:hAnsi="Times New Roman"/>
          <w:sz w:val="18"/>
          <w:szCs w:val="18"/>
          <w:color w:val="auto"/>
        </w:rPr>
        <w:t>corporation or the relevant subsidiary that the action be brought. prosecuted, defended or discontinued.</w:t>
      </w:r>
    </w:p>
    <w:p>
      <w:pPr>
        <w:spacing w:after="0" w:line="9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Under the QBCA, the court in a derivative action may make any order it thinks fit. In addition, under the QBCA, a court may order the corporation or its relevant subsidiary to pay the shareholder’s interim costs, including reasonable legal fees and disbursements. Although the shareholder may he held accountable for the interim costs on final disposition of the complaint, the shareholder is not required to give security for costs in a derivative action.</w:t>
      </w:r>
    </w:p>
    <w:p>
      <w:pPr>
        <w:spacing w:after="0" w:line="1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While the QBCA does not contain specific antitakeover provisions with respect to “business combinations,” rules and policies of certain Canadian securities regulatory authorities, including Multilateral Instrument 61-101— </w:t>
      </w:r>
      <w:r>
        <w:rPr>
          <w:rFonts w:ascii="Times New Roman" w:cs="Times New Roman" w:eastAsia="Times New Roman" w:hAnsi="Times New Roman"/>
          <w:sz w:val="18"/>
          <w:szCs w:val="18"/>
          <w:i w:val="1"/>
          <w:iCs w:val="1"/>
          <w:color w:val="auto"/>
        </w:rPr>
        <w:t>Protection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Minority Security Holders in Special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Multilateral Instrument 61-101, contain requirements in connection with, among other things, “related party transactions” and “business combinations”, including, among other things, any transaction by which an issuer directly or indirectly engages in the following with a related party: acquires, sells, leases or transfers an asset, acquires the related party, acquires or issues treasury securities, amends the terms of a security if the security is owned by the related party or assumes or becomes subject to a liability or takes certain other actions with respect to debt.</w:t>
      </w:r>
    </w:p>
    <w:p>
      <w:pPr>
        <w:sectPr>
          <w:pgSz w:w="11900" w:h="16838" w:orient="portrait"/>
          <w:cols w:equalWidth="0" w:num="2">
            <w:col w:w="7040" w:space="240"/>
            <w:col w:w="386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860"/>
        <w:spacing w:after="0"/>
        <w:tabs>
          <w:tab w:leader="none" w:pos="898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16510</wp:posOffset>
            </wp:positionV>
            <wp:extent cx="50234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9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The term “related party” includes directors, senior</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officers and holders of more than 10% of the voting</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rights attached to all outstanding voting securities of</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the issuer or holders of a sufficient number of any</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securities of the issuer to materially affect control of</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the issuer.</w:t>
      </w:r>
    </w:p>
    <w:p>
      <w:pPr>
        <w:spacing w:after="0" w:line="1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Multilateral Instrument 61-101 requires, subject to</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certain exceptions, the preparation of a formal</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valuation relating to certain aspects of the transaction</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and more detailed disclosure in the proxy material</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sent to security holders in connection with a related</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party transaction including related to the valuation.</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Multilateral Instrument 61-101 also requires, subject</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to certain exceptions, that an issuer not engage in a</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related party transaction unless the shareholders of</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the issuer, other than the related parties, approve the</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transaction by a simple majority of the votes cast.</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 and not the indirect holders, of the securities. Whether and how the legal holders contact the indirect holders is up to the legal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New York, New York, will be the depositary for all securities issued in book-entry form.</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320" w:top="455" w:right="5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67" w:lineRule="exact"/>
        <w:rPr>
          <w:sz w:val="20"/>
          <w:szCs w:val="20"/>
          <w:color w:val="auto"/>
        </w:rPr>
      </w:pPr>
    </w:p>
    <w:p>
      <w:pPr>
        <w:ind w:left="1080" w:right="2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Global Select Market or any other securities exchange or quotation or trading service on which such securities may be listed, quoted or traded at the time of sale; and/or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Nasdaq Global Select Market or such other securities exchanges or quotation or trading services.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offer, other than common shares,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Global Select Market may engage in passive market making transactions in the securities on the Nasdaq Global Select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in respect of which this prospectus, and any supplement thereto, is being delivered and certain legal matters with respect to Canadian law will be passed upon by Stikeman Elliott LLP, Montréal, Québec, Canada. The validity of the warrants and certain other matters of U.S. federal law will be passed upon for us by Cooley LLP, Boston, Massachusetts. Additional legal matters may be passed upon for us or any underwriters, dealers or agents, by counsel that we will name in the applicable prospectus supplement.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consolidated financial statements of Repare Therapeutics Inc. appearing in our Annual Report on Form 10-K for the year ended December 31,</w:t>
      </w:r>
    </w:p>
    <w:p>
      <w:pPr>
        <w:spacing w:after="0" w:line="39" w:lineRule="exact"/>
        <w:rPr>
          <w:sz w:val="20"/>
          <w:szCs w:val="20"/>
          <w:color w:val="auto"/>
        </w:rPr>
      </w:pP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2023 have been audited by Ernst &amp; Young LLP, independent registered public accounting firm, as set forth in their reports thereon included therein, and incorporated by reference herein. Such consolidated financial statements are incorporated herein by reference in reliance upon such reports given on the authority of such firm as experts in accounting and auditing.</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We must comply with the informational requirements of the Exchange Act, and we are required to file reports and proxy statements and other information with the SEC. You may read and copy these reports, proxy statements and other information on the SEC’s website at http://www.sec.gov, which contains reports, proxy and information statements and other information regarding issuers like us that file electronically with the SEC. We maintain a website at www.reparerx.com. The information contained in, or that can be accessed through, our website is not incorporated by reference herein and is not part of this prospectus.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the following documents:</w:t>
      </w:r>
    </w:p>
    <w:p>
      <w:pPr>
        <w:spacing w:after="0" w:line="8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2023, filed with the SEC on </w:t>
      </w:r>
      <w:hyperlink r:id="rId32">
        <w:r>
          <w:rPr>
            <w:rFonts w:ascii="Times New Roman" w:cs="Times New Roman" w:eastAsia="Times New Roman" w:hAnsi="Times New Roman"/>
            <w:sz w:val="18"/>
            <w:szCs w:val="18"/>
            <w:u w:val="single" w:color="auto"/>
            <w:color w:val="0000EE"/>
          </w:rPr>
          <w:t>February 28,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2023 from our definitive proxy statement on Schedule 14A, filed with the SEC on </w:t>
      </w:r>
      <w:hyperlink r:id="rId33">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 ended March 31, 2024, filed with the SEC on </w:t>
      </w:r>
      <w:hyperlink r:id="rId34">
        <w:r>
          <w:rPr>
            <w:rFonts w:ascii="Times New Roman" w:cs="Times New Roman" w:eastAsia="Times New Roman" w:hAnsi="Times New Roman"/>
            <w:sz w:val="18"/>
            <w:szCs w:val="18"/>
            <w:u w:val="single" w:color="auto"/>
            <w:color w:val="0000EE"/>
          </w:rPr>
          <w:t>May 7, 2024</w:t>
        </w:r>
      </w:hyperlink>
      <w:r>
        <w:rPr>
          <w:rFonts w:ascii="Times New Roman" w:cs="Times New Roman" w:eastAsia="Times New Roman" w:hAnsi="Times New Roman"/>
          <w:sz w:val="18"/>
          <w:szCs w:val="18"/>
          <w:color w:val="auto"/>
        </w:rPr>
        <w:t xml:space="preserve">, and the quarterly period ended June 30, 2024, filed with the SEC on </w:t>
      </w:r>
      <w:hyperlink r:id="rId112">
        <w:r>
          <w:rPr>
            <w:rFonts w:ascii="Times New Roman" w:cs="Times New Roman" w:eastAsia="Times New Roman" w:hAnsi="Times New Roman"/>
            <w:sz w:val="18"/>
            <w:szCs w:val="18"/>
            <w:u w:val="single" w:color="auto"/>
            <w:color w:val="0000EE"/>
          </w:rPr>
          <w:t>August 6,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7">
        <w:r>
          <w:rPr>
            <w:rFonts w:ascii="Times New Roman" w:cs="Times New Roman" w:eastAsia="Times New Roman" w:hAnsi="Times New Roman"/>
            <w:sz w:val="18"/>
            <w:szCs w:val="18"/>
            <w:u w:val="single" w:color="auto"/>
            <w:color w:val="0000EE"/>
          </w:rPr>
          <w:t>January 12, 2024</w:t>
        </w:r>
      </w:hyperlink>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January 25, 2024</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February 12, 2024</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EE"/>
          </w:rPr>
          <w:t>April 26,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(with respect to Item 5.02 only); and </w:t>
      </w:r>
      <w:hyperlink r:id="rId40">
        <w:r>
          <w:rPr>
            <w:rFonts w:ascii="Times New Roman" w:cs="Times New Roman" w:eastAsia="Times New Roman" w:hAnsi="Times New Roman"/>
            <w:sz w:val="18"/>
            <w:szCs w:val="18"/>
            <w:u w:val="single" w:color="auto"/>
            <w:color w:val="0000EE"/>
          </w:rPr>
          <w:t>June 17, 2024</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shares contained in our Registration Statement on </w:t>
      </w:r>
      <w:hyperlink r:id="rId4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16, 2020,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any future filings made by us with the SEC (other than current reports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(i) after the date of the initial filing of the registration statement of which this prospectus is a part and prior to effectiveness of the registration statement, and (ii) after the effectiveness of the registration statement but prior to the termination of the offering of the securities covered by the applicable prospectus supplement.</w:t>
      </w:r>
    </w:p>
    <w:p>
      <w:pPr>
        <w:spacing w:after="0" w:line="187" w:lineRule="exact"/>
        <w:rPr>
          <w:rFonts w:ascii="Times New Roman" w:cs="Times New Roman" w:eastAsia="Times New Roman" w:hAnsi="Times New Roman"/>
          <w:sz w:val="18"/>
          <w:szCs w:val="18"/>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this prospectus supplement and the accompanying prospectus is delivered, upon written or oral request, a copy of any document incorporated by reference. Requests should be addressed to Repare Therapeutics Inc., Attn: Investor Relations, 7171 Frederick-Banting, Building 2, Suite 270, St-Laurent, Québec, Canada H4S 1Z9. Copies of these filings are also available, without charge, on the SEC’s website at www.sec.gov and on our website www.reparerx.com as soon as reasonably practicable after they are filed electronically with the SEC. The information contained on our website is not part of this prospectus supplement or the accompanying prospectus.</w:t>
      </w:r>
    </w:p>
    <w:p>
      <w:pPr>
        <w:spacing w:after="0" w:line="187" w:lineRule="exact"/>
        <w:rPr>
          <w:rFonts w:ascii="Times New Roman" w:cs="Times New Roman" w:eastAsia="Times New Roman" w:hAnsi="Times New Roman"/>
          <w:sz w:val="18"/>
          <w:szCs w:val="18"/>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in this prospectus supplement or the accompanying prospectus shall be deemed modified, superseded or replaced for the purposes of this prospectus supplement or the accompanying prospectus to the extent that a statement contained in this prospectus supplement or the accompanying prospectus or in any other subsequently filed document that also is or is deemed to be incorporated by reference herein modifies or supersedes such statement.</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9"/>
          <w:szCs w:val="29"/>
          <w:b w:val="1"/>
          <w:bCs w:val="1"/>
          <w:color w:val="auto"/>
        </w:rPr>
        <w:t>Up to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344170</wp:posOffset>
            </wp:positionV>
            <wp:extent cx="1697355" cy="522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169735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412750</wp:posOffset>
            </wp:positionV>
            <wp:extent cx="1474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2"/>
    </w:lvl>
  </w:abstractNum>
  <w:abstractNum w:abstractNumId="2">
    <w:nsid w:val="7C83E458"/>
    <w:multiLevelType w:val="hybridMultilevel"/>
    <w:lvl w:ilvl="0">
      <w:lvlJc w:val="left"/>
      <w:lvlText w:val="%1."/>
      <w:numFmt w:val="decimal"/>
      <w:start w:val="3"/>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lowerRoman"/>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jpe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jpe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32" Type="http://schemas.openxmlformats.org/officeDocument/2006/relationships/hyperlink" Target="http://www.sec.gov/Archives/edgar/data/1808158/000095017024021651/rptx-20231231.htm" TargetMode="External"/><Relationship Id="rId33" Type="http://schemas.openxmlformats.org/officeDocument/2006/relationships/hyperlink" Target="http://www.sec.gov/Archives/edgar/data/1808158/000119312524117976/d23477ddef14a.htm" TargetMode="External"/><Relationship Id="rId34" Type="http://schemas.openxmlformats.org/officeDocument/2006/relationships/hyperlink" Target="http://www.sec.gov/Archives/edgar/data/1808158/000095017024054515/rptx-20240331.htm" TargetMode="External"/><Relationship Id="rId35" Type="http://schemas.openxmlformats.org/officeDocument/2006/relationships/hyperlink" Target="http://www.sec.gov/Archives/edgar/data/1808158/000095017024091850/rptx-20240630.htm" TargetMode="External"/><Relationship Id="rId36" Type="http://schemas.openxmlformats.org/officeDocument/2006/relationships/hyperlink" Target="http://www.sec.gov/ix?doc=/Archives/edgar/data/0001808158/000095017024122791/rptx-20240930.htm" TargetMode="External"/><Relationship Id="rId37" Type="http://schemas.openxmlformats.org/officeDocument/2006/relationships/hyperlink" Target="http://www.sec.gov/Archives/edgar/data/1808158/000119312524007503/d730642d8k.htm" TargetMode="External"/><Relationship Id="rId38" Type="http://schemas.openxmlformats.org/officeDocument/2006/relationships/hyperlink" Target="http://www.sec.gov/Archives/edgar/data/1808158/000095017024007321/rptx-20240125.htm" TargetMode="External"/><Relationship Id="rId39" Type="http://schemas.openxmlformats.org/officeDocument/2006/relationships/hyperlink" Target="http://www.sec.gov/Archives/edgar/data/1808158/000119312524032209/d741398d8k.htm" TargetMode="External"/><Relationship Id="rId40" Type="http://schemas.openxmlformats.org/officeDocument/2006/relationships/hyperlink" Target="http://www.sec.gov/Archives/edgar/data/1808158/000119312524162595/d835544d8k.htm" TargetMode="External"/><Relationship Id="rId41" Type="http://schemas.openxmlformats.org/officeDocument/2006/relationships/hyperlink" Target="http://www.sec.gov/Archives/edgar/data/1808158/000119312524195471/d881881d8k.htm" TargetMode="External"/><Relationship Id="rId42" Type="http://schemas.openxmlformats.org/officeDocument/2006/relationships/hyperlink" Target="http://www.sec.gov/Archives/edgar/data/1808158/000119312524208814/d833928d8k.htm" TargetMode="External"/><Relationship Id="rId43" Type="http://schemas.openxmlformats.org/officeDocument/2006/relationships/hyperlink" Target="http://www.sec.gov/Archives/edgar/data/1808158/000119312520170457/d944254d8a12b.htm" TargetMode="External"/><Relationship Id="rId112" Type="http://schemas.openxmlformats.org/officeDocument/2006/relationships/hyperlink" Target="http://www.sec.gov/ix?doc=/Archives/edgar/data/1808158/000095017024091850/rptx-20240630.htm" TargetMode="External"/><Relationship Id="rId113" Type="http://schemas.openxmlformats.org/officeDocument/2006/relationships/hyperlink" Target="http://www.sec.gov/Archives/edgar/data/1808158/000119312524118073/d79819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2024-11-07T07:46:35Z</dcterms:created>
  <dcterms:modified xsi:type="dcterms:W3CDTF">2024-11-07T07:46:35Z</dcterms:modified>
</cp:coreProperties>
</file>