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25" w:lineRule="exact"/>
        <w:rPr>
          <w:sz w:val="24"/>
          <w:szCs w:val="24"/>
          <w:color w:val="auto"/>
        </w:rPr>
      </w:pPr>
    </w:p>
    <w:p>
      <w:pPr>
        <w:jc w:val="center"/>
        <w:ind w:left="340" w:right="2580"/>
        <w:spacing w:after="0" w:line="266" w:lineRule="auto"/>
        <w:rPr>
          <w:sz w:val="20"/>
          <w:szCs w:val="20"/>
          <w:color w:val="auto"/>
        </w:rPr>
      </w:pPr>
      <w:r>
        <w:rPr>
          <w:rFonts w:ascii="Arial" w:cs="Arial" w:eastAsia="Arial" w:hAnsi="Arial"/>
          <w:sz w:val="18"/>
          <w:szCs w:val="18"/>
          <w:b w:val="1"/>
          <w:bCs w:val="1"/>
          <w:color w:val="auto"/>
        </w:rPr>
        <w:t>INFORMATION TO BE INCLUDED IN STATEMENTS FILED PURSUANT TO RULE 13d-l(a) AND AMENDMENTS THERETO FILED PURSUANT TO RULE 13d-2(a)</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REPARE THERAPEUTICS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760273102</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Versant Venture Capital V, L.P.</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Robin L. Praeger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One Sansome Street, Suite 3630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San Francisco, CA 94104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415-801-8100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June 23, 2020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§§240.13d-1(e), 240.13d-1(f) or 240.13d-1(g), check the following box.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380" w:lineRule="exact"/>
        <w:rPr>
          <w:sz w:val="24"/>
          <w:szCs w:val="24"/>
          <w:color w:val="auto"/>
        </w:rPr>
      </w:pPr>
    </w:p>
    <w:p>
      <w:pPr>
        <w:ind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280"/>
        <w:spacing w:after="0" w:line="308" w:lineRule="auto"/>
        <w:rPr>
          <w:sz w:val="20"/>
          <w:szCs w:val="20"/>
          <w:color w:val="auto"/>
        </w:rPr>
      </w:pPr>
      <w:r>
        <w:rPr>
          <w:rFonts w:ascii="Arial" w:cs="Arial" w:eastAsia="Arial" w:hAnsi="Arial"/>
          <w:sz w:val="17"/>
          <w:szCs w:val="17"/>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382905</wp:posOffset>
            </wp:positionV>
            <wp:extent cx="71532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783" w:right="359" w:bottom="1440" w:gutter="0" w:footer="0" w:header="0"/>
        </w:sectPr>
      </w:pPr>
    </w:p>
    <w:bookmarkStart w:id="1" w:name="page2"/>
    <w:bookmarkEnd w:id="1"/>
    <w:p>
      <w:pPr>
        <w:ind w:left="900" w:hanging="79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b w:val="1"/>
          <w:bCs w:val="1"/>
          <w:color w:val="auto"/>
        </w:rPr>
        <w:t>Versant Venture Capital V, L.P.</w:t>
      </w:r>
    </w:p>
    <w:p>
      <w:pPr>
        <w:spacing w:after="0" w:line="175" w:lineRule="exact"/>
        <w:rPr>
          <w:rFonts w:ascii="Arial" w:cs="Arial" w:eastAsia="Arial" w:hAnsi="Arial"/>
          <w:sz w:val="18"/>
          <w:szCs w:val="18"/>
          <w:color w:val="auto"/>
        </w:rPr>
      </w:pPr>
    </w:p>
    <w:p>
      <w:pPr>
        <w:ind w:left="900" w:hanging="79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-629920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781" w:gutter="0" w:footer="0" w:header="0"/>
        </w:sectPr>
      </w:pPr>
    </w:p>
    <w:p>
      <w:pPr>
        <w:spacing w:after="0" w:line="4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x(1)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-6369685</wp:posOffset>
            </wp:positionH>
            <wp:positionV relativeFrom="paragraph">
              <wp:posOffset>12065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 w:lineRule="exact"/>
        <w:rPr>
          <w:sz w:val="20"/>
          <w:szCs w:val="20"/>
          <w:color w:val="auto"/>
        </w:rPr>
      </w:pPr>
    </w:p>
    <w:p>
      <w:pPr>
        <w:sectPr>
          <w:pgSz w:w="11900" w:h="16838" w:orient="portrait"/>
          <w:cols w:equalWidth="0" w:num="2">
            <w:col w:w="9320" w:space="720"/>
            <w:col w:w="1200"/>
          </w:cols>
          <w:pgMar w:left="320" w:top="355" w:right="339" w:bottom="781" w:gutter="0" w:footer="0" w:header="0"/>
          <w:type w:val="continuous"/>
        </w:sectPr>
      </w:pPr>
    </w:p>
    <w:p>
      <w:pPr>
        <w:ind w:left="900" w:hanging="79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900" w:hanging="79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WC</w:t>
      </w:r>
    </w:p>
    <w:p>
      <w:pPr>
        <w:spacing w:after="0" w:line="138" w:lineRule="exact"/>
        <w:rPr>
          <w:sz w:val="20"/>
          <w:szCs w:val="20"/>
          <w:color w:val="auto"/>
        </w:rPr>
      </w:pPr>
    </w:p>
    <w:p>
      <w:pPr>
        <w:ind w:left="100"/>
        <w:spacing w:after="0" w:line="207" w:lineRule="exact"/>
        <w:tabs>
          <w:tab w:leader="none" w:pos="880" w:val="left"/>
          <w:tab w:leader="none" w:pos="1050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Check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00" w:right="7720" w:hanging="795"/>
        <w:spacing w:after="0" w:line="528"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Citizenship or Place of Organization Delaware, United States</w:t>
      </w:r>
    </w:p>
    <w:p>
      <w:pPr>
        <w:ind w:left="3120" w:hanging="625"/>
        <w:spacing w:after="0"/>
        <w:tabs>
          <w:tab w:leader="none" w:pos="3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-644525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1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360" w:type="dxa"/>
            <w:vAlign w:val="bottom"/>
          </w:tcPr>
          <w:p>
            <w:pPr>
              <w:ind w:left="240"/>
              <w:spacing w:after="0"/>
              <w:rPr>
                <w:sz w:val="20"/>
                <w:szCs w:val="20"/>
                <w:color w:val="auto"/>
              </w:rPr>
            </w:pPr>
            <w:r>
              <w:rPr>
                <w:rFonts w:ascii="Arial" w:cs="Arial" w:eastAsia="Arial" w:hAnsi="Arial"/>
                <w:sz w:val="18"/>
                <w:szCs w:val="18"/>
                <w:color w:val="auto"/>
              </w:rPr>
              <w:t>2,817,021 shares of common stock (2)</w:t>
            </w: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1640" w:type="dxa"/>
            <w:vAlign w:val="bottom"/>
          </w:tcPr>
          <w:p>
            <w:pPr>
              <w:jc w:val="center"/>
              <w:ind w:right="650"/>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8360" w:type="dxa"/>
            <w:vAlign w:val="bottom"/>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Pr>
          <w:p>
            <w:pPr>
              <w:jc w:val="center"/>
              <w:ind w:right="670"/>
              <w:spacing w:after="0"/>
              <w:rPr>
                <w:sz w:val="20"/>
                <w:szCs w:val="20"/>
                <w:color w:val="auto"/>
              </w:rPr>
            </w:pPr>
            <w:r>
              <w:rPr>
                <w:rFonts w:ascii="Arial" w:cs="Arial" w:eastAsia="Arial" w:hAnsi="Arial"/>
                <w:sz w:val="18"/>
                <w:szCs w:val="18"/>
                <w:color w:val="auto"/>
                <w:w w:val="84"/>
              </w:rPr>
              <w:t>Shares</w:t>
            </w:r>
          </w:p>
        </w:tc>
        <w:tc>
          <w:tcPr>
            <w:tcW w:w="480" w:type="dxa"/>
            <w:vAlign w:val="bottom"/>
          </w:tcPr>
          <w:p>
            <w:pPr>
              <w:spacing w:after="0"/>
              <w:rPr>
                <w:sz w:val="18"/>
                <w:szCs w:val="18"/>
                <w:color w:val="auto"/>
              </w:rPr>
            </w:pPr>
          </w:p>
        </w:tc>
        <w:tc>
          <w:tcPr>
            <w:tcW w:w="8360" w:type="dxa"/>
            <w:vAlign w:val="bottom"/>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640" w:type="dxa"/>
            <w:vAlign w:val="bottom"/>
          </w:tcPr>
          <w:p>
            <w:pPr>
              <w:jc w:val="center"/>
              <w:ind w:right="670"/>
              <w:spacing w:after="0"/>
              <w:rPr>
                <w:sz w:val="20"/>
                <w:szCs w:val="20"/>
                <w:color w:val="auto"/>
              </w:rPr>
            </w:pPr>
            <w:r>
              <w:rPr>
                <w:rFonts w:ascii="Arial" w:cs="Arial" w:eastAsia="Arial" w:hAnsi="Arial"/>
                <w:sz w:val="18"/>
                <w:szCs w:val="18"/>
                <w:color w:val="auto"/>
                <w:w w:val="96"/>
              </w:rPr>
              <w:t>Beneficially</w:t>
            </w:r>
          </w:p>
        </w:tc>
        <w:tc>
          <w:tcPr>
            <w:tcW w:w="480" w:type="dxa"/>
            <w:vAlign w:val="bottom"/>
          </w:tcPr>
          <w:p>
            <w:pPr>
              <w:spacing w:after="0"/>
              <w:rPr>
                <w:sz w:val="18"/>
                <w:szCs w:val="18"/>
                <w:color w:val="auto"/>
              </w:rPr>
            </w:pPr>
          </w:p>
        </w:tc>
        <w:tc>
          <w:tcPr>
            <w:tcW w:w="8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640" w:type="dxa"/>
            <w:vAlign w:val="bottom"/>
            <w:vMerge w:val="restart"/>
          </w:tcPr>
          <w:p>
            <w:pPr>
              <w:jc w:val="center"/>
              <w:ind w:right="650"/>
              <w:spacing w:after="0"/>
              <w:rPr>
                <w:sz w:val="20"/>
                <w:szCs w:val="20"/>
                <w:color w:val="auto"/>
              </w:rPr>
            </w:pPr>
            <w:r>
              <w:rPr>
                <w:rFonts w:ascii="Arial" w:cs="Arial" w:eastAsia="Arial" w:hAnsi="Arial"/>
                <w:sz w:val="18"/>
                <w:szCs w:val="18"/>
                <w:color w:val="auto"/>
                <w:w w:val="91"/>
              </w:rPr>
              <w:t>Owned by</w:t>
            </w:r>
          </w:p>
        </w:tc>
        <w:tc>
          <w:tcPr>
            <w:tcW w:w="480" w:type="dxa"/>
            <w:vAlign w:val="bottom"/>
            <w:tcBorders>
              <w:bottom w:val="single" w:sz="8" w:color="auto"/>
            </w:tcBorders>
          </w:tcPr>
          <w:p>
            <w:pPr>
              <w:spacing w:after="0"/>
              <w:rPr>
                <w:sz w:val="10"/>
                <w:szCs w:val="10"/>
                <w:color w:val="auto"/>
              </w:rPr>
            </w:pPr>
          </w:p>
        </w:tc>
        <w:tc>
          <w:tcPr>
            <w:tcW w:w="83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640" w:type="dxa"/>
            <w:vAlign w:val="bottom"/>
            <w:vMerge w:val="continue"/>
          </w:tcPr>
          <w:p>
            <w:pPr>
              <w:spacing w:after="0"/>
              <w:rPr>
                <w:sz w:val="6"/>
                <w:szCs w:val="6"/>
                <w:color w:val="auto"/>
              </w:rPr>
            </w:pPr>
          </w:p>
        </w:tc>
        <w:tc>
          <w:tcPr>
            <w:tcW w:w="480" w:type="dxa"/>
            <w:vAlign w:val="bottom"/>
            <w:vMerge w:val="restart"/>
          </w:tcPr>
          <w:p>
            <w:pPr>
              <w:jc w:val="right"/>
              <w:ind w:right="170"/>
              <w:spacing w:after="0"/>
              <w:rPr>
                <w:sz w:val="20"/>
                <w:szCs w:val="20"/>
                <w:color w:val="auto"/>
              </w:rPr>
            </w:pPr>
            <w:r>
              <w:rPr>
                <w:rFonts w:ascii="Arial" w:cs="Arial" w:eastAsia="Arial" w:hAnsi="Arial"/>
                <w:sz w:val="18"/>
                <w:szCs w:val="18"/>
                <w:color w:val="auto"/>
              </w:rPr>
              <w:t>9.</w:t>
            </w:r>
          </w:p>
        </w:tc>
        <w:tc>
          <w:tcPr>
            <w:tcW w:w="8360" w:type="dxa"/>
            <w:vAlign w:val="bottom"/>
            <w:vMerge w:val="restart"/>
          </w:tcPr>
          <w:p>
            <w:pPr>
              <w:ind w:left="2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640" w:type="dxa"/>
            <w:vAlign w:val="bottom"/>
            <w:vMerge w:val="restart"/>
          </w:tcPr>
          <w:p>
            <w:pPr>
              <w:jc w:val="center"/>
              <w:ind w:right="670"/>
              <w:spacing w:after="0"/>
              <w:rPr>
                <w:sz w:val="20"/>
                <w:szCs w:val="20"/>
                <w:color w:val="auto"/>
              </w:rPr>
            </w:pPr>
            <w:r>
              <w:rPr>
                <w:rFonts w:ascii="Arial" w:cs="Arial" w:eastAsia="Arial" w:hAnsi="Arial"/>
                <w:sz w:val="18"/>
                <w:szCs w:val="18"/>
                <w:color w:val="auto"/>
                <w:w w:val="87"/>
              </w:rPr>
              <w:t>Each</w:t>
            </w:r>
          </w:p>
        </w:tc>
        <w:tc>
          <w:tcPr>
            <w:tcW w:w="480" w:type="dxa"/>
            <w:vAlign w:val="bottom"/>
            <w:vMerge w:val="continue"/>
          </w:tcPr>
          <w:p>
            <w:pPr>
              <w:spacing w:after="0"/>
              <w:rPr>
                <w:sz w:val="13"/>
                <w:szCs w:val="13"/>
                <w:color w:val="auto"/>
              </w:rPr>
            </w:pPr>
          </w:p>
        </w:tc>
        <w:tc>
          <w:tcPr>
            <w:tcW w:w="8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64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83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760" w:type="dxa"/>
        <w:tblCellMar>
          <w:top w:w="0" w:type="dxa"/>
          <w:left w:w="0" w:type="dxa"/>
          <w:bottom w:w="0" w:type="dxa"/>
          <w:right w:w="0" w:type="dxa"/>
        </w:tblCellMar>
      </w:tblPr>
      <w:tr>
        <w:trPr>
          <w:trHeight w:val="202"/>
        </w:trPr>
        <w:tc>
          <w:tcPr>
            <w:tcW w:w="1620" w:type="dxa"/>
            <w:vAlign w:val="bottom"/>
          </w:tcPr>
          <w:p>
            <w:pPr>
              <w:jc w:val="center"/>
              <w:ind w:right="650"/>
              <w:spacing w:after="0" w:line="201" w:lineRule="exact"/>
              <w:rPr>
                <w:sz w:val="20"/>
                <w:szCs w:val="20"/>
                <w:color w:val="auto"/>
              </w:rPr>
            </w:pPr>
            <w:r>
              <w:rPr>
                <w:rFonts w:ascii="Arial" w:cs="Arial" w:eastAsia="Arial" w:hAnsi="Arial"/>
                <w:sz w:val="18"/>
                <w:szCs w:val="18"/>
                <w:color w:val="auto"/>
                <w:w w:val="92"/>
              </w:rPr>
              <w:t>Reporting</w:t>
            </w:r>
          </w:p>
        </w:tc>
        <w:tc>
          <w:tcPr>
            <w:tcW w:w="3520" w:type="dxa"/>
            <w:vAlign w:val="bottom"/>
            <w:vMerge w:val="restart"/>
          </w:tcPr>
          <w:p>
            <w:pPr>
              <w:ind w:left="740"/>
              <w:spacing w:after="0"/>
              <w:rPr>
                <w:sz w:val="20"/>
                <w:szCs w:val="20"/>
                <w:color w:val="auto"/>
              </w:rPr>
            </w:pPr>
            <w:r>
              <w:rPr>
                <w:rFonts w:ascii="Arial" w:cs="Arial" w:eastAsia="Arial" w:hAnsi="Arial"/>
                <w:sz w:val="18"/>
                <w:szCs w:val="18"/>
                <w:color w:val="auto"/>
                <w:w w:val="89"/>
              </w:rPr>
              <w:t>2,817,021 shares of common stock (2)</w:t>
            </w:r>
          </w:p>
        </w:tc>
        <w:tc>
          <w:tcPr>
            <w:tcW w:w="0" w:type="dxa"/>
            <w:vAlign w:val="bottom"/>
          </w:tcPr>
          <w:p>
            <w:pPr>
              <w:spacing w:after="0"/>
              <w:rPr>
                <w:sz w:val="1"/>
                <w:szCs w:val="1"/>
                <w:color w:val="auto"/>
              </w:rPr>
            </w:pPr>
          </w:p>
        </w:tc>
      </w:tr>
      <w:tr>
        <w:trPr>
          <w:trHeight w:val="136"/>
        </w:trPr>
        <w:tc>
          <w:tcPr>
            <w:tcW w:w="1620" w:type="dxa"/>
            <w:vAlign w:val="bottom"/>
            <w:vMerge w:val="restart"/>
          </w:tcPr>
          <w:p>
            <w:pPr>
              <w:jc w:val="center"/>
              <w:ind w:right="650"/>
              <w:spacing w:after="0"/>
              <w:rPr>
                <w:sz w:val="20"/>
                <w:szCs w:val="20"/>
                <w:color w:val="auto"/>
              </w:rPr>
            </w:pPr>
            <w:r>
              <w:rPr>
                <w:rFonts w:ascii="Arial" w:cs="Arial" w:eastAsia="Arial" w:hAnsi="Arial"/>
                <w:sz w:val="18"/>
                <w:szCs w:val="18"/>
                <w:color w:val="auto"/>
                <w:w w:val="89"/>
              </w:rPr>
              <w:t>Person With</w:t>
            </w:r>
          </w:p>
        </w:tc>
        <w:tc>
          <w:tcPr>
            <w:tcW w:w="3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620" w:type="dxa"/>
            <w:vAlign w:val="bottom"/>
            <w:vMerge w:val="continue"/>
          </w:tcPr>
          <w:p>
            <w:pPr>
              <w:spacing w:after="0"/>
              <w:rPr>
                <w:sz w:val="8"/>
                <w:szCs w:val="8"/>
                <w:color w:val="auto"/>
              </w:rPr>
            </w:pPr>
          </w:p>
        </w:tc>
        <w:tc>
          <w:tcPr>
            <w:tcW w:w="3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3120" w:right="6240" w:hanging="625"/>
        <w:spacing w:after="0" w:line="469" w:lineRule="auto"/>
        <w:tabs>
          <w:tab w:leader="none" w:pos="3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900" w:right="5540" w:hanging="795"/>
        <w:spacing w:after="0" w:line="513"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2,817,021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-1075055</wp:posOffset>
            </wp:positionV>
            <wp:extent cx="56146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146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-560705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100"/>
        <w:spacing w:after="0" w:line="187" w:lineRule="exact"/>
        <w:tabs>
          <w:tab w:leader="none" w:pos="880" w:val="left"/>
          <w:tab w:leader="none" w:pos="105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8" w:lineRule="exact"/>
        <w:rPr>
          <w:sz w:val="20"/>
          <w:szCs w:val="20"/>
          <w:color w:val="auto"/>
        </w:rPr>
      </w:pPr>
    </w:p>
    <w:p>
      <w:pPr>
        <w:ind w:left="900" w:right="6580" w:hanging="79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7.7% (3)</w:t>
      </w:r>
    </w:p>
    <w:p>
      <w:pPr>
        <w:spacing w:after="0" w:line="183" w:lineRule="exact"/>
        <w:rPr>
          <w:rFonts w:ascii="Arial" w:cs="Arial" w:eastAsia="Arial" w:hAnsi="Arial"/>
          <w:sz w:val="18"/>
          <w:szCs w:val="18"/>
          <w:color w:val="auto"/>
        </w:rPr>
      </w:pPr>
    </w:p>
    <w:p>
      <w:pPr>
        <w:ind w:left="900" w:hanging="79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-824865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18002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19" w:lineRule="exact"/>
        <w:rPr>
          <w:sz w:val="20"/>
          <w:szCs w:val="20"/>
          <w:color w:val="auto"/>
        </w:rPr>
      </w:pPr>
    </w:p>
    <w:p>
      <w:pPr>
        <w:ind w:right="40" w:firstLine="8"/>
        <w:spacing w:after="0" w:line="266" w:lineRule="auto"/>
        <w:tabs>
          <w:tab w:leader="none" w:pos="297" w:val="left"/>
        </w:tabs>
        <w:numPr>
          <w:ilvl w:val="0"/>
          <w:numId w:val="8"/>
        </w:numPr>
        <w:rPr>
          <w:rFonts w:ascii="Arial" w:cs="Arial" w:eastAsia="Arial" w:hAnsi="Arial"/>
          <w:sz w:val="17"/>
          <w:szCs w:val="17"/>
          <w:color w:val="auto"/>
        </w:rPr>
      </w:pPr>
      <w:r>
        <w:rPr>
          <w:rFonts w:ascii="Arial" w:cs="Arial" w:eastAsia="Arial" w:hAnsi="Arial"/>
          <w:sz w:val="17"/>
          <w:szCs w:val="17"/>
          <w:color w:val="auto"/>
        </w:rPr>
        <w:t>This Schedule 13D is filed by Versant Venture Capital V, L.P. (“VVC V”), Versant Affiliates Fund V, L.P. (“VAF V”), Versant Ophthalmic Affiliates Fund I, L.P. (“VOA”), Versant Ventures V, LLC (“VV V”), Versant Venture Capital VI, L.P. (“Versant VI”), Versant Ventures VI GP, L.P. (“GP VI”), Versant Ventures VI GP-GP, LLC (“LLC VI”), Versant Vantage I, L.P. (“Vantage LP”), Versant Vantage I GP, L.P. (“Vantage GP”), Versant Vantage I GP-GP, LLC (“Vantage LLC”), Versant Ventures V GP-GP (Canada), Inc. (“VV V CAN GP”), Versant Ventures V (Canada), L.P. (“VV V CAN”), Versant Venture Capital V (Canada) LP (“VVC CAN” and, with VV V CAN GP, Vantage LLC, VVC V, VAF V, VOA, VV V CAN, VV V, Versant VI, GP VI, LLC VI, Vantage LP and Vantage GP, collectively, the “Reporting Persons”). VV V is the sole general partner of VVC V, VAF V and VOA. LLC VI is the general partner of GP VI, which is the general partner of Versant VI. LLC VI and GP VI share voting and dispositive power over the shares held by Versant VI. Vantage LLC is the general partner of Vantage GP, which is the general partner of Vantage LP. Vantage LLC and Vantage GP share voting and dispositive power over the shares held by Vantage LP. VV V CAN GP is the sole general partner of VV V CAN, and VV V CAN is the sole general partner of VVC CAN. VV V CAN GP and VV V CAN share voting and dispositive power over the shares held by VVC CAN. The Reporting Persons expressly disclaim status as a “group” for purposes of this Schedule 13D.</w:t>
      </w:r>
    </w:p>
    <w:p>
      <w:pPr>
        <w:spacing w:after="0" w:line="7" w:lineRule="exact"/>
        <w:rPr>
          <w:rFonts w:ascii="Arial" w:cs="Arial" w:eastAsia="Arial" w:hAnsi="Arial"/>
          <w:sz w:val="17"/>
          <w:szCs w:val="17"/>
          <w:color w:val="auto"/>
        </w:rPr>
      </w:pPr>
    </w:p>
    <w:p>
      <w:pPr>
        <w:ind w:right="560" w:firstLine="8"/>
        <w:spacing w:after="0" w:line="250" w:lineRule="auto"/>
        <w:tabs>
          <w:tab w:leader="none" w:pos="25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These shares are held by VVC V. VV V is the sole general partner of VVC V and may be deemed to have voting and investment power over the securities held by VVC V.</w:t>
      </w:r>
    </w:p>
    <w:p>
      <w:pPr>
        <w:ind w:right="120" w:firstLine="8"/>
        <w:spacing w:after="0" w:line="281" w:lineRule="auto"/>
        <w:tabs>
          <w:tab w:leader="none" w:pos="252" w:val="left"/>
        </w:tabs>
        <w:numPr>
          <w:ilvl w:val="0"/>
          <w:numId w:val="8"/>
        </w:numPr>
        <w:rPr>
          <w:rFonts w:ascii="Arial" w:cs="Arial" w:eastAsia="Arial" w:hAnsi="Arial"/>
          <w:sz w:val="16"/>
          <w:szCs w:val="16"/>
          <w:color w:val="auto"/>
        </w:rPr>
      </w:pPr>
      <w:r>
        <w:rPr>
          <w:rFonts w:ascii="Arial" w:cs="Arial" w:eastAsia="Arial" w:hAnsi="Arial"/>
          <w:sz w:val="16"/>
          <w:szCs w:val="16"/>
          <w:color w:val="auto"/>
        </w:rPr>
        <w:t>This percentage is calculated based upon 36,668,085 shares of common stock outstanding of Repare Therapeutics Inc. (the “Issuer”), as set forth in the Issuer’s Rule 424(b)(4) Prospectus filed with the Securities and Exchange Commission (“SEC”) on June 19, 2020 and giving effect to the</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additional 1,650,000 shares of common stock issued and sold by the Issuer to the underwriters pursuant to the underwriters’ option.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781" w:gutter="0" w:footer="0" w:header="0"/>
          <w:type w:val="continuous"/>
        </w:sectPr>
      </w:pPr>
    </w:p>
    <w:bookmarkStart w:id="2" w:name="page3"/>
    <w:bookmarkEnd w:id="2"/>
    <w:p>
      <w:pPr>
        <w:ind w:left="900" w:hanging="79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b w:val="1"/>
          <w:bCs w:val="1"/>
          <w:color w:val="auto"/>
        </w:rPr>
        <w:t>Versant Affiliates Fund V, L.P.</w:t>
      </w:r>
    </w:p>
    <w:p>
      <w:pPr>
        <w:spacing w:after="0" w:line="175" w:lineRule="exact"/>
        <w:rPr>
          <w:rFonts w:ascii="Arial" w:cs="Arial" w:eastAsia="Arial" w:hAnsi="Arial"/>
          <w:sz w:val="18"/>
          <w:szCs w:val="18"/>
          <w:color w:val="auto"/>
        </w:rPr>
      </w:pPr>
    </w:p>
    <w:p>
      <w:pPr>
        <w:ind w:left="900" w:hanging="79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-629920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p>
      <w:pPr>
        <w:spacing w:after="0" w:line="4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o</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x(1)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-6369685</wp:posOffset>
            </wp:positionH>
            <wp:positionV relativeFrom="paragraph">
              <wp:posOffset>13335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9320" w:space="720"/>
            <w:col w:w="1200"/>
          </w:cols>
          <w:pgMar w:left="320" w:top="355" w:right="339" w:bottom="1440" w:gutter="0" w:footer="0" w:header="0"/>
          <w:type w:val="continuous"/>
        </w:sectPr>
      </w:pPr>
    </w:p>
    <w:p>
      <w:pPr>
        <w:ind w:left="900" w:hanging="79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900" w:hanging="79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WC</w:t>
      </w:r>
    </w:p>
    <w:p>
      <w:pPr>
        <w:spacing w:after="0" w:line="171" w:lineRule="exact"/>
        <w:rPr>
          <w:sz w:val="20"/>
          <w:szCs w:val="20"/>
          <w:color w:val="auto"/>
        </w:rPr>
      </w:pPr>
    </w:p>
    <w:p>
      <w:pPr>
        <w:ind w:left="100"/>
        <w:spacing w:after="0"/>
        <w:tabs>
          <w:tab w:leader="none" w:pos="880" w:val="left"/>
          <w:tab w:leader="none" w:pos="105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Check if Disclosure of Legal Proceedings Is Required Pursuant to Item 2(d) or 2(e)</w:t>
      </w:r>
      <w:r>
        <w:rPr>
          <w:sz w:val="20"/>
          <w:szCs w:val="20"/>
          <w:color w:val="auto"/>
        </w:rPr>
        <w:tab/>
      </w:r>
      <w:r>
        <w:rPr>
          <w:rFonts w:ascii="Arial" w:cs="Arial" w:eastAsia="Arial" w:hAnsi="Arial"/>
          <w:sz w:val="17"/>
          <w:szCs w:val="17"/>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900" w:right="7720" w:hanging="795"/>
        <w:spacing w:after="0" w:line="528"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Citizenship or Place of Organization Delaware, United States</w:t>
      </w:r>
    </w:p>
    <w:p>
      <w:pPr>
        <w:ind w:left="3120" w:hanging="625"/>
        <w:spacing w:after="0"/>
        <w:tabs>
          <w:tab w:leader="none" w:pos="31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-644525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1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360" w:type="dxa"/>
            <w:vAlign w:val="bottom"/>
          </w:tcPr>
          <w:p>
            <w:pPr>
              <w:ind w:left="240"/>
              <w:spacing w:after="0"/>
              <w:rPr>
                <w:sz w:val="20"/>
                <w:szCs w:val="20"/>
                <w:color w:val="auto"/>
              </w:rPr>
            </w:pPr>
            <w:r>
              <w:rPr>
                <w:rFonts w:ascii="Arial" w:cs="Arial" w:eastAsia="Arial" w:hAnsi="Arial"/>
                <w:sz w:val="18"/>
                <w:szCs w:val="18"/>
                <w:color w:val="auto"/>
              </w:rPr>
              <w:t>84,737 shares of common stock (2)</w:t>
            </w: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1640" w:type="dxa"/>
            <w:vAlign w:val="bottom"/>
          </w:tcPr>
          <w:p>
            <w:pPr>
              <w:jc w:val="center"/>
              <w:ind w:right="650"/>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8360" w:type="dxa"/>
            <w:vAlign w:val="bottom"/>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Pr>
          <w:p>
            <w:pPr>
              <w:jc w:val="center"/>
              <w:ind w:right="670"/>
              <w:spacing w:after="0"/>
              <w:rPr>
                <w:sz w:val="20"/>
                <w:szCs w:val="20"/>
                <w:color w:val="auto"/>
              </w:rPr>
            </w:pPr>
            <w:r>
              <w:rPr>
                <w:rFonts w:ascii="Arial" w:cs="Arial" w:eastAsia="Arial" w:hAnsi="Arial"/>
                <w:sz w:val="18"/>
                <w:szCs w:val="18"/>
                <w:color w:val="auto"/>
                <w:w w:val="84"/>
              </w:rPr>
              <w:t>Shares</w:t>
            </w:r>
          </w:p>
        </w:tc>
        <w:tc>
          <w:tcPr>
            <w:tcW w:w="480" w:type="dxa"/>
            <w:vAlign w:val="bottom"/>
          </w:tcPr>
          <w:p>
            <w:pPr>
              <w:spacing w:after="0"/>
              <w:rPr>
                <w:sz w:val="18"/>
                <w:szCs w:val="18"/>
                <w:color w:val="auto"/>
              </w:rPr>
            </w:pPr>
          </w:p>
        </w:tc>
        <w:tc>
          <w:tcPr>
            <w:tcW w:w="8360" w:type="dxa"/>
            <w:vAlign w:val="bottom"/>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640" w:type="dxa"/>
            <w:vAlign w:val="bottom"/>
          </w:tcPr>
          <w:p>
            <w:pPr>
              <w:jc w:val="center"/>
              <w:ind w:right="670"/>
              <w:spacing w:after="0"/>
              <w:rPr>
                <w:sz w:val="20"/>
                <w:szCs w:val="20"/>
                <w:color w:val="auto"/>
              </w:rPr>
            </w:pPr>
            <w:r>
              <w:rPr>
                <w:rFonts w:ascii="Arial" w:cs="Arial" w:eastAsia="Arial" w:hAnsi="Arial"/>
                <w:sz w:val="18"/>
                <w:szCs w:val="18"/>
                <w:color w:val="auto"/>
                <w:w w:val="96"/>
              </w:rPr>
              <w:t>Beneficially</w:t>
            </w:r>
          </w:p>
        </w:tc>
        <w:tc>
          <w:tcPr>
            <w:tcW w:w="480" w:type="dxa"/>
            <w:vAlign w:val="bottom"/>
          </w:tcPr>
          <w:p>
            <w:pPr>
              <w:spacing w:after="0"/>
              <w:rPr>
                <w:sz w:val="18"/>
                <w:szCs w:val="18"/>
                <w:color w:val="auto"/>
              </w:rPr>
            </w:pPr>
          </w:p>
        </w:tc>
        <w:tc>
          <w:tcPr>
            <w:tcW w:w="8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640" w:type="dxa"/>
            <w:vAlign w:val="bottom"/>
            <w:vMerge w:val="restart"/>
          </w:tcPr>
          <w:p>
            <w:pPr>
              <w:jc w:val="center"/>
              <w:ind w:right="650"/>
              <w:spacing w:after="0"/>
              <w:rPr>
                <w:sz w:val="20"/>
                <w:szCs w:val="20"/>
                <w:color w:val="auto"/>
              </w:rPr>
            </w:pPr>
            <w:r>
              <w:rPr>
                <w:rFonts w:ascii="Arial" w:cs="Arial" w:eastAsia="Arial" w:hAnsi="Arial"/>
                <w:sz w:val="18"/>
                <w:szCs w:val="18"/>
                <w:color w:val="auto"/>
                <w:w w:val="91"/>
              </w:rPr>
              <w:t>Owned by</w:t>
            </w:r>
          </w:p>
        </w:tc>
        <w:tc>
          <w:tcPr>
            <w:tcW w:w="480" w:type="dxa"/>
            <w:vAlign w:val="bottom"/>
            <w:tcBorders>
              <w:bottom w:val="single" w:sz="8" w:color="auto"/>
            </w:tcBorders>
          </w:tcPr>
          <w:p>
            <w:pPr>
              <w:spacing w:after="0"/>
              <w:rPr>
                <w:sz w:val="10"/>
                <w:szCs w:val="10"/>
                <w:color w:val="auto"/>
              </w:rPr>
            </w:pPr>
          </w:p>
        </w:tc>
        <w:tc>
          <w:tcPr>
            <w:tcW w:w="83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640" w:type="dxa"/>
            <w:vAlign w:val="bottom"/>
            <w:vMerge w:val="continue"/>
          </w:tcPr>
          <w:p>
            <w:pPr>
              <w:spacing w:after="0"/>
              <w:rPr>
                <w:sz w:val="6"/>
                <w:szCs w:val="6"/>
                <w:color w:val="auto"/>
              </w:rPr>
            </w:pPr>
          </w:p>
        </w:tc>
        <w:tc>
          <w:tcPr>
            <w:tcW w:w="480" w:type="dxa"/>
            <w:vAlign w:val="bottom"/>
            <w:vMerge w:val="restart"/>
          </w:tcPr>
          <w:p>
            <w:pPr>
              <w:jc w:val="right"/>
              <w:ind w:right="170"/>
              <w:spacing w:after="0"/>
              <w:rPr>
                <w:sz w:val="20"/>
                <w:szCs w:val="20"/>
                <w:color w:val="auto"/>
              </w:rPr>
            </w:pPr>
            <w:r>
              <w:rPr>
                <w:rFonts w:ascii="Arial" w:cs="Arial" w:eastAsia="Arial" w:hAnsi="Arial"/>
                <w:sz w:val="18"/>
                <w:szCs w:val="18"/>
                <w:color w:val="auto"/>
              </w:rPr>
              <w:t>9.</w:t>
            </w:r>
          </w:p>
        </w:tc>
        <w:tc>
          <w:tcPr>
            <w:tcW w:w="8360" w:type="dxa"/>
            <w:vAlign w:val="bottom"/>
            <w:vMerge w:val="restart"/>
          </w:tcPr>
          <w:p>
            <w:pPr>
              <w:ind w:left="2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640" w:type="dxa"/>
            <w:vAlign w:val="bottom"/>
            <w:vMerge w:val="restart"/>
          </w:tcPr>
          <w:p>
            <w:pPr>
              <w:jc w:val="center"/>
              <w:ind w:right="670"/>
              <w:spacing w:after="0"/>
              <w:rPr>
                <w:sz w:val="20"/>
                <w:szCs w:val="20"/>
                <w:color w:val="auto"/>
              </w:rPr>
            </w:pPr>
            <w:r>
              <w:rPr>
                <w:rFonts w:ascii="Arial" w:cs="Arial" w:eastAsia="Arial" w:hAnsi="Arial"/>
                <w:sz w:val="18"/>
                <w:szCs w:val="18"/>
                <w:color w:val="auto"/>
                <w:w w:val="87"/>
              </w:rPr>
              <w:t>Each</w:t>
            </w:r>
          </w:p>
        </w:tc>
        <w:tc>
          <w:tcPr>
            <w:tcW w:w="480" w:type="dxa"/>
            <w:vAlign w:val="bottom"/>
            <w:vMerge w:val="continue"/>
          </w:tcPr>
          <w:p>
            <w:pPr>
              <w:spacing w:after="0"/>
              <w:rPr>
                <w:sz w:val="13"/>
                <w:szCs w:val="13"/>
                <w:color w:val="auto"/>
              </w:rPr>
            </w:pPr>
          </w:p>
        </w:tc>
        <w:tc>
          <w:tcPr>
            <w:tcW w:w="8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64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83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760" w:type="dxa"/>
        <w:tblCellMar>
          <w:top w:w="0" w:type="dxa"/>
          <w:left w:w="0" w:type="dxa"/>
          <w:bottom w:w="0" w:type="dxa"/>
          <w:right w:w="0" w:type="dxa"/>
        </w:tblCellMar>
      </w:tblPr>
      <w:tr>
        <w:trPr>
          <w:trHeight w:val="202"/>
        </w:trPr>
        <w:tc>
          <w:tcPr>
            <w:tcW w:w="1620" w:type="dxa"/>
            <w:vAlign w:val="bottom"/>
          </w:tcPr>
          <w:p>
            <w:pPr>
              <w:jc w:val="center"/>
              <w:ind w:right="650"/>
              <w:spacing w:after="0" w:line="201" w:lineRule="exact"/>
              <w:rPr>
                <w:sz w:val="20"/>
                <w:szCs w:val="20"/>
                <w:color w:val="auto"/>
              </w:rPr>
            </w:pPr>
            <w:r>
              <w:rPr>
                <w:rFonts w:ascii="Arial" w:cs="Arial" w:eastAsia="Arial" w:hAnsi="Arial"/>
                <w:sz w:val="18"/>
                <w:szCs w:val="18"/>
                <w:color w:val="auto"/>
                <w:w w:val="92"/>
              </w:rPr>
              <w:t>Reporting</w:t>
            </w:r>
          </w:p>
        </w:tc>
        <w:tc>
          <w:tcPr>
            <w:tcW w:w="3280" w:type="dxa"/>
            <w:vAlign w:val="bottom"/>
            <w:vMerge w:val="restart"/>
          </w:tcPr>
          <w:p>
            <w:pPr>
              <w:ind w:left="740"/>
              <w:spacing w:after="0"/>
              <w:rPr>
                <w:sz w:val="20"/>
                <w:szCs w:val="20"/>
                <w:color w:val="auto"/>
              </w:rPr>
            </w:pPr>
            <w:r>
              <w:rPr>
                <w:rFonts w:ascii="Arial" w:cs="Arial" w:eastAsia="Arial" w:hAnsi="Arial"/>
                <w:sz w:val="18"/>
                <w:szCs w:val="18"/>
                <w:color w:val="auto"/>
                <w:w w:val="89"/>
              </w:rPr>
              <w:t>84,737 shares of common stock (2)</w:t>
            </w:r>
          </w:p>
        </w:tc>
        <w:tc>
          <w:tcPr>
            <w:tcW w:w="0" w:type="dxa"/>
            <w:vAlign w:val="bottom"/>
          </w:tcPr>
          <w:p>
            <w:pPr>
              <w:spacing w:after="0"/>
              <w:rPr>
                <w:sz w:val="1"/>
                <w:szCs w:val="1"/>
                <w:color w:val="auto"/>
              </w:rPr>
            </w:pPr>
          </w:p>
        </w:tc>
      </w:tr>
      <w:tr>
        <w:trPr>
          <w:trHeight w:val="136"/>
        </w:trPr>
        <w:tc>
          <w:tcPr>
            <w:tcW w:w="1620" w:type="dxa"/>
            <w:vAlign w:val="bottom"/>
            <w:vMerge w:val="restart"/>
          </w:tcPr>
          <w:p>
            <w:pPr>
              <w:jc w:val="center"/>
              <w:ind w:right="650"/>
              <w:spacing w:after="0"/>
              <w:rPr>
                <w:sz w:val="20"/>
                <w:szCs w:val="20"/>
                <w:color w:val="auto"/>
              </w:rPr>
            </w:pPr>
            <w:r>
              <w:rPr>
                <w:rFonts w:ascii="Arial" w:cs="Arial" w:eastAsia="Arial" w:hAnsi="Arial"/>
                <w:sz w:val="18"/>
                <w:szCs w:val="18"/>
                <w:color w:val="auto"/>
                <w:w w:val="89"/>
              </w:rPr>
              <w:t>Person With</w:t>
            </w:r>
          </w:p>
        </w:tc>
        <w:tc>
          <w:tcPr>
            <w:tcW w:w="3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620" w:type="dxa"/>
            <w:vAlign w:val="bottom"/>
            <w:vMerge w:val="continue"/>
          </w:tcPr>
          <w:p>
            <w:pPr>
              <w:spacing w:after="0"/>
              <w:rPr>
                <w:sz w:val="8"/>
                <w:szCs w:val="8"/>
                <w:color w:val="auto"/>
              </w:rPr>
            </w:pPr>
          </w:p>
        </w:tc>
        <w:tc>
          <w:tcPr>
            <w:tcW w:w="32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3120" w:right="6240" w:hanging="625"/>
        <w:spacing w:after="0" w:line="469" w:lineRule="auto"/>
        <w:tabs>
          <w:tab w:leader="none" w:pos="31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900" w:right="5540" w:hanging="795"/>
        <w:spacing w:after="0" w:line="513"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84,737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-1075055</wp:posOffset>
            </wp:positionV>
            <wp:extent cx="56146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146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-560705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100"/>
        <w:spacing w:after="0" w:line="187" w:lineRule="exact"/>
        <w:tabs>
          <w:tab w:leader="none" w:pos="880" w:val="left"/>
          <w:tab w:leader="none" w:pos="105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8" w:lineRule="exact"/>
        <w:rPr>
          <w:sz w:val="20"/>
          <w:szCs w:val="20"/>
          <w:color w:val="auto"/>
        </w:rPr>
      </w:pPr>
    </w:p>
    <w:p>
      <w:pPr>
        <w:ind w:left="900" w:right="6580" w:hanging="795"/>
        <w:spacing w:after="0" w:line="277"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0.2% (3)</w:t>
      </w:r>
    </w:p>
    <w:p>
      <w:pPr>
        <w:spacing w:after="0" w:line="183" w:lineRule="exact"/>
        <w:rPr>
          <w:rFonts w:ascii="Arial" w:cs="Arial" w:eastAsia="Arial" w:hAnsi="Arial"/>
          <w:sz w:val="18"/>
          <w:szCs w:val="18"/>
          <w:color w:val="auto"/>
        </w:rPr>
      </w:pPr>
    </w:p>
    <w:p>
      <w:pPr>
        <w:ind w:left="900" w:hanging="795"/>
        <w:spacing w:after="0"/>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This Schedule 13D is filed by the Reporting Persons. The Reporting Persons expressly disclaim status as a “group” for purposes of this Schedule 13D.</w:t>
      </w:r>
    </w:p>
    <w:p>
      <w:pPr>
        <w:spacing w:after="0" w:line="46" w:lineRule="exact"/>
        <w:rPr>
          <w:rFonts w:ascii="Arial" w:cs="Arial" w:eastAsia="Arial" w:hAnsi="Arial"/>
          <w:sz w:val="16"/>
          <w:szCs w:val="16"/>
          <w:color w:val="auto"/>
        </w:rPr>
      </w:pPr>
    </w:p>
    <w:p>
      <w:pPr>
        <w:ind w:right="640" w:firstLine="8"/>
        <w:spacing w:after="0" w:line="250" w:lineRule="auto"/>
        <w:tabs>
          <w:tab w:leader="none" w:pos="2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These shares are held by VAF V. VV V is the sole general partner of VAF V and may be deemed to have voting and investment power over the securities held by VAF V.</w:t>
      </w:r>
    </w:p>
    <w:p>
      <w:pPr>
        <w:ind w:right="120" w:firstLine="8"/>
        <w:spacing w:after="0" w:line="281" w:lineRule="auto"/>
        <w:tabs>
          <w:tab w:leader="none" w:pos="25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This percentage is calculated based upon 36,668,085 shares of common stock outstanding of Repare Therapeutics Inc. (the “Issuer”), as set forth in the Issuer’s Rule 424(b)(4) Prospectus filed with the Securities and Exchange Commission (“SEC”) on June 19, 2020 and giving effect to the</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additional 1,650,000 shares of common stock issued and sold by the Issuer to the underwriters pursuant to the underwriters’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-1108075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-1622425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-2042160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-893445</wp:posOffset>
            </wp:positionV>
            <wp:extent cx="18002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3" w:name="page4"/>
    <w:bookmarkEnd w:id="3"/>
    <w:p>
      <w:pPr>
        <w:ind w:left="900" w:hanging="79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b w:val="1"/>
          <w:bCs w:val="1"/>
          <w:color w:val="auto"/>
        </w:rPr>
        <w:t>Versant Ophthalmic Affiliates Fund I, L.P.</w:t>
      </w:r>
    </w:p>
    <w:p>
      <w:pPr>
        <w:spacing w:after="0" w:line="175" w:lineRule="exact"/>
        <w:rPr>
          <w:rFonts w:ascii="Arial" w:cs="Arial" w:eastAsia="Arial" w:hAnsi="Arial"/>
          <w:sz w:val="18"/>
          <w:szCs w:val="18"/>
          <w:color w:val="auto"/>
        </w:rPr>
      </w:pPr>
    </w:p>
    <w:p>
      <w:pPr>
        <w:ind w:left="900" w:hanging="79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-629920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p>
      <w:pPr>
        <w:spacing w:after="0" w:line="4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x(1)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-6369685</wp:posOffset>
            </wp:positionH>
            <wp:positionV relativeFrom="paragraph">
              <wp:posOffset>12065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 w:lineRule="exact"/>
        <w:rPr>
          <w:sz w:val="20"/>
          <w:szCs w:val="20"/>
          <w:color w:val="auto"/>
        </w:rPr>
      </w:pPr>
    </w:p>
    <w:p>
      <w:pPr>
        <w:sectPr>
          <w:pgSz w:w="11900" w:h="16838" w:orient="portrait"/>
          <w:cols w:equalWidth="0" w:num="2">
            <w:col w:w="9320" w:space="720"/>
            <w:col w:w="1200"/>
          </w:cols>
          <w:pgMar w:left="320" w:top="355" w:right="339" w:bottom="1440" w:gutter="0" w:footer="0" w:header="0"/>
          <w:type w:val="continuous"/>
        </w:sectPr>
      </w:pPr>
    </w:p>
    <w:p>
      <w:pPr>
        <w:ind w:left="900" w:hanging="79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900" w:hanging="79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WC</w:t>
      </w:r>
    </w:p>
    <w:p>
      <w:pPr>
        <w:spacing w:after="0" w:line="138" w:lineRule="exact"/>
        <w:rPr>
          <w:sz w:val="20"/>
          <w:szCs w:val="20"/>
          <w:color w:val="auto"/>
        </w:rPr>
      </w:pPr>
    </w:p>
    <w:p>
      <w:pPr>
        <w:ind w:left="100"/>
        <w:spacing w:after="0" w:line="207" w:lineRule="exact"/>
        <w:tabs>
          <w:tab w:leader="none" w:pos="880" w:val="left"/>
          <w:tab w:leader="none" w:pos="1050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Check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00" w:right="7720" w:hanging="795"/>
        <w:spacing w:after="0" w:line="528"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Citizenship or Place of Organization Delaware, United States</w:t>
      </w:r>
    </w:p>
    <w:p>
      <w:pPr>
        <w:ind w:left="3120" w:hanging="625"/>
        <w:spacing w:after="0"/>
        <w:tabs>
          <w:tab w:leader="none" w:pos="31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-644525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1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360" w:type="dxa"/>
            <w:vAlign w:val="bottom"/>
          </w:tcPr>
          <w:p>
            <w:pPr>
              <w:ind w:left="240"/>
              <w:spacing w:after="0"/>
              <w:rPr>
                <w:sz w:val="20"/>
                <w:szCs w:val="20"/>
                <w:color w:val="auto"/>
              </w:rPr>
            </w:pPr>
            <w:r>
              <w:rPr>
                <w:rFonts w:ascii="Arial" w:cs="Arial" w:eastAsia="Arial" w:hAnsi="Arial"/>
                <w:sz w:val="18"/>
                <w:szCs w:val="18"/>
                <w:color w:val="auto"/>
              </w:rPr>
              <w:t>93,798 shares of common stock (2)</w:t>
            </w: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1640" w:type="dxa"/>
            <w:vAlign w:val="bottom"/>
          </w:tcPr>
          <w:p>
            <w:pPr>
              <w:jc w:val="center"/>
              <w:ind w:right="650"/>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8360" w:type="dxa"/>
            <w:vAlign w:val="bottom"/>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Pr>
          <w:p>
            <w:pPr>
              <w:jc w:val="center"/>
              <w:ind w:right="670"/>
              <w:spacing w:after="0"/>
              <w:rPr>
                <w:sz w:val="20"/>
                <w:szCs w:val="20"/>
                <w:color w:val="auto"/>
              </w:rPr>
            </w:pPr>
            <w:r>
              <w:rPr>
                <w:rFonts w:ascii="Arial" w:cs="Arial" w:eastAsia="Arial" w:hAnsi="Arial"/>
                <w:sz w:val="18"/>
                <w:szCs w:val="18"/>
                <w:color w:val="auto"/>
                <w:w w:val="84"/>
              </w:rPr>
              <w:t>Shares</w:t>
            </w:r>
          </w:p>
        </w:tc>
        <w:tc>
          <w:tcPr>
            <w:tcW w:w="480" w:type="dxa"/>
            <w:vAlign w:val="bottom"/>
          </w:tcPr>
          <w:p>
            <w:pPr>
              <w:spacing w:after="0"/>
              <w:rPr>
                <w:sz w:val="18"/>
                <w:szCs w:val="18"/>
                <w:color w:val="auto"/>
              </w:rPr>
            </w:pPr>
          </w:p>
        </w:tc>
        <w:tc>
          <w:tcPr>
            <w:tcW w:w="8360" w:type="dxa"/>
            <w:vAlign w:val="bottom"/>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640" w:type="dxa"/>
            <w:vAlign w:val="bottom"/>
          </w:tcPr>
          <w:p>
            <w:pPr>
              <w:jc w:val="center"/>
              <w:ind w:right="670"/>
              <w:spacing w:after="0"/>
              <w:rPr>
                <w:sz w:val="20"/>
                <w:szCs w:val="20"/>
                <w:color w:val="auto"/>
              </w:rPr>
            </w:pPr>
            <w:r>
              <w:rPr>
                <w:rFonts w:ascii="Arial" w:cs="Arial" w:eastAsia="Arial" w:hAnsi="Arial"/>
                <w:sz w:val="18"/>
                <w:szCs w:val="18"/>
                <w:color w:val="auto"/>
                <w:w w:val="96"/>
              </w:rPr>
              <w:t>Beneficially</w:t>
            </w:r>
          </w:p>
        </w:tc>
        <w:tc>
          <w:tcPr>
            <w:tcW w:w="480" w:type="dxa"/>
            <w:vAlign w:val="bottom"/>
          </w:tcPr>
          <w:p>
            <w:pPr>
              <w:spacing w:after="0"/>
              <w:rPr>
                <w:sz w:val="18"/>
                <w:szCs w:val="18"/>
                <w:color w:val="auto"/>
              </w:rPr>
            </w:pPr>
          </w:p>
        </w:tc>
        <w:tc>
          <w:tcPr>
            <w:tcW w:w="8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640" w:type="dxa"/>
            <w:vAlign w:val="bottom"/>
            <w:vMerge w:val="restart"/>
          </w:tcPr>
          <w:p>
            <w:pPr>
              <w:jc w:val="center"/>
              <w:ind w:right="650"/>
              <w:spacing w:after="0"/>
              <w:rPr>
                <w:sz w:val="20"/>
                <w:szCs w:val="20"/>
                <w:color w:val="auto"/>
              </w:rPr>
            </w:pPr>
            <w:r>
              <w:rPr>
                <w:rFonts w:ascii="Arial" w:cs="Arial" w:eastAsia="Arial" w:hAnsi="Arial"/>
                <w:sz w:val="18"/>
                <w:szCs w:val="18"/>
                <w:color w:val="auto"/>
                <w:w w:val="91"/>
              </w:rPr>
              <w:t>Owned by</w:t>
            </w:r>
          </w:p>
        </w:tc>
        <w:tc>
          <w:tcPr>
            <w:tcW w:w="480" w:type="dxa"/>
            <w:vAlign w:val="bottom"/>
            <w:tcBorders>
              <w:bottom w:val="single" w:sz="8" w:color="auto"/>
            </w:tcBorders>
          </w:tcPr>
          <w:p>
            <w:pPr>
              <w:spacing w:after="0"/>
              <w:rPr>
                <w:sz w:val="10"/>
                <w:szCs w:val="10"/>
                <w:color w:val="auto"/>
              </w:rPr>
            </w:pPr>
          </w:p>
        </w:tc>
        <w:tc>
          <w:tcPr>
            <w:tcW w:w="83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640" w:type="dxa"/>
            <w:vAlign w:val="bottom"/>
            <w:vMerge w:val="continue"/>
          </w:tcPr>
          <w:p>
            <w:pPr>
              <w:spacing w:after="0"/>
              <w:rPr>
                <w:sz w:val="6"/>
                <w:szCs w:val="6"/>
                <w:color w:val="auto"/>
              </w:rPr>
            </w:pPr>
          </w:p>
        </w:tc>
        <w:tc>
          <w:tcPr>
            <w:tcW w:w="480" w:type="dxa"/>
            <w:vAlign w:val="bottom"/>
            <w:vMerge w:val="restart"/>
          </w:tcPr>
          <w:p>
            <w:pPr>
              <w:jc w:val="right"/>
              <w:ind w:right="170"/>
              <w:spacing w:after="0"/>
              <w:rPr>
                <w:sz w:val="20"/>
                <w:szCs w:val="20"/>
                <w:color w:val="auto"/>
              </w:rPr>
            </w:pPr>
            <w:r>
              <w:rPr>
                <w:rFonts w:ascii="Arial" w:cs="Arial" w:eastAsia="Arial" w:hAnsi="Arial"/>
                <w:sz w:val="18"/>
                <w:szCs w:val="18"/>
                <w:color w:val="auto"/>
              </w:rPr>
              <w:t>9.</w:t>
            </w:r>
          </w:p>
        </w:tc>
        <w:tc>
          <w:tcPr>
            <w:tcW w:w="8360" w:type="dxa"/>
            <w:vAlign w:val="bottom"/>
            <w:vMerge w:val="restart"/>
          </w:tcPr>
          <w:p>
            <w:pPr>
              <w:ind w:left="2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640" w:type="dxa"/>
            <w:vAlign w:val="bottom"/>
            <w:vMerge w:val="restart"/>
          </w:tcPr>
          <w:p>
            <w:pPr>
              <w:jc w:val="center"/>
              <w:ind w:right="670"/>
              <w:spacing w:after="0"/>
              <w:rPr>
                <w:sz w:val="20"/>
                <w:szCs w:val="20"/>
                <w:color w:val="auto"/>
              </w:rPr>
            </w:pPr>
            <w:r>
              <w:rPr>
                <w:rFonts w:ascii="Arial" w:cs="Arial" w:eastAsia="Arial" w:hAnsi="Arial"/>
                <w:sz w:val="18"/>
                <w:szCs w:val="18"/>
                <w:color w:val="auto"/>
                <w:w w:val="87"/>
              </w:rPr>
              <w:t>Each</w:t>
            </w:r>
          </w:p>
        </w:tc>
        <w:tc>
          <w:tcPr>
            <w:tcW w:w="480" w:type="dxa"/>
            <w:vAlign w:val="bottom"/>
            <w:vMerge w:val="continue"/>
          </w:tcPr>
          <w:p>
            <w:pPr>
              <w:spacing w:after="0"/>
              <w:rPr>
                <w:sz w:val="13"/>
                <w:szCs w:val="13"/>
                <w:color w:val="auto"/>
              </w:rPr>
            </w:pPr>
          </w:p>
        </w:tc>
        <w:tc>
          <w:tcPr>
            <w:tcW w:w="8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64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83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760" w:type="dxa"/>
        <w:tblCellMar>
          <w:top w:w="0" w:type="dxa"/>
          <w:left w:w="0" w:type="dxa"/>
          <w:bottom w:w="0" w:type="dxa"/>
          <w:right w:w="0" w:type="dxa"/>
        </w:tblCellMar>
      </w:tblPr>
      <w:tr>
        <w:trPr>
          <w:trHeight w:val="202"/>
        </w:trPr>
        <w:tc>
          <w:tcPr>
            <w:tcW w:w="1620" w:type="dxa"/>
            <w:vAlign w:val="bottom"/>
          </w:tcPr>
          <w:p>
            <w:pPr>
              <w:jc w:val="center"/>
              <w:ind w:right="650"/>
              <w:spacing w:after="0" w:line="201" w:lineRule="exact"/>
              <w:rPr>
                <w:sz w:val="20"/>
                <w:szCs w:val="20"/>
                <w:color w:val="auto"/>
              </w:rPr>
            </w:pPr>
            <w:r>
              <w:rPr>
                <w:rFonts w:ascii="Arial" w:cs="Arial" w:eastAsia="Arial" w:hAnsi="Arial"/>
                <w:sz w:val="18"/>
                <w:szCs w:val="18"/>
                <w:color w:val="auto"/>
                <w:w w:val="92"/>
              </w:rPr>
              <w:t>Reporting</w:t>
            </w:r>
          </w:p>
        </w:tc>
        <w:tc>
          <w:tcPr>
            <w:tcW w:w="3280" w:type="dxa"/>
            <w:vAlign w:val="bottom"/>
            <w:vMerge w:val="restart"/>
          </w:tcPr>
          <w:p>
            <w:pPr>
              <w:ind w:left="740"/>
              <w:spacing w:after="0"/>
              <w:rPr>
                <w:sz w:val="20"/>
                <w:szCs w:val="20"/>
                <w:color w:val="auto"/>
              </w:rPr>
            </w:pPr>
            <w:r>
              <w:rPr>
                <w:rFonts w:ascii="Arial" w:cs="Arial" w:eastAsia="Arial" w:hAnsi="Arial"/>
                <w:sz w:val="18"/>
                <w:szCs w:val="18"/>
                <w:color w:val="auto"/>
                <w:w w:val="89"/>
              </w:rPr>
              <w:t>93,798 shares of common stock (2)</w:t>
            </w:r>
          </w:p>
        </w:tc>
        <w:tc>
          <w:tcPr>
            <w:tcW w:w="0" w:type="dxa"/>
            <w:vAlign w:val="bottom"/>
          </w:tcPr>
          <w:p>
            <w:pPr>
              <w:spacing w:after="0"/>
              <w:rPr>
                <w:sz w:val="1"/>
                <w:szCs w:val="1"/>
                <w:color w:val="auto"/>
              </w:rPr>
            </w:pPr>
          </w:p>
        </w:tc>
      </w:tr>
      <w:tr>
        <w:trPr>
          <w:trHeight w:val="136"/>
        </w:trPr>
        <w:tc>
          <w:tcPr>
            <w:tcW w:w="1620" w:type="dxa"/>
            <w:vAlign w:val="bottom"/>
            <w:vMerge w:val="restart"/>
          </w:tcPr>
          <w:p>
            <w:pPr>
              <w:jc w:val="center"/>
              <w:ind w:right="650"/>
              <w:spacing w:after="0"/>
              <w:rPr>
                <w:sz w:val="20"/>
                <w:szCs w:val="20"/>
                <w:color w:val="auto"/>
              </w:rPr>
            </w:pPr>
            <w:r>
              <w:rPr>
                <w:rFonts w:ascii="Arial" w:cs="Arial" w:eastAsia="Arial" w:hAnsi="Arial"/>
                <w:sz w:val="18"/>
                <w:szCs w:val="18"/>
                <w:color w:val="auto"/>
                <w:w w:val="89"/>
              </w:rPr>
              <w:t>Person With</w:t>
            </w:r>
          </w:p>
        </w:tc>
        <w:tc>
          <w:tcPr>
            <w:tcW w:w="3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620" w:type="dxa"/>
            <w:vAlign w:val="bottom"/>
            <w:vMerge w:val="continue"/>
          </w:tcPr>
          <w:p>
            <w:pPr>
              <w:spacing w:after="0"/>
              <w:rPr>
                <w:sz w:val="8"/>
                <w:szCs w:val="8"/>
                <w:color w:val="auto"/>
              </w:rPr>
            </w:pPr>
          </w:p>
        </w:tc>
        <w:tc>
          <w:tcPr>
            <w:tcW w:w="32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3120" w:right="6240" w:hanging="625"/>
        <w:spacing w:after="0" w:line="469" w:lineRule="auto"/>
        <w:tabs>
          <w:tab w:leader="none" w:pos="31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900" w:right="5540" w:hanging="795"/>
        <w:spacing w:after="0" w:line="513"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93,798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-1075055</wp:posOffset>
            </wp:positionV>
            <wp:extent cx="56146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146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-560705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100"/>
        <w:spacing w:after="0" w:line="187" w:lineRule="exact"/>
        <w:tabs>
          <w:tab w:leader="none" w:pos="880" w:val="left"/>
          <w:tab w:leader="none" w:pos="105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8" w:lineRule="exact"/>
        <w:rPr>
          <w:sz w:val="20"/>
          <w:szCs w:val="20"/>
          <w:color w:val="auto"/>
        </w:rPr>
      </w:pPr>
    </w:p>
    <w:p>
      <w:pPr>
        <w:ind w:left="900" w:right="6580" w:hanging="795"/>
        <w:spacing w:after="0" w:line="277"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0.3% (3)</w:t>
      </w:r>
    </w:p>
    <w:p>
      <w:pPr>
        <w:spacing w:after="0" w:line="183" w:lineRule="exact"/>
        <w:rPr>
          <w:rFonts w:ascii="Arial" w:cs="Arial" w:eastAsia="Arial" w:hAnsi="Arial"/>
          <w:sz w:val="18"/>
          <w:szCs w:val="18"/>
          <w:color w:val="auto"/>
        </w:rPr>
      </w:pPr>
    </w:p>
    <w:p>
      <w:pPr>
        <w:ind w:left="900" w:hanging="795"/>
        <w:spacing w:after="0"/>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This Schedule 13D is filed by the Reporting Persons. The Reporting Persons expressly disclaim status as a “group” for purposes of this Schedule 13D.</w:t>
      </w:r>
    </w:p>
    <w:p>
      <w:pPr>
        <w:spacing w:after="0" w:line="46" w:lineRule="exact"/>
        <w:rPr>
          <w:rFonts w:ascii="Arial" w:cs="Arial" w:eastAsia="Arial" w:hAnsi="Arial"/>
          <w:sz w:val="16"/>
          <w:szCs w:val="16"/>
          <w:color w:val="auto"/>
        </w:rPr>
      </w:pPr>
    </w:p>
    <w:p>
      <w:pPr>
        <w:ind w:right="140" w:firstLine="8"/>
        <w:spacing w:after="0" w:line="250" w:lineRule="auto"/>
        <w:tabs>
          <w:tab w:leader="none" w:pos="2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These shares are held by VOA. VV V is the sole general partner of VOA and may be deemed to have voting and investment power over the securities held by VOA.</w:t>
      </w:r>
    </w:p>
    <w:p>
      <w:pPr>
        <w:ind w:right="120" w:firstLine="8"/>
        <w:spacing w:after="0" w:line="281" w:lineRule="auto"/>
        <w:tabs>
          <w:tab w:leader="none" w:pos="252"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This percentage is calculated based upon 36,668,085 shares of common stock outstanding of Repare Therapeutics Inc. (the “Issuer”), as set forth in the Issuer’s Rule 424(b)(4) Prospectus filed with the Securities and Exchange Commission (“SEC”) on June 19, 2020 and giving effect to the</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additional 1,650,000 shares of common stock issued and sold by the Issuer to the underwriters pursuant to the underwriters’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-1108075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-1622425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-2042160</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-893445</wp:posOffset>
            </wp:positionV>
            <wp:extent cx="18002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4" w:name="page5"/>
    <w:bookmarkEnd w:id="4"/>
    <w:p>
      <w:pPr>
        <w:ind w:left="900" w:hanging="79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b w:val="1"/>
          <w:bCs w:val="1"/>
          <w:color w:val="auto"/>
        </w:rPr>
        <w:t>Versant Ventures V, LLC</w:t>
      </w:r>
    </w:p>
    <w:p>
      <w:pPr>
        <w:spacing w:after="0" w:line="175" w:lineRule="exact"/>
        <w:rPr>
          <w:rFonts w:ascii="Arial" w:cs="Arial" w:eastAsia="Arial" w:hAnsi="Arial"/>
          <w:sz w:val="18"/>
          <w:szCs w:val="18"/>
          <w:color w:val="auto"/>
        </w:rPr>
      </w:pPr>
    </w:p>
    <w:p>
      <w:pPr>
        <w:ind w:left="900" w:hanging="795"/>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-629920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p>
      <w:pPr>
        <w:spacing w:after="0" w:line="4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o</w:t>
      </w:r>
    </w:p>
    <w:p>
      <w:pPr>
        <w:spacing w:after="0" w:line="9"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x(1)</w:t>
      </w:r>
    </w:p>
    <w:p>
      <w:pPr>
        <w:spacing w:after="0" w:line="20" w:lineRule="exact"/>
        <w:rPr>
          <w:sz w:val="20"/>
          <w:szCs w:val="20"/>
          <w:color w:val="auto"/>
        </w:rPr>
      </w:pPr>
    </w:p>
    <w:p>
      <w:pPr>
        <w:sectPr>
          <w:pgSz w:w="11900" w:h="16838" w:orient="portrait"/>
          <w:cols w:equalWidth="0" w:num="2">
            <w:col w:w="9720" w:space="720"/>
            <w:col w:w="800"/>
          </w:cols>
          <w:pgMar w:left="320" w:top="355" w:right="339" w:bottom="1440" w:gutter="0" w:footer="0" w:header="0"/>
          <w:type w:val="continuous"/>
        </w:sectPr>
      </w:pPr>
    </w:p>
    <w:p>
      <w:pPr>
        <w:ind w:left="900" w:hanging="79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900" w:hanging="79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AF</w:t>
      </w:r>
    </w:p>
    <w:p>
      <w:pPr>
        <w:spacing w:after="0" w:line="138" w:lineRule="exact"/>
        <w:rPr>
          <w:sz w:val="20"/>
          <w:szCs w:val="20"/>
          <w:color w:val="auto"/>
        </w:rPr>
      </w:pPr>
    </w:p>
    <w:p>
      <w:pPr>
        <w:ind w:left="100"/>
        <w:spacing w:after="0" w:line="207" w:lineRule="exact"/>
        <w:tabs>
          <w:tab w:leader="none" w:pos="880" w:val="left"/>
          <w:tab w:leader="none" w:pos="1050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Check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00" w:right="7720" w:hanging="795"/>
        <w:spacing w:after="0" w:line="46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3120" w:right="6760" w:hanging="625"/>
        <w:spacing w:after="0" w:line="470" w:lineRule="auto"/>
        <w:tabs>
          <w:tab w:leader="none" w:pos="31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-513715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-1028065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760" w:type="dxa"/>
        <w:tblCellMar>
          <w:top w:w="0" w:type="dxa"/>
          <w:left w:w="0" w:type="dxa"/>
          <w:bottom w:w="0" w:type="dxa"/>
          <w:right w:w="0" w:type="dxa"/>
        </w:tblCellMar>
      </w:tblPr>
      <w:tr>
        <w:trPr>
          <w:trHeight w:val="224"/>
        </w:trPr>
        <w:tc>
          <w:tcPr>
            <w:tcW w:w="1640" w:type="dxa"/>
            <w:vAlign w:val="bottom"/>
            <w:vMerge w:val="restart"/>
          </w:tcPr>
          <w:p>
            <w:pPr>
              <w:jc w:val="center"/>
              <w:ind w:right="650"/>
              <w:spacing w:after="0"/>
              <w:rPr>
                <w:sz w:val="20"/>
                <w:szCs w:val="20"/>
                <w:color w:val="auto"/>
              </w:rPr>
            </w:pPr>
            <w:r>
              <w:rPr>
                <w:rFonts w:ascii="Arial" w:cs="Arial" w:eastAsia="Arial" w:hAnsi="Arial"/>
                <w:sz w:val="18"/>
                <w:szCs w:val="18"/>
                <w:color w:val="auto"/>
                <w:w w:val="92"/>
              </w:rPr>
              <w:t>Number of</w:t>
            </w:r>
          </w:p>
        </w:tc>
        <w:tc>
          <w:tcPr>
            <w:tcW w:w="4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8.</w:t>
            </w:r>
          </w:p>
        </w:tc>
        <w:tc>
          <w:tcPr>
            <w:tcW w:w="836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2"/>
        </w:trPr>
        <w:tc>
          <w:tcPr>
            <w:tcW w:w="16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8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640" w:type="dxa"/>
            <w:vAlign w:val="bottom"/>
          </w:tcPr>
          <w:p>
            <w:pPr>
              <w:jc w:val="center"/>
              <w:ind w:right="670"/>
              <w:spacing w:after="0"/>
              <w:rPr>
                <w:sz w:val="20"/>
                <w:szCs w:val="20"/>
                <w:color w:val="auto"/>
              </w:rPr>
            </w:pPr>
            <w:r>
              <w:rPr>
                <w:rFonts w:ascii="Arial" w:cs="Arial" w:eastAsia="Arial" w:hAnsi="Arial"/>
                <w:sz w:val="18"/>
                <w:szCs w:val="18"/>
                <w:color w:val="auto"/>
                <w:w w:val="84"/>
              </w:rPr>
              <w:t>Shares</w:t>
            </w:r>
          </w:p>
        </w:tc>
        <w:tc>
          <w:tcPr>
            <w:tcW w:w="480" w:type="dxa"/>
            <w:vAlign w:val="bottom"/>
          </w:tcPr>
          <w:p>
            <w:pPr>
              <w:spacing w:after="0"/>
              <w:rPr>
                <w:sz w:val="18"/>
                <w:szCs w:val="18"/>
                <w:color w:val="auto"/>
              </w:rPr>
            </w:pPr>
          </w:p>
        </w:tc>
        <w:tc>
          <w:tcPr>
            <w:tcW w:w="8360" w:type="dxa"/>
            <w:vAlign w:val="bottom"/>
            <w:vMerge w:val="restart"/>
          </w:tcPr>
          <w:p>
            <w:pPr>
              <w:ind w:left="240"/>
              <w:spacing w:after="0"/>
              <w:rPr>
                <w:sz w:val="20"/>
                <w:szCs w:val="20"/>
                <w:color w:val="auto"/>
              </w:rPr>
            </w:pPr>
            <w:r>
              <w:rPr>
                <w:rFonts w:ascii="Arial" w:cs="Arial" w:eastAsia="Arial" w:hAnsi="Arial"/>
                <w:sz w:val="18"/>
                <w:szCs w:val="18"/>
                <w:color w:val="auto"/>
              </w:rPr>
              <w:t>2,995,556 shares of common stock (2)</w:t>
            </w:r>
          </w:p>
        </w:tc>
        <w:tc>
          <w:tcPr>
            <w:tcW w:w="0" w:type="dxa"/>
            <w:vAlign w:val="bottom"/>
          </w:tcPr>
          <w:p>
            <w:pPr>
              <w:spacing w:after="0"/>
              <w:rPr>
                <w:sz w:val="1"/>
                <w:szCs w:val="1"/>
                <w:color w:val="auto"/>
              </w:rPr>
            </w:pPr>
          </w:p>
        </w:tc>
      </w:tr>
      <w:tr>
        <w:trPr>
          <w:trHeight w:val="149"/>
        </w:trPr>
        <w:tc>
          <w:tcPr>
            <w:tcW w:w="1640" w:type="dxa"/>
            <w:vAlign w:val="bottom"/>
            <w:vMerge w:val="restart"/>
          </w:tcPr>
          <w:p>
            <w:pPr>
              <w:jc w:val="center"/>
              <w:ind w:right="670"/>
              <w:spacing w:after="0"/>
              <w:rPr>
                <w:sz w:val="20"/>
                <w:szCs w:val="20"/>
                <w:color w:val="auto"/>
              </w:rPr>
            </w:pPr>
            <w:r>
              <w:rPr>
                <w:rFonts w:ascii="Arial" w:cs="Arial" w:eastAsia="Arial" w:hAnsi="Arial"/>
                <w:sz w:val="18"/>
                <w:szCs w:val="18"/>
                <w:color w:val="auto"/>
                <w:w w:val="96"/>
              </w:rPr>
              <w:t>Beneficially</w:t>
            </w:r>
          </w:p>
        </w:tc>
        <w:tc>
          <w:tcPr>
            <w:tcW w:w="480" w:type="dxa"/>
            <w:vAlign w:val="bottom"/>
          </w:tcPr>
          <w:p>
            <w:pPr>
              <w:spacing w:after="0"/>
              <w:rPr>
                <w:sz w:val="12"/>
                <w:szCs w:val="12"/>
                <w:color w:val="auto"/>
              </w:rPr>
            </w:pPr>
          </w:p>
        </w:tc>
        <w:tc>
          <w:tcPr>
            <w:tcW w:w="8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164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8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1640" w:type="dxa"/>
            <w:vAlign w:val="bottom"/>
            <w:vMerge w:val="restart"/>
          </w:tcPr>
          <w:p>
            <w:pPr>
              <w:jc w:val="center"/>
              <w:ind w:right="650"/>
              <w:spacing w:after="0"/>
              <w:rPr>
                <w:sz w:val="20"/>
                <w:szCs w:val="20"/>
                <w:color w:val="auto"/>
              </w:rPr>
            </w:pPr>
            <w:r>
              <w:rPr>
                <w:rFonts w:ascii="Arial" w:cs="Arial" w:eastAsia="Arial" w:hAnsi="Arial"/>
                <w:sz w:val="18"/>
                <w:szCs w:val="18"/>
                <w:color w:val="auto"/>
                <w:w w:val="91"/>
              </w:rPr>
              <w:t>Owned by</w:t>
            </w:r>
          </w:p>
        </w:tc>
        <w:tc>
          <w:tcPr>
            <w:tcW w:w="480" w:type="dxa"/>
            <w:vAlign w:val="bottom"/>
            <w:tcBorders>
              <w:bottom w:val="single" w:sz="8" w:color="auto"/>
            </w:tcBorders>
          </w:tcPr>
          <w:p>
            <w:pPr>
              <w:spacing w:after="0"/>
              <w:rPr>
                <w:sz w:val="7"/>
                <w:szCs w:val="7"/>
                <w:color w:val="auto"/>
              </w:rPr>
            </w:pPr>
          </w:p>
        </w:tc>
        <w:tc>
          <w:tcPr>
            <w:tcW w:w="83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640" w:type="dxa"/>
            <w:vAlign w:val="bottom"/>
            <w:vMerge w:val="continue"/>
          </w:tcPr>
          <w:p>
            <w:pPr>
              <w:spacing w:after="0"/>
              <w:rPr>
                <w:sz w:val="9"/>
                <w:szCs w:val="9"/>
                <w:color w:val="auto"/>
              </w:rPr>
            </w:pPr>
          </w:p>
        </w:tc>
        <w:tc>
          <w:tcPr>
            <w:tcW w:w="480" w:type="dxa"/>
            <w:vAlign w:val="bottom"/>
            <w:vMerge w:val="restart"/>
          </w:tcPr>
          <w:p>
            <w:pPr>
              <w:jc w:val="right"/>
              <w:ind w:right="170"/>
              <w:spacing w:after="0"/>
              <w:rPr>
                <w:sz w:val="20"/>
                <w:szCs w:val="20"/>
                <w:color w:val="auto"/>
              </w:rPr>
            </w:pPr>
            <w:r>
              <w:rPr>
                <w:rFonts w:ascii="Arial" w:cs="Arial" w:eastAsia="Arial" w:hAnsi="Arial"/>
                <w:sz w:val="18"/>
                <w:szCs w:val="18"/>
                <w:color w:val="auto"/>
              </w:rPr>
              <w:t>9.</w:t>
            </w:r>
          </w:p>
        </w:tc>
        <w:tc>
          <w:tcPr>
            <w:tcW w:w="8360" w:type="dxa"/>
            <w:vAlign w:val="bottom"/>
            <w:vMerge w:val="restart"/>
          </w:tcPr>
          <w:p>
            <w:pPr>
              <w:ind w:left="2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10"/>
        </w:trPr>
        <w:tc>
          <w:tcPr>
            <w:tcW w:w="1640" w:type="dxa"/>
            <w:vAlign w:val="bottom"/>
            <w:vMerge w:val="restart"/>
          </w:tcPr>
          <w:p>
            <w:pPr>
              <w:jc w:val="center"/>
              <w:ind w:right="670"/>
              <w:spacing w:after="0"/>
              <w:rPr>
                <w:sz w:val="20"/>
                <w:szCs w:val="20"/>
                <w:color w:val="auto"/>
              </w:rPr>
            </w:pPr>
            <w:r>
              <w:rPr>
                <w:rFonts w:ascii="Arial" w:cs="Arial" w:eastAsia="Arial" w:hAnsi="Arial"/>
                <w:sz w:val="18"/>
                <w:szCs w:val="18"/>
                <w:color w:val="auto"/>
                <w:w w:val="87"/>
              </w:rPr>
              <w:t>Each</w:t>
            </w:r>
          </w:p>
        </w:tc>
        <w:tc>
          <w:tcPr>
            <w:tcW w:w="480" w:type="dxa"/>
            <w:vAlign w:val="bottom"/>
            <w:vMerge w:val="continue"/>
          </w:tcPr>
          <w:p>
            <w:pPr>
              <w:spacing w:after="0"/>
              <w:rPr>
                <w:sz w:val="9"/>
                <w:szCs w:val="9"/>
                <w:color w:val="auto"/>
              </w:rPr>
            </w:pPr>
          </w:p>
        </w:tc>
        <w:tc>
          <w:tcPr>
            <w:tcW w:w="8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64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83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760" w:type="dxa"/>
        <w:tblCellMar>
          <w:top w:w="0" w:type="dxa"/>
          <w:left w:w="0" w:type="dxa"/>
          <w:bottom w:w="0" w:type="dxa"/>
          <w:right w:w="0" w:type="dxa"/>
        </w:tblCellMar>
      </w:tblPr>
      <w:tr>
        <w:trPr>
          <w:trHeight w:val="202"/>
        </w:trPr>
        <w:tc>
          <w:tcPr>
            <w:tcW w:w="1620" w:type="dxa"/>
            <w:vAlign w:val="bottom"/>
          </w:tcPr>
          <w:p>
            <w:pPr>
              <w:jc w:val="center"/>
              <w:ind w:right="650"/>
              <w:spacing w:after="0" w:line="201" w:lineRule="exact"/>
              <w:rPr>
                <w:sz w:val="20"/>
                <w:szCs w:val="20"/>
                <w:color w:val="auto"/>
              </w:rPr>
            </w:pPr>
            <w:r>
              <w:rPr>
                <w:rFonts w:ascii="Arial" w:cs="Arial" w:eastAsia="Arial" w:hAnsi="Arial"/>
                <w:sz w:val="18"/>
                <w:szCs w:val="18"/>
                <w:color w:val="auto"/>
                <w:w w:val="92"/>
              </w:rPr>
              <w:t>Reporting</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5"/>
        </w:trPr>
        <w:tc>
          <w:tcPr>
            <w:tcW w:w="1620" w:type="dxa"/>
            <w:vAlign w:val="bottom"/>
            <w:vMerge w:val="restart"/>
          </w:tcPr>
          <w:p>
            <w:pPr>
              <w:jc w:val="center"/>
              <w:ind w:right="650"/>
              <w:spacing w:after="0"/>
              <w:rPr>
                <w:sz w:val="20"/>
                <w:szCs w:val="20"/>
                <w:color w:val="auto"/>
              </w:rPr>
            </w:pPr>
            <w:r>
              <w:rPr>
                <w:rFonts w:ascii="Arial" w:cs="Arial" w:eastAsia="Arial" w:hAnsi="Arial"/>
                <w:sz w:val="18"/>
                <w:szCs w:val="18"/>
                <w:color w:val="auto"/>
                <w:w w:val="89"/>
              </w:rPr>
              <w:t>Person With</w:t>
            </w: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62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3120" w:hanging="625"/>
        <w:spacing w:after="0"/>
        <w:tabs>
          <w:tab w:leader="none" w:pos="31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25" w:lineRule="exact"/>
        <w:rPr>
          <w:rFonts w:ascii="Arial" w:cs="Arial" w:eastAsia="Arial" w:hAnsi="Arial"/>
          <w:sz w:val="18"/>
          <w:szCs w:val="18"/>
          <w:color w:val="auto"/>
        </w:rPr>
      </w:pPr>
    </w:p>
    <w:p>
      <w:pPr>
        <w:ind w:left="3120"/>
        <w:spacing w:after="0"/>
        <w:rPr>
          <w:rFonts w:ascii="Arial" w:cs="Arial" w:eastAsia="Arial" w:hAnsi="Arial"/>
          <w:sz w:val="18"/>
          <w:szCs w:val="18"/>
          <w:color w:val="auto"/>
        </w:rPr>
      </w:pPr>
      <w:r>
        <w:rPr>
          <w:rFonts w:ascii="Arial" w:cs="Arial" w:eastAsia="Arial" w:hAnsi="Arial"/>
          <w:sz w:val="18"/>
          <w:szCs w:val="18"/>
          <w:color w:val="auto"/>
        </w:rPr>
        <w:t>2,995,556 shares of common stock (2)</w:t>
      </w:r>
    </w:p>
    <w:p>
      <w:pPr>
        <w:spacing w:after="0" w:line="238" w:lineRule="exact"/>
        <w:rPr>
          <w:rFonts w:ascii="Arial" w:cs="Arial" w:eastAsia="Arial" w:hAnsi="Arial"/>
          <w:sz w:val="18"/>
          <w:szCs w:val="18"/>
          <w:color w:val="auto"/>
        </w:rPr>
      </w:pPr>
    </w:p>
    <w:p>
      <w:pPr>
        <w:ind w:left="900" w:right="5540" w:hanging="795"/>
        <w:spacing w:after="0" w:line="513"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2,995,556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-1118235</wp:posOffset>
            </wp:positionV>
            <wp:extent cx="56146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146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-560705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100"/>
        <w:spacing w:after="0" w:line="187" w:lineRule="exact"/>
        <w:tabs>
          <w:tab w:leader="none" w:pos="880" w:val="left"/>
          <w:tab w:leader="none" w:pos="105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00" w:right="6580" w:hanging="795"/>
        <w:spacing w:after="0" w:line="469"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8.2% (3)</w:t>
      </w:r>
    </w:p>
    <w:p>
      <w:pPr>
        <w:spacing w:after="0" w:line="1" w:lineRule="exact"/>
        <w:rPr>
          <w:rFonts w:ascii="Arial" w:cs="Arial" w:eastAsia="Arial" w:hAnsi="Arial"/>
          <w:sz w:val="18"/>
          <w:szCs w:val="18"/>
          <w:color w:val="auto"/>
        </w:rPr>
      </w:pPr>
    </w:p>
    <w:p>
      <w:pPr>
        <w:ind w:left="900" w:hanging="795"/>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260" w:hanging="252"/>
        <w:spacing w:after="0"/>
        <w:tabs>
          <w:tab w:leader="none" w:pos="2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This Schedule 13D is filed by the Reporting Persons. The Reporting Persons expressly disclaim status as a “group” for purposes of this Schedule 13D.</w:t>
      </w:r>
    </w:p>
    <w:p>
      <w:pPr>
        <w:spacing w:after="0" w:line="46" w:lineRule="exact"/>
        <w:rPr>
          <w:rFonts w:ascii="Arial" w:cs="Arial" w:eastAsia="Arial" w:hAnsi="Arial"/>
          <w:sz w:val="16"/>
          <w:szCs w:val="16"/>
          <w:color w:val="auto"/>
        </w:rPr>
      </w:pPr>
    </w:p>
    <w:p>
      <w:pPr>
        <w:ind w:right="200" w:firstLine="8"/>
        <w:spacing w:after="0" w:line="250" w:lineRule="auto"/>
        <w:tabs>
          <w:tab w:leader="none" w:pos="25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These shares are held by VVC V, VAF and VOA. VV V is the sole general partner of VVC V, VAF and VOA and may be deemed to have voting and investment power over the securities held by VVC V, VAF and VOA</w:t>
      </w:r>
    </w:p>
    <w:p>
      <w:pPr>
        <w:ind w:right="120" w:firstLine="8"/>
        <w:spacing w:after="0" w:line="281" w:lineRule="auto"/>
        <w:tabs>
          <w:tab w:leader="none" w:pos="252"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This percentage is calculated based upon 36,668,085 shares of common stock outstanding of Repare Therapeutics Inc. (the “Issuer”), as set forth in the Issuer’s Rule 424(b)(4) Prospectus filed with the Securities and Exchange Commission (“SEC”) on June 19, 2020 and giving effect to the</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additional 1,650,000 shares of common stock issued and sold by the Issuer to the underwriters pursuant to the underwriters’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-1108075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-1622425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-2136775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-893445</wp:posOffset>
            </wp:positionV>
            <wp:extent cx="18002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5" w:name="page6"/>
    <w:bookmarkEnd w:id="5"/>
    <w:p>
      <w:pPr>
        <w:ind w:left="900" w:hanging="79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b w:val="1"/>
          <w:bCs w:val="1"/>
          <w:color w:val="auto"/>
        </w:rPr>
        <w:t>Versant Venture Capital V (Canada) LP</w:t>
      </w:r>
    </w:p>
    <w:p>
      <w:pPr>
        <w:spacing w:after="0" w:line="175" w:lineRule="exact"/>
        <w:rPr>
          <w:rFonts w:ascii="Arial" w:cs="Arial" w:eastAsia="Arial" w:hAnsi="Arial"/>
          <w:sz w:val="18"/>
          <w:szCs w:val="18"/>
          <w:color w:val="auto"/>
        </w:rPr>
      </w:pPr>
    </w:p>
    <w:p>
      <w:pPr>
        <w:ind w:left="900" w:hanging="795"/>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-629920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p>
      <w:pPr>
        <w:spacing w:after="0" w:line="4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left="80"/>
        <w:spacing w:after="0" w:line="181" w:lineRule="exact"/>
        <w:rPr>
          <w:sz w:val="20"/>
          <w:szCs w:val="20"/>
          <w:color w:val="auto"/>
        </w:rPr>
      </w:pPr>
      <w:r>
        <w:rPr>
          <w:rFonts w:ascii="MS PGothic" w:cs="MS PGothic" w:eastAsia="MS PGothic" w:hAnsi="MS PGothic"/>
          <w:sz w:val="18"/>
          <w:szCs w:val="18"/>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x(1)</w:t>
      </w:r>
    </w:p>
    <w:p>
      <w:pPr>
        <w:spacing w:after="0" w:line="18" w:lineRule="exact"/>
        <w:rPr>
          <w:sz w:val="20"/>
          <w:szCs w:val="20"/>
          <w:color w:val="auto"/>
        </w:rPr>
      </w:pPr>
    </w:p>
    <w:p>
      <w:pPr>
        <w:sectPr>
          <w:pgSz w:w="11900" w:h="16838" w:orient="portrait"/>
          <w:cols w:equalWidth="0" w:num="2">
            <w:col w:w="9720" w:space="720"/>
            <w:col w:w="800"/>
          </w:cols>
          <w:pgMar w:left="320" w:top="355" w:right="339" w:bottom="1440" w:gutter="0" w:footer="0" w:header="0"/>
          <w:type w:val="continuous"/>
        </w:sectPr>
      </w:pPr>
    </w:p>
    <w:p>
      <w:pPr>
        <w:ind w:left="900" w:hanging="79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900" w:hanging="79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WC</w:t>
      </w:r>
    </w:p>
    <w:p>
      <w:pPr>
        <w:spacing w:after="0" w:line="138" w:lineRule="exact"/>
        <w:rPr>
          <w:sz w:val="20"/>
          <w:szCs w:val="20"/>
          <w:color w:val="auto"/>
        </w:rPr>
      </w:pPr>
    </w:p>
    <w:p>
      <w:pPr>
        <w:ind w:left="100"/>
        <w:spacing w:after="0" w:line="207" w:lineRule="exact"/>
        <w:tabs>
          <w:tab w:leader="none" w:pos="880" w:val="left"/>
          <w:tab w:leader="none" w:pos="1050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Check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00" w:right="7720" w:hanging="795"/>
        <w:spacing w:after="0" w:line="46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Citizenship or Place of Organization Ontario, Canada</w:t>
      </w:r>
    </w:p>
    <w:p>
      <w:pPr>
        <w:spacing w:after="0" w:line="1" w:lineRule="exact"/>
        <w:rPr>
          <w:rFonts w:ascii="Arial" w:cs="Arial" w:eastAsia="Arial" w:hAnsi="Arial"/>
          <w:sz w:val="18"/>
          <w:szCs w:val="18"/>
          <w:color w:val="auto"/>
        </w:rPr>
      </w:pPr>
    </w:p>
    <w:p>
      <w:pPr>
        <w:ind w:left="3120" w:hanging="625"/>
        <w:spacing w:after="0"/>
        <w:tabs>
          <w:tab w:leader="none" w:pos="31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-644525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1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360" w:type="dxa"/>
            <w:vAlign w:val="bottom"/>
          </w:tcPr>
          <w:p>
            <w:pPr>
              <w:ind w:left="240"/>
              <w:spacing w:after="0"/>
              <w:rPr>
                <w:sz w:val="20"/>
                <w:szCs w:val="20"/>
                <w:color w:val="auto"/>
              </w:rPr>
            </w:pPr>
            <w:r>
              <w:rPr>
                <w:rFonts w:ascii="Arial" w:cs="Arial" w:eastAsia="Arial" w:hAnsi="Arial"/>
                <w:sz w:val="18"/>
                <w:szCs w:val="18"/>
                <w:color w:val="auto"/>
              </w:rPr>
              <w:t>214,390 shares of common stock (2)</w:t>
            </w: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1640" w:type="dxa"/>
            <w:vAlign w:val="bottom"/>
          </w:tcPr>
          <w:p>
            <w:pPr>
              <w:jc w:val="center"/>
              <w:ind w:right="650"/>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8360" w:type="dxa"/>
            <w:vAlign w:val="bottom"/>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Pr>
          <w:p>
            <w:pPr>
              <w:jc w:val="center"/>
              <w:ind w:right="670"/>
              <w:spacing w:after="0"/>
              <w:rPr>
                <w:sz w:val="20"/>
                <w:szCs w:val="20"/>
                <w:color w:val="auto"/>
              </w:rPr>
            </w:pPr>
            <w:r>
              <w:rPr>
                <w:rFonts w:ascii="Arial" w:cs="Arial" w:eastAsia="Arial" w:hAnsi="Arial"/>
                <w:sz w:val="18"/>
                <w:szCs w:val="18"/>
                <w:color w:val="auto"/>
                <w:w w:val="84"/>
              </w:rPr>
              <w:t>Shares</w:t>
            </w:r>
          </w:p>
        </w:tc>
        <w:tc>
          <w:tcPr>
            <w:tcW w:w="480" w:type="dxa"/>
            <w:vAlign w:val="bottom"/>
          </w:tcPr>
          <w:p>
            <w:pPr>
              <w:spacing w:after="0"/>
              <w:rPr>
                <w:sz w:val="18"/>
                <w:szCs w:val="18"/>
                <w:color w:val="auto"/>
              </w:rPr>
            </w:pPr>
          </w:p>
        </w:tc>
        <w:tc>
          <w:tcPr>
            <w:tcW w:w="8360" w:type="dxa"/>
            <w:vAlign w:val="bottom"/>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640" w:type="dxa"/>
            <w:vAlign w:val="bottom"/>
          </w:tcPr>
          <w:p>
            <w:pPr>
              <w:jc w:val="center"/>
              <w:ind w:right="670"/>
              <w:spacing w:after="0"/>
              <w:rPr>
                <w:sz w:val="20"/>
                <w:szCs w:val="20"/>
                <w:color w:val="auto"/>
              </w:rPr>
            </w:pPr>
            <w:r>
              <w:rPr>
                <w:rFonts w:ascii="Arial" w:cs="Arial" w:eastAsia="Arial" w:hAnsi="Arial"/>
                <w:sz w:val="18"/>
                <w:szCs w:val="18"/>
                <w:color w:val="auto"/>
                <w:w w:val="96"/>
              </w:rPr>
              <w:t>Beneficially</w:t>
            </w:r>
          </w:p>
        </w:tc>
        <w:tc>
          <w:tcPr>
            <w:tcW w:w="480" w:type="dxa"/>
            <w:vAlign w:val="bottom"/>
          </w:tcPr>
          <w:p>
            <w:pPr>
              <w:spacing w:after="0"/>
              <w:rPr>
                <w:sz w:val="18"/>
                <w:szCs w:val="18"/>
                <w:color w:val="auto"/>
              </w:rPr>
            </w:pPr>
          </w:p>
        </w:tc>
        <w:tc>
          <w:tcPr>
            <w:tcW w:w="8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640" w:type="dxa"/>
            <w:vAlign w:val="bottom"/>
            <w:vMerge w:val="restart"/>
          </w:tcPr>
          <w:p>
            <w:pPr>
              <w:jc w:val="center"/>
              <w:ind w:right="650"/>
              <w:spacing w:after="0"/>
              <w:rPr>
                <w:sz w:val="20"/>
                <w:szCs w:val="20"/>
                <w:color w:val="auto"/>
              </w:rPr>
            </w:pPr>
            <w:r>
              <w:rPr>
                <w:rFonts w:ascii="Arial" w:cs="Arial" w:eastAsia="Arial" w:hAnsi="Arial"/>
                <w:sz w:val="18"/>
                <w:szCs w:val="18"/>
                <w:color w:val="auto"/>
                <w:w w:val="91"/>
              </w:rPr>
              <w:t>Owned by</w:t>
            </w:r>
          </w:p>
        </w:tc>
        <w:tc>
          <w:tcPr>
            <w:tcW w:w="480" w:type="dxa"/>
            <w:vAlign w:val="bottom"/>
            <w:tcBorders>
              <w:bottom w:val="single" w:sz="8" w:color="auto"/>
            </w:tcBorders>
          </w:tcPr>
          <w:p>
            <w:pPr>
              <w:spacing w:after="0"/>
              <w:rPr>
                <w:sz w:val="10"/>
                <w:szCs w:val="10"/>
                <w:color w:val="auto"/>
              </w:rPr>
            </w:pPr>
          </w:p>
        </w:tc>
        <w:tc>
          <w:tcPr>
            <w:tcW w:w="83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640" w:type="dxa"/>
            <w:vAlign w:val="bottom"/>
            <w:vMerge w:val="continue"/>
          </w:tcPr>
          <w:p>
            <w:pPr>
              <w:spacing w:after="0"/>
              <w:rPr>
                <w:sz w:val="6"/>
                <w:szCs w:val="6"/>
                <w:color w:val="auto"/>
              </w:rPr>
            </w:pPr>
          </w:p>
        </w:tc>
        <w:tc>
          <w:tcPr>
            <w:tcW w:w="480" w:type="dxa"/>
            <w:vAlign w:val="bottom"/>
            <w:vMerge w:val="restart"/>
          </w:tcPr>
          <w:p>
            <w:pPr>
              <w:jc w:val="right"/>
              <w:ind w:right="170"/>
              <w:spacing w:after="0"/>
              <w:rPr>
                <w:sz w:val="20"/>
                <w:szCs w:val="20"/>
                <w:color w:val="auto"/>
              </w:rPr>
            </w:pPr>
            <w:r>
              <w:rPr>
                <w:rFonts w:ascii="Arial" w:cs="Arial" w:eastAsia="Arial" w:hAnsi="Arial"/>
                <w:sz w:val="18"/>
                <w:szCs w:val="18"/>
                <w:color w:val="auto"/>
              </w:rPr>
              <w:t>9.</w:t>
            </w:r>
          </w:p>
        </w:tc>
        <w:tc>
          <w:tcPr>
            <w:tcW w:w="8360" w:type="dxa"/>
            <w:vAlign w:val="bottom"/>
            <w:vMerge w:val="restart"/>
          </w:tcPr>
          <w:p>
            <w:pPr>
              <w:ind w:left="2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640" w:type="dxa"/>
            <w:vAlign w:val="bottom"/>
            <w:vMerge w:val="restart"/>
          </w:tcPr>
          <w:p>
            <w:pPr>
              <w:jc w:val="center"/>
              <w:ind w:right="670"/>
              <w:spacing w:after="0"/>
              <w:rPr>
                <w:sz w:val="20"/>
                <w:szCs w:val="20"/>
                <w:color w:val="auto"/>
              </w:rPr>
            </w:pPr>
            <w:r>
              <w:rPr>
                <w:rFonts w:ascii="Arial" w:cs="Arial" w:eastAsia="Arial" w:hAnsi="Arial"/>
                <w:sz w:val="18"/>
                <w:szCs w:val="18"/>
                <w:color w:val="auto"/>
                <w:w w:val="87"/>
              </w:rPr>
              <w:t>Each</w:t>
            </w:r>
          </w:p>
        </w:tc>
        <w:tc>
          <w:tcPr>
            <w:tcW w:w="480" w:type="dxa"/>
            <w:vAlign w:val="bottom"/>
            <w:vMerge w:val="continue"/>
          </w:tcPr>
          <w:p>
            <w:pPr>
              <w:spacing w:after="0"/>
              <w:rPr>
                <w:sz w:val="13"/>
                <w:szCs w:val="13"/>
                <w:color w:val="auto"/>
              </w:rPr>
            </w:pPr>
          </w:p>
        </w:tc>
        <w:tc>
          <w:tcPr>
            <w:tcW w:w="8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64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83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760" w:type="dxa"/>
        <w:tblCellMar>
          <w:top w:w="0" w:type="dxa"/>
          <w:left w:w="0" w:type="dxa"/>
          <w:bottom w:w="0" w:type="dxa"/>
          <w:right w:w="0" w:type="dxa"/>
        </w:tblCellMar>
      </w:tblPr>
      <w:tr>
        <w:trPr>
          <w:trHeight w:val="202"/>
        </w:trPr>
        <w:tc>
          <w:tcPr>
            <w:tcW w:w="1620" w:type="dxa"/>
            <w:vAlign w:val="bottom"/>
          </w:tcPr>
          <w:p>
            <w:pPr>
              <w:jc w:val="center"/>
              <w:ind w:right="650"/>
              <w:spacing w:after="0" w:line="201" w:lineRule="exact"/>
              <w:rPr>
                <w:sz w:val="20"/>
                <w:szCs w:val="20"/>
                <w:color w:val="auto"/>
              </w:rPr>
            </w:pPr>
            <w:r>
              <w:rPr>
                <w:rFonts w:ascii="Arial" w:cs="Arial" w:eastAsia="Arial" w:hAnsi="Arial"/>
                <w:sz w:val="18"/>
                <w:szCs w:val="18"/>
                <w:color w:val="auto"/>
                <w:w w:val="92"/>
              </w:rPr>
              <w:t>Reporting</w:t>
            </w:r>
          </w:p>
        </w:tc>
        <w:tc>
          <w:tcPr>
            <w:tcW w:w="3380" w:type="dxa"/>
            <w:vAlign w:val="bottom"/>
            <w:vMerge w:val="restart"/>
          </w:tcPr>
          <w:p>
            <w:pPr>
              <w:ind w:left="740"/>
              <w:spacing w:after="0"/>
              <w:rPr>
                <w:sz w:val="20"/>
                <w:szCs w:val="20"/>
                <w:color w:val="auto"/>
              </w:rPr>
            </w:pPr>
            <w:r>
              <w:rPr>
                <w:rFonts w:ascii="Arial" w:cs="Arial" w:eastAsia="Arial" w:hAnsi="Arial"/>
                <w:sz w:val="18"/>
                <w:szCs w:val="18"/>
                <w:color w:val="auto"/>
                <w:w w:val="89"/>
              </w:rPr>
              <w:t>214,390 shares of common stock (2)</w:t>
            </w:r>
          </w:p>
        </w:tc>
        <w:tc>
          <w:tcPr>
            <w:tcW w:w="0" w:type="dxa"/>
            <w:vAlign w:val="bottom"/>
          </w:tcPr>
          <w:p>
            <w:pPr>
              <w:spacing w:after="0"/>
              <w:rPr>
                <w:sz w:val="1"/>
                <w:szCs w:val="1"/>
                <w:color w:val="auto"/>
              </w:rPr>
            </w:pPr>
          </w:p>
        </w:tc>
      </w:tr>
      <w:tr>
        <w:trPr>
          <w:trHeight w:val="136"/>
        </w:trPr>
        <w:tc>
          <w:tcPr>
            <w:tcW w:w="1620" w:type="dxa"/>
            <w:vAlign w:val="bottom"/>
            <w:vMerge w:val="restart"/>
          </w:tcPr>
          <w:p>
            <w:pPr>
              <w:jc w:val="center"/>
              <w:ind w:right="650"/>
              <w:spacing w:after="0"/>
              <w:rPr>
                <w:sz w:val="20"/>
                <w:szCs w:val="20"/>
                <w:color w:val="auto"/>
              </w:rPr>
            </w:pPr>
            <w:r>
              <w:rPr>
                <w:rFonts w:ascii="Arial" w:cs="Arial" w:eastAsia="Arial" w:hAnsi="Arial"/>
                <w:sz w:val="18"/>
                <w:szCs w:val="18"/>
                <w:color w:val="auto"/>
                <w:w w:val="89"/>
              </w:rPr>
              <w:t>Person With</w:t>
            </w:r>
          </w:p>
        </w:tc>
        <w:tc>
          <w:tcPr>
            <w:tcW w:w="3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620" w:type="dxa"/>
            <w:vAlign w:val="bottom"/>
            <w:vMerge w:val="continue"/>
          </w:tcPr>
          <w:p>
            <w:pPr>
              <w:spacing w:after="0"/>
              <w:rPr>
                <w:sz w:val="8"/>
                <w:szCs w:val="8"/>
                <w:color w:val="auto"/>
              </w:rPr>
            </w:pPr>
          </w:p>
        </w:tc>
        <w:tc>
          <w:tcPr>
            <w:tcW w:w="3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3120" w:right="6240" w:hanging="625"/>
        <w:spacing w:after="0" w:line="469" w:lineRule="auto"/>
        <w:tabs>
          <w:tab w:leader="none" w:pos="31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900" w:right="5540" w:hanging="795"/>
        <w:spacing w:after="0" w:line="513"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214,390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-1075055</wp:posOffset>
            </wp:positionV>
            <wp:extent cx="56146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146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-560705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100"/>
        <w:spacing w:after="0" w:line="187" w:lineRule="exact"/>
        <w:tabs>
          <w:tab w:leader="none" w:pos="880" w:val="left"/>
          <w:tab w:leader="none" w:pos="105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8" w:lineRule="exact"/>
        <w:rPr>
          <w:sz w:val="20"/>
          <w:szCs w:val="20"/>
          <w:color w:val="auto"/>
        </w:rPr>
      </w:pPr>
    </w:p>
    <w:p>
      <w:pPr>
        <w:ind w:left="900" w:right="6580" w:hanging="795"/>
        <w:spacing w:after="0" w:line="277" w:lineRule="auto"/>
        <w:tabs>
          <w:tab w:leader="none" w:pos="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0.6% (3)</w:t>
      </w:r>
    </w:p>
    <w:p>
      <w:pPr>
        <w:spacing w:after="0" w:line="183" w:lineRule="exact"/>
        <w:rPr>
          <w:rFonts w:ascii="Arial" w:cs="Arial" w:eastAsia="Arial" w:hAnsi="Arial"/>
          <w:sz w:val="18"/>
          <w:szCs w:val="18"/>
          <w:color w:val="auto"/>
        </w:rPr>
      </w:pPr>
    </w:p>
    <w:p>
      <w:pPr>
        <w:ind w:left="900" w:hanging="795"/>
        <w:spacing w:after="0"/>
        <w:tabs>
          <w:tab w:leader="none" w:pos="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260" w:hanging="252"/>
        <w:spacing w:after="0"/>
        <w:tabs>
          <w:tab w:leader="none" w:pos="2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This Schedule 13D is filed by the Reporting Persons. The Reporting Persons expressly disclaim status as a “group” for purposes of this Schedule 13D.</w:t>
      </w:r>
    </w:p>
    <w:p>
      <w:pPr>
        <w:spacing w:after="0" w:line="46" w:lineRule="exact"/>
        <w:rPr>
          <w:rFonts w:ascii="Arial" w:cs="Arial" w:eastAsia="Arial" w:hAnsi="Arial"/>
          <w:sz w:val="16"/>
          <w:szCs w:val="16"/>
          <w:color w:val="auto"/>
        </w:rPr>
      </w:pPr>
    </w:p>
    <w:p>
      <w:pPr>
        <w:ind w:right="380" w:firstLine="8"/>
        <w:spacing w:after="0" w:line="250" w:lineRule="auto"/>
        <w:tabs>
          <w:tab w:leader="none" w:pos="2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These shares are held by VVC CAN. VV V CAN GP is the sole general partner of VV V CAN, and VV V CAN is the sole general partner of VVC CAN. VV V CAN GP and VV V CAN share voting and dispositive power over the shares held by VVC CAN.</w:t>
      </w:r>
    </w:p>
    <w:p>
      <w:pPr>
        <w:ind w:right="120" w:firstLine="8"/>
        <w:spacing w:after="0" w:line="281" w:lineRule="auto"/>
        <w:tabs>
          <w:tab w:leader="none" w:pos="252"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This percentage is calculated based upon 36,668,085 shares of common stock outstanding of Repare Therapeutics Inc. (the “Issuer”), as set forth in the Issuer’s Rule 424(b)(4) Prospectus filed with the Securities and Exchange Commission (“SEC”) on June 19, 2020 and giving effect to the</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additional 1,650,000 shares of common stock issued and sold by the Issuer to the underwriters pursuant to the underwriters’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-1108075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-1622425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-2042160</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-893445</wp:posOffset>
            </wp:positionV>
            <wp:extent cx="18002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6" w:name="page7"/>
    <w:bookmarkEnd w:id="6"/>
    <w:p>
      <w:pPr>
        <w:ind w:left="900" w:hanging="79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b w:val="1"/>
          <w:bCs w:val="1"/>
          <w:color w:val="auto"/>
        </w:rPr>
        <w:t>Versant Ventures V GP-GP (Canada), Inc.</w:t>
      </w:r>
    </w:p>
    <w:p>
      <w:pPr>
        <w:spacing w:after="0" w:line="175" w:lineRule="exact"/>
        <w:rPr>
          <w:rFonts w:ascii="Arial" w:cs="Arial" w:eastAsia="Arial" w:hAnsi="Arial"/>
          <w:sz w:val="18"/>
          <w:szCs w:val="18"/>
          <w:color w:val="auto"/>
        </w:rPr>
      </w:pPr>
    </w:p>
    <w:p>
      <w:pPr>
        <w:ind w:left="900" w:hanging="795"/>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-629920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p>
      <w:pPr>
        <w:spacing w:after="0" w:line="4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left="80"/>
        <w:spacing w:after="0" w:line="181" w:lineRule="exact"/>
        <w:rPr>
          <w:sz w:val="20"/>
          <w:szCs w:val="20"/>
          <w:color w:val="auto"/>
        </w:rPr>
      </w:pPr>
      <w:r>
        <w:rPr>
          <w:rFonts w:ascii="MS PGothic" w:cs="MS PGothic" w:eastAsia="MS PGothic" w:hAnsi="MS PGothic"/>
          <w:sz w:val="18"/>
          <w:szCs w:val="18"/>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x(1)</w:t>
      </w:r>
    </w:p>
    <w:p>
      <w:pPr>
        <w:spacing w:after="0" w:line="18" w:lineRule="exact"/>
        <w:rPr>
          <w:sz w:val="20"/>
          <w:szCs w:val="20"/>
          <w:color w:val="auto"/>
        </w:rPr>
      </w:pPr>
    </w:p>
    <w:p>
      <w:pPr>
        <w:sectPr>
          <w:pgSz w:w="11900" w:h="16838" w:orient="portrait"/>
          <w:cols w:equalWidth="0" w:num="2">
            <w:col w:w="9720" w:space="720"/>
            <w:col w:w="800"/>
          </w:cols>
          <w:pgMar w:left="320" w:top="355" w:right="339" w:bottom="1440" w:gutter="0" w:footer="0" w:header="0"/>
          <w:type w:val="continuous"/>
        </w:sectPr>
      </w:pPr>
    </w:p>
    <w:p>
      <w:pPr>
        <w:ind w:left="900" w:hanging="79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900" w:hanging="79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AF</w:t>
      </w:r>
    </w:p>
    <w:p>
      <w:pPr>
        <w:spacing w:after="0" w:line="138" w:lineRule="exact"/>
        <w:rPr>
          <w:sz w:val="20"/>
          <w:szCs w:val="20"/>
          <w:color w:val="auto"/>
        </w:rPr>
      </w:pPr>
    </w:p>
    <w:p>
      <w:pPr>
        <w:ind w:left="100"/>
        <w:spacing w:after="0" w:line="207" w:lineRule="exact"/>
        <w:tabs>
          <w:tab w:leader="none" w:pos="880" w:val="left"/>
          <w:tab w:leader="none" w:pos="1050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Check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00" w:right="7720" w:hanging="795"/>
        <w:spacing w:after="0" w:line="46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3120" w:right="6760" w:hanging="625"/>
        <w:spacing w:after="0" w:line="470" w:lineRule="auto"/>
        <w:tabs>
          <w:tab w:leader="none" w:pos="31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-513715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-1028065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760" w:type="dxa"/>
        <w:tblCellMar>
          <w:top w:w="0" w:type="dxa"/>
          <w:left w:w="0" w:type="dxa"/>
          <w:bottom w:w="0" w:type="dxa"/>
          <w:right w:w="0" w:type="dxa"/>
        </w:tblCellMar>
      </w:tblPr>
      <w:tr>
        <w:trPr>
          <w:trHeight w:val="224"/>
        </w:trPr>
        <w:tc>
          <w:tcPr>
            <w:tcW w:w="1640" w:type="dxa"/>
            <w:vAlign w:val="bottom"/>
            <w:vMerge w:val="restart"/>
          </w:tcPr>
          <w:p>
            <w:pPr>
              <w:jc w:val="center"/>
              <w:ind w:right="650"/>
              <w:spacing w:after="0"/>
              <w:rPr>
                <w:sz w:val="20"/>
                <w:szCs w:val="20"/>
                <w:color w:val="auto"/>
              </w:rPr>
            </w:pPr>
            <w:r>
              <w:rPr>
                <w:rFonts w:ascii="Arial" w:cs="Arial" w:eastAsia="Arial" w:hAnsi="Arial"/>
                <w:sz w:val="18"/>
                <w:szCs w:val="18"/>
                <w:color w:val="auto"/>
                <w:w w:val="92"/>
              </w:rPr>
              <w:t>Number of</w:t>
            </w:r>
          </w:p>
        </w:tc>
        <w:tc>
          <w:tcPr>
            <w:tcW w:w="4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8.</w:t>
            </w:r>
          </w:p>
        </w:tc>
        <w:tc>
          <w:tcPr>
            <w:tcW w:w="836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2"/>
        </w:trPr>
        <w:tc>
          <w:tcPr>
            <w:tcW w:w="16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8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640" w:type="dxa"/>
            <w:vAlign w:val="bottom"/>
          </w:tcPr>
          <w:p>
            <w:pPr>
              <w:jc w:val="center"/>
              <w:ind w:right="670"/>
              <w:spacing w:after="0"/>
              <w:rPr>
                <w:sz w:val="20"/>
                <w:szCs w:val="20"/>
                <w:color w:val="auto"/>
              </w:rPr>
            </w:pPr>
            <w:r>
              <w:rPr>
                <w:rFonts w:ascii="Arial" w:cs="Arial" w:eastAsia="Arial" w:hAnsi="Arial"/>
                <w:sz w:val="18"/>
                <w:szCs w:val="18"/>
                <w:color w:val="auto"/>
                <w:w w:val="84"/>
              </w:rPr>
              <w:t>Shares</w:t>
            </w:r>
          </w:p>
        </w:tc>
        <w:tc>
          <w:tcPr>
            <w:tcW w:w="480" w:type="dxa"/>
            <w:vAlign w:val="bottom"/>
          </w:tcPr>
          <w:p>
            <w:pPr>
              <w:spacing w:after="0"/>
              <w:rPr>
                <w:sz w:val="18"/>
                <w:szCs w:val="18"/>
                <w:color w:val="auto"/>
              </w:rPr>
            </w:pPr>
          </w:p>
        </w:tc>
        <w:tc>
          <w:tcPr>
            <w:tcW w:w="8360" w:type="dxa"/>
            <w:vAlign w:val="bottom"/>
            <w:vMerge w:val="restart"/>
          </w:tcPr>
          <w:p>
            <w:pPr>
              <w:ind w:left="240"/>
              <w:spacing w:after="0"/>
              <w:rPr>
                <w:sz w:val="20"/>
                <w:szCs w:val="20"/>
                <w:color w:val="auto"/>
              </w:rPr>
            </w:pPr>
            <w:r>
              <w:rPr>
                <w:rFonts w:ascii="Arial" w:cs="Arial" w:eastAsia="Arial" w:hAnsi="Arial"/>
                <w:sz w:val="18"/>
                <w:szCs w:val="18"/>
                <w:color w:val="auto"/>
              </w:rPr>
              <w:t>214,390 shares of common stock (2)</w:t>
            </w:r>
          </w:p>
        </w:tc>
        <w:tc>
          <w:tcPr>
            <w:tcW w:w="0" w:type="dxa"/>
            <w:vAlign w:val="bottom"/>
          </w:tcPr>
          <w:p>
            <w:pPr>
              <w:spacing w:after="0"/>
              <w:rPr>
                <w:sz w:val="1"/>
                <w:szCs w:val="1"/>
                <w:color w:val="auto"/>
              </w:rPr>
            </w:pPr>
          </w:p>
        </w:tc>
      </w:tr>
      <w:tr>
        <w:trPr>
          <w:trHeight w:val="149"/>
        </w:trPr>
        <w:tc>
          <w:tcPr>
            <w:tcW w:w="1640" w:type="dxa"/>
            <w:vAlign w:val="bottom"/>
            <w:vMerge w:val="restart"/>
          </w:tcPr>
          <w:p>
            <w:pPr>
              <w:jc w:val="center"/>
              <w:ind w:right="670"/>
              <w:spacing w:after="0"/>
              <w:rPr>
                <w:sz w:val="20"/>
                <w:szCs w:val="20"/>
                <w:color w:val="auto"/>
              </w:rPr>
            </w:pPr>
            <w:r>
              <w:rPr>
                <w:rFonts w:ascii="Arial" w:cs="Arial" w:eastAsia="Arial" w:hAnsi="Arial"/>
                <w:sz w:val="18"/>
                <w:szCs w:val="18"/>
                <w:color w:val="auto"/>
                <w:w w:val="96"/>
              </w:rPr>
              <w:t>Beneficially</w:t>
            </w:r>
          </w:p>
        </w:tc>
        <w:tc>
          <w:tcPr>
            <w:tcW w:w="480" w:type="dxa"/>
            <w:vAlign w:val="bottom"/>
          </w:tcPr>
          <w:p>
            <w:pPr>
              <w:spacing w:after="0"/>
              <w:rPr>
                <w:sz w:val="12"/>
                <w:szCs w:val="12"/>
                <w:color w:val="auto"/>
              </w:rPr>
            </w:pPr>
          </w:p>
        </w:tc>
        <w:tc>
          <w:tcPr>
            <w:tcW w:w="8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164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8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1640" w:type="dxa"/>
            <w:vAlign w:val="bottom"/>
            <w:vMerge w:val="restart"/>
          </w:tcPr>
          <w:p>
            <w:pPr>
              <w:jc w:val="center"/>
              <w:ind w:right="650"/>
              <w:spacing w:after="0"/>
              <w:rPr>
                <w:sz w:val="20"/>
                <w:szCs w:val="20"/>
                <w:color w:val="auto"/>
              </w:rPr>
            </w:pPr>
            <w:r>
              <w:rPr>
                <w:rFonts w:ascii="Arial" w:cs="Arial" w:eastAsia="Arial" w:hAnsi="Arial"/>
                <w:sz w:val="18"/>
                <w:szCs w:val="18"/>
                <w:color w:val="auto"/>
                <w:w w:val="91"/>
              </w:rPr>
              <w:t>Owned by</w:t>
            </w:r>
          </w:p>
        </w:tc>
        <w:tc>
          <w:tcPr>
            <w:tcW w:w="480" w:type="dxa"/>
            <w:vAlign w:val="bottom"/>
            <w:tcBorders>
              <w:bottom w:val="single" w:sz="8" w:color="auto"/>
            </w:tcBorders>
          </w:tcPr>
          <w:p>
            <w:pPr>
              <w:spacing w:after="0"/>
              <w:rPr>
                <w:sz w:val="7"/>
                <w:szCs w:val="7"/>
                <w:color w:val="auto"/>
              </w:rPr>
            </w:pPr>
          </w:p>
        </w:tc>
        <w:tc>
          <w:tcPr>
            <w:tcW w:w="83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640" w:type="dxa"/>
            <w:vAlign w:val="bottom"/>
            <w:vMerge w:val="continue"/>
          </w:tcPr>
          <w:p>
            <w:pPr>
              <w:spacing w:after="0"/>
              <w:rPr>
                <w:sz w:val="9"/>
                <w:szCs w:val="9"/>
                <w:color w:val="auto"/>
              </w:rPr>
            </w:pPr>
          </w:p>
        </w:tc>
        <w:tc>
          <w:tcPr>
            <w:tcW w:w="480" w:type="dxa"/>
            <w:vAlign w:val="bottom"/>
            <w:vMerge w:val="restart"/>
          </w:tcPr>
          <w:p>
            <w:pPr>
              <w:jc w:val="right"/>
              <w:ind w:right="170"/>
              <w:spacing w:after="0"/>
              <w:rPr>
                <w:sz w:val="20"/>
                <w:szCs w:val="20"/>
                <w:color w:val="auto"/>
              </w:rPr>
            </w:pPr>
            <w:r>
              <w:rPr>
                <w:rFonts w:ascii="Arial" w:cs="Arial" w:eastAsia="Arial" w:hAnsi="Arial"/>
                <w:sz w:val="18"/>
                <w:szCs w:val="18"/>
                <w:color w:val="auto"/>
              </w:rPr>
              <w:t>9.</w:t>
            </w:r>
          </w:p>
        </w:tc>
        <w:tc>
          <w:tcPr>
            <w:tcW w:w="8360" w:type="dxa"/>
            <w:vAlign w:val="bottom"/>
            <w:vMerge w:val="restart"/>
          </w:tcPr>
          <w:p>
            <w:pPr>
              <w:ind w:left="2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10"/>
        </w:trPr>
        <w:tc>
          <w:tcPr>
            <w:tcW w:w="1640" w:type="dxa"/>
            <w:vAlign w:val="bottom"/>
            <w:vMerge w:val="restart"/>
          </w:tcPr>
          <w:p>
            <w:pPr>
              <w:jc w:val="center"/>
              <w:ind w:right="670"/>
              <w:spacing w:after="0"/>
              <w:rPr>
                <w:sz w:val="20"/>
                <w:szCs w:val="20"/>
                <w:color w:val="auto"/>
              </w:rPr>
            </w:pPr>
            <w:r>
              <w:rPr>
                <w:rFonts w:ascii="Arial" w:cs="Arial" w:eastAsia="Arial" w:hAnsi="Arial"/>
                <w:sz w:val="18"/>
                <w:szCs w:val="18"/>
                <w:color w:val="auto"/>
                <w:w w:val="87"/>
              </w:rPr>
              <w:t>Each</w:t>
            </w:r>
          </w:p>
        </w:tc>
        <w:tc>
          <w:tcPr>
            <w:tcW w:w="480" w:type="dxa"/>
            <w:vAlign w:val="bottom"/>
            <w:vMerge w:val="continue"/>
          </w:tcPr>
          <w:p>
            <w:pPr>
              <w:spacing w:after="0"/>
              <w:rPr>
                <w:sz w:val="9"/>
                <w:szCs w:val="9"/>
                <w:color w:val="auto"/>
              </w:rPr>
            </w:pPr>
          </w:p>
        </w:tc>
        <w:tc>
          <w:tcPr>
            <w:tcW w:w="8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64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83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760" w:type="dxa"/>
        <w:tblCellMar>
          <w:top w:w="0" w:type="dxa"/>
          <w:left w:w="0" w:type="dxa"/>
          <w:bottom w:w="0" w:type="dxa"/>
          <w:right w:w="0" w:type="dxa"/>
        </w:tblCellMar>
      </w:tblPr>
      <w:tr>
        <w:trPr>
          <w:trHeight w:val="202"/>
        </w:trPr>
        <w:tc>
          <w:tcPr>
            <w:tcW w:w="1620" w:type="dxa"/>
            <w:vAlign w:val="bottom"/>
          </w:tcPr>
          <w:p>
            <w:pPr>
              <w:jc w:val="center"/>
              <w:ind w:right="650"/>
              <w:spacing w:after="0" w:line="201" w:lineRule="exact"/>
              <w:rPr>
                <w:sz w:val="20"/>
                <w:szCs w:val="20"/>
                <w:color w:val="auto"/>
              </w:rPr>
            </w:pPr>
            <w:r>
              <w:rPr>
                <w:rFonts w:ascii="Arial" w:cs="Arial" w:eastAsia="Arial" w:hAnsi="Arial"/>
                <w:sz w:val="18"/>
                <w:szCs w:val="18"/>
                <w:color w:val="auto"/>
                <w:w w:val="92"/>
              </w:rPr>
              <w:t>Reporting</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5"/>
        </w:trPr>
        <w:tc>
          <w:tcPr>
            <w:tcW w:w="1620" w:type="dxa"/>
            <w:vAlign w:val="bottom"/>
            <w:vMerge w:val="restart"/>
          </w:tcPr>
          <w:p>
            <w:pPr>
              <w:jc w:val="center"/>
              <w:ind w:right="650"/>
              <w:spacing w:after="0"/>
              <w:rPr>
                <w:sz w:val="20"/>
                <w:szCs w:val="20"/>
                <w:color w:val="auto"/>
              </w:rPr>
            </w:pPr>
            <w:r>
              <w:rPr>
                <w:rFonts w:ascii="Arial" w:cs="Arial" w:eastAsia="Arial" w:hAnsi="Arial"/>
                <w:sz w:val="18"/>
                <w:szCs w:val="18"/>
                <w:color w:val="auto"/>
                <w:w w:val="89"/>
              </w:rPr>
              <w:t>Person With</w:t>
            </w: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62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3120" w:hanging="625"/>
        <w:spacing w:after="0"/>
        <w:tabs>
          <w:tab w:leader="none" w:pos="31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25" w:lineRule="exact"/>
        <w:rPr>
          <w:rFonts w:ascii="Arial" w:cs="Arial" w:eastAsia="Arial" w:hAnsi="Arial"/>
          <w:sz w:val="18"/>
          <w:szCs w:val="18"/>
          <w:color w:val="auto"/>
        </w:rPr>
      </w:pPr>
    </w:p>
    <w:p>
      <w:pPr>
        <w:ind w:left="3120"/>
        <w:spacing w:after="0"/>
        <w:rPr>
          <w:rFonts w:ascii="Arial" w:cs="Arial" w:eastAsia="Arial" w:hAnsi="Arial"/>
          <w:sz w:val="18"/>
          <w:szCs w:val="18"/>
          <w:color w:val="auto"/>
        </w:rPr>
      </w:pPr>
      <w:r>
        <w:rPr>
          <w:rFonts w:ascii="Arial" w:cs="Arial" w:eastAsia="Arial" w:hAnsi="Arial"/>
          <w:sz w:val="18"/>
          <w:szCs w:val="18"/>
          <w:color w:val="auto"/>
        </w:rPr>
        <w:t>214,390 shares of common stock (2)</w:t>
      </w:r>
    </w:p>
    <w:p>
      <w:pPr>
        <w:spacing w:after="0" w:line="238" w:lineRule="exact"/>
        <w:rPr>
          <w:rFonts w:ascii="Arial" w:cs="Arial" w:eastAsia="Arial" w:hAnsi="Arial"/>
          <w:sz w:val="18"/>
          <w:szCs w:val="18"/>
          <w:color w:val="auto"/>
        </w:rPr>
      </w:pPr>
    </w:p>
    <w:p>
      <w:pPr>
        <w:ind w:left="900" w:right="5540" w:hanging="795"/>
        <w:spacing w:after="0" w:line="513"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214,390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-1118235</wp:posOffset>
            </wp:positionV>
            <wp:extent cx="56146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146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-560705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100"/>
        <w:spacing w:after="0" w:line="187" w:lineRule="exact"/>
        <w:tabs>
          <w:tab w:leader="none" w:pos="880" w:val="left"/>
          <w:tab w:leader="none" w:pos="105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00" w:right="6580" w:hanging="795"/>
        <w:spacing w:after="0" w:line="469" w:lineRule="auto"/>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0.6% (3)</w:t>
      </w:r>
    </w:p>
    <w:p>
      <w:pPr>
        <w:spacing w:after="0" w:line="1" w:lineRule="exact"/>
        <w:rPr>
          <w:rFonts w:ascii="Arial" w:cs="Arial" w:eastAsia="Arial" w:hAnsi="Arial"/>
          <w:sz w:val="18"/>
          <w:szCs w:val="18"/>
          <w:color w:val="auto"/>
        </w:rPr>
      </w:pPr>
    </w:p>
    <w:p>
      <w:pPr>
        <w:ind w:left="900" w:hanging="795"/>
        <w:spacing w:after="0"/>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260" w:hanging="252"/>
        <w:spacing w:after="0"/>
        <w:tabs>
          <w:tab w:leader="none" w:pos="2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This Schedule 13D is filed by the Reporting Persons. The Reporting Persons expressly disclaim status as a “group” for purposes of this Schedule 13D.</w:t>
      </w:r>
    </w:p>
    <w:p>
      <w:pPr>
        <w:spacing w:after="0" w:line="46" w:lineRule="exact"/>
        <w:rPr>
          <w:rFonts w:ascii="Arial" w:cs="Arial" w:eastAsia="Arial" w:hAnsi="Arial"/>
          <w:sz w:val="16"/>
          <w:szCs w:val="16"/>
          <w:color w:val="auto"/>
        </w:rPr>
      </w:pPr>
    </w:p>
    <w:p>
      <w:pPr>
        <w:ind w:right="380" w:firstLine="8"/>
        <w:spacing w:after="0" w:line="250" w:lineRule="auto"/>
        <w:tabs>
          <w:tab w:leader="none" w:pos="25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These shares are held by VVC CAN. VV V CAN GP is the sole general partner of VV V CAN, and VV V CAN is the sole general partner of VVC CAN. VV V CAN GP and VV V CAN share voting and dispositive power over the shares held by VVC CAN.</w:t>
      </w:r>
    </w:p>
    <w:p>
      <w:pPr>
        <w:ind w:right="120" w:firstLine="8"/>
        <w:spacing w:after="0" w:line="281" w:lineRule="auto"/>
        <w:tabs>
          <w:tab w:leader="none" w:pos="252"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This percentage is calculated based upon 36,668,085 shares of common stock outstanding of Repare Therapeutics Inc. (the “Issuer”), as set forth in the Issuer’s Rule 424(b)(4) Prospectus filed with the Securities and Exchange Commission (“SEC”) on June 19, 2020 and giving effect to the</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additional 1,650,000 shares of common stock issued and sold by the Issuer to the underwriters pursuant to the underwriters’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-1108075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-1622425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-2136775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-893445</wp:posOffset>
            </wp:positionV>
            <wp:extent cx="18002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7" w:name="page8"/>
    <w:bookmarkEnd w:id="7"/>
    <w:p>
      <w:pPr>
        <w:ind w:left="900" w:hanging="79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b w:val="1"/>
          <w:bCs w:val="1"/>
          <w:color w:val="auto"/>
        </w:rPr>
        <w:t>Versant Ventures V (Canada), L.P.</w:t>
      </w:r>
    </w:p>
    <w:p>
      <w:pPr>
        <w:spacing w:after="0" w:line="175" w:lineRule="exact"/>
        <w:rPr>
          <w:rFonts w:ascii="Arial" w:cs="Arial" w:eastAsia="Arial" w:hAnsi="Arial"/>
          <w:sz w:val="18"/>
          <w:szCs w:val="18"/>
          <w:color w:val="auto"/>
        </w:rPr>
      </w:pPr>
    </w:p>
    <w:p>
      <w:pPr>
        <w:ind w:left="900" w:hanging="795"/>
        <w:spacing w:after="0"/>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-629920</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p>
      <w:pPr>
        <w:spacing w:after="0" w:line="4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left="80"/>
        <w:spacing w:after="0" w:line="181" w:lineRule="exact"/>
        <w:rPr>
          <w:sz w:val="20"/>
          <w:szCs w:val="20"/>
          <w:color w:val="auto"/>
        </w:rPr>
      </w:pPr>
      <w:r>
        <w:rPr>
          <w:rFonts w:ascii="MS PGothic" w:cs="MS PGothic" w:eastAsia="MS PGothic" w:hAnsi="MS PGothic"/>
          <w:sz w:val="18"/>
          <w:szCs w:val="18"/>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x(1)</w:t>
      </w:r>
    </w:p>
    <w:p>
      <w:pPr>
        <w:spacing w:after="0" w:line="18" w:lineRule="exact"/>
        <w:rPr>
          <w:sz w:val="20"/>
          <w:szCs w:val="20"/>
          <w:color w:val="auto"/>
        </w:rPr>
      </w:pPr>
    </w:p>
    <w:p>
      <w:pPr>
        <w:sectPr>
          <w:pgSz w:w="11900" w:h="16838" w:orient="portrait"/>
          <w:cols w:equalWidth="0" w:num="2">
            <w:col w:w="9720" w:space="720"/>
            <w:col w:w="800"/>
          </w:cols>
          <w:pgMar w:left="320" w:top="355" w:right="339" w:bottom="1440" w:gutter="0" w:footer="0" w:header="0"/>
          <w:type w:val="continuous"/>
        </w:sectPr>
      </w:pPr>
    </w:p>
    <w:p>
      <w:pPr>
        <w:ind w:left="900" w:hanging="79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900" w:hanging="79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AF</w:t>
      </w:r>
    </w:p>
    <w:p>
      <w:pPr>
        <w:spacing w:after="0" w:line="138" w:lineRule="exact"/>
        <w:rPr>
          <w:sz w:val="20"/>
          <w:szCs w:val="20"/>
          <w:color w:val="auto"/>
        </w:rPr>
      </w:pPr>
    </w:p>
    <w:p>
      <w:pPr>
        <w:ind w:left="100"/>
        <w:spacing w:after="0" w:line="207" w:lineRule="exact"/>
        <w:tabs>
          <w:tab w:leader="none" w:pos="880" w:val="left"/>
          <w:tab w:leader="none" w:pos="1050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Check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00" w:right="7720" w:hanging="795"/>
        <w:spacing w:after="0" w:line="46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3120" w:right="6760" w:hanging="625"/>
        <w:spacing w:after="0" w:line="470" w:lineRule="auto"/>
        <w:tabs>
          <w:tab w:leader="none" w:pos="31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-513715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-1028065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760" w:type="dxa"/>
        <w:tblCellMar>
          <w:top w:w="0" w:type="dxa"/>
          <w:left w:w="0" w:type="dxa"/>
          <w:bottom w:w="0" w:type="dxa"/>
          <w:right w:w="0" w:type="dxa"/>
        </w:tblCellMar>
      </w:tblPr>
      <w:tr>
        <w:trPr>
          <w:trHeight w:val="224"/>
        </w:trPr>
        <w:tc>
          <w:tcPr>
            <w:tcW w:w="1640" w:type="dxa"/>
            <w:vAlign w:val="bottom"/>
            <w:vMerge w:val="restart"/>
          </w:tcPr>
          <w:p>
            <w:pPr>
              <w:jc w:val="center"/>
              <w:ind w:right="650"/>
              <w:spacing w:after="0"/>
              <w:rPr>
                <w:sz w:val="20"/>
                <w:szCs w:val="20"/>
                <w:color w:val="auto"/>
              </w:rPr>
            </w:pPr>
            <w:r>
              <w:rPr>
                <w:rFonts w:ascii="Arial" w:cs="Arial" w:eastAsia="Arial" w:hAnsi="Arial"/>
                <w:sz w:val="18"/>
                <w:szCs w:val="18"/>
                <w:color w:val="auto"/>
                <w:w w:val="92"/>
              </w:rPr>
              <w:t>Number of</w:t>
            </w:r>
          </w:p>
        </w:tc>
        <w:tc>
          <w:tcPr>
            <w:tcW w:w="4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8.</w:t>
            </w:r>
          </w:p>
        </w:tc>
        <w:tc>
          <w:tcPr>
            <w:tcW w:w="836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2"/>
        </w:trPr>
        <w:tc>
          <w:tcPr>
            <w:tcW w:w="16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8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640" w:type="dxa"/>
            <w:vAlign w:val="bottom"/>
          </w:tcPr>
          <w:p>
            <w:pPr>
              <w:jc w:val="center"/>
              <w:ind w:right="670"/>
              <w:spacing w:after="0"/>
              <w:rPr>
                <w:sz w:val="20"/>
                <w:szCs w:val="20"/>
                <w:color w:val="auto"/>
              </w:rPr>
            </w:pPr>
            <w:r>
              <w:rPr>
                <w:rFonts w:ascii="Arial" w:cs="Arial" w:eastAsia="Arial" w:hAnsi="Arial"/>
                <w:sz w:val="18"/>
                <w:szCs w:val="18"/>
                <w:color w:val="auto"/>
                <w:w w:val="84"/>
              </w:rPr>
              <w:t>Shares</w:t>
            </w:r>
          </w:p>
        </w:tc>
        <w:tc>
          <w:tcPr>
            <w:tcW w:w="480" w:type="dxa"/>
            <w:vAlign w:val="bottom"/>
          </w:tcPr>
          <w:p>
            <w:pPr>
              <w:spacing w:after="0"/>
              <w:rPr>
                <w:sz w:val="18"/>
                <w:szCs w:val="18"/>
                <w:color w:val="auto"/>
              </w:rPr>
            </w:pPr>
          </w:p>
        </w:tc>
        <w:tc>
          <w:tcPr>
            <w:tcW w:w="8360" w:type="dxa"/>
            <w:vAlign w:val="bottom"/>
            <w:vMerge w:val="restart"/>
          </w:tcPr>
          <w:p>
            <w:pPr>
              <w:ind w:left="240"/>
              <w:spacing w:after="0"/>
              <w:rPr>
                <w:sz w:val="20"/>
                <w:szCs w:val="20"/>
                <w:color w:val="auto"/>
              </w:rPr>
            </w:pPr>
            <w:r>
              <w:rPr>
                <w:rFonts w:ascii="Arial" w:cs="Arial" w:eastAsia="Arial" w:hAnsi="Arial"/>
                <w:sz w:val="18"/>
                <w:szCs w:val="18"/>
                <w:color w:val="auto"/>
              </w:rPr>
              <w:t>214,390 shares of common stock (2)</w:t>
            </w:r>
          </w:p>
        </w:tc>
        <w:tc>
          <w:tcPr>
            <w:tcW w:w="0" w:type="dxa"/>
            <w:vAlign w:val="bottom"/>
          </w:tcPr>
          <w:p>
            <w:pPr>
              <w:spacing w:after="0"/>
              <w:rPr>
                <w:sz w:val="1"/>
                <w:szCs w:val="1"/>
                <w:color w:val="auto"/>
              </w:rPr>
            </w:pPr>
          </w:p>
        </w:tc>
      </w:tr>
      <w:tr>
        <w:trPr>
          <w:trHeight w:val="149"/>
        </w:trPr>
        <w:tc>
          <w:tcPr>
            <w:tcW w:w="1640" w:type="dxa"/>
            <w:vAlign w:val="bottom"/>
            <w:vMerge w:val="restart"/>
          </w:tcPr>
          <w:p>
            <w:pPr>
              <w:jc w:val="center"/>
              <w:ind w:right="670"/>
              <w:spacing w:after="0"/>
              <w:rPr>
                <w:sz w:val="20"/>
                <w:szCs w:val="20"/>
                <w:color w:val="auto"/>
              </w:rPr>
            </w:pPr>
            <w:r>
              <w:rPr>
                <w:rFonts w:ascii="Arial" w:cs="Arial" w:eastAsia="Arial" w:hAnsi="Arial"/>
                <w:sz w:val="18"/>
                <w:szCs w:val="18"/>
                <w:color w:val="auto"/>
                <w:w w:val="96"/>
              </w:rPr>
              <w:t>Beneficially</w:t>
            </w:r>
          </w:p>
        </w:tc>
        <w:tc>
          <w:tcPr>
            <w:tcW w:w="480" w:type="dxa"/>
            <w:vAlign w:val="bottom"/>
          </w:tcPr>
          <w:p>
            <w:pPr>
              <w:spacing w:after="0"/>
              <w:rPr>
                <w:sz w:val="12"/>
                <w:szCs w:val="12"/>
                <w:color w:val="auto"/>
              </w:rPr>
            </w:pPr>
          </w:p>
        </w:tc>
        <w:tc>
          <w:tcPr>
            <w:tcW w:w="8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164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8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1640" w:type="dxa"/>
            <w:vAlign w:val="bottom"/>
            <w:vMerge w:val="restart"/>
          </w:tcPr>
          <w:p>
            <w:pPr>
              <w:jc w:val="center"/>
              <w:ind w:right="650"/>
              <w:spacing w:after="0"/>
              <w:rPr>
                <w:sz w:val="20"/>
                <w:szCs w:val="20"/>
                <w:color w:val="auto"/>
              </w:rPr>
            </w:pPr>
            <w:r>
              <w:rPr>
                <w:rFonts w:ascii="Arial" w:cs="Arial" w:eastAsia="Arial" w:hAnsi="Arial"/>
                <w:sz w:val="18"/>
                <w:szCs w:val="18"/>
                <w:color w:val="auto"/>
                <w:w w:val="91"/>
              </w:rPr>
              <w:t>Owned by</w:t>
            </w:r>
          </w:p>
        </w:tc>
        <w:tc>
          <w:tcPr>
            <w:tcW w:w="480" w:type="dxa"/>
            <w:vAlign w:val="bottom"/>
            <w:tcBorders>
              <w:bottom w:val="single" w:sz="8" w:color="auto"/>
            </w:tcBorders>
          </w:tcPr>
          <w:p>
            <w:pPr>
              <w:spacing w:after="0"/>
              <w:rPr>
                <w:sz w:val="7"/>
                <w:szCs w:val="7"/>
                <w:color w:val="auto"/>
              </w:rPr>
            </w:pPr>
          </w:p>
        </w:tc>
        <w:tc>
          <w:tcPr>
            <w:tcW w:w="83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640" w:type="dxa"/>
            <w:vAlign w:val="bottom"/>
            <w:vMerge w:val="continue"/>
          </w:tcPr>
          <w:p>
            <w:pPr>
              <w:spacing w:after="0"/>
              <w:rPr>
                <w:sz w:val="9"/>
                <w:szCs w:val="9"/>
                <w:color w:val="auto"/>
              </w:rPr>
            </w:pPr>
          </w:p>
        </w:tc>
        <w:tc>
          <w:tcPr>
            <w:tcW w:w="480" w:type="dxa"/>
            <w:vAlign w:val="bottom"/>
            <w:vMerge w:val="restart"/>
          </w:tcPr>
          <w:p>
            <w:pPr>
              <w:jc w:val="right"/>
              <w:ind w:right="170"/>
              <w:spacing w:after="0"/>
              <w:rPr>
                <w:sz w:val="20"/>
                <w:szCs w:val="20"/>
                <w:color w:val="auto"/>
              </w:rPr>
            </w:pPr>
            <w:r>
              <w:rPr>
                <w:rFonts w:ascii="Arial" w:cs="Arial" w:eastAsia="Arial" w:hAnsi="Arial"/>
                <w:sz w:val="18"/>
                <w:szCs w:val="18"/>
                <w:color w:val="auto"/>
              </w:rPr>
              <w:t>9.</w:t>
            </w:r>
          </w:p>
        </w:tc>
        <w:tc>
          <w:tcPr>
            <w:tcW w:w="8360" w:type="dxa"/>
            <w:vAlign w:val="bottom"/>
            <w:vMerge w:val="restart"/>
          </w:tcPr>
          <w:p>
            <w:pPr>
              <w:ind w:left="2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10"/>
        </w:trPr>
        <w:tc>
          <w:tcPr>
            <w:tcW w:w="1640" w:type="dxa"/>
            <w:vAlign w:val="bottom"/>
            <w:vMerge w:val="restart"/>
          </w:tcPr>
          <w:p>
            <w:pPr>
              <w:jc w:val="center"/>
              <w:ind w:right="670"/>
              <w:spacing w:after="0"/>
              <w:rPr>
                <w:sz w:val="20"/>
                <w:szCs w:val="20"/>
                <w:color w:val="auto"/>
              </w:rPr>
            </w:pPr>
            <w:r>
              <w:rPr>
                <w:rFonts w:ascii="Arial" w:cs="Arial" w:eastAsia="Arial" w:hAnsi="Arial"/>
                <w:sz w:val="18"/>
                <w:szCs w:val="18"/>
                <w:color w:val="auto"/>
                <w:w w:val="87"/>
              </w:rPr>
              <w:t>Each</w:t>
            </w:r>
          </w:p>
        </w:tc>
        <w:tc>
          <w:tcPr>
            <w:tcW w:w="480" w:type="dxa"/>
            <w:vAlign w:val="bottom"/>
            <w:vMerge w:val="continue"/>
          </w:tcPr>
          <w:p>
            <w:pPr>
              <w:spacing w:after="0"/>
              <w:rPr>
                <w:sz w:val="9"/>
                <w:szCs w:val="9"/>
                <w:color w:val="auto"/>
              </w:rPr>
            </w:pPr>
          </w:p>
        </w:tc>
        <w:tc>
          <w:tcPr>
            <w:tcW w:w="8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64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83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760" w:type="dxa"/>
        <w:tblCellMar>
          <w:top w:w="0" w:type="dxa"/>
          <w:left w:w="0" w:type="dxa"/>
          <w:bottom w:w="0" w:type="dxa"/>
          <w:right w:w="0" w:type="dxa"/>
        </w:tblCellMar>
      </w:tblPr>
      <w:tr>
        <w:trPr>
          <w:trHeight w:val="202"/>
        </w:trPr>
        <w:tc>
          <w:tcPr>
            <w:tcW w:w="1620" w:type="dxa"/>
            <w:vAlign w:val="bottom"/>
          </w:tcPr>
          <w:p>
            <w:pPr>
              <w:jc w:val="center"/>
              <w:ind w:right="650"/>
              <w:spacing w:after="0" w:line="201" w:lineRule="exact"/>
              <w:rPr>
                <w:sz w:val="20"/>
                <w:szCs w:val="20"/>
                <w:color w:val="auto"/>
              </w:rPr>
            </w:pPr>
            <w:r>
              <w:rPr>
                <w:rFonts w:ascii="Arial" w:cs="Arial" w:eastAsia="Arial" w:hAnsi="Arial"/>
                <w:sz w:val="18"/>
                <w:szCs w:val="18"/>
                <w:color w:val="auto"/>
                <w:w w:val="92"/>
              </w:rPr>
              <w:t>Reporting</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5"/>
        </w:trPr>
        <w:tc>
          <w:tcPr>
            <w:tcW w:w="1620" w:type="dxa"/>
            <w:vAlign w:val="bottom"/>
            <w:vMerge w:val="restart"/>
          </w:tcPr>
          <w:p>
            <w:pPr>
              <w:jc w:val="center"/>
              <w:ind w:right="650"/>
              <w:spacing w:after="0"/>
              <w:rPr>
                <w:sz w:val="20"/>
                <w:szCs w:val="20"/>
                <w:color w:val="auto"/>
              </w:rPr>
            </w:pPr>
            <w:r>
              <w:rPr>
                <w:rFonts w:ascii="Arial" w:cs="Arial" w:eastAsia="Arial" w:hAnsi="Arial"/>
                <w:sz w:val="18"/>
                <w:szCs w:val="18"/>
                <w:color w:val="auto"/>
                <w:w w:val="89"/>
              </w:rPr>
              <w:t>Person With</w:t>
            </w: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62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3120" w:hanging="625"/>
        <w:spacing w:after="0"/>
        <w:tabs>
          <w:tab w:leader="none" w:pos="31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25" w:lineRule="exact"/>
        <w:rPr>
          <w:rFonts w:ascii="Arial" w:cs="Arial" w:eastAsia="Arial" w:hAnsi="Arial"/>
          <w:sz w:val="18"/>
          <w:szCs w:val="18"/>
          <w:color w:val="auto"/>
        </w:rPr>
      </w:pPr>
    </w:p>
    <w:p>
      <w:pPr>
        <w:ind w:left="3120"/>
        <w:spacing w:after="0"/>
        <w:rPr>
          <w:rFonts w:ascii="Arial" w:cs="Arial" w:eastAsia="Arial" w:hAnsi="Arial"/>
          <w:sz w:val="18"/>
          <w:szCs w:val="18"/>
          <w:color w:val="auto"/>
        </w:rPr>
      </w:pPr>
      <w:r>
        <w:rPr>
          <w:rFonts w:ascii="Arial" w:cs="Arial" w:eastAsia="Arial" w:hAnsi="Arial"/>
          <w:sz w:val="18"/>
          <w:szCs w:val="18"/>
          <w:color w:val="auto"/>
        </w:rPr>
        <w:t>214,390 shares of common stock (2)</w:t>
      </w:r>
    </w:p>
    <w:p>
      <w:pPr>
        <w:spacing w:after="0" w:line="238" w:lineRule="exact"/>
        <w:rPr>
          <w:rFonts w:ascii="Arial" w:cs="Arial" w:eastAsia="Arial" w:hAnsi="Arial"/>
          <w:sz w:val="18"/>
          <w:szCs w:val="18"/>
          <w:color w:val="auto"/>
        </w:rPr>
      </w:pPr>
    </w:p>
    <w:p>
      <w:pPr>
        <w:ind w:left="900" w:right="5540" w:hanging="795"/>
        <w:spacing w:after="0" w:line="513"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214,390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-1118235</wp:posOffset>
            </wp:positionV>
            <wp:extent cx="56146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146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-560705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00"/>
        <w:spacing w:after="0" w:line="187" w:lineRule="exact"/>
        <w:tabs>
          <w:tab w:leader="none" w:pos="880" w:val="left"/>
          <w:tab w:leader="none" w:pos="105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00" w:right="6580" w:hanging="795"/>
        <w:spacing w:after="0" w:line="469"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0.6% (3)</w:t>
      </w:r>
    </w:p>
    <w:p>
      <w:pPr>
        <w:spacing w:after="0" w:line="1" w:lineRule="exact"/>
        <w:rPr>
          <w:rFonts w:ascii="Arial" w:cs="Arial" w:eastAsia="Arial" w:hAnsi="Arial"/>
          <w:sz w:val="18"/>
          <w:szCs w:val="18"/>
          <w:color w:val="auto"/>
        </w:rPr>
      </w:pPr>
    </w:p>
    <w:p>
      <w:pPr>
        <w:ind w:left="900" w:hanging="795"/>
        <w:spacing w:after="0"/>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260" w:hanging="252"/>
        <w:spacing w:after="0"/>
        <w:tabs>
          <w:tab w:leader="none" w:pos="2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This Schedule 13D is filed by the Reporting Persons. The Reporting Persons expressly disclaim status as a “group” for purposes of this Schedule 13D.</w:t>
      </w:r>
    </w:p>
    <w:p>
      <w:pPr>
        <w:spacing w:after="0" w:line="248" w:lineRule="exact"/>
        <w:rPr>
          <w:rFonts w:ascii="Arial" w:cs="Arial" w:eastAsia="Arial" w:hAnsi="Arial"/>
          <w:sz w:val="16"/>
          <w:szCs w:val="16"/>
          <w:color w:val="auto"/>
        </w:rPr>
      </w:pPr>
    </w:p>
    <w:p>
      <w:pPr>
        <w:ind w:right="380" w:firstLine="8"/>
        <w:spacing w:after="0" w:line="277" w:lineRule="auto"/>
        <w:tabs>
          <w:tab w:leader="none" w:pos="2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These shares are held by VVC CAN. VV V CAN GP is the sole general partner of VV V CAN, and VV V CAN is the sole general partner of VVC CAN. VV V CAN GP and VV V CAN share voting and dispositive power over the shares held by VVC CAN.</w:t>
      </w:r>
    </w:p>
    <w:p>
      <w:pPr>
        <w:spacing w:after="0" w:line="170" w:lineRule="exact"/>
        <w:rPr>
          <w:rFonts w:ascii="Arial" w:cs="Arial" w:eastAsia="Arial" w:hAnsi="Arial"/>
          <w:sz w:val="18"/>
          <w:szCs w:val="18"/>
          <w:color w:val="auto"/>
        </w:rPr>
      </w:pPr>
    </w:p>
    <w:p>
      <w:pPr>
        <w:ind w:right="120" w:firstLine="8"/>
        <w:spacing w:after="0" w:line="291" w:lineRule="auto"/>
        <w:tabs>
          <w:tab w:leader="none" w:pos="252"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This percentage is calculated based upon 36,668,085 shares of common stock outstanding of Repare Therapeutics Inc. (the “Issuer”), as set forth in the Issuer’s Rule 424(b)(4) Prospectus filed with the Securities and Exchange Commission (“SEC”) on June 19, 2020 and giving effect to the</w:t>
      </w:r>
    </w:p>
    <w:p>
      <w:pPr>
        <w:spacing w:after="0"/>
        <w:rPr>
          <w:rFonts w:ascii="Arial" w:cs="Arial" w:eastAsia="Arial" w:hAnsi="Arial"/>
          <w:sz w:val="16"/>
          <w:szCs w:val="16"/>
          <w:color w:val="auto"/>
        </w:rPr>
      </w:pPr>
      <w:r>
        <w:rPr>
          <w:rFonts w:ascii="Arial" w:cs="Arial" w:eastAsia="Arial" w:hAnsi="Arial"/>
          <w:sz w:val="18"/>
          <w:szCs w:val="18"/>
          <w:color w:val="auto"/>
        </w:rPr>
        <w:t>additional 1,650,000 shares of common stock issued and sold by the Issuer to the underwriters pursuant to the underwriters’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-1382395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-1896745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-2411095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-1167765</wp:posOffset>
            </wp:positionV>
            <wp:extent cx="18002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8" w:name="page9"/>
    <w:bookmarkEnd w:id="8"/>
    <w:p>
      <w:pPr>
        <w:ind w:left="900" w:hanging="79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b w:val="1"/>
          <w:bCs w:val="1"/>
          <w:color w:val="auto"/>
        </w:rPr>
        <w:t>Versant Venture Capital VI, L.P.</w:t>
      </w:r>
    </w:p>
    <w:p>
      <w:pPr>
        <w:spacing w:after="0" w:line="175" w:lineRule="exact"/>
        <w:rPr>
          <w:rFonts w:ascii="Arial" w:cs="Arial" w:eastAsia="Arial" w:hAnsi="Arial"/>
          <w:sz w:val="18"/>
          <w:szCs w:val="18"/>
          <w:color w:val="auto"/>
        </w:rPr>
      </w:pPr>
    </w:p>
    <w:p>
      <w:pPr>
        <w:ind w:left="900" w:hanging="795"/>
        <w:spacing w:after="0"/>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-629920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p>
      <w:pPr>
        <w:spacing w:after="0" w:line="4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left="80"/>
        <w:spacing w:after="0" w:line="181" w:lineRule="exact"/>
        <w:rPr>
          <w:sz w:val="20"/>
          <w:szCs w:val="20"/>
          <w:color w:val="auto"/>
        </w:rPr>
      </w:pPr>
      <w:r>
        <w:rPr>
          <w:rFonts w:ascii="MS PGothic" w:cs="MS PGothic" w:eastAsia="MS PGothic" w:hAnsi="MS PGothic"/>
          <w:sz w:val="18"/>
          <w:szCs w:val="18"/>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x(1)</w:t>
      </w:r>
    </w:p>
    <w:p>
      <w:pPr>
        <w:spacing w:after="0" w:line="18" w:lineRule="exact"/>
        <w:rPr>
          <w:sz w:val="20"/>
          <w:szCs w:val="20"/>
          <w:color w:val="auto"/>
        </w:rPr>
      </w:pPr>
    </w:p>
    <w:p>
      <w:pPr>
        <w:sectPr>
          <w:pgSz w:w="11900" w:h="16838" w:orient="portrait"/>
          <w:cols w:equalWidth="0" w:num="2">
            <w:col w:w="9720" w:space="720"/>
            <w:col w:w="800"/>
          </w:cols>
          <w:pgMar w:left="320" w:top="355" w:right="339" w:bottom="1440" w:gutter="0" w:footer="0" w:header="0"/>
          <w:type w:val="continuous"/>
        </w:sectPr>
      </w:pPr>
    </w:p>
    <w:p>
      <w:pPr>
        <w:ind w:left="900" w:hanging="79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900" w:hanging="79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WC</w:t>
      </w:r>
    </w:p>
    <w:p>
      <w:pPr>
        <w:spacing w:after="0" w:line="138" w:lineRule="exact"/>
        <w:rPr>
          <w:sz w:val="20"/>
          <w:szCs w:val="20"/>
          <w:color w:val="auto"/>
        </w:rPr>
      </w:pPr>
    </w:p>
    <w:p>
      <w:pPr>
        <w:ind w:left="100"/>
        <w:spacing w:after="0" w:line="207" w:lineRule="exact"/>
        <w:tabs>
          <w:tab w:leader="none" w:pos="880" w:val="left"/>
          <w:tab w:leader="none" w:pos="1050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Check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00" w:right="7720" w:hanging="795"/>
        <w:spacing w:after="0" w:line="469"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3120" w:hanging="625"/>
        <w:spacing w:after="0"/>
        <w:tabs>
          <w:tab w:leader="none" w:pos="31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-644525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1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360" w:type="dxa"/>
            <w:vAlign w:val="bottom"/>
          </w:tcPr>
          <w:p>
            <w:pPr>
              <w:ind w:left="240"/>
              <w:spacing w:after="0"/>
              <w:rPr>
                <w:sz w:val="20"/>
                <w:szCs w:val="20"/>
                <w:color w:val="auto"/>
              </w:rPr>
            </w:pPr>
            <w:r>
              <w:rPr>
                <w:rFonts w:ascii="Arial" w:cs="Arial" w:eastAsia="Arial" w:hAnsi="Arial"/>
                <w:sz w:val="18"/>
                <w:szCs w:val="18"/>
                <w:color w:val="auto"/>
              </w:rPr>
              <w:t>3,419,451 shares of common stock(2)</w:t>
            </w: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1640" w:type="dxa"/>
            <w:vAlign w:val="bottom"/>
          </w:tcPr>
          <w:p>
            <w:pPr>
              <w:jc w:val="center"/>
              <w:ind w:right="650"/>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8360" w:type="dxa"/>
            <w:vAlign w:val="bottom"/>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Pr>
          <w:p>
            <w:pPr>
              <w:jc w:val="center"/>
              <w:ind w:right="670"/>
              <w:spacing w:after="0"/>
              <w:rPr>
                <w:sz w:val="20"/>
                <w:szCs w:val="20"/>
                <w:color w:val="auto"/>
              </w:rPr>
            </w:pPr>
            <w:r>
              <w:rPr>
                <w:rFonts w:ascii="Arial" w:cs="Arial" w:eastAsia="Arial" w:hAnsi="Arial"/>
                <w:sz w:val="18"/>
                <w:szCs w:val="18"/>
                <w:color w:val="auto"/>
                <w:w w:val="84"/>
              </w:rPr>
              <w:t>Shares</w:t>
            </w:r>
          </w:p>
        </w:tc>
        <w:tc>
          <w:tcPr>
            <w:tcW w:w="480" w:type="dxa"/>
            <w:vAlign w:val="bottom"/>
          </w:tcPr>
          <w:p>
            <w:pPr>
              <w:spacing w:after="0"/>
              <w:rPr>
                <w:sz w:val="18"/>
                <w:szCs w:val="18"/>
                <w:color w:val="auto"/>
              </w:rPr>
            </w:pPr>
          </w:p>
        </w:tc>
        <w:tc>
          <w:tcPr>
            <w:tcW w:w="8360" w:type="dxa"/>
            <w:vAlign w:val="bottom"/>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640" w:type="dxa"/>
            <w:vAlign w:val="bottom"/>
          </w:tcPr>
          <w:p>
            <w:pPr>
              <w:jc w:val="center"/>
              <w:ind w:right="670"/>
              <w:spacing w:after="0"/>
              <w:rPr>
                <w:sz w:val="20"/>
                <w:szCs w:val="20"/>
                <w:color w:val="auto"/>
              </w:rPr>
            </w:pPr>
            <w:r>
              <w:rPr>
                <w:rFonts w:ascii="Arial" w:cs="Arial" w:eastAsia="Arial" w:hAnsi="Arial"/>
                <w:sz w:val="18"/>
                <w:szCs w:val="18"/>
                <w:color w:val="auto"/>
                <w:w w:val="96"/>
              </w:rPr>
              <w:t>Beneficially</w:t>
            </w:r>
          </w:p>
        </w:tc>
        <w:tc>
          <w:tcPr>
            <w:tcW w:w="480" w:type="dxa"/>
            <w:vAlign w:val="bottom"/>
          </w:tcPr>
          <w:p>
            <w:pPr>
              <w:spacing w:after="0"/>
              <w:rPr>
                <w:sz w:val="18"/>
                <w:szCs w:val="18"/>
                <w:color w:val="auto"/>
              </w:rPr>
            </w:pPr>
          </w:p>
        </w:tc>
        <w:tc>
          <w:tcPr>
            <w:tcW w:w="8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640" w:type="dxa"/>
            <w:vAlign w:val="bottom"/>
            <w:vMerge w:val="restart"/>
          </w:tcPr>
          <w:p>
            <w:pPr>
              <w:jc w:val="center"/>
              <w:ind w:right="650"/>
              <w:spacing w:after="0"/>
              <w:rPr>
                <w:sz w:val="20"/>
                <w:szCs w:val="20"/>
                <w:color w:val="auto"/>
              </w:rPr>
            </w:pPr>
            <w:r>
              <w:rPr>
                <w:rFonts w:ascii="Arial" w:cs="Arial" w:eastAsia="Arial" w:hAnsi="Arial"/>
                <w:sz w:val="18"/>
                <w:szCs w:val="18"/>
                <w:color w:val="auto"/>
                <w:w w:val="91"/>
              </w:rPr>
              <w:t>Owned by</w:t>
            </w:r>
          </w:p>
        </w:tc>
        <w:tc>
          <w:tcPr>
            <w:tcW w:w="480" w:type="dxa"/>
            <w:vAlign w:val="bottom"/>
            <w:tcBorders>
              <w:bottom w:val="single" w:sz="8" w:color="auto"/>
            </w:tcBorders>
          </w:tcPr>
          <w:p>
            <w:pPr>
              <w:spacing w:after="0"/>
              <w:rPr>
                <w:sz w:val="10"/>
                <w:szCs w:val="10"/>
                <w:color w:val="auto"/>
              </w:rPr>
            </w:pPr>
          </w:p>
        </w:tc>
        <w:tc>
          <w:tcPr>
            <w:tcW w:w="83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640" w:type="dxa"/>
            <w:vAlign w:val="bottom"/>
            <w:vMerge w:val="continue"/>
          </w:tcPr>
          <w:p>
            <w:pPr>
              <w:spacing w:after="0"/>
              <w:rPr>
                <w:sz w:val="6"/>
                <w:szCs w:val="6"/>
                <w:color w:val="auto"/>
              </w:rPr>
            </w:pPr>
          </w:p>
        </w:tc>
        <w:tc>
          <w:tcPr>
            <w:tcW w:w="480" w:type="dxa"/>
            <w:vAlign w:val="bottom"/>
            <w:vMerge w:val="restart"/>
          </w:tcPr>
          <w:p>
            <w:pPr>
              <w:jc w:val="right"/>
              <w:ind w:right="170"/>
              <w:spacing w:after="0"/>
              <w:rPr>
                <w:sz w:val="20"/>
                <w:szCs w:val="20"/>
                <w:color w:val="auto"/>
              </w:rPr>
            </w:pPr>
            <w:r>
              <w:rPr>
                <w:rFonts w:ascii="Arial" w:cs="Arial" w:eastAsia="Arial" w:hAnsi="Arial"/>
                <w:sz w:val="18"/>
                <w:szCs w:val="18"/>
                <w:color w:val="auto"/>
              </w:rPr>
              <w:t>9.</w:t>
            </w:r>
          </w:p>
        </w:tc>
        <w:tc>
          <w:tcPr>
            <w:tcW w:w="8360" w:type="dxa"/>
            <w:vAlign w:val="bottom"/>
            <w:vMerge w:val="restart"/>
          </w:tcPr>
          <w:p>
            <w:pPr>
              <w:ind w:left="2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640" w:type="dxa"/>
            <w:vAlign w:val="bottom"/>
            <w:vMerge w:val="restart"/>
          </w:tcPr>
          <w:p>
            <w:pPr>
              <w:jc w:val="center"/>
              <w:ind w:right="670"/>
              <w:spacing w:after="0"/>
              <w:rPr>
                <w:sz w:val="20"/>
                <w:szCs w:val="20"/>
                <w:color w:val="auto"/>
              </w:rPr>
            </w:pPr>
            <w:r>
              <w:rPr>
                <w:rFonts w:ascii="Arial" w:cs="Arial" w:eastAsia="Arial" w:hAnsi="Arial"/>
                <w:sz w:val="18"/>
                <w:szCs w:val="18"/>
                <w:color w:val="auto"/>
                <w:w w:val="87"/>
              </w:rPr>
              <w:t>Each</w:t>
            </w:r>
          </w:p>
        </w:tc>
        <w:tc>
          <w:tcPr>
            <w:tcW w:w="480" w:type="dxa"/>
            <w:vAlign w:val="bottom"/>
            <w:vMerge w:val="continue"/>
          </w:tcPr>
          <w:p>
            <w:pPr>
              <w:spacing w:after="0"/>
              <w:rPr>
                <w:sz w:val="13"/>
                <w:szCs w:val="13"/>
                <w:color w:val="auto"/>
              </w:rPr>
            </w:pPr>
          </w:p>
        </w:tc>
        <w:tc>
          <w:tcPr>
            <w:tcW w:w="8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64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83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760" w:type="dxa"/>
        <w:tblCellMar>
          <w:top w:w="0" w:type="dxa"/>
          <w:left w:w="0" w:type="dxa"/>
          <w:bottom w:w="0" w:type="dxa"/>
          <w:right w:w="0" w:type="dxa"/>
        </w:tblCellMar>
      </w:tblPr>
      <w:tr>
        <w:trPr>
          <w:trHeight w:val="202"/>
        </w:trPr>
        <w:tc>
          <w:tcPr>
            <w:tcW w:w="1620" w:type="dxa"/>
            <w:vAlign w:val="bottom"/>
          </w:tcPr>
          <w:p>
            <w:pPr>
              <w:jc w:val="center"/>
              <w:ind w:right="650"/>
              <w:spacing w:after="0" w:line="201" w:lineRule="exact"/>
              <w:rPr>
                <w:sz w:val="20"/>
                <w:szCs w:val="20"/>
                <w:color w:val="auto"/>
              </w:rPr>
            </w:pPr>
            <w:r>
              <w:rPr>
                <w:rFonts w:ascii="Arial" w:cs="Arial" w:eastAsia="Arial" w:hAnsi="Arial"/>
                <w:sz w:val="18"/>
                <w:szCs w:val="18"/>
                <w:color w:val="auto"/>
                <w:w w:val="92"/>
              </w:rPr>
              <w:t>Reporting</w:t>
            </w:r>
          </w:p>
        </w:tc>
        <w:tc>
          <w:tcPr>
            <w:tcW w:w="3460" w:type="dxa"/>
            <w:vAlign w:val="bottom"/>
            <w:vMerge w:val="restart"/>
          </w:tcPr>
          <w:p>
            <w:pPr>
              <w:ind w:left="740"/>
              <w:spacing w:after="0"/>
              <w:rPr>
                <w:sz w:val="20"/>
                <w:szCs w:val="20"/>
                <w:color w:val="auto"/>
              </w:rPr>
            </w:pPr>
            <w:r>
              <w:rPr>
                <w:rFonts w:ascii="Arial" w:cs="Arial" w:eastAsia="Arial" w:hAnsi="Arial"/>
                <w:sz w:val="18"/>
                <w:szCs w:val="18"/>
                <w:color w:val="auto"/>
                <w:w w:val="89"/>
              </w:rPr>
              <w:t>3,419,451 shares of common stock(2)</w:t>
            </w:r>
          </w:p>
        </w:tc>
        <w:tc>
          <w:tcPr>
            <w:tcW w:w="0" w:type="dxa"/>
            <w:vAlign w:val="bottom"/>
          </w:tcPr>
          <w:p>
            <w:pPr>
              <w:spacing w:after="0"/>
              <w:rPr>
                <w:sz w:val="1"/>
                <w:szCs w:val="1"/>
                <w:color w:val="auto"/>
              </w:rPr>
            </w:pPr>
          </w:p>
        </w:tc>
      </w:tr>
      <w:tr>
        <w:trPr>
          <w:trHeight w:val="136"/>
        </w:trPr>
        <w:tc>
          <w:tcPr>
            <w:tcW w:w="1620" w:type="dxa"/>
            <w:vAlign w:val="bottom"/>
            <w:vMerge w:val="restart"/>
          </w:tcPr>
          <w:p>
            <w:pPr>
              <w:jc w:val="center"/>
              <w:ind w:right="650"/>
              <w:spacing w:after="0"/>
              <w:rPr>
                <w:sz w:val="20"/>
                <w:szCs w:val="20"/>
                <w:color w:val="auto"/>
              </w:rPr>
            </w:pPr>
            <w:r>
              <w:rPr>
                <w:rFonts w:ascii="Arial" w:cs="Arial" w:eastAsia="Arial" w:hAnsi="Arial"/>
                <w:sz w:val="18"/>
                <w:szCs w:val="18"/>
                <w:color w:val="auto"/>
                <w:w w:val="89"/>
              </w:rPr>
              <w:t>Person With</w:t>
            </w:r>
          </w:p>
        </w:tc>
        <w:tc>
          <w:tcPr>
            <w:tcW w:w="3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620" w:type="dxa"/>
            <w:vAlign w:val="bottom"/>
            <w:vMerge w:val="continue"/>
          </w:tcPr>
          <w:p>
            <w:pPr>
              <w:spacing w:after="0"/>
              <w:rPr>
                <w:sz w:val="8"/>
                <w:szCs w:val="8"/>
                <w:color w:val="auto"/>
              </w:rPr>
            </w:pPr>
          </w:p>
        </w:tc>
        <w:tc>
          <w:tcPr>
            <w:tcW w:w="34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3120" w:right="6240" w:hanging="625"/>
        <w:spacing w:after="0" w:line="469" w:lineRule="auto"/>
        <w:tabs>
          <w:tab w:leader="none" w:pos="31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900" w:right="5540" w:hanging="795"/>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3,419,451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-816610</wp:posOffset>
            </wp:positionV>
            <wp:extent cx="56146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146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8" w:lineRule="exact"/>
        <w:rPr>
          <w:sz w:val="20"/>
          <w:szCs w:val="20"/>
          <w:color w:val="auto"/>
        </w:rPr>
      </w:pPr>
    </w:p>
    <w:p>
      <w:pPr>
        <w:ind w:left="100"/>
        <w:spacing w:after="0" w:line="207" w:lineRule="exact"/>
        <w:tabs>
          <w:tab w:leader="none" w:pos="880" w:val="left"/>
          <w:tab w:leader="none" w:pos="105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8" w:lineRule="exact"/>
        <w:rPr>
          <w:sz w:val="20"/>
          <w:szCs w:val="20"/>
          <w:color w:val="auto"/>
        </w:rPr>
      </w:pPr>
    </w:p>
    <w:p>
      <w:pPr>
        <w:ind w:left="900" w:right="6580" w:hanging="795"/>
        <w:spacing w:after="0" w:line="277" w:lineRule="auto"/>
        <w:tabs>
          <w:tab w:leader="none" w:pos="9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9.3% (3)</w:t>
      </w:r>
    </w:p>
    <w:p>
      <w:pPr>
        <w:spacing w:after="0" w:line="183" w:lineRule="exact"/>
        <w:rPr>
          <w:rFonts w:ascii="Arial" w:cs="Arial" w:eastAsia="Arial" w:hAnsi="Arial"/>
          <w:sz w:val="18"/>
          <w:szCs w:val="18"/>
          <w:color w:val="auto"/>
        </w:rPr>
      </w:pPr>
    </w:p>
    <w:p>
      <w:pPr>
        <w:ind w:left="900" w:hanging="795"/>
        <w:spacing w:after="0"/>
        <w:tabs>
          <w:tab w:leader="none" w:pos="9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260" w:hanging="252"/>
        <w:spacing w:after="0"/>
        <w:tabs>
          <w:tab w:leader="none" w:pos="2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This Schedule 13D is filed by the Reporting Persons. The Reporting Persons expressly disclaim status as a “group” for purposes of this Schedule 13D.</w:t>
      </w:r>
    </w:p>
    <w:p>
      <w:pPr>
        <w:spacing w:after="0" w:line="248" w:lineRule="exact"/>
        <w:rPr>
          <w:rFonts w:ascii="Arial" w:cs="Arial" w:eastAsia="Arial" w:hAnsi="Arial"/>
          <w:sz w:val="16"/>
          <w:szCs w:val="16"/>
          <w:color w:val="auto"/>
        </w:rPr>
      </w:pPr>
    </w:p>
    <w:p>
      <w:pPr>
        <w:ind w:right="360" w:firstLine="8"/>
        <w:spacing w:after="0" w:line="277" w:lineRule="auto"/>
        <w:tabs>
          <w:tab w:leader="none" w:pos="252"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These shares are held by Versant VI. LLC VI is the general partner of GP VI, which is the general partner of Versant VI. LLC VI and GP VI share voting and dispositive power over the shares held by Versant VI.</w:t>
      </w:r>
    </w:p>
    <w:p>
      <w:pPr>
        <w:spacing w:after="0" w:line="170" w:lineRule="exact"/>
        <w:rPr>
          <w:rFonts w:ascii="Arial" w:cs="Arial" w:eastAsia="Arial" w:hAnsi="Arial"/>
          <w:sz w:val="18"/>
          <w:szCs w:val="18"/>
          <w:color w:val="auto"/>
        </w:rPr>
      </w:pPr>
    </w:p>
    <w:p>
      <w:pPr>
        <w:ind w:right="120" w:firstLine="8"/>
        <w:spacing w:after="0" w:line="291" w:lineRule="auto"/>
        <w:tabs>
          <w:tab w:leader="none" w:pos="252"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This percentage is calculated based upon 36,668,085 shares of common stock outstanding of Repare Therapeutics Inc. (the “Issuer”), as set forth in the Issuer’s Rule 424(b)(4) Prospectus filed with the Securities and Exchange Commission (“SEC”) on June 19, 2020 and giving effect to the</w:t>
      </w:r>
    </w:p>
    <w:p>
      <w:pPr>
        <w:spacing w:after="0"/>
        <w:rPr>
          <w:rFonts w:ascii="Arial" w:cs="Arial" w:eastAsia="Arial" w:hAnsi="Arial"/>
          <w:sz w:val="16"/>
          <w:szCs w:val="16"/>
          <w:color w:val="auto"/>
        </w:rPr>
      </w:pPr>
      <w:r>
        <w:rPr>
          <w:rFonts w:ascii="Arial" w:cs="Arial" w:eastAsia="Arial" w:hAnsi="Arial"/>
          <w:sz w:val="18"/>
          <w:szCs w:val="18"/>
          <w:color w:val="auto"/>
        </w:rPr>
        <w:t>additional 1,650,000 shares of common stock issued and sold by the Issuer to the underwriters pursuant to the underwriters’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-1382395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-1896745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-2316480</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-1167765</wp:posOffset>
            </wp:positionV>
            <wp:extent cx="18002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9" w:name="page10"/>
    <w:bookmarkEnd w:id="9"/>
    <w:p>
      <w:pPr>
        <w:ind w:left="900" w:hanging="79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b w:val="1"/>
          <w:bCs w:val="1"/>
          <w:color w:val="auto"/>
        </w:rPr>
        <w:t>Versant Ventures VI GP, L.P.</w:t>
      </w:r>
    </w:p>
    <w:p>
      <w:pPr>
        <w:spacing w:after="0" w:line="175" w:lineRule="exact"/>
        <w:rPr>
          <w:rFonts w:ascii="Arial" w:cs="Arial" w:eastAsia="Arial" w:hAnsi="Arial"/>
          <w:sz w:val="18"/>
          <w:szCs w:val="18"/>
          <w:color w:val="auto"/>
        </w:rPr>
      </w:pPr>
    </w:p>
    <w:p>
      <w:pPr>
        <w:ind w:left="900" w:hanging="795"/>
        <w:spacing w:after="0"/>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-629920</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p>
      <w:pPr>
        <w:spacing w:after="0" w:line="4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left="80"/>
        <w:spacing w:after="0" w:line="181" w:lineRule="exact"/>
        <w:rPr>
          <w:sz w:val="20"/>
          <w:szCs w:val="20"/>
          <w:color w:val="auto"/>
        </w:rPr>
      </w:pPr>
      <w:r>
        <w:rPr>
          <w:rFonts w:ascii="MS PGothic" w:cs="MS PGothic" w:eastAsia="MS PGothic" w:hAnsi="MS PGothic"/>
          <w:sz w:val="18"/>
          <w:szCs w:val="18"/>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x(1)</w:t>
      </w:r>
    </w:p>
    <w:p>
      <w:pPr>
        <w:spacing w:after="0" w:line="18" w:lineRule="exact"/>
        <w:rPr>
          <w:sz w:val="20"/>
          <w:szCs w:val="20"/>
          <w:color w:val="auto"/>
        </w:rPr>
      </w:pPr>
    </w:p>
    <w:p>
      <w:pPr>
        <w:sectPr>
          <w:pgSz w:w="11900" w:h="16838" w:orient="portrait"/>
          <w:cols w:equalWidth="0" w:num="2">
            <w:col w:w="9720" w:space="720"/>
            <w:col w:w="800"/>
          </w:cols>
          <w:pgMar w:left="320" w:top="355" w:right="339" w:bottom="1440" w:gutter="0" w:footer="0" w:header="0"/>
          <w:type w:val="continuous"/>
        </w:sectPr>
      </w:pPr>
    </w:p>
    <w:p>
      <w:pPr>
        <w:ind w:left="900" w:hanging="79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900" w:hanging="79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AF</w:t>
      </w:r>
    </w:p>
    <w:p>
      <w:pPr>
        <w:spacing w:after="0" w:line="138" w:lineRule="exact"/>
        <w:rPr>
          <w:sz w:val="20"/>
          <w:szCs w:val="20"/>
          <w:color w:val="auto"/>
        </w:rPr>
      </w:pPr>
    </w:p>
    <w:p>
      <w:pPr>
        <w:ind w:left="100"/>
        <w:spacing w:after="0" w:line="207" w:lineRule="exact"/>
        <w:tabs>
          <w:tab w:leader="none" w:pos="880" w:val="left"/>
          <w:tab w:leader="none" w:pos="1050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Check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00" w:right="7720" w:hanging="795"/>
        <w:spacing w:after="0" w:line="469"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3120" w:hanging="625"/>
        <w:spacing w:after="0"/>
        <w:tabs>
          <w:tab w:leader="none" w:pos="31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-644525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1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360" w:type="dxa"/>
            <w:vAlign w:val="bottom"/>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1640" w:type="dxa"/>
            <w:vAlign w:val="bottom"/>
          </w:tcPr>
          <w:p>
            <w:pPr>
              <w:jc w:val="center"/>
              <w:ind w:right="650"/>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8360" w:type="dxa"/>
            <w:vAlign w:val="bottom"/>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Pr>
          <w:p>
            <w:pPr>
              <w:jc w:val="center"/>
              <w:ind w:right="670"/>
              <w:spacing w:after="0"/>
              <w:rPr>
                <w:sz w:val="20"/>
                <w:szCs w:val="20"/>
                <w:color w:val="auto"/>
              </w:rPr>
            </w:pPr>
            <w:r>
              <w:rPr>
                <w:rFonts w:ascii="Arial" w:cs="Arial" w:eastAsia="Arial" w:hAnsi="Arial"/>
                <w:sz w:val="18"/>
                <w:szCs w:val="18"/>
                <w:color w:val="auto"/>
                <w:w w:val="84"/>
              </w:rPr>
              <w:t>Shares</w:t>
            </w:r>
          </w:p>
        </w:tc>
        <w:tc>
          <w:tcPr>
            <w:tcW w:w="480" w:type="dxa"/>
            <w:vAlign w:val="bottom"/>
          </w:tcPr>
          <w:p>
            <w:pPr>
              <w:spacing w:after="0"/>
              <w:rPr>
                <w:sz w:val="18"/>
                <w:szCs w:val="18"/>
                <w:color w:val="auto"/>
              </w:rPr>
            </w:pPr>
          </w:p>
        </w:tc>
        <w:tc>
          <w:tcPr>
            <w:tcW w:w="8360" w:type="dxa"/>
            <w:vAlign w:val="bottom"/>
            <w:vMerge w:val="restart"/>
          </w:tcPr>
          <w:p>
            <w:pPr>
              <w:ind w:left="240"/>
              <w:spacing w:after="0"/>
              <w:rPr>
                <w:sz w:val="20"/>
                <w:szCs w:val="20"/>
                <w:color w:val="auto"/>
              </w:rPr>
            </w:pPr>
            <w:r>
              <w:rPr>
                <w:rFonts w:ascii="Arial" w:cs="Arial" w:eastAsia="Arial" w:hAnsi="Arial"/>
                <w:sz w:val="18"/>
                <w:szCs w:val="18"/>
                <w:color w:val="auto"/>
              </w:rPr>
              <w:t>3,419,451 shares of common stock (2)</w:t>
            </w:r>
          </w:p>
        </w:tc>
        <w:tc>
          <w:tcPr>
            <w:tcW w:w="0" w:type="dxa"/>
            <w:vAlign w:val="bottom"/>
          </w:tcPr>
          <w:p>
            <w:pPr>
              <w:spacing w:after="0"/>
              <w:rPr>
                <w:sz w:val="1"/>
                <w:szCs w:val="1"/>
                <w:color w:val="auto"/>
              </w:rPr>
            </w:pPr>
          </w:p>
        </w:tc>
      </w:tr>
      <w:tr>
        <w:trPr>
          <w:trHeight w:val="216"/>
        </w:trPr>
        <w:tc>
          <w:tcPr>
            <w:tcW w:w="1640" w:type="dxa"/>
            <w:vAlign w:val="bottom"/>
          </w:tcPr>
          <w:p>
            <w:pPr>
              <w:jc w:val="center"/>
              <w:ind w:right="670"/>
              <w:spacing w:after="0"/>
              <w:rPr>
                <w:sz w:val="20"/>
                <w:szCs w:val="20"/>
                <w:color w:val="auto"/>
              </w:rPr>
            </w:pPr>
            <w:r>
              <w:rPr>
                <w:rFonts w:ascii="Arial" w:cs="Arial" w:eastAsia="Arial" w:hAnsi="Arial"/>
                <w:sz w:val="18"/>
                <w:szCs w:val="18"/>
                <w:color w:val="auto"/>
                <w:w w:val="96"/>
              </w:rPr>
              <w:t>Beneficially</w:t>
            </w:r>
          </w:p>
        </w:tc>
        <w:tc>
          <w:tcPr>
            <w:tcW w:w="480" w:type="dxa"/>
            <w:vAlign w:val="bottom"/>
          </w:tcPr>
          <w:p>
            <w:pPr>
              <w:spacing w:after="0"/>
              <w:rPr>
                <w:sz w:val="18"/>
                <w:szCs w:val="18"/>
                <w:color w:val="auto"/>
              </w:rPr>
            </w:pPr>
          </w:p>
        </w:tc>
        <w:tc>
          <w:tcPr>
            <w:tcW w:w="8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640" w:type="dxa"/>
            <w:vAlign w:val="bottom"/>
            <w:vMerge w:val="restart"/>
          </w:tcPr>
          <w:p>
            <w:pPr>
              <w:jc w:val="center"/>
              <w:ind w:right="650"/>
              <w:spacing w:after="0"/>
              <w:rPr>
                <w:sz w:val="20"/>
                <w:szCs w:val="20"/>
                <w:color w:val="auto"/>
              </w:rPr>
            </w:pPr>
            <w:r>
              <w:rPr>
                <w:rFonts w:ascii="Arial" w:cs="Arial" w:eastAsia="Arial" w:hAnsi="Arial"/>
                <w:sz w:val="18"/>
                <w:szCs w:val="18"/>
                <w:color w:val="auto"/>
                <w:w w:val="91"/>
              </w:rPr>
              <w:t>Owned by</w:t>
            </w:r>
          </w:p>
        </w:tc>
        <w:tc>
          <w:tcPr>
            <w:tcW w:w="480" w:type="dxa"/>
            <w:vAlign w:val="bottom"/>
            <w:tcBorders>
              <w:bottom w:val="single" w:sz="8" w:color="auto"/>
            </w:tcBorders>
          </w:tcPr>
          <w:p>
            <w:pPr>
              <w:spacing w:after="0"/>
              <w:rPr>
                <w:sz w:val="10"/>
                <w:szCs w:val="10"/>
                <w:color w:val="auto"/>
              </w:rPr>
            </w:pPr>
          </w:p>
        </w:tc>
        <w:tc>
          <w:tcPr>
            <w:tcW w:w="83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640" w:type="dxa"/>
            <w:vAlign w:val="bottom"/>
            <w:vMerge w:val="continue"/>
          </w:tcPr>
          <w:p>
            <w:pPr>
              <w:spacing w:after="0"/>
              <w:rPr>
                <w:sz w:val="6"/>
                <w:szCs w:val="6"/>
                <w:color w:val="auto"/>
              </w:rPr>
            </w:pPr>
          </w:p>
        </w:tc>
        <w:tc>
          <w:tcPr>
            <w:tcW w:w="480" w:type="dxa"/>
            <w:vAlign w:val="bottom"/>
            <w:vMerge w:val="restart"/>
          </w:tcPr>
          <w:p>
            <w:pPr>
              <w:jc w:val="right"/>
              <w:ind w:right="170"/>
              <w:spacing w:after="0"/>
              <w:rPr>
                <w:sz w:val="20"/>
                <w:szCs w:val="20"/>
                <w:color w:val="auto"/>
              </w:rPr>
            </w:pPr>
            <w:r>
              <w:rPr>
                <w:rFonts w:ascii="Arial" w:cs="Arial" w:eastAsia="Arial" w:hAnsi="Arial"/>
                <w:sz w:val="18"/>
                <w:szCs w:val="18"/>
                <w:color w:val="auto"/>
              </w:rPr>
              <w:t>9.</w:t>
            </w:r>
          </w:p>
        </w:tc>
        <w:tc>
          <w:tcPr>
            <w:tcW w:w="8360" w:type="dxa"/>
            <w:vAlign w:val="bottom"/>
            <w:vMerge w:val="restart"/>
          </w:tcPr>
          <w:p>
            <w:pPr>
              <w:ind w:left="2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640" w:type="dxa"/>
            <w:vAlign w:val="bottom"/>
            <w:vMerge w:val="restart"/>
          </w:tcPr>
          <w:p>
            <w:pPr>
              <w:jc w:val="center"/>
              <w:ind w:right="670"/>
              <w:spacing w:after="0"/>
              <w:rPr>
                <w:sz w:val="20"/>
                <w:szCs w:val="20"/>
                <w:color w:val="auto"/>
              </w:rPr>
            </w:pPr>
            <w:r>
              <w:rPr>
                <w:rFonts w:ascii="Arial" w:cs="Arial" w:eastAsia="Arial" w:hAnsi="Arial"/>
                <w:sz w:val="18"/>
                <w:szCs w:val="18"/>
                <w:color w:val="auto"/>
                <w:w w:val="87"/>
              </w:rPr>
              <w:t>Each</w:t>
            </w:r>
          </w:p>
        </w:tc>
        <w:tc>
          <w:tcPr>
            <w:tcW w:w="480" w:type="dxa"/>
            <w:vAlign w:val="bottom"/>
            <w:vMerge w:val="continue"/>
          </w:tcPr>
          <w:p>
            <w:pPr>
              <w:spacing w:after="0"/>
              <w:rPr>
                <w:sz w:val="13"/>
                <w:szCs w:val="13"/>
                <w:color w:val="auto"/>
              </w:rPr>
            </w:pPr>
          </w:p>
        </w:tc>
        <w:tc>
          <w:tcPr>
            <w:tcW w:w="8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64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83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760" w:type="dxa"/>
        <w:tblCellMar>
          <w:top w:w="0" w:type="dxa"/>
          <w:left w:w="0" w:type="dxa"/>
          <w:bottom w:w="0" w:type="dxa"/>
          <w:right w:w="0" w:type="dxa"/>
        </w:tblCellMar>
      </w:tblPr>
      <w:tr>
        <w:trPr>
          <w:trHeight w:val="202"/>
        </w:trPr>
        <w:tc>
          <w:tcPr>
            <w:tcW w:w="1620" w:type="dxa"/>
            <w:vAlign w:val="bottom"/>
          </w:tcPr>
          <w:p>
            <w:pPr>
              <w:jc w:val="center"/>
              <w:ind w:right="650"/>
              <w:spacing w:after="0" w:line="201" w:lineRule="exact"/>
              <w:rPr>
                <w:sz w:val="20"/>
                <w:szCs w:val="20"/>
                <w:color w:val="auto"/>
              </w:rPr>
            </w:pPr>
            <w:r>
              <w:rPr>
                <w:rFonts w:ascii="Arial" w:cs="Arial" w:eastAsia="Arial" w:hAnsi="Arial"/>
                <w:sz w:val="18"/>
                <w:szCs w:val="18"/>
                <w:color w:val="auto"/>
                <w:w w:val="92"/>
              </w:rPr>
              <w:t>Reporting</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1620" w:type="dxa"/>
            <w:vAlign w:val="bottom"/>
            <w:vMerge w:val="restart"/>
          </w:tcPr>
          <w:p>
            <w:pPr>
              <w:jc w:val="center"/>
              <w:ind w:right="650"/>
              <w:spacing w:after="0"/>
              <w:rPr>
                <w:sz w:val="20"/>
                <w:szCs w:val="20"/>
                <w:color w:val="auto"/>
              </w:rPr>
            </w:pPr>
            <w:r>
              <w:rPr>
                <w:rFonts w:ascii="Arial" w:cs="Arial" w:eastAsia="Arial" w:hAnsi="Arial"/>
                <w:sz w:val="18"/>
                <w:szCs w:val="18"/>
                <w:color w:val="auto"/>
                <w:w w:val="89"/>
              </w:rPr>
              <w:t>Person With</w:t>
            </w: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6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3120" w:hanging="625"/>
        <w:spacing w:after="0"/>
        <w:tabs>
          <w:tab w:leader="none" w:pos="31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25" w:lineRule="exact"/>
        <w:rPr>
          <w:rFonts w:ascii="Arial" w:cs="Arial" w:eastAsia="Arial" w:hAnsi="Arial"/>
          <w:sz w:val="18"/>
          <w:szCs w:val="18"/>
          <w:color w:val="auto"/>
        </w:rPr>
      </w:pPr>
    </w:p>
    <w:p>
      <w:pPr>
        <w:ind w:left="3120"/>
        <w:spacing w:after="0"/>
        <w:rPr>
          <w:rFonts w:ascii="Arial" w:cs="Arial" w:eastAsia="Arial" w:hAnsi="Arial"/>
          <w:sz w:val="18"/>
          <w:szCs w:val="18"/>
          <w:color w:val="auto"/>
        </w:rPr>
      </w:pPr>
      <w:r>
        <w:rPr>
          <w:rFonts w:ascii="Arial" w:cs="Arial" w:eastAsia="Arial" w:hAnsi="Arial"/>
          <w:sz w:val="18"/>
          <w:szCs w:val="18"/>
          <w:color w:val="auto"/>
        </w:rPr>
        <w:t>3,419,451 shares of common stock (2)</w:t>
      </w:r>
    </w:p>
    <w:p>
      <w:pPr>
        <w:spacing w:after="0" w:line="171" w:lineRule="exact"/>
        <w:rPr>
          <w:rFonts w:ascii="Arial" w:cs="Arial" w:eastAsia="Arial" w:hAnsi="Arial"/>
          <w:sz w:val="18"/>
          <w:szCs w:val="18"/>
          <w:color w:val="auto"/>
        </w:rPr>
      </w:pPr>
    </w:p>
    <w:p>
      <w:pPr>
        <w:ind w:left="900" w:right="5540" w:hanging="795"/>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3,419,451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-816610</wp:posOffset>
            </wp:positionV>
            <wp:extent cx="56146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146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8" w:lineRule="exact"/>
        <w:rPr>
          <w:sz w:val="20"/>
          <w:szCs w:val="20"/>
          <w:color w:val="auto"/>
        </w:rPr>
      </w:pPr>
    </w:p>
    <w:p>
      <w:pPr>
        <w:ind w:left="100"/>
        <w:spacing w:after="0" w:line="207" w:lineRule="exact"/>
        <w:tabs>
          <w:tab w:leader="none" w:pos="880" w:val="left"/>
          <w:tab w:leader="none" w:pos="105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8" w:lineRule="exact"/>
        <w:rPr>
          <w:sz w:val="20"/>
          <w:szCs w:val="20"/>
          <w:color w:val="auto"/>
        </w:rPr>
      </w:pPr>
    </w:p>
    <w:p>
      <w:pPr>
        <w:ind w:left="900" w:right="6580" w:hanging="795"/>
        <w:spacing w:after="0" w:line="277" w:lineRule="auto"/>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9.3% (3)</w:t>
      </w:r>
    </w:p>
    <w:p>
      <w:pPr>
        <w:spacing w:after="0" w:line="183" w:lineRule="exact"/>
        <w:rPr>
          <w:rFonts w:ascii="Arial" w:cs="Arial" w:eastAsia="Arial" w:hAnsi="Arial"/>
          <w:sz w:val="18"/>
          <w:szCs w:val="18"/>
          <w:color w:val="auto"/>
        </w:rPr>
      </w:pPr>
    </w:p>
    <w:p>
      <w:pPr>
        <w:ind w:left="900" w:hanging="795"/>
        <w:spacing w:after="0"/>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260" w:hanging="252"/>
        <w:spacing w:after="0"/>
        <w:tabs>
          <w:tab w:leader="none" w:pos="2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This Schedule 13D is filed by the Reporting Persons. The Reporting Persons expressly disclaim status as a “group” for purposes of this Schedule 13D.</w:t>
      </w:r>
    </w:p>
    <w:p>
      <w:pPr>
        <w:spacing w:after="0" w:line="248" w:lineRule="exact"/>
        <w:rPr>
          <w:rFonts w:ascii="Arial" w:cs="Arial" w:eastAsia="Arial" w:hAnsi="Arial"/>
          <w:sz w:val="16"/>
          <w:szCs w:val="16"/>
          <w:color w:val="auto"/>
        </w:rPr>
      </w:pPr>
    </w:p>
    <w:p>
      <w:pPr>
        <w:ind w:right="360" w:firstLine="8"/>
        <w:spacing w:after="0" w:line="277" w:lineRule="auto"/>
        <w:tabs>
          <w:tab w:leader="none" w:pos="252"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These shares are held by Versant VI. LLC VI is the general partner of GP VI, which is the general partner of Versant VI. LLC VI and GP VI share voting and dispositive power over the shares held by Versant VI.</w:t>
      </w:r>
    </w:p>
    <w:p>
      <w:pPr>
        <w:spacing w:after="0" w:line="170" w:lineRule="exact"/>
        <w:rPr>
          <w:rFonts w:ascii="Arial" w:cs="Arial" w:eastAsia="Arial" w:hAnsi="Arial"/>
          <w:sz w:val="18"/>
          <w:szCs w:val="18"/>
          <w:color w:val="auto"/>
        </w:rPr>
      </w:pPr>
    </w:p>
    <w:p>
      <w:pPr>
        <w:ind w:right="120" w:firstLine="8"/>
        <w:spacing w:after="0" w:line="291" w:lineRule="auto"/>
        <w:tabs>
          <w:tab w:leader="none" w:pos="252"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This percentage is calculated based upon 36,668,085 shares of common stock outstanding of Repare Therapeutics Inc. (the “Issuer”), as set forth in the Issuer’s Rule 424(b)(4) Prospectus filed with the Securities and Exchange Commission (“SEC”) on June 19, 2020 and giving effect to the</w:t>
      </w:r>
    </w:p>
    <w:p>
      <w:pPr>
        <w:spacing w:after="0"/>
        <w:rPr>
          <w:rFonts w:ascii="Arial" w:cs="Arial" w:eastAsia="Arial" w:hAnsi="Arial"/>
          <w:sz w:val="16"/>
          <w:szCs w:val="16"/>
          <w:color w:val="auto"/>
        </w:rPr>
      </w:pPr>
      <w:r>
        <w:rPr>
          <w:rFonts w:ascii="Arial" w:cs="Arial" w:eastAsia="Arial" w:hAnsi="Arial"/>
          <w:sz w:val="18"/>
          <w:szCs w:val="18"/>
          <w:color w:val="auto"/>
        </w:rPr>
        <w:t>additional 1,650,000 shares of common stock issued and sold by the Issuer to the underwriters pursuant to the underwriters’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-1382395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-1896745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-2316480</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-1167765</wp:posOffset>
            </wp:positionV>
            <wp:extent cx="18002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10" w:name="page11"/>
    <w:bookmarkEnd w:id="10"/>
    <w:p>
      <w:pPr>
        <w:ind w:left="900" w:hanging="79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b w:val="1"/>
          <w:bCs w:val="1"/>
          <w:color w:val="auto"/>
        </w:rPr>
        <w:t>Versant Ventures VI GP-GP, LLC</w:t>
      </w:r>
    </w:p>
    <w:p>
      <w:pPr>
        <w:spacing w:after="0" w:line="175" w:lineRule="exact"/>
        <w:rPr>
          <w:rFonts w:ascii="Arial" w:cs="Arial" w:eastAsia="Arial" w:hAnsi="Arial"/>
          <w:sz w:val="18"/>
          <w:szCs w:val="18"/>
          <w:color w:val="auto"/>
        </w:rPr>
      </w:pPr>
    </w:p>
    <w:p>
      <w:pPr>
        <w:ind w:left="900" w:hanging="795"/>
        <w:spacing w:after="0"/>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-629920</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p>
      <w:pPr>
        <w:spacing w:after="0" w:line="4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o</w:t>
      </w:r>
    </w:p>
    <w:p>
      <w:pPr>
        <w:spacing w:after="0" w:line="23"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x(1)</w:t>
      </w:r>
    </w:p>
    <w:p>
      <w:pPr>
        <w:spacing w:after="0" w:line="34" w:lineRule="exact"/>
        <w:rPr>
          <w:sz w:val="20"/>
          <w:szCs w:val="20"/>
          <w:color w:val="auto"/>
        </w:rPr>
      </w:pPr>
    </w:p>
    <w:p>
      <w:pPr>
        <w:sectPr>
          <w:pgSz w:w="11900" w:h="16838" w:orient="portrait"/>
          <w:cols w:equalWidth="0" w:num="2">
            <w:col w:w="9720" w:space="720"/>
            <w:col w:w="800"/>
          </w:cols>
          <w:pgMar w:left="320" w:top="355" w:right="339" w:bottom="1440" w:gutter="0" w:footer="0" w:header="0"/>
          <w:type w:val="continuous"/>
        </w:sectPr>
      </w:pPr>
    </w:p>
    <w:p>
      <w:pPr>
        <w:ind w:left="900" w:hanging="79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900" w:hanging="79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AF</w:t>
      </w:r>
    </w:p>
    <w:p>
      <w:pPr>
        <w:spacing w:after="0" w:line="171" w:lineRule="exact"/>
        <w:rPr>
          <w:sz w:val="20"/>
          <w:szCs w:val="20"/>
          <w:color w:val="auto"/>
        </w:rPr>
      </w:pPr>
    </w:p>
    <w:p>
      <w:pPr>
        <w:ind w:left="100"/>
        <w:spacing w:after="0"/>
        <w:tabs>
          <w:tab w:leader="none" w:pos="880" w:val="left"/>
          <w:tab w:leader="none" w:pos="105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Check if Disclosure of Legal Proceedings Is Required Pursuant to Item 2(d) or 2(e)</w:t>
      </w:r>
      <w:r>
        <w:rPr>
          <w:sz w:val="20"/>
          <w:szCs w:val="20"/>
          <w:color w:val="auto"/>
        </w:rPr>
        <w:tab/>
      </w:r>
      <w:r>
        <w:rPr>
          <w:rFonts w:ascii="Arial" w:cs="Arial" w:eastAsia="Arial" w:hAnsi="Arial"/>
          <w:sz w:val="17"/>
          <w:szCs w:val="17"/>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900" w:right="7720" w:hanging="795"/>
        <w:spacing w:after="0" w:line="469"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3120" w:hanging="625"/>
        <w:spacing w:after="0"/>
        <w:tabs>
          <w:tab w:leader="none" w:pos="31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-644525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1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360" w:type="dxa"/>
            <w:vAlign w:val="bottom"/>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1640" w:type="dxa"/>
            <w:vAlign w:val="bottom"/>
          </w:tcPr>
          <w:p>
            <w:pPr>
              <w:jc w:val="center"/>
              <w:ind w:right="650"/>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8360" w:type="dxa"/>
            <w:vAlign w:val="bottom"/>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Pr>
          <w:p>
            <w:pPr>
              <w:jc w:val="center"/>
              <w:ind w:right="670"/>
              <w:spacing w:after="0"/>
              <w:rPr>
                <w:sz w:val="20"/>
                <w:szCs w:val="20"/>
                <w:color w:val="auto"/>
              </w:rPr>
            </w:pPr>
            <w:r>
              <w:rPr>
                <w:rFonts w:ascii="Arial" w:cs="Arial" w:eastAsia="Arial" w:hAnsi="Arial"/>
                <w:sz w:val="18"/>
                <w:szCs w:val="18"/>
                <w:color w:val="auto"/>
                <w:w w:val="84"/>
              </w:rPr>
              <w:t>Shares</w:t>
            </w:r>
          </w:p>
        </w:tc>
        <w:tc>
          <w:tcPr>
            <w:tcW w:w="480" w:type="dxa"/>
            <w:vAlign w:val="bottom"/>
          </w:tcPr>
          <w:p>
            <w:pPr>
              <w:spacing w:after="0"/>
              <w:rPr>
                <w:sz w:val="18"/>
                <w:szCs w:val="18"/>
                <w:color w:val="auto"/>
              </w:rPr>
            </w:pPr>
          </w:p>
        </w:tc>
        <w:tc>
          <w:tcPr>
            <w:tcW w:w="8360" w:type="dxa"/>
            <w:vAlign w:val="bottom"/>
            <w:vMerge w:val="restart"/>
          </w:tcPr>
          <w:p>
            <w:pPr>
              <w:ind w:left="240"/>
              <w:spacing w:after="0"/>
              <w:rPr>
                <w:sz w:val="20"/>
                <w:szCs w:val="20"/>
                <w:color w:val="auto"/>
              </w:rPr>
            </w:pPr>
            <w:r>
              <w:rPr>
                <w:rFonts w:ascii="Arial" w:cs="Arial" w:eastAsia="Arial" w:hAnsi="Arial"/>
                <w:sz w:val="18"/>
                <w:szCs w:val="18"/>
                <w:color w:val="auto"/>
              </w:rPr>
              <w:t>3,419,451 shares of common stock (2)</w:t>
            </w:r>
          </w:p>
        </w:tc>
        <w:tc>
          <w:tcPr>
            <w:tcW w:w="0" w:type="dxa"/>
            <w:vAlign w:val="bottom"/>
          </w:tcPr>
          <w:p>
            <w:pPr>
              <w:spacing w:after="0"/>
              <w:rPr>
                <w:sz w:val="1"/>
                <w:szCs w:val="1"/>
                <w:color w:val="auto"/>
              </w:rPr>
            </w:pPr>
          </w:p>
        </w:tc>
      </w:tr>
      <w:tr>
        <w:trPr>
          <w:trHeight w:val="216"/>
        </w:trPr>
        <w:tc>
          <w:tcPr>
            <w:tcW w:w="1640" w:type="dxa"/>
            <w:vAlign w:val="bottom"/>
          </w:tcPr>
          <w:p>
            <w:pPr>
              <w:jc w:val="center"/>
              <w:ind w:right="670"/>
              <w:spacing w:after="0"/>
              <w:rPr>
                <w:sz w:val="20"/>
                <w:szCs w:val="20"/>
                <w:color w:val="auto"/>
              </w:rPr>
            </w:pPr>
            <w:r>
              <w:rPr>
                <w:rFonts w:ascii="Arial" w:cs="Arial" w:eastAsia="Arial" w:hAnsi="Arial"/>
                <w:sz w:val="18"/>
                <w:szCs w:val="18"/>
                <w:color w:val="auto"/>
                <w:w w:val="96"/>
              </w:rPr>
              <w:t>Beneficially</w:t>
            </w:r>
          </w:p>
        </w:tc>
        <w:tc>
          <w:tcPr>
            <w:tcW w:w="480" w:type="dxa"/>
            <w:vAlign w:val="bottom"/>
          </w:tcPr>
          <w:p>
            <w:pPr>
              <w:spacing w:after="0"/>
              <w:rPr>
                <w:sz w:val="18"/>
                <w:szCs w:val="18"/>
                <w:color w:val="auto"/>
              </w:rPr>
            </w:pPr>
          </w:p>
        </w:tc>
        <w:tc>
          <w:tcPr>
            <w:tcW w:w="8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640" w:type="dxa"/>
            <w:vAlign w:val="bottom"/>
            <w:vMerge w:val="restart"/>
          </w:tcPr>
          <w:p>
            <w:pPr>
              <w:jc w:val="center"/>
              <w:ind w:right="650"/>
              <w:spacing w:after="0"/>
              <w:rPr>
                <w:sz w:val="20"/>
                <w:szCs w:val="20"/>
                <w:color w:val="auto"/>
              </w:rPr>
            </w:pPr>
            <w:r>
              <w:rPr>
                <w:rFonts w:ascii="Arial" w:cs="Arial" w:eastAsia="Arial" w:hAnsi="Arial"/>
                <w:sz w:val="18"/>
                <w:szCs w:val="18"/>
                <w:color w:val="auto"/>
                <w:w w:val="91"/>
              </w:rPr>
              <w:t>Owned by</w:t>
            </w:r>
          </w:p>
        </w:tc>
        <w:tc>
          <w:tcPr>
            <w:tcW w:w="480" w:type="dxa"/>
            <w:vAlign w:val="bottom"/>
            <w:tcBorders>
              <w:bottom w:val="single" w:sz="8" w:color="auto"/>
            </w:tcBorders>
          </w:tcPr>
          <w:p>
            <w:pPr>
              <w:spacing w:after="0"/>
              <w:rPr>
                <w:sz w:val="10"/>
                <w:szCs w:val="10"/>
                <w:color w:val="auto"/>
              </w:rPr>
            </w:pPr>
          </w:p>
        </w:tc>
        <w:tc>
          <w:tcPr>
            <w:tcW w:w="83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640" w:type="dxa"/>
            <w:vAlign w:val="bottom"/>
            <w:vMerge w:val="continue"/>
          </w:tcPr>
          <w:p>
            <w:pPr>
              <w:spacing w:after="0"/>
              <w:rPr>
                <w:sz w:val="6"/>
                <w:szCs w:val="6"/>
                <w:color w:val="auto"/>
              </w:rPr>
            </w:pPr>
          </w:p>
        </w:tc>
        <w:tc>
          <w:tcPr>
            <w:tcW w:w="480" w:type="dxa"/>
            <w:vAlign w:val="bottom"/>
            <w:vMerge w:val="restart"/>
          </w:tcPr>
          <w:p>
            <w:pPr>
              <w:jc w:val="right"/>
              <w:ind w:right="170"/>
              <w:spacing w:after="0"/>
              <w:rPr>
                <w:sz w:val="20"/>
                <w:szCs w:val="20"/>
                <w:color w:val="auto"/>
              </w:rPr>
            </w:pPr>
            <w:r>
              <w:rPr>
                <w:rFonts w:ascii="Arial" w:cs="Arial" w:eastAsia="Arial" w:hAnsi="Arial"/>
                <w:sz w:val="18"/>
                <w:szCs w:val="18"/>
                <w:color w:val="auto"/>
              </w:rPr>
              <w:t>9.</w:t>
            </w:r>
          </w:p>
        </w:tc>
        <w:tc>
          <w:tcPr>
            <w:tcW w:w="8360" w:type="dxa"/>
            <w:vAlign w:val="bottom"/>
            <w:vMerge w:val="restart"/>
          </w:tcPr>
          <w:p>
            <w:pPr>
              <w:ind w:left="2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640" w:type="dxa"/>
            <w:vAlign w:val="bottom"/>
            <w:vMerge w:val="restart"/>
          </w:tcPr>
          <w:p>
            <w:pPr>
              <w:jc w:val="center"/>
              <w:ind w:right="670"/>
              <w:spacing w:after="0"/>
              <w:rPr>
                <w:sz w:val="20"/>
                <w:szCs w:val="20"/>
                <w:color w:val="auto"/>
              </w:rPr>
            </w:pPr>
            <w:r>
              <w:rPr>
                <w:rFonts w:ascii="Arial" w:cs="Arial" w:eastAsia="Arial" w:hAnsi="Arial"/>
                <w:sz w:val="18"/>
                <w:szCs w:val="18"/>
                <w:color w:val="auto"/>
                <w:w w:val="87"/>
              </w:rPr>
              <w:t>Each</w:t>
            </w:r>
          </w:p>
        </w:tc>
        <w:tc>
          <w:tcPr>
            <w:tcW w:w="480" w:type="dxa"/>
            <w:vAlign w:val="bottom"/>
            <w:vMerge w:val="continue"/>
          </w:tcPr>
          <w:p>
            <w:pPr>
              <w:spacing w:after="0"/>
              <w:rPr>
                <w:sz w:val="13"/>
                <w:szCs w:val="13"/>
                <w:color w:val="auto"/>
              </w:rPr>
            </w:pPr>
          </w:p>
        </w:tc>
        <w:tc>
          <w:tcPr>
            <w:tcW w:w="8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64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83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760" w:type="dxa"/>
        <w:tblCellMar>
          <w:top w:w="0" w:type="dxa"/>
          <w:left w:w="0" w:type="dxa"/>
          <w:bottom w:w="0" w:type="dxa"/>
          <w:right w:w="0" w:type="dxa"/>
        </w:tblCellMar>
      </w:tblPr>
      <w:tr>
        <w:trPr>
          <w:trHeight w:val="202"/>
        </w:trPr>
        <w:tc>
          <w:tcPr>
            <w:tcW w:w="1620" w:type="dxa"/>
            <w:vAlign w:val="bottom"/>
          </w:tcPr>
          <w:p>
            <w:pPr>
              <w:jc w:val="center"/>
              <w:ind w:right="650"/>
              <w:spacing w:after="0" w:line="201" w:lineRule="exact"/>
              <w:rPr>
                <w:sz w:val="20"/>
                <w:szCs w:val="20"/>
                <w:color w:val="auto"/>
              </w:rPr>
            </w:pPr>
            <w:r>
              <w:rPr>
                <w:rFonts w:ascii="Arial" w:cs="Arial" w:eastAsia="Arial" w:hAnsi="Arial"/>
                <w:sz w:val="18"/>
                <w:szCs w:val="18"/>
                <w:color w:val="auto"/>
                <w:w w:val="92"/>
              </w:rPr>
              <w:t>Reporting</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1620" w:type="dxa"/>
            <w:vAlign w:val="bottom"/>
            <w:vMerge w:val="restart"/>
          </w:tcPr>
          <w:p>
            <w:pPr>
              <w:jc w:val="center"/>
              <w:ind w:right="650"/>
              <w:spacing w:after="0"/>
              <w:rPr>
                <w:sz w:val="20"/>
                <w:szCs w:val="20"/>
                <w:color w:val="auto"/>
              </w:rPr>
            </w:pPr>
            <w:r>
              <w:rPr>
                <w:rFonts w:ascii="Arial" w:cs="Arial" w:eastAsia="Arial" w:hAnsi="Arial"/>
                <w:sz w:val="18"/>
                <w:szCs w:val="18"/>
                <w:color w:val="auto"/>
                <w:w w:val="89"/>
              </w:rPr>
              <w:t>Person With</w:t>
            </w: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6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3120" w:hanging="625"/>
        <w:spacing w:after="0"/>
        <w:tabs>
          <w:tab w:leader="none" w:pos="31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25" w:lineRule="exact"/>
        <w:rPr>
          <w:rFonts w:ascii="Arial" w:cs="Arial" w:eastAsia="Arial" w:hAnsi="Arial"/>
          <w:sz w:val="18"/>
          <w:szCs w:val="18"/>
          <w:color w:val="auto"/>
        </w:rPr>
      </w:pPr>
    </w:p>
    <w:p>
      <w:pPr>
        <w:ind w:left="3120"/>
        <w:spacing w:after="0"/>
        <w:rPr>
          <w:rFonts w:ascii="Arial" w:cs="Arial" w:eastAsia="Arial" w:hAnsi="Arial"/>
          <w:sz w:val="18"/>
          <w:szCs w:val="18"/>
          <w:color w:val="auto"/>
        </w:rPr>
      </w:pPr>
      <w:r>
        <w:rPr>
          <w:rFonts w:ascii="Arial" w:cs="Arial" w:eastAsia="Arial" w:hAnsi="Arial"/>
          <w:sz w:val="18"/>
          <w:szCs w:val="18"/>
          <w:color w:val="auto"/>
        </w:rPr>
        <w:t>3,419,451 shares of common stock (2)</w:t>
      </w:r>
    </w:p>
    <w:p>
      <w:pPr>
        <w:spacing w:after="0" w:line="171" w:lineRule="exact"/>
        <w:rPr>
          <w:rFonts w:ascii="Arial" w:cs="Arial" w:eastAsia="Arial" w:hAnsi="Arial"/>
          <w:sz w:val="18"/>
          <w:szCs w:val="18"/>
          <w:color w:val="auto"/>
        </w:rPr>
      </w:pPr>
    </w:p>
    <w:p>
      <w:pPr>
        <w:ind w:left="900" w:right="5540" w:hanging="795"/>
        <w:spacing w:after="0" w:line="513"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3,419,451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-1075055</wp:posOffset>
            </wp:positionV>
            <wp:extent cx="56146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146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-560705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00"/>
        <w:spacing w:after="0" w:line="187" w:lineRule="exact"/>
        <w:tabs>
          <w:tab w:leader="none" w:pos="880" w:val="left"/>
          <w:tab w:leader="none" w:pos="105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00" w:right="6580" w:hanging="795"/>
        <w:spacing w:after="0" w:line="469" w:lineRule="auto"/>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Percent of Class Represented by Amount in Row 11 9.3% (3)</w:t>
      </w:r>
    </w:p>
    <w:p>
      <w:pPr>
        <w:spacing w:after="0" w:line="1" w:lineRule="exact"/>
        <w:rPr>
          <w:rFonts w:ascii="Arial" w:cs="Arial" w:eastAsia="Arial" w:hAnsi="Arial"/>
          <w:sz w:val="18"/>
          <w:szCs w:val="18"/>
          <w:color w:val="auto"/>
        </w:rPr>
      </w:pPr>
    </w:p>
    <w:p>
      <w:pPr>
        <w:ind w:left="900" w:hanging="795"/>
        <w:spacing w:after="0"/>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260" w:hanging="252"/>
        <w:spacing w:after="0"/>
        <w:tabs>
          <w:tab w:leader="none" w:pos="2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This Schedule 13D is filed by the Reporting Persons. The Reporting Persons expressly disclaim status as a “group” for purposes of this Schedule 13D.</w:t>
      </w:r>
    </w:p>
    <w:p>
      <w:pPr>
        <w:spacing w:after="0" w:line="248" w:lineRule="exact"/>
        <w:rPr>
          <w:rFonts w:ascii="Arial" w:cs="Arial" w:eastAsia="Arial" w:hAnsi="Arial"/>
          <w:sz w:val="16"/>
          <w:szCs w:val="16"/>
          <w:color w:val="auto"/>
        </w:rPr>
      </w:pPr>
    </w:p>
    <w:p>
      <w:pPr>
        <w:ind w:right="360" w:firstLine="8"/>
        <w:spacing w:after="0" w:line="277" w:lineRule="auto"/>
        <w:tabs>
          <w:tab w:leader="none" w:pos="252"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These shares are held by Versant VI. LLC VI is the general partner of GP VI, which is the general partner of Versant VI. LLC VI and GP VI share voting and dispositive power over the shares held by Versant VI.</w:t>
      </w:r>
    </w:p>
    <w:p>
      <w:pPr>
        <w:spacing w:after="0" w:line="170" w:lineRule="exact"/>
        <w:rPr>
          <w:rFonts w:ascii="Arial" w:cs="Arial" w:eastAsia="Arial" w:hAnsi="Arial"/>
          <w:sz w:val="18"/>
          <w:szCs w:val="18"/>
          <w:color w:val="auto"/>
        </w:rPr>
      </w:pPr>
    </w:p>
    <w:p>
      <w:pPr>
        <w:ind w:right="120" w:firstLine="8"/>
        <w:spacing w:after="0" w:line="291" w:lineRule="auto"/>
        <w:tabs>
          <w:tab w:leader="none" w:pos="252"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This percentage is calculated based upon 36,668,085 shares of common stock outstanding of Repare Therapeutics Inc. (the “Issuer”), as set forth in the Issuer’s Rule 424(b)(4) Prospectus filed with the Securities and Exchange Commission (“SEC”) on June 19, 2020 and giving effect to the</w:t>
      </w:r>
    </w:p>
    <w:p>
      <w:pPr>
        <w:spacing w:after="0"/>
        <w:rPr>
          <w:rFonts w:ascii="Arial" w:cs="Arial" w:eastAsia="Arial" w:hAnsi="Arial"/>
          <w:sz w:val="16"/>
          <w:szCs w:val="16"/>
          <w:color w:val="auto"/>
        </w:rPr>
      </w:pPr>
      <w:r>
        <w:rPr>
          <w:rFonts w:ascii="Arial" w:cs="Arial" w:eastAsia="Arial" w:hAnsi="Arial"/>
          <w:sz w:val="18"/>
          <w:szCs w:val="18"/>
          <w:color w:val="auto"/>
        </w:rPr>
        <w:t>additional 1,650,000 shares of common stock issued and sold by the Issuer to the underwriters pursuant to the underwriters’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-1382395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-1896745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-2411095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-1167765</wp:posOffset>
            </wp:positionV>
            <wp:extent cx="18002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11" w:name="page12"/>
    <w:bookmarkEnd w:id="11"/>
    <w:p>
      <w:pPr>
        <w:ind w:left="900" w:hanging="79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b w:val="1"/>
          <w:bCs w:val="1"/>
          <w:color w:val="auto"/>
        </w:rPr>
        <w:t>Versant Vantage I, L.P.</w:t>
      </w:r>
    </w:p>
    <w:p>
      <w:pPr>
        <w:spacing w:after="0" w:line="175" w:lineRule="exact"/>
        <w:rPr>
          <w:rFonts w:ascii="Arial" w:cs="Arial" w:eastAsia="Arial" w:hAnsi="Arial"/>
          <w:sz w:val="18"/>
          <w:szCs w:val="18"/>
          <w:color w:val="auto"/>
        </w:rPr>
      </w:pPr>
    </w:p>
    <w:p>
      <w:pPr>
        <w:ind w:left="900" w:hanging="795"/>
        <w:spacing w:after="0"/>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-629920</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p>
      <w:pPr>
        <w:spacing w:after="0" w:line="4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o</w:t>
      </w:r>
    </w:p>
    <w:p>
      <w:pPr>
        <w:spacing w:after="0" w:line="23"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x(1)</w:t>
      </w:r>
    </w:p>
    <w:p>
      <w:pPr>
        <w:spacing w:after="0" w:line="34" w:lineRule="exact"/>
        <w:rPr>
          <w:sz w:val="20"/>
          <w:szCs w:val="20"/>
          <w:color w:val="auto"/>
        </w:rPr>
      </w:pPr>
    </w:p>
    <w:p>
      <w:pPr>
        <w:sectPr>
          <w:pgSz w:w="11900" w:h="16838" w:orient="portrait"/>
          <w:cols w:equalWidth="0" w:num="2">
            <w:col w:w="9720" w:space="720"/>
            <w:col w:w="800"/>
          </w:cols>
          <w:pgMar w:left="320" w:top="355" w:right="339" w:bottom="1440" w:gutter="0" w:footer="0" w:header="0"/>
          <w:type w:val="continuous"/>
        </w:sectPr>
      </w:pPr>
    </w:p>
    <w:p>
      <w:pPr>
        <w:ind w:left="900" w:hanging="79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900" w:hanging="79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WC</w:t>
      </w:r>
    </w:p>
    <w:p>
      <w:pPr>
        <w:spacing w:after="0" w:line="171" w:lineRule="exact"/>
        <w:rPr>
          <w:sz w:val="20"/>
          <w:szCs w:val="20"/>
          <w:color w:val="auto"/>
        </w:rPr>
      </w:pPr>
    </w:p>
    <w:p>
      <w:pPr>
        <w:ind w:left="100"/>
        <w:spacing w:after="0"/>
        <w:tabs>
          <w:tab w:leader="none" w:pos="880" w:val="left"/>
          <w:tab w:leader="none" w:pos="105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Check if Disclosure of Legal Proceedings Is Required Pursuant to Item 2(d) or 2(e)</w:t>
      </w:r>
      <w:r>
        <w:rPr>
          <w:sz w:val="20"/>
          <w:szCs w:val="20"/>
          <w:color w:val="auto"/>
        </w:rPr>
        <w:tab/>
      </w:r>
      <w:r>
        <w:rPr>
          <w:rFonts w:ascii="Arial" w:cs="Arial" w:eastAsia="Arial" w:hAnsi="Arial"/>
          <w:sz w:val="17"/>
          <w:szCs w:val="17"/>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900" w:right="7720" w:hanging="795"/>
        <w:spacing w:after="0" w:line="469"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3120" w:hanging="625"/>
        <w:spacing w:after="0"/>
        <w:tabs>
          <w:tab w:leader="none" w:pos="31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-644525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1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360" w:type="dxa"/>
            <w:vAlign w:val="bottom"/>
          </w:tcPr>
          <w:p>
            <w:pPr>
              <w:ind w:left="240"/>
              <w:spacing w:after="0"/>
              <w:rPr>
                <w:sz w:val="20"/>
                <w:szCs w:val="20"/>
                <w:color w:val="auto"/>
              </w:rPr>
            </w:pPr>
            <w:r>
              <w:rPr>
                <w:rFonts w:ascii="Arial" w:cs="Arial" w:eastAsia="Arial" w:hAnsi="Arial"/>
                <w:sz w:val="18"/>
                <w:szCs w:val="18"/>
                <w:color w:val="auto"/>
              </w:rPr>
              <w:t>608,282 shares of common stock(2)</w:t>
            </w: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1640" w:type="dxa"/>
            <w:vAlign w:val="bottom"/>
          </w:tcPr>
          <w:p>
            <w:pPr>
              <w:jc w:val="center"/>
              <w:ind w:right="650"/>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8360" w:type="dxa"/>
            <w:vAlign w:val="bottom"/>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Pr>
          <w:p>
            <w:pPr>
              <w:jc w:val="center"/>
              <w:ind w:right="670"/>
              <w:spacing w:after="0"/>
              <w:rPr>
                <w:sz w:val="20"/>
                <w:szCs w:val="20"/>
                <w:color w:val="auto"/>
              </w:rPr>
            </w:pPr>
            <w:r>
              <w:rPr>
                <w:rFonts w:ascii="Arial" w:cs="Arial" w:eastAsia="Arial" w:hAnsi="Arial"/>
                <w:sz w:val="18"/>
                <w:szCs w:val="18"/>
                <w:color w:val="auto"/>
                <w:w w:val="84"/>
              </w:rPr>
              <w:t>Shares</w:t>
            </w:r>
          </w:p>
        </w:tc>
        <w:tc>
          <w:tcPr>
            <w:tcW w:w="480" w:type="dxa"/>
            <w:vAlign w:val="bottom"/>
          </w:tcPr>
          <w:p>
            <w:pPr>
              <w:spacing w:after="0"/>
              <w:rPr>
                <w:sz w:val="18"/>
                <w:szCs w:val="18"/>
                <w:color w:val="auto"/>
              </w:rPr>
            </w:pPr>
          </w:p>
        </w:tc>
        <w:tc>
          <w:tcPr>
            <w:tcW w:w="8360" w:type="dxa"/>
            <w:vAlign w:val="bottom"/>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640" w:type="dxa"/>
            <w:vAlign w:val="bottom"/>
          </w:tcPr>
          <w:p>
            <w:pPr>
              <w:jc w:val="center"/>
              <w:ind w:right="670"/>
              <w:spacing w:after="0"/>
              <w:rPr>
                <w:sz w:val="20"/>
                <w:szCs w:val="20"/>
                <w:color w:val="auto"/>
              </w:rPr>
            </w:pPr>
            <w:r>
              <w:rPr>
                <w:rFonts w:ascii="Arial" w:cs="Arial" w:eastAsia="Arial" w:hAnsi="Arial"/>
                <w:sz w:val="18"/>
                <w:szCs w:val="18"/>
                <w:color w:val="auto"/>
                <w:w w:val="96"/>
              </w:rPr>
              <w:t>Beneficially</w:t>
            </w:r>
          </w:p>
        </w:tc>
        <w:tc>
          <w:tcPr>
            <w:tcW w:w="480" w:type="dxa"/>
            <w:vAlign w:val="bottom"/>
          </w:tcPr>
          <w:p>
            <w:pPr>
              <w:spacing w:after="0"/>
              <w:rPr>
                <w:sz w:val="18"/>
                <w:szCs w:val="18"/>
                <w:color w:val="auto"/>
              </w:rPr>
            </w:pPr>
          </w:p>
        </w:tc>
        <w:tc>
          <w:tcPr>
            <w:tcW w:w="8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640" w:type="dxa"/>
            <w:vAlign w:val="bottom"/>
            <w:vMerge w:val="restart"/>
          </w:tcPr>
          <w:p>
            <w:pPr>
              <w:jc w:val="center"/>
              <w:ind w:right="650"/>
              <w:spacing w:after="0"/>
              <w:rPr>
                <w:sz w:val="20"/>
                <w:szCs w:val="20"/>
                <w:color w:val="auto"/>
              </w:rPr>
            </w:pPr>
            <w:r>
              <w:rPr>
                <w:rFonts w:ascii="Arial" w:cs="Arial" w:eastAsia="Arial" w:hAnsi="Arial"/>
                <w:sz w:val="18"/>
                <w:szCs w:val="18"/>
                <w:color w:val="auto"/>
                <w:w w:val="91"/>
              </w:rPr>
              <w:t>Owned by</w:t>
            </w:r>
          </w:p>
        </w:tc>
        <w:tc>
          <w:tcPr>
            <w:tcW w:w="480" w:type="dxa"/>
            <w:vAlign w:val="bottom"/>
            <w:tcBorders>
              <w:bottom w:val="single" w:sz="8" w:color="auto"/>
            </w:tcBorders>
          </w:tcPr>
          <w:p>
            <w:pPr>
              <w:spacing w:after="0"/>
              <w:rPr>
                <w:sz w:val="10"/>
                <w:szCs w:val="10"/>
                <w:color w:val="auto"/>
              </w:rPr>
            </w:pPr>
          </w:p>
        </w:tc>
        <w:tc>
          <w:tcPr>
            <w:tcW w:w="83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640" w:type="dxa"/>
            <w:vAlign w:val="bottom"/>
            <w:vMerge w:val="continue"/>
          </w:tcPr>
          <w:p>
            <w:pPr>
              <w:spacing w:after="0"/>
              <w:rPr>
                <w:sz w:val="6"/>
                <w:szCs w:val="6"/>
                <w:color w:val="auto"/>
              </w:rPr>
            </w:pPr>
          </w:p>
        </w:tc>
        <w:tc>
          <w:tcPr>
            <w:tcW w:w="480" w:type="dxa"/>
            <w:vAlign w:val="bottom"/>
            <w:vMerge w:val="restart"/>
          </w:tcPr>
          <w:p>
            <w:pPr>
              <w:jc w:val="right"/>
              <w:ind w:right="170"/>
              <w:spacing w:after="0"/>
              <w:rPr>
                <w:sz w:val="20"/>
                <w:szCs w:val="20"/>
                <w:color w:val="auto"/>
              </w:rPr>
            </w:pPr>
            <w:r>
              <w:rPr>
                <w:rFonts w:ascii="Arial" w:cs="Arial" w:eastAsia="Arial" w:hAnsi="Arial"/>
                <w:sz w:val="18"/>
                <w:szCs w:val="18"/>
                <w:color w:val="auto"/>
              </w:rPr>
              <w:t>9.</w:t>
            </w:r>
          </w:p>
        </w:tc>
        <w:tc>
          <w:tcPr>
            <w:tcW w:w="8360" w:type="dxa"/>
            <w:vAlign w:val="bottom"/>
            <w:vMerge w:val="restart"/>
          </w:tcPr>
          <w:p>
            <w:pPr>
              <w:ind w:left="2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640" w:type="dxa"/>
            <w:vAlign w:val="bottom"/>
            <w:vMerge w:val="restart"/>
          </w:tcPr>
          <w:p>
            <w:pPr>
              <w:jc w:val="center"/>
              <w:ind w:right="670"/>
              <w:spacing w:after="0"/>
              <w:rPr>
                <w:sz w:val="20"/>
                <w:szCs w:val="20"/>
                <w:color w:val="auto"/>
              </w:rPr>
            </w:pPr>
            <w:r>
              <w:rPr>
                <w:rFonts w:ascii="Arial" w:cs="Arial" w:eastAsia="Arial" w:hAnsi="Arial"/>
                <w:sz w:val="18"/>
                <w:szCs w:val="18"/>
                <w:color w:val="auto"/>
                <w:w w:val="87"/>
              </w:rPr>
              <w:t>Each</w:t>
            </w:r>
          </w:p>
        </w:tc>
        <w:tc>
          <w:tcPr>
            <w:tcW w:w="480" w:type="dxa"/>
            <w:vAlign w:val="bottom"/>
            <w:vMerge w:val="continue"/>
          </w:tcPr>
          <w:p>
            <w:pPr>
              <w:spacing w:after="0"/>
              <w:rPr>
                <w:sz w:val="13"/>
                <w:szCs w:val="13"/>
                <w:color w:val="auto"/>
              </w:rPr>
            </w:pPr>
          </w:p>
        </w:tc>
        <w:tc>
          <w:tcPr>
            <w:tcW w:w="8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64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83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760" w:type="dxa"/>
        <w:tblCellMar>
          <w:top w:w="0" w:type="dxa"/>
          <w:left w:w="0" w:type="dxa"/>
          <w:bottom w:w="0" w:type="dxa"/>
          <w:right w:w="0" w:type="dxa"/>
        </w:tblCellMar>
      </w:tblPr>
      <w:tr>
        <w:trPr>
          <w:trHeight w:val="202"/>
        </w:trPr>
        <w:tc>
          <w:tcPr>
            <w:tcW w:w="1620" w:type="dxa"/>
            <w:vAlign w:val="bottom"/>
          </w:tcPr>
          <w:p>
            <w:pPr>
              <w:jc w:val="center"/>
              <w:ind w:right="650"/>
              <w:spacing w:after="0" w:line="201" w:lineRule="exact"/>
              <w:rPr>
                <w:sz w:val="20"/>
                <w:szCs w:val="20"/>
                <w:color w:val="auto"/>
              </w:rPr>
            </w:pPr>
            <w:r>
              <w:rPr>
                <w:rFonts w:ascii="Arial" w:cs="Arial" w:eastAsia="Arial" w:hAnsi="Arial"/>
                <w:sz w:val="18"/>
                <w:szCs w:val="18"/>
                <w:color w:val="auto"/>
                <w:w w:val="92"/>
              </w:rPr>
              <w:t>Reporting</w:t>
            </w:r>
          </w:p>
        </w:tc>
        <w:tc>
          <w:tcPr>
            <w:tcW w:w="3380" w:type="dxa"/>
            <w:vAlign w:val="bottom"/>
            <w:vMerge w:val="restart"/>
          </w:tcPr>
          <w:p>
            <w:pPr>
              <w:ind w:left="740"/>
              <w:spacing w:after="0"/>
              <w:rPr>
                <w:sz w:val="20"/>
                <w:szCs w:val="20"/>
                <w:color w:val="auto"/>
              </w:rPr>
            </w:pPr>
            <w:r>
              <w:rPr>
                <w:rFonts w:ascii="Arial" w:cs="Arial" w:eastAsia="Arial" w:hAnsi="Arial"/>
                <w:sz w:val="18"/>
                <w:szCs w:val="18"/>
                <w:color w:val="auto"/>
                <w:w w:val="89"/>
              </w:rPr>
              <w:t>608,282 shares of common stock (2)</w:t>
            </w:r>
          </w:p>
        </w:tc>
        <w:tc>
          <w:tcPr>
            <w:tcW w:w="0" w:type="dxa"/>
            <w:vAlign w:val="bottom"/>
          </w:tcPr>
          <w:p>
            <w:pPr>
              <w:spacing w:after="0"/>
              <w:rPr>
                <w:sz w:val="1"/>
                <w:szCs w:val="1"/>
                <w:color w:val="auto"/>
              </w:rPr>
            </w:pPr>
          </w:p>
        </w:tc>
      </w:tr>
      <w:tr>
        <w:trPr>
          <w:trHeight w:val="136"/>
        </w:trPr>
        <w:tc>
          <w:tcPr>
            <w:tcW w:w="1620" w:type="dxa"/>
            <w:vAlign w:val="bottom"/>
            <w:vMerge w:val="restart"/>
          </w:tcPr>
          <w:p>
            <w:pPr>
              <w:jc w:val="center"/>
              <w:ind w:right="650"/>
              <w:spacing w:after="0"/>
              <w:rPr>
                <w:sz w:val="20"/>
                <w:szCs w:val="20"/>
                <w:color w:val="auto"/>
              </w:rPr>
            </w:pPr>
            <w:r>
              <w:rPr>
                <w:rFonts w:ascii="Arial" w:cs="Arial" w:eastAsia="Arial" w:hAnsi="Arial"/>
                <w:sz w:val="18"/>
                <w:szCs w:val="18"/>
                <w:color w:val="auto"/>
                <w:w w:val="89"/>
              </w:rPr>
              <w:t>Person With</w:t>
            </w:r>
          </w:p>
        </w:tc>
        <w:tc>
          <w:tcPr>
            <w:tcW w:w="3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620" w:type="dxa"/>
            <w:vAlign w:val="bottom"/>
            <w:vMerge w:val="continue"/>
          </w:tcPr>
          <w:p>
            <w:pPr>
              <w:spacing w:after="0"/>
              <w:rPr>
                <w:sz w:val="8"/>
                <w:szCs w:val="8"/>
                <w:color w:val="auto"/>
              </w:rPr>
            </w:pPr>
          </w:p>
        </w:tc>
        <w:tc>
          <w:tcPr>
            <w:tcW w:w="3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3120" w:right="6240" w:hanging="625"/>
        <w:spacing w:after="0" w:line="469" w:lineRule="auto"/>
        <w:tabs>
          <w:tab w:leader="none" w:pos="31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900" w:right="5540" w:hanging="795"/>
        <w:spacing w:after="0" w:line="52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608,282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-1090295</wp:posOffset>
            </wp:positionV>
            <wp:extent cx="56146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146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-575945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00"/>
        <w:spacing w:after="0"/>
        <w:tabs>
          <w:tab w:leader="none" w:pos="880" w:val="left"/>
          <w:tab w:leader="none" w:pos="105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(see instructions)</w:t>
      </w:r>
      <w:r>
        <w:rPr>
          <w:sz w:val="20"/>
          <w:szCs w:val="20"/>
          <w:color w:val="auto"/>
        </w:rPr>
        <w:tab/>
      </w:r>
      <w:r>
        <w:rPr>
          <w:rFonts w:ascii="Arial" w:cs="Arial" w:eastAsia="Arial" w:hAnsi="Arial"/>
          <w:sz w:val="17"/>
          <w:szCs w:val="17"/>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900" w:right="6580" w:hanging="795"/>
        <w:spacing w:after="0" w:line="469" w:lineRule="auto"/>
        <w:tabs>
          <w:tab w:leader="none" w:pos="9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1.7% (3)</w:t>
      </w:r>
    </w:p>
    <w:p>
      <w:pPr>
        <w:spacing w:after="0" w:line="1" w:lineRule="exact"/>
        <w:rPr>
          <w:rFonts w:ascii="Arial" w:cs="Arial" w:eastAsia="Arial" w:hAnsi="Arial"/>
          <w:sz w:val="18"/>
          <w:szCs w:val="18"/>
          <w:color w:val="auto"/>
        </w:rPr>
      </w:pPr>
    </w:p>
    <w:p>
      <w:pPr>
        <w:ind w:left="900" w:hanging="795"/>
        <w:spacing w:after="0"/>
        <w:tabs>
          <w:tab w:leader="none" w:pos="9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260" w:hanging="252"/>
        <w:spacing w:after="0"/>
        <w:tabs>
          <w:tab w:leader="none" w:pos="2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This Schedule 13D is filed by the Reporting Persons. The Reporting Persons expressly disclaim status as a “group” for purposes of this Schedule 13D.</w:t>
      </w:r>
    </w:p>
    <w:p>
      <w:pPr>
        <w:spacing w:after="0" w:line="248" w:lineRule="exact"/>
        <w:rPr>
          <w:rFonts w:ascii="Arial" w:cs="Arial" w:eastAsia="Arial" w:hAnsi="Arial"/>
          <w:sz w:val="16"/>
          <w:szCs w:val="16"/>
          <w:color w:val="auto"/>
        </w:rPr>
      </w:pPr>
    </w:p>
    <w:p>
      <w:pPr>
        <w:ind w:right="80" w:firstLine="8"/>
        <w:spacing w:after="0" w:line="277" w:lineRule="auto"/>
        <w:tabs>
          <w:tab w:leader="none" w:pos="252"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These shares are held by Vantage LP. Vantage LLC is the general partner of Vantage GP, which is the general partner of Vantage LP. Vantage LLC and Vantage GP share voting and dispositive power over the shares held by Vantage LP.</w:t>
      </w:r>
    </w:p>
    <w:p>
      <w:pPr>
        <w:spacing w:after="0" w:line="170" w:lineRule="exact"/>
        <w:rPr>
          <w:rFonts w:ascii="Arial" w:cs="Arial" w:eastAsia="Arial" w:hAnsi="Arial"/>
          <w:sz w:val="18"/>
          <w:szCs w:val="18"/>
          <w:color w:val="auto"/>
        </w:rPr>
      </w:pPr>
    </w:p>
    <w:p>
      <w:pPr>
        <w:ind w:right="120" w:firstLine="8"/>
        <w:spacing w:after="0" w:line="291" w:lineRule="auto"/>
        <w:tabs>
          <w:tab w:leader="none" w:pos="252"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This percentage is calculated based upon 36,668,085 shares of common stock outstanding of Repare Therapeutics Inc. (the “Issuer”), as set forth in the Issuer’s Rule 424(b)(4) Prospectus filed with the Securities and Exchange Commission (“SEC”) on June 19, 2020 and giving effect to the</w:t>
      </w:r>
    </w:p>
    <w:p>
      <w:pPr>
        <w:spacing w:after="0"/>
        <w:rPr>
          <w:rFonts w:ascii="Arial" w:cs="Arial" w:eastAsia="Arial" w:hAnsi="Arial"/>
          <w:sz w:val="16"/>
          <w:szCs w:val="16"/>
          <w:color w:val="auto"/>
        </w:rPr>
      </w:pPr>
      <w:r>
        <w:rPr>
          <w:rFonts w:ascii="Arial" w:cs="Arial" w:eastAsia="Arial" w:hAnsi="Arial"/>
          <w:sz w:val="18"/>
          <w:szCs w:val="18"/>
          <w:color w:val="auto"/>
        </w:rPr>
        <w:t>additional 1,650,000 shares of common stock issued and sold by the Issuer to the underwriters pursuant to the underwriters’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-1382395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-1896745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-2411095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-1167765</wp:posOffset>
            </wp:positionV>
            <wp:extent cx="18002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12" w:name="page13"/>
    <w:bookmarkEnd w:id="12"/>
    <w:p>
      <w:pPr>
        <w:ind w:left="900" w:hanging="79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b w:val="1"/>
          <w:bCs w:val="1"/>
          <w:color w:val="auto"/>
        </w:rPr>
        <w:t>Versant Vantage I GP, L.P.</w:t>
      </w:r>
    </w:p>
    <w:p>
      <w:pPr>
        <w:spacing w:after="0" w:line="175" w:lineRule="exact"/>
        <w:rPr>
          <w:rFonts w:ascii="Arial" w:cs="Arial" w:eastAsia="Arial" w:hAnsi="Arial"/>
          <w:sz w:val="18"/>
          <w:szCs w:val="18"/>
          <w:color w:val="auto"/>
        </w:rPr>
      </w:pPr>
    </w:p>
    <w:p>
      <w:pPr>
        <w:ind w:left="900" w:hanging="795"/>
        <w:spacing w:after="0"/>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-629920</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p>
      <w:pPr>
        <w:spacing w:after="0" w:line="4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o</w:t>
      </w:r>
    </w:p>
    <w:p>
      <w:pPr>
        <w:spacing w:after="0" w:line="23"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x(1)</w:t>
      </w:r>
    </w:p>
    <w:p>
      <w:pPr>
        <w:spacing w:after="0" w:line="34" w:lineRule="exact"/>
        <w:rPr>
          <w:sz w:val="20"/>
          <w:szCs w:val="20"/>
          <w:color w:val="auto"/>
        </w:rPr>
      </w:pPr>
    </w:p>
    <w:p>
      <w:pPr>
        <w:sectPr>
          <w:pgSz w:w="11900" w:h="16838" w:orient="portrait"/>
          <w:cols w:equalWidth="0" w:num="2">
            <w:col w:w="9720" w:space="720"/>
            <w:col w:w="800"/>
          </w:cols>
          <w:pgMar w:left="320" w:top="355" w:right="339" w:bottom="1440" w:gutter="0" w:footer="0" w:header="0"/>
          <w:type w:val="continuous"/>
        </w:sectPr>
      </w:pPr>
    </w:p>
    <w:p>
      <w:pPr>
        <w:ind w:left="900" w:hanging="79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900" w:hanging="79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AF</w:t>
      </w:r>
    </w:p>
    <w:p>
      <w:pPr>
        <w:spacing w:after="0" w:line="171" w:lineRule="exact"/>
        <w:rPr>
          <w:sz w:val="20"/>
          <w:szCs w:val="20"/>
          <w:color w:val="auto"/>
        </w:rPr>
      </w:pPr>
    </w:p>
    <w:p>
      <w:pPr>
        <w:ind w:left="100"/>
        <w:spacing w:after="0"/>
        <w:tabs>
          <w:tab w:leader="none" w:pos="880" w:val="left"/>
          <w:tab w:leader="none" w:pos="105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Check if Disclosure of Legal Proceedings Is Required Pursuant to Item 2(d) or 2(e)</w:t>
      </w:r>
      <w:r>
        <w:rPr>
          <w:sz w:val="20"/>
          <w:szCs w:val="20"/>
          <w:color w:val="auto"/>
        </w:rPr>
        <w:tab/>
      </w:r>
      <w:r>
        <w:rPr>
          <w:rFonts w:ascii="Arial" w:cs="Arial" w:eastAsia="Arial" w:hAnsi="Arial"/>
          <w:sz w:val="17"/>
          <w:szCs w:val="17"/>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900" w:right="7720" w:hanging="795"/>
        <w:spacing w:after="0" w:line="469"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3120" w:hanging="625"/>
        <w:spacing w:after="0"/>
        <w:tabs>
          <w:tab w:leader="none" w:pos="31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-644525</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1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360" w:type="dxa"/>
            <w:vAlign w:val="bottom"/>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1640" w:type="dxa"/>
            <w:vAlign w:val="bottom"/>
          </w:tcPr>
          <w:p>
            <w:pPr>
              <w:jc w:val="center"/>
              <w:ind w:right="650"/>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8360" w:type="dxa"/>
            <w:vAlign w:val="bottom"/>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Pr>
          <w:p>
            <w:pPr>
              <w:jc w:val="center"/>
              <w:ind w:right="670"/>
              <w:spacing w:after="0"/>
              <w:rPr>
                <w:sz w:val="20"/>
                <w:szCs w:val="20"/>
                <w:color w:val="auto"/>
              </w:rPr>
            </w:pPr>
            <w:r>
              <w:rPr>
                <w:rFonts w:ascii="Arial" w:cs="Arial" w:eastAsia="Arial" w:hAnsi="Arial"/>
                <w:sz w:val="18"/>
                <w:szCs w:val="18"/>
                <w:color w:val="auto"/>
                <w:w w:val="84"/>
              </w:rPr>
              <w:t>Shares</w:t>
            </w:r>
          </w:p>
        </w:tc>
        <w:tc>
          <w:tcPr>
            <w:tcW w:w="480" w:type="dxa"/>
            <w:vAlign w:val="bottom"/>
          </w:tcPr>
          <w:p>
            <w:pPr>
              <w:spacing w:after="0"/>
              <w:rPr>
                <w:sz w:val="18"/>
                <w:szCs w:val="18"/>
                <w:color w:val="auto"/>
              </w:rPr>
            </w:pPr>
          </w:p>
        </w:tc>
        <w:tc>
          <w:tcPr>
            <w:tcW w:w="8360" w:type="dxa"/>
            <w:vAlign w:val="bottom"/>
            <w:vMerge w:val="restart"/>
          </w:tcPr>
          <w:p>
            <w:pPr>
              <w:ind w:left="240"/>
              <w:spacing w:after="0"/>
              <w:rPr>
                <w:sz w:val="20"/>
                <w:szCs w:val="20"/>
                <w:color w:val="auto"/>
              </w:rPr>
            </w:pPr>
            <w:r>
              <w:rPr>
                <w:rFonts w:ascii="Arial" w:cs="Arial" w:eastAsia="Arial" w:hAnsi="Arial"/>
                <w:sz w:val="18"/>
                <w:szCs w:val="18"/>
                <w:color w:val="auto"/>
              </w:rPr>
              <w:t>608,282 shares of common stock (2)</w:t>
            </w:r>
          </w:p>
        </w:tc>
        <w:tc>
          <w:tcPr>
            <w:tcW w:w="0" w:type="dxa"/>
            <w:vAlign w:val="bottom"/>
          </w:tcPr>
          <w:p>
            <w:pPr>
              <w:spacing w:after="0"/>
              <w:rPr>
                <w:sz w:val="1"/>
                <w:szCs w:val="1"/>
                <w:color w:val="auto"/>
              </w:rPr>
            </w:pPr>
          </w:p>
        </w:tc>
      </w:tr>
      <w:tr>
        <w:trPr>
          <w:trHeight w:val="216"/>
        </w:trPr>
        <w:tc>
          <w:tcPr>
            <w:tcW w:w="1640" w:type="dxa"/>
            <w:vAlign w:val="bottom"/>
          </w:tcPr>
          <w:p>
            <w:pPr>
              <w:jc w:val="center"/>
              <w:ind w:right="670"/>
              <w:spacing w:after="0"/>
              <w:rPr>
                <w:sz w:val="20"/>
                <w:szCs w:val="20"/>
                <w:color w:val="auto"/>
              </w:rPr>
            </w:pPr>
            <w:r>
              <w:rPr>
                <w:rFonts w:ascii="Arial" w:cs="Arial" w:eastAsia="Arial" w:hAnsi="Arial"/>
                <w:sz w:val="18"/>
                <w:szCs w:val="18"/>
                <w:color w:val="auto"/>
                <w:w w:val="96"/>
              </w:rPr>
              <w:t>Beneficially</w:t>
            </w:r>
          </w:p>
        </w:tc>
        <w:tc>
          <w:tcPr>
            <w:tcW w:w="480" w:type="dxa"/>
            <w:vAlign w:val="bottom"/>
          </w:tcPr>
          <w:p>
            <w:pPr>
              <w:spacing w:after="0"/>
              <w:rPr>
                <w:sz w:val="18"/>
                <w:szCs w:val="18"/>
                <w:color w:val="auto"/>
              </w:rPr>
            </w:pPr>
          </w:p>
        </w:tc>
        <w:tc>
          <w:tcPr>
            <w:tcW w:w="8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640" w:type="dxa"/>
            <w:vAlign w:val="bottom"/>
            <w:vMerge w:val="restart"/>
          </w:tcPr>
          <w:p>
            <w:pPr>
              <w:jc w:val="center"/>
              <w:ind w:right="650"/>
              <w:spacing w:after="0"/>
              <w:rPr>
                <w:sz w:val="20"/>
                <w:szCs w:val="20"/>
                <w:color w:val="auto"/>
              </w:rPr>
            </w:pPr>
            <w:r>
              <w:rPr>
                <w:rFonts w:ascii="Arial" w:cs="Arial" w:eastAsia="Arial" w:hAnsi="Arial"/>
                <w:sz w:val="18"/>
                <w:szCs w:val="18"/>
                <w:color w:val="auto"/>
                <w:w w:val="91"/>
              </w:rPr>
              <w:t>Owned by</w:t>
            </w:r>
          </w:p>
        </w:tc>
        <w:tc>
          <w:tcPr>
            <w:tcW w:w="480" w:type="dxa"/>
            <w:vAlign w:val="bottom"/>
            <w:tcBorders>
              <w:bottom w:val="single" w:sz="8" w:color="auto"/>
            </w:tcBorders>
          </w:tcPr>
          <w:p>
            <w:pPr>
              <w:spacing w:after="0"/>
              <w:rPr>
                <w:sz w:val="10"/>
                <w:szCs w:val="10"/>
                <w:color w:val="auto"/>
              </w:rPr>
            </w:pPr>
          </w:p>
        </w:tc>
        <w:tc>
          <w:tcPr>
            <w:tcW w:w="83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640" w:type="dxa"/>
            <w:vAlign w:val="bottom"/>
            <w:vMerge w:val="continue"/>
          </w:tcPr>
          <w:p>
            <w:pPr>
              <w:spacing w:after="0"/>
              <w:rPr>
                <w:sz w:val="6"/>
                <w:szCs w:val="6"/>
                <w:color w:val="auto"/>
              </w:rPr>
            </w:pPr>
          </w:p>
        </w:tc>
        <w:tc>
          <w:tcPr>
            <w:tcW w:w="480" w:type="dxa"/>
            <w:vAlign w:val="bottom"/>
            <w:vMerge w:val="restart"/>
          </w:tcPr>
          <w:p>
            <w:pPr>
              <w:jc w:val="right"/>
              <w:ind w:right="170"/>
              <w:spacing w:after="0"/>
              <w:rPr>
                <w:sz w:val="20"/>
                <w:szCs w:val="20"/>
                <w:color w:val="auto"/>
              </w:rPr>
            </w:pPr>
            <w:r>
              <w:rPr>
                <w:rFonts w:ascii="Arial" w:cs="Arial" w:eastAsia="Arial" w:hAnsi="Arial"/>
                <w:sz w:val="18"/>
                <w:szCs w:val="18"/>
                <w:color w:val="auto"/>
              </w:rPr>
              <w:t>9.</w:t>
            </w:r>
          </w:p>
        </w:tc>
        <w:tc>
          <w:tcPr>
            <w:tcW w:w="8360" w:type="dxa"/>
            <w:vAlign w:val="bottom"/>
            <w:vMerge w:val="restart"/>
          </w:tcPr>
          <w:p>
            <w:pPr>
              <w:ind w:left="2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640" w:type="dxa"/>
            <w:vAlign w:val="bottom"/>
            <w:vMerge w:val="restart"/>
          </w:tcPr>
          <w:p>
            <w:pPr>
              <w:jc w:val="center"/>
              <w:ind w:right="670"/>
              <w:spacing w:after="0"/>
              <w:rPr>
                <w:sz w:val="20"/>
                <w:szCs w:val="20"/>
                <w:color w:val="auto"/>
              </w:rPr>
            </w:pPr>
            <w:r>
              <w:rPr>
                <w:rFonts w:ascii="Arial" w:cs="Arial" w:eastAsia="Arial" w:hAnsi="Arial"/>
                <w:sz w:val="18"/>
                <w:szCs w:val="18"/>
                <w:color w:val="auto"/>
                <w:w w:val="87"/>
              </w:rPr>
              <w:t>Each</w:t>
            </w:r>
          </w:p>
        </w:tc>
        <w:tc>
          <w:tcPr>
            <w:tcW w:w="480" w:type="dxa"/>
            <w:vAlign w:val="bottom"/>
            <w:vMerge w:val="continue"/>
          </w:tcPr>
          <w:p>
            <w:pPr>
              <w:spacing w:after="0"/>
              <w:rPr>
                <w:sz w:val="13"/>
                <w:szCs w:val="13"/>
                <w:color w:val="auto"/>
              </w:rPr>
            </w:pPr>
          </w:p>
        </w:tc>
        <w:tc>
          <w:tcPr>
            <w:tcW w:w="8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64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83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760" w:type="dxa"/>
        <w:tblCellMar>
          <w:top w:w="0" w:type="dxa"/>
          <w:left w:w="0" w:type="dxa"/>
          <w:bottom w:w="0" w:type="dxa"/>
          <w:right w:w="0" w:type="dxa"/>
        </w:tblCellMar>
      </w:tblPr>
      <w:tr>
        <w:trPr>
          <w:trHeight w:val="202"/>
        </w:trPr>
        <w:tc>
          <w:tcPr>
            <w:tcW w:w="1620" w:type="dxa"/>
            <w:vAlign w:val="bottom"/>
          </w:tcPr>
          <w:p>
            <w:pPr>
              <w:jc w:val="center"/>
              <w:ind w:right="650"/>
              <w:spacing w:after="0" w:line="201" w:lineRule="exact"/>
              <w:rPr>
                <w:sz w:val="20"/>
                <w:szCs w:val="20"/>
                <w:color w:val="auto"/>
              </w:rPr>
            </w:pPr>
            <w:r>
              <w:rPr>
                <w:rFonts w:ascii="Arial" w:cs="Arial" w:eastAsia="Arial" w:hAnsi="Arial"/>
                <w:sz w:val="18"/>
                <w:szCs w:val="18"/>
                <w:color w:val="auto"/>
                <w:w w:val="92"/>
              </w:rPr>
              <w:t>Reporting</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1620" w:type="dxa"/>
            <w:vAlign w:val="bottom"/>
            <w:vMerge w:val="restart"/>
          </w:tcPr>
          <w:p>
            <w:pPr>
              <w:jc w:val="center"/>
              <w:ind w:right="650"/>
              <w:spacing w:after="0"/>
              <w:rPr>
                <w:sz w:val="20"/>
                <w:szCs w:val="20"/>
                <w:color w:val="auto"/>
              </w:rPr>
            </w:pPr>
            <w:r>
              <w:rPr>
                <w:rFonts w:ascii="Arial" w:cs="Arial" w:eastAsia="Arial" w:hAnsi="Arial"/>
                <w:sz w:val="18"/>
                <w:szCs w:val="18"/>
                <w:color w:val="auto"/>
                <w:w w:val="89"/>
              </w:rPr>
              <w:t>Person With</w:t>
            </w: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6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3120" w:hanging="625"/>
        <w:spacing w:after="0"/>
        <w:tabs>
          <w:tab w:leader="none" w:pos="31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25" w:lineRule="exact"/>
        <w:rPr>
          <w:rFonts w:ascii="Arial" w:cs="Arial" w:eastAsia="Arial" w:hAnsi="Arial"/>
          <w:sz w:val="18"/>
          <w:szCs w:val="18"/>
          <w:color w:val="auto"/>
        </w:rPr>
      </w:pPr>
    </w:p>
    <w:p>
      <w:pPr>
        <w:ind w:left="3120"/>
        <w:spacing w:after="0"/>
        <w:rPr>
          <w:rFonts w:ascii="Arial" w:cs="Arial" w:eastAsia="Arial" w:hAnsi="Arial"/>
          <w:sz w:val="18"/>
          <w:szCs w:val="18"/>
          <w:color w:val="auto"/>
        </w:rPr>
      </w:pPr>
      <w:r>
        <w:rPr>
          <w:rFonts w:ascii="Arial" w:cs="Arial" w:eastAsia="Arial" w:hAnsi="Arial"/>
          <w:sz w:val="18"/>
          <w:szCs w:val="18"/>
          <w:color w:val="auto"/>
        </w:rPr>
        <w:t>608,282 shares of common stock (2)</w:t>
      </w:r>
    </w:p>
    <w:p>
      <w:pPr>
        <w:spacing w:after="0" w:line="171" w:lineRule="exact"/>
        <w:rPr>
          <w:rFonts w:ascii="Arial" w:cs="Arial" w:eastAsia="Arial" w:hAnsi="Arial"/>
          <w:sz w:val="18"/>
          <w:szCs w:val="18"/>
          <w:color w:val="auto"/>
        </w:rPr>
      </w:pPr>
    </w:p>
    <w:p>
      <w:pPr>
        <w:ind w:left="900" w:right="5540" w:hanging="795"/>
        <w:spacing w:after="0" w:line="52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608,282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-1090295</wp:posOffset>
            </wp:positionV>
            <wp:extent cx="561467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6146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-575945</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100"/>
        <w:spacing w:after="0"/>
        <w:tabs>
          <w:tab w:leader="none" w:pos="880" w:val="left"/>
          <w:tab w:leader="none" w:pos="105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(see instructions)</w:t>
      </w:r>
      <w:r>
        <w:rPr>
          <w:sz w:val="20"/>
          <w:szCs w:val="20"/>
          <w:color w:val="auto"/>
        </w:rPr>
        <w:tab/>
      </w:r>
      <w:r>
        <w:rPr>
          <w:rFonts w:ascii="Arial" w:cs="Arial" w:eastAsia="Arial" w:hAnsi="Arial"/>
          <w:sz w:val="17"/>
          <w:szCs w:val="17"/>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900" w:right="6580" w:hanging="795"/>
        <w:spacing w:after="0" w:line="469" w:lineRule="auto"/>
        <w:tabs>
          <w:tab w:leader="none" w:pos="9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1.7% (3)</w:t>
      </w:r>
    </w:p>
    <w:p>
      <w:pPr>
        <w:spacing w:after="0" w:line="1" w:lineRule="exact"/>
        <w:rPr>
          <w:rFonts w:ascii="Arial" w:cs="Arial" w:eastAsia="Arial" w:hAnsi="Arial"/>
          <w:sz w:val="18"/>
          <w:szCs w:val="18"/>
          <w:color w:val="auto"/>
        </w:rPr>
      </w:pPr>
    </w:p>
    <w:p>
      <w:pPr>
        <w:ind w:left="900" w:hanging="795"/>
        <w:spacing w:after="0"/>
        <w:tabs>
          <w:tab w:leader="none" w:pos="9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260" w:hanging="252"/>
        <w:spacing w:after="0"/>
        <w:tabs>
          <w:tab w:leader="none" w:pos="2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This Schedule 13D is filed by the Reporting Persons. The Reporting Persons expressly disclaim status as a “group” for purposes of this Schedule 13D.</w:t>
      </w:r>
    </w:p>
    <w:p>
      <w:pPr>
        <w:spacing w:after="0" w:line="248" w:lineRule="exact"/>
        <w:rPr>
          <w:rFonts w:ascii="Arial" w:cs="Arial" w:eastAsia="Arial" w:hAnsi="Arial"/>
          <w:sz w:val="16"/>
          <w:szCs w:val="16"/>
          <w:color w:val="auto"/>
        </w:rPr>
      </w:pPr>
    </w:p>
    <w:p>
      <w:pPr>
        <w:ind w:right="80" w:firstLine="8"/>
        <w:spacing w:after="0" w:line="277" w:lineRule="auto"/>
        <w:tabs>
          <w:tab w:leader="none" w:pos="252"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These shares are held by Vantage LP. Vantage LLC is the general partner of Vantage GP, which is the general partner of Vantage LP. Vantage LLC and Vantage GP share voting and dispositive power over the shares held by Vantage LP.</w:t>
      </w:r>
    </w:p>
    <w:p>
      <w:pPr>
        <w:spacing w:after="0" w:line="170" w:lineRule="exact"/>
        <w:rPr>
          <w:rFonts w:ascii="Arial" w:cs="Arial" w:eastAsia="Arial" w:hAnsi="Arial"/>
          <w:sz w:val="18"/>
          <w:szCs w:val="18"/>
          <w:color w:val="auto"/>
        </w:rPr>
      </w:pPr>
    </w:p>
    <w:p>
      <w:pPr>
        <w:ind w:right="120" w:firstLine="8"/>
        <w:spacing w:after="0" w:line="291" w:lineRule="auto"/>
        <w:tabs>
          <w:tab w:leader="none" w:pos="252"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This percentage is calculated based upon 36,668,085 shares of common stock outstanding of Repare Therapeutics Inc. (the “Issuer”), as set forth in the Issuer’s Rule 424(b)(4) Prospectus filed with the Securities and Exchange Commission (“SEC”) on June 19, 2020 and giving effect to the</w:t>
      </w:r>
    </w:p>
    <w:p>
      <w:pPr>
        <w:spacing w:after="0"/>
        <w:rPr>
          <w:rFonts w:ascii="Arial" w:cs="Arial" w:eastAsia="Arial" w:hAnsi="Arial"/>
          <w:sz w:val="16"/>
          <w:szCs w:val="16"/>
          <w:color w:val="auto"/>
        </w:rPr>
      </w:pPr>
      <w:r>
        <w:rPr>
          <w:rFonts w:ascii="Arial" w:cs="Arial" w:eastAsia="Arial" w:hAnsi="Arial"/>
          <w:sz w:val="18"/>
          <w:szCs w:val="18"/>
          <w:color w:val="auto"/>
        </w:rPr>
        <w:t>additional 1,650,000 shares of common stock issued and sold by the Issuer to the underwriters pursuant to the underwriters’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-1382395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-1896745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-2411095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-1167765</wp:posOffset>
            </wp:positionV>
            <wp:extent cx="18002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13" w:name="page14"/>
    <w:bookmarkEnd w:id="13"/>
    <w:p>
      <w:pPr>
        <w:ind w:left="900" w:hanging="79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b w:val="1"/>
          <w:bCs w:val="1"/>
          <w:color w:val="auto"/>
        </w:rPr>
        <w:t>Versant Vantage I GP-GP, LLC</w:t>
      </w:r>
    </w:p>
    <w:p>
      <w:pPr>
        <w:spacing w:after="0" w:line="175" w:lineRule="exact"/>
        <w:rPr>
          <w:rFonts w:ascii="Arial" w:cs="Arial" w:eastAsia="Arial" w:hAnsi="Arial"/>
          <w:sz w:val="18"/>
          <w:szCs w:val="18"/>
          <w:color w:val="auto"/>
        </w:rPr>
      </w:pPr>
    </w:p>
    <w:p>
      <w:pPr>
        <w:ind w:left="900" w:hanging="795"/>
        <w:spacing w:after="0"/>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-629920</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p>
      <w:pPr>
        <w:spacing w:after="0" w:line="4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o</w:t>
      </w:r>
    </w:p>
    <w:p>
      <w:pPr>
        <w:spacing w:after="0" w:line="23"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x(1)</w:t>
      </w:r>
    </w:p>
    <w:p>
      <w:pPr>
        <w:spacing w:after="0" w:line="34" w:lineRule="exact"/>
        <w:rPr>
          <w:sz w:val="20"/>
          <w:szCs w:val="20"/>
          <w:color w:val="auto"/>
        </w:rPr>
      </w:pPr>
    </w:p>
    <w:p>
      <w:pPr>
        <w:sectPr>
          <w:pgSz w:w="11900" w:h="16838" w:orient="portrait"/>
          <w:cols w:equalWidth="0" w:num="2">
            <w:col w:w="9720" w:space="720"/>
            <w:col w:w="800"/>
          </w:cols>
          <w:pgMar w:left="320" w:top="355" w:right="339" w:bottom="1440" w:gutter="0" w:footer="0" w:header="0"/>
          <w:type w:val="continuous"/>
        </w:sectPr>
      </w:pPr>
    </w:p>
    <w:p>
      <w:pPr>
        <w:ind w:left="900" w:hanging="79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900" w:hanging="79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AF</w:t>
      </w:r>
    </w:p>
    <w:p>
      <w:pPr>
        <w:spacing w:after="0" w:line="171" w:lineRule="exact"/>
        <w:rPr>
          <w:sz w:val="20"/>
          <w:szCs w:val="20"/>
          <w:color w:val="auto"/>
        </w:rPr>
      </w:pPr>
    </w:p>
    <w:p>
      <w:pPr>
        <w:ind w:left="100"/>
        <w:spacing w:after="0"/>
        <w:tabs>
          <w:tab w:leader="none" w:pos="880" w:val="left"/>
          <w:tab w:leader="none" w:pos="105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Check if Disclosure of Legal Proceedings Is Required Pursuant to Item 2(d) or 2(e)</w:t>
      </w:r>
      <w:r>
        <w:rPr>
          <w:sz w:val="20"/>
          <w:szCs w:val="20"/>
          <w:color w:val="auto"/>
        </w:rPr>
        <w:tab/>
      </w:r>
      <w:r>
        <w:rPr>
          <w:rFonts w:ascii="Arial" w:cs="Arial" w:eastAsia="Arial" w:hAnsi="Arial"/>
          <w:sz w:val="17"/>
          <w:szCs w:val="17"/>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900" w:right="7720" w:hanging="795"/>
        <w:spacing w:after="0" w:line="469"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3120" w:hanging="625"/>
        <w:spacing w:after="0"/>
        <w:tabs>
          <w:tab w:leader="none" w:pos="31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-644525</wp:posOffset>
            </wp:positionV>
            <wp:extent cx="7132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1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360" w:type="dxa"/>
            <w:vAlign w:val="bottom"/>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1640" w:type="dxa"/>
            <w:vAlign w:val="bottom"/>
          </w:tcPr>
          <w:p>
            <w:pPr>
              <w:jc w:val="center"/>
              <w:ind w:right="650"/>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8360" w:type="dxa"/>
            <w:vAlign w:val="bottom"/>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Pr>
          <w:p>
            <w:pPr>
              <w:jc w:val="center"/>
              <w:ind w:right="670"/>
              <w:spacing w:after="0"/>
              <w:rPr>
                <w:sz w:val="20"/>
                <w:szCs w:val="20"/>
                <w:color w:val="auto"/>
              </w:rPr>
            </w:pPr>
            <w:r>
              <w:rPr>
                <w:rFonts w:ascii="Arial" w:cs="Arial" w:eastAsia="Arial" w:hAnsi="Arial"/>
                <w:sz w:val="18"/>
                <w:szCs w:val="18"/>
                <w:color w:val="auto"/>
                <w:w w:val="84"/>
              </w:rPr>
              <w:t>Shares</w:t>
            </w:r>
          </w:p>
        </w:tc>
        <w:tc>
          <w:tcPr>
            <w:tcW w:w="480" w:type="dxa"/>
            <w:vAlign w:val="bottom"/>
          </w:tcPr>
          <w:p>
            <w:pPr>
              <w:spacing w:after="0"/>
              <w:rPr>
                <w:sz w:val="18"/>
                <w:szCs w:val="18"/>
                <w:color w:val="auto"/>
              </w:rPr>
            </w:pPr>
          </w:p>
        </w:tc>
        <w:tc>
          <w:tcPr>
            <w:tcW w:w="8360" w:type="dxa"/>
            <w:vAlign w:val="bottom"/>
            <w:vMerge w:val="restart"/>
          </w:tcPr>
          <w:p>
            <w:pPr>
              <w:ind w:left="240"/>
              <w:spacing w:after="0"/>
              <w:rPr>
                <w:sz w:val="20"/>
                <w:szCs w:val="20"/>
                <w:color w:val="auto"/>
              </w:rPr>
            </w:pPr>
            <w:r>
              <w:rPr>
                <w:rFonts w:ascii="Arial" w:cs="Arial" w:eastAsia="Arial" w:hAnsi="Arial"/>
                <w:sz w:val="18"/>
                <w:szCs w:val="18"/>
                <w:color w:val="auto"/>
              </w:rPr>
              <w:t>608,282 shares of common stock (2)</w:t>
            </w:r>
          </w:p>
        </w:tc>
        <w:tc>
          <w:tcPr>
            <w:tcW w:w="0" w:type="dxa"/>
            <w:vAlign w:val="bottom"/>
          </w:tcPr>
          <w:p>
            <w:pPr>
              <w:spacing w:after="0"/>
              <w:rPr>
                <w:sz w:val="1"/>
                <w:szCs w:val="1"/>
                <w:color w:val="auto"/>
              </w:rPr>
            </w:pPr>
          </w:p>
        </w:tc>
      </w:tr>
      <w:tr>
        <w:trPr>
          <w:trHeight w:val="216"/>
        </w:trPr>
        <w:tc>
          <w:tcPr>
            <w:tcW w:w="1640" w:type="dxa"/>
            <w:vAlign w:val="bottom"/>
          </w:tcPr>
          <w:p>
            <w:pPr>
              <w:jc w:val="center"/>
              <w:ind w:right="670"/>
              <w:spacing w:after="0"/>
              <w:rPr>
                <w:sz w:val="20"/>
                <w:szCs w:val="20"/>
                <w:color w:val="auto"/>
              </w:rPr>
            </w:pPr>
            <w:r>
              <w:rPr>
                <w:rFonts w:ascii="Arial" w:cs="Arial" w:eastAsia="Arial" w:hAnsi="Arial"/>
                <w:sz w:val="18"/>
                <w:szCs w:val="18"/>
                <w:color w:val="auto"/>
                <w:w w:val="96"/>
              </w:rPr>
              <w:t>Beneficially</w:t>
            </w:r>
          </w:p>
        </w:tc>
        <w:tc>
          <w:tcPr>
            <w:tcW w:w="480" w:type="dxa"/>
            <w:vAlign w:val="bottom"/>
          </w:tcPr>
          <w:p>
            <w:pPr>
              <w:spacing w:after="0"/>
              <w:rPr>
                <w:sz w:val="18"/>
                <w:szCs w:val="18"/>
                <w:color w:val="auto"/>
              </w:rPr>
            </w:pPr>
          </w:p>
        </w:tc>
        <w:tc>
          <w:tcPr>
            <w:tcW w:w="8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640" w:type="dxa"/>
            <w:vAlign w:val="bottom"/>
            <w:vMerge w:val="restart"/>
          </w:tcPr>
          <w:p>
            <w:pPr>
              <w:jc w:val="center"/>
              <w:ind w:right="650"/>
              <w:spacing w:after="0"/>
              <w:rPr>
                <w:sz w:val="20"/>
                <w:szCs w:val="20"/>
                <w:color w:val="auto"/>
              </w:rPr>
            </w:pPr>
            <w:r>
              <w:rPr>
                <w:rFonts w:ascii="Arial" w:cs="Arial" w:eastAsia="Arial" w:hAnsi="Arial"/>
                <w:sz w:val="18"/>
                <w:szCs w:val="18"/>
                <w:color w:val="auto"/>
                <w:w w:val="91"/>
              </w:rPr>
              <w:t>Owned by</w:t>
            </w:r>
          </w:p>
        </w:tc>
        <w:tc>
          <w:tcPr>
            <w:tcW w:w="480" w:type="dxa"/>
            <w:vAlign w:val="bottom"/>
            <w:tcBorders>
              <w:bottom w:val="single" w:sz="8" w:color="auto"/>
            </w:tcBorders>
          </w:tcPr>
          <w:p>
            <w:pPr>
              <w:spacing w:after="0"/>
              <w:rPr>
                <w:sz w:val="10"/>
                <w:szCs w:val="10"/>
                <w:color w:val="auto"/>
              </w:rPr>
            </w:pPr>
          </w:p>
        </w:tc>
        <w:tc>
          <w:tcPr>
            <w:tcW w:w="83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640" w:type="dxa"/>
            <w:vAlign w:val="bottom"/>
            <w:vMerge w:val="continue"/>
          </w:tcPr>
          <w:p>
            <w:pPr>
              <w:spacing w:after="0"/>
              <w:rPr>
                <w:sz w:val="6"/>
                <w:szCs w:val="6"/>
                <w:color w:val="auto"/>
              </w:rPr>
            </w:pPr>
          </w:p>
        </w:tc>
        <w:tc>
          <w:tcPr>
            <w:tcW w:w="480" w:type="dxa"/>
            <w:vAlign w:val="bottom"/>
            <w:vMerge w:val="restart"/>
          </w:tcPr>
          <w:p>
            <w:pPr>
              <w:jc w:val="right"/>
              <w:ind w:right="170"/>
              <w:spacing w:after="0"/>
              <w:rPr>
                <w:sz w:val="20"/>
                <w:szCs w:val="20"/>
                <w:color w:val="auto"/>
              </w:rPr>
            </w:pPr>
            <w:r>
              <w:rPr>
                <w:rFonts w:ascii="Arial" w:cs="Arial" w:eastAsia="Arial" w:hAnsi="Arial"/>
                <w:sz w:val="18"/>
                <w:szCs w:val="18"/>
                <w:color w:val="auto"/>
              </w:rPr>
              <w:t>9.</w:t>
            </w:r>
          </w:p>
        </w:tc>
        <w:tc>
          <w:tcPr>
            <w:tcW w:w="8360" w:type="dxa"/>
            <w:vAlign w:val="bottom"/>
            <w:vMerge w:val="restart"/>
          </w:tcPr>
          <w:p>
            <w:pPr>
              <w:ind w:left="2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640" w:type="dxa"/>
            <w:vAlign w:val="bottom"/>
            <w:vMerge w:val="restart"/>
          </w:tcPr>
          <w:p>
            <w:pPr>
              <w:jc w:val="center"/>
              <w:ind w:right="670"/>
              <w:spacing w:after="0"/>
              <w:rPr>
                <w:sz w:val="20"/>
                <w:szCs w:val="20"/>
                <w:color w:val="auto"/>
              </w:rPr>
            </w:pPr>
            <w:r>
              <w:rPr>
                <w:rFonts w:ascii="Arial" w:cs="Arial" w:eastAsia="Arial" w:hAnsi="Arial"/>
                <w:sz w:val="18"/>
                <w:szCs w:val="18"/>
                <w:color w:val="auto"/>
                <w:w w:val="87"/>
              </w:rPr>
              <w:t>Each</w:t>
            </w:r>
          </w:p>
        </w:tc>
        <w:tc>
          <w:tcPr>
            <w:tcW w:w="480" w:type="dxa"/>
            <w:vAlign w:val="bottom"/>
            <w:vMerge w:val="continue"/>
          </w:tcPr>
          <w:p>
            <w:pPr>
              <w:spacing w:after="0"/>
              <w:rPr>
                <w:sz w:val="13"/>
                <w:szCs w:val="13"/>
                <w:color w:val="auto"/>
              </w:rPr>
            </w:pPr>
          </w:p>
        </w:tc>
        <w:tc>
          <w:tcPr>
            <w:tcW w:w="8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64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83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760" w:type="dxa"/>
        <w:tblCellMar>
          <w:top w:w="0" w:type="dxa"/>
          <w:left w:w="0" w:type="dxa"/>
          <w:bottom w:w="0" w:type="dxa"/>
          <w:right w:w="0" w:type="dxa"/>
        </w:tblCellMar>
      </w:tblPr>
      <w:tr>
        <w:trPr>
          <w:trHeight w:val="202"/>
        </w:trPr>
        <w:tc>
          <w:tcPr>
            <w:tcW w:w="1620" w:type="dxa"/>
            <w:vAlign w:val="bottom"/>
          </w:tcPr>
          <w:p>
            <w:pPr>
              <w:jc w:val="center"/>
              <w:ind w:right="650"/>
              <w:spacing w:after="0" w:line="201" w:lineRule="exact"/>
              <w:rPr>
                <w:sz w:val="20"/>
                <w:szCs w:val="20"/>
                <w:color w:val="auto"/>
              </w:rPr>
            </w:pPr>
            <w:r>
              <w:rPr>
                <w:rFonts w:ascii="Arial" w:cs="Arial" w:eastAsia="Arial" w:hAnsi="Arial"/>
                <w:sz w:val="18"/>
                <w:szCs w:val="18"/>
                <w:color w:val="auto"/>
                <w:w w:val="92"/>
              </w:rPr>
              <w:t>Reporting</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1620" w:type="dxa"/>
            <w:vAlign w:val="bottom"/>
            <w:vMerge w:val="restart"/>
          </w:tcPr>
          <w:p>
            <w:pPr>
              <w:jc w:val="center"/>
              <w:ind w:right="650"/>
              <w:spacing w:after="0"/>
              <w:rPr>
                <w:sz w:val="20"/>
                <w:szCs w:val="20"/>
                <w:color w:val="auto"/>
              </w:rPr>
            </w:pPr>
            <w:r>
              <w:rPr>
                <w:rFonts w:ascii="Arial" w:cs="Arial" w:eastAsia="Arial" w:hAnsi="Arial"/>
                <w:sz w:val="18"/>
                <w:szCs w:val="18"/>
                <w:color w:val="auto"/>
                <w:w w:val="89"/>
              </w:rPr>
              <w:t>Person With</w:t>
            </w: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6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3120" w:hanging="625"/>
        <w:spacing w:after="0"/>
        <w:tabs>
          <w:tab w:leader="none" w:pos="31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25" w:lineRule="exact"/>
        <w:rPr>
          <w:rFonts w:ascii="Arial" w:cs="Arial" w:eastAsia="Arial" w:hAnsi="Arial"/>
          <w:sz w:val="18"/>
          <w:szCs w:val="18"/>
          <w:color w:val="auto"/>
        </w:rPr>
      </w:pPr>
    </w:p>
    <w:p>
      <w:pPr>
        <w:ind w:left="3120"/>
        <w:spacing w:after="0"/>
        <w:rPr>
          <w:rFonts w:ascii="Arial" w:cs="Arial" w:eastAsia="Arial" w:hAnsi="Arial"/>
          <w:sz w:val="18"/>
          <w:szCs w:val="18"/>
          <w:color w:val="auto"/>
        </w:rPr>
      </w:pPr>
      <w:r>
        <w:rPr>
          <w:rFonts w:ascii="Arial" w:cs="Arial" w:eastAsia="Arial" w:hAnsi="Arial"/>
          <w:sz w:val="18"/>
          <w:szCs w:val="18"/>
          <w:color w:val="auto"/>
        </w:rPr>
        <w:t>608,282 shares of common stock (2)</w:t>
      </w:r>
    </w:p>
    <w:p>
      <w:pPr>
        <w:spacing w:after="0" w:line="171" w:lineRule="exact"/>
        <w:rPr>
          <w:rFonts w:ascii="Arial" w:cs="Arial" w:eastAsia="Arial" w:hAnsi="Arial"/>
          <w:sz w:val="18"/>
          <w:szCs w:val="18"/>
          <w:color w:val="auto"/>
        </w:rPr>
      </w:pPr>
    </w:p>
    <w:p>
      <w:pPr>
        <w:ind w:left="900" w:right="5540" w:hanging="795"/>
        <w:spacing w:after="0" w:line="52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608,282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-1090295</wp:posOffset>
            </wp:positionV>
            <wp:extent cx="561467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6146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-575945</wp:posOffset>
            </wp:positionV>
            <wp:extent cx="71323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100"/>
        <w:spacing w:after="0"/>
        <w:tabs>
          <w:tab w:leader="none" w:pos="880" w:val="left"/>
          <w:tab w:leader="none" w:pos="105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(see instructions)</w:t>
      </w:r>
      <w:r>
        <w:rPr>
          <w:sz w:val="20"/>
          <w:szCs w:val="20"/>
          <w:color w:val="auto"/>
        </w:rPr>
        <w:tab/>
      </w:r>
      <w:r>
        <w:rPr>
          <w:rFonts w:ascii="Arial" w:cs="Arial" w:eastAsia="Arial" w:hAnsi="Arial"/>
          <w:sz w:val="17"/>
          <w:szCs w:val="17"/>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900" w:right="6580" w:hanging="795"/>
        <w:spacing w:after="0" w:line="469" w:lineRule="auto"/>
        <w:tabs>
          <w:tab w:leader="none" w:pos="9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1.7% (3)</w:t>
      </w:r>
    </w:p>
    <w:p>
      <w:pPr>
        <w:spacing w:after="0" w:line="1" w:lineRule="exact"/>
        <w:rPr>
          <w:rFonts w:ascii="Arial" w:cs="Arial" w:eastAsia="Arial" w:hAnsi="Arial"/>
          <w:sz w:val="18"/>
          <w:szCs w:val="18"/>
          <w:color w:val="auto"/>
        </w:rPr>
      </w:pPr>
    </w:p>
    <w:p>
      <w:pPr>
        <w:ind w:left="900" w:hanging="795"/>
        <w:spacing w:after="0"/>
        <w:tabs>
          <w:tab w:leader="none" w:pos="9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260" w:hanging="252"/>
        <w:spacing w:after="0"/>
        <w:tabs>
          <w:tab w:leader="none" w:pos="2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This Schedule 13D is filed by the Reporting Persons. The Reporting Persons expressly disclaim status as a “group” for purposes of this Schedule 13D.</w:t>
      </w:r>
    </w:p>
    <w:p>
      <w:pPr>
        <w:spacing w:after="0" w:line="248" w:lineRule="exact"/>
        <w:rPr>
          <w:rFonts w:ascii="Arial" w:cs="Arial" w:eastAsia="Arial" w:hAnsi="Arial"/>
          <w:sz w:val="16"/>
          <w:szCs w:val="16"/>
          <w:color w:val="auto"/>
        </w:rPr>
      </w:pPr>
    </w:p>
    <w:p>
      <w:pPr>
        <w:ind w:right="80" w:firstLine="8"/>
        <w:spacing w:after="0" w:line="277" w:lineRule="auto"/>
        <w:tabs>
          <w:tab w:leader="none" w:pos="252"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These shares are held by Vantage LP. Vantage LLC is the general partner of Vantage GP, which is the general partner of Vantage LP. Vantage LLC and Vantage GP share voting and dispositive power over the shares held by Vantage LP.</w:t>
      </w:r>
    </w:p>
    <w:p>
      <w:pPr>
        <w:spacing w:after="0" w:line="170" w:lineRule="exact"/>
        <w:rPr>
          <w:rFonts w:ascii="Arial" w:cs="Arial" w:eastAsia="Arial" w:hAnsi="Arial"/>
          <w:sz w:val="18"/>
          <w:szCs w:val="18"/>
          <w:color w:val="auto"/>
        </w:rPr>
      </w:pPr>
    </w:p>
    <w:p>
      <w:pPr>
        <w:ind w:right="120" w:firstLine="8"/>
        <w:spacing w:after="0" w:line="291" w:lineRule="auto"/>
        <w:tabs>
          <w:tab w:leader="none" w:pos="252"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This percentage is calculated based upon 36,668,085 shares of common stock outstanding of Repare Therapeutics Inc. (the “Issuer”), as set forth in the Issuer’s Rule 424(b)(4) Prospectus filed with the Securities and Exchange Commission (“SEC”) on June 19, 2020 and giving effect to the</w:t>
      </w:r>
    </w:p>
    <w:p>
      <w:pPr>
        <w:spacing w:after="0"/>
        <w:rPr>
          <w:rFonts w:ascii="Arial" w:cs="Arial" w:eastAsia="Arial" w:hAnsi="Arial"/>
          <w:sz w:val="16"/>
          <w:szCs w:val="16"/>
          <w:color w:val="auto"/>
        </w:rPr>
      </w:pPr>
      <w:r>
        <w:rPr>
          <w:rFonts w:ascii="Arial" w:cs="Arial" w:eastAsia="Arial" w:hAnsi="Arial"/>
          <w:sz w:val="18"/>
          <w:szCs w:val="18"/>
          <w:color w:val="auto"/>
        </w:rPr>
        <w:t>additional 1,650,000 shares of common stock issued and sold by the Issuer to the underwriters pursuant to the underwriters’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-1382395</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-1896745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-2411095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-1167765</wp:posOffset>
            </wp:positionV>
            <wp:extent cx="18002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Arial" w:cs="Arial" w:eastAsia="Arial" w:hAnsi="Arial"/>
                <w:sz w:val="18"/>
                <w:szCs w:val="18"/>
                <w:b w:val="1"/>
                <w:bCs w:val="1"/>
                <w:color w:val="auto"/>
              </w:rPr>
              <w:t>CUSIP No. 760273102</w:t>
            </w:r>
          </w:p>
        </w:tc>
        <w:tc>
          <w:tcPr>
            <w:tcW w:w="2180" w:type="dxa"/>
            <w:vAlign w:val="bottom"/>
          </w:tcPr>
          <w:p>
            <w:pPr>
              <w:ind w:left="1880"/>
              <w:spacing w:after="0"/>
              <w:rPr>
                <w:sz w:val="20"/>
                <w:szCs w:val="20"/>
                <w:color w:val="auto"/>
              </w:rPr>
            </w:pPr>
            <w:r>
              <w:rPr>
                <w:rFonts w:ascii="Arial" w:cs="Arial" w:eastAsia="Arial" w:hAnsi="Arial"/>
                <w:sz w:val="18"/>
                <w:szCs w:val="18"/>
                <w:color w:val="auto"/>
                <w:w w:val="84"/>
              </w:rPr>
              <w:t>13D</w:t>
            </w:r>
          </w:p>
        </w:tc>
      </w:tr>
    </w:tbl>
    <w:p>
      <w:pPr>
        <w:spacing w:after="0" w:line="198"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 xml:space="preserve">Explanatory Note: </w:t>
      </w:r>
      <w:r>
        <w:rPr>
          <w:rFonts w:ascii="Arial" w:cs="Arial" w:eastAsia="Arial" w:hAnsi="Arial"/>
          <w:sz w:val="18"/>
          <w:szCs w:val="18"/>
          <w:color w:val="auto"/>
        </w:rPr>
        <w:t>This 13D relates to shares of Common Stock, $0.001 par value per share (“Common Stock”), of Repare Therapeutics Inc.,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(the “Issuer”).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This Schedule 13D (the “Statement”) relates to the common stock, par value $0.001 per share (the “Shares”) of Repare Therapeutics Inc., a corporation organized under the Business Corporations Act (Quèbec) (the “Issuer”), with its principal executive offices located at 7210 Frederick-Banting, Suite 100, Montrèal, Quèbec, Canada H4S 2A1. The Shares are listed on the NASDAQ Global Market under the ticker symbol “RPTX” . Information given in response to each item shall be deemed incorporated by reference in all other items, as applicable.</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June 12, 2020, the Issuer effected a reverse stock-split at a ratio of 1-for-6.062 (the “Reverse Stock Split”). References in this Schedule 13D to numbers of Shares and exercise prices give effect to the Reverse Stock Split.</w:t>
      </w:r>
    </w:p>
    <w:p>
      <w:pPr>
        <w:spacing w:after="0" w:line="170"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On June 23, 2020, the Issuer completed its initial public offering pursuant to which the Issuer agreed to issue and sell an aggregate of 11,000,000 Shares (the “IPO”). In addition, the Issuer granted the underwriters an option to purchase, at the public offering price less any underwriting discounts and commissions, up to an additional 1,650,000 Shares. The price to the public for each Share was $20.00. As a result of the IPO, and the underwriters’ exercise of their option to purchase additional Shares, the total number of outstanding Shares following the IPO was 36,668,085.</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Schedule 13D is filed by Versant Venture Capital V, L.P. (“VVC V”), Versant Affiliates Fund V, L.P. (“VAF V”), Versant Ophthalmic Affiliates Fund I, L.P. (“VOA”), Versant Ventures V, LLC (“VV V”), Versant Venture Capital VI, L.P. (“Versant VI”), Versant Ventures VI GP, L.P. (“GP VI”), Versant Ventures VI GP-GP, LLC (“LLC VI”), Versant Vantage I, L.P. (“Vantage LP”), Versant Vantage I GP, L.P. (“Vantage GP”), Versant Vantage I GP-GP, LLC (“Vantage LLC”), Versant Ventures V GP-GP (Canada), Inc. (“VV V CAN GP”), Versant Ventures V (Canada), L.P. (“VV V CAN”), Versant Venture Capital V (Canada) LP (“VVC CAN” and, with VV V CAN GP, Vantage LLC, VVC V, VAF V, VOA, VV V CAN, VV V, Versant VI, GP VI, LLC VI, Vantage LP and Vantage GP, collectively, the “Reporting Persons”). VV V is the sole general partner of VVC V, VAF V and VOA. LLC VI is the general partner of GP VI, which is the general partner of Versant VI. LLC VI and GP VI share voting and dispositive power over the shares held by Versant VI. Vantage LLC is the general partner of Vantage GP, which is the general partner of Vantage LP. Vantage LLC and Vantage GP share voting and dispositive power over the shares held by Vantage LP. VV V CAN GP is the sole general partner of VV V CAN, and VV V CAN is the sole general partner of VVC CAN. VV V CAN GP and VV V CAN share voting and dispositive power over the shares held by VVC CAN. The Reporting Persons expressly disclaim status as a “group” for purposes of this Schedule 13D.</w:t>
      </w:r>
    </w:p>
    <w:p>
      <w:pPr>
        <w:spacing w:after="0" w:line="182" w:lineRule="exact"/>
        <w:rPr>
          <w:sz w:val="20"/>
          <w:szCs w:val="20"/>
          <w:color w:val="auto"/>
        </w:rPr>
      </w:pPr>
    </w:p>
    <w:p>
      <w:pPr>
        <w:ind w:right="780" w:firstLine="8"/>
        <w:spacing w:after="0" w:line="277" w:lineRule="auto"/>
        <w:tabs>
          <w:tab w:leader="none" w:pos="694"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principal business and principal business office of the Reporting Persons is Versant Ventures, One Sansome Street, Suite 3630, San Francisco, CA 94104.</w:t>
      </w:r>
    </w:p>
    <w:p>
      <w:pPr>
        <w:spacing w:after="0" w:line="170" w:lineRule="exact"/>
        <w:rPr>
          <w:sz w:val="20"/>
          <w:szCs w:val="20"/>
          <w:color w:val="auto"/>
        </w:rPr>
      </w:pPr>
    </w:p>
    <w:p>
      <w:pPr>
        <w:ind w:left="700" w:hanging="692"/>
        <w:spacing w:after="0"/>
        <w:tabs>
          <w:tab w:leader="none" w:pos="7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principal business of the Reporting Persons is venture capital investments.</w:t>
      </w:r>
    </w:p>
    <w:p>
      <w:pPr>
        <w:spacing w:after="0" w:line="225" w:lineRule="exact"/>
        <w:rPr>
          <w:rFonts w:ascii="Arial" w:cs="Arial" w:eastAsia="Arial" w:hAnsi="Arial"/>
          <w:sz w:val="18"/>
          <w:szCs w:val="18"/>
          <w:color w:val="auto"/>
        </w:rPr>
      </w:pPr>
    </w:p>
    <w:p>
      <w:pPr>
        <w:ind w:right="440" w:firstLine="8"/>
        <w:spacing w:after="0" w:line="277" w:lineRule="auto"/>
        <w:tabs>
          <w:tab w:leader="none" w:pos="705" w:val="left"/>
        </w:tabs>
        <w:numPr>
          <w:ilvl w:val="0"/>
          <w:numId w:val="94"/>
        </w:numPr>
        <w:rPr>
          <w:rFonts w:ascii="Arial" w:cs="Arial" w:eastAsia="Arial" w:hAnsi="Arial"/>
          <w:sz w:val="18"/>
          <w:szCs w:val="18"/>
          <w:color w:val="auto"/>
        </w:rPr>
      </w:pPr>
      <w:r>
        <w:rPr>
          <w:rFonts w:ascii="Arial" w:cs="Arial" w:eastAsia="Arial" w:hAnsi="Arial"/>
          <w:sz w:val="18"/>
          <w:szCs w:val="18"/>
          <w:color w:val="auto"/>
        </w:rPr>
        <w:t>During the last five years, none of the Reporting Persons has been convicted in a criminal proceeding (excluding traffic violations or similar misdemeanors).</w:t>
      </w:r>
    </w:p>
    <w:p>
      <w:pPr>
        <w:spacing w:after="0" w:line="170" w:lineRule="exact"/>
        <w:rPr>
          <w:rFonts w:ascii="Arial" w:cs="Arial" w:eastAsia="Arial" w:hAnsi="Arial"/>
          <w:sz w:val="18"/>
          <w:szCs w:val="18"/>
          <w:color w:val="auto"/>
        </w:rPr>
      </w:pPr>
    </w:p>
    <w:p>
      <w:pPr>
        <w:ind w:right="220" w:firstLine="8"/>
        <w:spacing w:after="0" w:line="263" w:lineRule="auto"/>
        <w:tabs>
          <w:tab w:leader="none" w:pos="695" w:val="left"/>
        </w:tabs>
        <w:numPr>
          <w:ilvl w:val="0"/>
          <w:numId w:val="94"/>
        </w:numPr>
        <w:rPr>
          <w:rFonts w:ascii="Arial" w:cs="Arial" w:eastAsia="Arial" w:hAnsi="Arial"/>
          <w:sz w:val="18"/>
          <w:szCs w:val="18"/>
          <w:color w:val="auto"/>
        </w:rPr>
      </w:pPr>
      <w:r>
        <w:rPr>
          <w:rFonts w:ascii="Arial" w:cs="Arial" w:eastAsia="Arial" w:hAnsi="Arial"/>
          <w:sz w:val="18"/>
          <w:szCs w:val="18"/>
          <w:color w:val="auto"/>
        </w:rPr>
        <w:t>During the last five years, none of the Reporting Persons was a party to a civil proceeding of a judicial of administrative body of competent jurisdiction or were subject to a judgment, decree or final order enjoining future violations of, or prohibiting or mandating activities subject to, federal or state securities laws or finding any violation with respect to such laws.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(f) Each of the Reporting Persons is incorporated in the state of Delaware.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Prior to the Issuer’s initial public offering (the “IPO”) the Reporting Persons purchased from the Issuer in a series of private transactions, 4,784,605 shares of the Issuer’s Class A Preferred Stock and 1,460,744 shares of the Issuer’s Class B Preferred Stock for an approximate aggregate purchase price of $30.6 million. Upon closing of the IPO, the shares of Class A Preferred Stock and Class B Preferred Stock held by the Reporting Persons automatically converted into shares of Common Stock of the Issuer on a 1-to-1 basis, resulting in the Reporting Persons holding a total of 6,987,679 shares of Common Stock before giving effect to purchases in the IPO. In addition, at the time of the IPO, Vantage LP purchased an aggregate of 150,000 shares of Common Stock of the Issuer at the IPO price of $20.00 per share and VVC VI purchased an aggregate of 100,000 shares of Common Stock of the Issuer at the IPO price of $20.00. The Reporting Persons hold an aggregate of 7,237,679 shares of Common Stock of the Issuer as of June 23, 2020.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Reporting Persons purchased the aforementioned securities for investment purposes with the aim of increasing the value of their investments and the Issuer. Subject to applicable legal requirements, one or more of the Reporting Persons may purchase additional securities of the Issuer from time to time in open market or private transactions, depending on its evaluation of the Issuer’s business, prospects and financial condition, the market for the Issuer’s securities, other developments concerning the Issuer, the reaction of the Issuer to the Reporting Persons’ ownership of the Issuer’s securities, other opportunities available to the Reporting Persons, and general economic, money market and stock market conditions. In addition, depending upon the factors referred to above, the Reporting Persons may dispose of all or a portion of their securities of the Issuer at any time. Each of the Reporting Persons reserve the right to increase or decrease its holdings on such terms and at such times as each may decide</w:t>
      </w:r>
      <w:r>
        <w:rPr>
          <w:rFonts w:ascii="Arial" w:cs="Arial" w:eastAsia="Arial" w:hAnsi="Arial"/>
          <w:sz w:val="16"/>
          <w:szCs w:val="16"/>
          <w:b w:val="1"/>
          <w:bCs w:val="1"/>
          <w:color w:val="auto"/>
        </w:rPr>
        <w:t>.</w:t>
      </w:r>
    </w:p>
    <w:p>
      <w:pPr>
        <w:spacing w:after="0" w:line="166"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Except as set forth in this Item 4 and Item 6 below, none of the Reporting Persons have a present plan or proposal that relates to or would result in any of the actions specified in clauses (a) through (j) of Item 4 of Schedule 13D of the Act. However, each of the Reporting Persons reserves the right to propose or participate in future transactions which may result in one or more of such actions, including but not limited to, an extraordinary corporate transaction, such as a merger, reorganization or liquidation, sale of a material amount of assets of the Issuer or its subsidiaries, or other transactions which might have the effect of causing the Common Stock to become eligible for termination of registration under Section 12(g) of the Securities Exchange Act of 1934 (the “Act”). The Reporting Persons also retain the right to change their investment intent at any time, to acquire additional shares of Common Stock or other securities of the Issuer from time to time, or to sell or otherwise dispose of all or part of the Common Stock beneficially owned by them (or any shares of Common Stock into which such securities are converted) in any manner permitted by law. The Reporting Persons may engage from time to time in ordinary course transactions with financial institutions with respect to the securities described herein.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following information with respect to the ownership of the Common Stock of the Issuer by the persons filing this statement on Schedule 13D is provided as of June 19, 2020. The Reporting Persons collectively beneficially own an aggregate of 7,237,679 shares of the Common Stock of the Issuer, representing 19.7% of the outstanding Common Stock as of June 23, 2020: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Shares Held</w:t>
            </w: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Sole Voting</w:t>
            </w:r>
          </w:p>
        </w:tc>
        <w:tc>
          <w:tcPr>
            <w:tcW w:w="134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Shared</w:t>
            </w: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Sole</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Shared</w:t>
            </w: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Beneficial</w:t>
            </w: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8"/>
        </w:trPr>
        <w:tc>
          <w:tcPr>
            <w:tcW w:w="1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Reporting Persons</w:t>
            </w:r>
          </w:p>
        </w:tc>
        <w:tc>
          <w:tcPr>
            <w:tcW w:w="136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40" w:type="dxa"/>
            <w:vAlign w:val="bottom"/>
            <w:gridSpan w:val="2"/>
          </w:tcPr>
          <w:p>
            <w:pPr>
              <w:ind w:left="360"/>
              <w:spacing w:after="0" w:line="149" w:lineRule="exact"/>
              <w:rPr>
                <w:sz w:val="20"/>
                <w:szCs w:val="20"/>
                <w:color w:val="auto"/>
              </w:rPr>
            </w:pPr>
            <w:r>
              <w:rPr>
                <w:rFonts w:ascii="Arial" w:cs="Arial" w:eastAsia="Arial" w:hAnsi="Arial"/>
                <w:sz w:val="14"/>
                <w:szCs w:val="14"/>
                <w:b w:val="1"/>
                <w:bCs w:val="1"/>
                <w:color w:val="auto"/>
              </w:rPr>
              <w:t>Voting</w:t>
            </w: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Dispositive</w:t>
            </w: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Dispositive</w:t>
            </w:r>
          </w:p>
        </w:tc>
        <w:tc>
          <w:tcPr>
            <w:tcW w:w="134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20" w:type="dxa"/>
            <w:vAlign w:val="bottom"/>
            <w:gridSpan w:val="2"/>
            <w:vMerge w:val="continue"/>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Directly</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Power</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Power(1)</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Power</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Power (1)</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Ownership</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of Class (2)</w:t>
            </w:r>
          </w:p>
        </w:tc>
        <w:tc>
          <w:tcPr>
            <w:tcW w:w="0" w:type="dxa"/>
            <w:vAlign w:val="bottom"/>
          </w:tcPr>
          <w:p>
            <w:pPr>
              <w:spacing w:after="0"/>
              <w:rPr>
                <w:sz w:val="1"/>
                <w:szCs w:val="1"/>
                <w:color w:val="auto"/>
              </w:rPr>
            </w:pPr>
          </w:p>
        </w:tc>
      </w:tr>
      <w:tr>
        <w:trPr>
          <w:trHeight w:val="142"/>
        </w:trPr>
        <w:tc>
          <w:tcPr>
            <w:tcW w:w="1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VVC V</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2,817,021</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2,817,021</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2,817,021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2,817,021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VAF V</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84,737</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84,737</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84,737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84,737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VOA</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93,798</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93,798</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93,798</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93,798</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VV V</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2,995,556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2,995,556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2,995,556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VVC CAN</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214,390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214,390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214,390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214,390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VV V CAN</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214,390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214,390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214,390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VV V CAN GP</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214,390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214,390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214,390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Versant VI</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3,419,451</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3,419,451</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3,419,451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3,419,451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GP VI</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3,419,451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3,419,451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3,419,451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LLC VI</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3,419,451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3,419,451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3,419,451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Vantage LP</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608,282</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608,282</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608,282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608,282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Vantage GP</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608,282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608,282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608,282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Vantage LLC</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608,282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608,282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608,282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002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0" w:hanging="332"/>
        <w:spacing w:after="0" w:line="257" w:lineRule="auto"/>
        <w:tabs>
          <w:tab w:leader="none" w:pos="347" w:val="left"/>
        </w:tabs>
        <w:numPr>
          <w:ilvl w:val="0"/>
          <w:numId w:val="95"/>
        </w:numPr>
        <w:rPr>
          <w:rFonts w:ascii="Arial" w:cs="Arial" w:eastAsia="Arial" w:hAnsi="Arial"/>
          <w:sz w:val="18"/>
          <w:szCs w:val="18"/>
          <w:color w:val="auto"/>
        </w:rPr>
      </w:pPr>
      <w:r>
        <w:rPr>
          <w:rFonts w:ascii="Arial" w:cs="Arial" w:eastAsia="Arial" w:hAnsi="Arial"/>
          <w:sz w:val="18"/>
          <w:szCs w:val="18"/>
          <w:color w:val="auto"/>
        </w:rPr>
        <w:t>VVC V is the general partner of VAF V, VOA. LLC VI is the general partner of GP VI, which is the general partner of Versant VI. LLC VI and GP VI share voting and dispositive power over the shares held by Versant VI. Vantage LLC is the general partner of Vantage GP, which is the general partner of Vantage LP. Vantage LLC and Vantage GP share voting and dispositive power over the shares held by Vantage LP. VV V CAN GP is the sole general partner of VV V CAN, which is the sole general partner of VVC CAN, VV V CAN GP AND VV V CAN share voting and dispositive power over the shares held by VVC CAN.</w:t>
      </w:r>
    </w:p>
    <w:p>
      <w:pPr>
        <w:spacing w:after="0" w:line="187" w:lineRule="exact"/>
        <w:rPr>
          <w:rFonts w:ascii="Arial" w:cs="Arial" w:eastAsia="Arial" w:hAnsi="Arial"/>
          <w:sz w:val="18"/>
          <w:szCs w:val="18"/>
          <w:color w:val="auto"/>
        </w:rPr>
      </w:pPr>
    </w:p>
    <w:p>
      <w:pPr>
        <w:ind w:left="340" w:right="40" w:hanging="332"/>
        <w:spacing w:after="0" w:line="286" w:lineRule="auto"/>
        <w:tabs>
          <w:tab w:leader="none" w:pos="347"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This percentage is calculated based upon 36,668,085 shares of common stock outstanding of Repare Therapeutics Inc. (the “</w:t>
      </w:r>
      <w:r>
        <w:rPr>
          <w:rFonts w:ascii="Arial" w:cs="Arial" w:eastAsia="Arial" w:hAnsi="Arial"/>
          <w:sz w:val="17"/>
          <w:szCs w:val="17"/>
          <w:u w:val="single" w:color="auto"/>
          <w:color w:val="auto"/>
        </w:rPr>
        <w:t>Issuer</w:t>
      </w:r>
      <w:r>
        <w:rPr>
          <w:rFonts w:ascii="Arial" w:cs="Arial" w:eastAsia="Arial" w:hAnsi="Arial"/>
          <w:sz w:val="17"/>
          <w:szCs w:val="17"/>
          <w:color w:val="auto"/>
        </w:rPr>
        <w:t>”), as set forth in the Issuer’s Rule 424(b)(4) Prospectus filed with the Securities and Exchange Commission (“</w:t>
      </w:r>
      <w:r>
        <w:rPr>
          <w:rFonts w:ascii="Arial" w:cs="Arial" w:eastAsia="Arial" w:hAnsi="Arial"/>
          <w:sz w:val="17"/>
          <w:szCs w:val="17"/>
          <w:u w:val="single" w:color="auto"/>
          <w:color w:val="auto"/>
        </w:rPr>
        <w:t>SEC</w:t>
      </w:r>
      <w:r>
        <w:rPr>
          <w:rFonts w:ascii="Arial" w:cs="Arial" w:eastAsia="Arial" w:hAnsi="Arial"/>
          <w:sz w:val="17"/>
          <w:szCs w:val="17"/>
          <w:color w:val="auto"/>
        </w:rPr>
        <w:t>”) on June 19, 2020 and giving effect to the additional 1,650,000 shares of common stock issued and sold by the Issuer to the underwriters pursuant to the underwriters’ option.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ind w:left="380" w:hanging="372"/>
        <w:spacing w:after="0"/>
        <w:tabs>
          <w:tab w:leader="none" w:pos="3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Except as set forth herein, none of the Reporting Persons has effected any transactions in shares of the Issuer’s Common Stock during the last 60 days.</w:t>
      </w:r>
    </w:p>
    <w:p>
      <w:pPr>
        <w:spacing w:after="0" w:line="248" w:lineRule="exact"/>
        <w:rPr>
          <w:rFonts w:ascii="Arial" w:cs="Arial" w:eastAsia="Arial" w:hAnsi="Arial"/>
          <w:sz w:val="16"/>
          <w:szCs w:val="16"/>
          <w:color w:val="auto"/>
        </w:rPr>
      </w:pPr>
    </w:p>
    <w:p>
      <w:pPr>
        <w:ind w:right="60" w:firstLine="8"/>
        <w:spacing w:after="0" w:line="277" w:lineRule="auto"/>
        <w:tabs>
          <w:tab w:leader="none" w:pos="390"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 other person is known to have the right to receive or the power to direct the receipt of dividends from, or any proceeds from the sale of, the shares of Common Stock beneficially owned by any of the Reporting Persons.</w:t>
      </w:r>
    </w:p>
    <w:p>
      <w:pPr>
        <w:spacing w:after="0" w:line="170" w:lineRule="exact"/>
        <w:rPr>
          <w:rFonts w:ascii="Arial" w:cs="Arial" w:eastAsia="Arial" w:hAnsi="Arial"/>
          <w:sz w:val="18"/>
          <w:szCs w:val="18"/>
          <w:color w:val="auto"/>
        </w:rPr>
      </w:pPr>
    </w:p>
    <w:p>
      <w:pPr>
        <w:ind w:left="440" w:hanging="432"/>
        <w:spacing w:after="0"/>
        <w:tabs>
          <w:tab w:leader="none" w:pos="4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Contracts, Arrangements, Understandings or Relationships with Respect to Securities of the Issuer.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Reporting Persons and certain other stockholders of the Issuer entered into an Amended and Restated Registration Rights Agreement with the Issuer (the “</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dated as of September 3, 2019. Pursuant to the Registration Rights Agreement and subject to the terms and conditions therein, the parties agreed that: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Demand Registration Rights</w:t>
      </w:r>
    </w:p>
    <w:p>
      <w:pPr>
        <w:spacing w:after="0" w:line="22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At any time beginning six months following the date of the completion of the IPO, the holders of at least a majority of the registrable securities then outstanding of the Issuer may make a written request that the Issuer register some or all of their registrable securities, subject to certain specified conditions and exceptions, including that the aggregated gross offering price of such offering must exceed $50 million. The Issuer is required to use commercially reasonable efforts to effect the registration and will pay all registration expenses, other than underwriting discounts and commissions, related to any demand registration. The Issuer is not obligated to effect more than two of these registrations.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Piggyback Registration Rights</w:t>
      </w:r>
    </w:p>
    <w:p>
      <w:pPr>
        <w:spacing w:after="0" w:line="22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Whenever the Issuer proposes to file a registration statement under the Securities Act, including a registration statement on Form S-3 as discussed below, other than with respect to a demand registration or a registration statement on Forms S-4 or S-8, the Reporting Persons will be entitled to notice of the registration and have the right, subject to limitations that the underwriters may impose on the number of Shares included in the registration, to include the Shares held by the Reporting Persons in the registration.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 S-3 Registration Rights</w:t>
      </w:r>
    </w:p>
    <w:p>
      <w:pPr>
        <w:spacing w:after="0" w:line="225"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Pursuant to the Registration Rights Agreement, at any time after the Issuer is qualified to file a registration statement on Form S-3 under the Securities Act, and subject to limitations and conditions specified in the Registration Rights Agreement, any holder of the registrable securities then outstanding may make a written request that the Issuer prepare and file a registration statement on Form S-3 covering their Shares, so long as the aggregate price to the public equal or exceeds $5,000,000. The Issuer is not obligated to effect more than two of these Form S-3 registrations in any 12-month period.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connection with the IPO, the Reporting Persons and certain other stockholders entered into Lock-Up Agreements with the Issuer’s underwriters.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their Lock-Up Agreements, the Reporting Persons agreed that they will not, during the period ending 180 days after the date of the IPO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Lock-Up Period</w:t>
      </w:r>
      <w:r>
        <w:rPr>
          <w:rFonts w:ascii="Arial" w:cs="Arial" w:eastAsia="Arial" w:hAnsi="Arial"/>
          <w:sz w:val="16"/>
          <w:szCs w:val="16"/>
          <w:color w:val="auto"/>
        </w:rPr>
        <w:t>” ), directly or indirectly (1) sell, assign, transfer, pledge, contract to sell, or otherwise dispose of, any Shares or securities convertible into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exercisable or exchangeable for Shares with respect to which the Reporting Persons have or acquires the power of disposition or (2) enter into any swap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 other agreement that transfers, in whole or in part, the economic risk of ownership of any such Shares.</w:t>
      </w:r>
    </w:p>
    <w:p>
      <w:pPr>
        <w:spacing w:after="0" w:line="21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After the Lock-Up Period expires, the Reporting Persons’ Shares will be eligible for sale in the public market, subject to any applicable limitations under Rule 144 under the Securities Act, and other applicable U.S. securities laws.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8" w:name="page19"/>
    <w:bookmarkEnd w:id="18"/>
    <w:p>
      <w:pPr>
        <w:ind w:firstLine="324"/>
        <w:spacing w:after="0" w:line="263" w:lineRule="auto"/>
        <w:rPr>
          <w:sz w:val="20"/>
          <w:szCs w:val="20"/>
          <w:color w:val="auto"/>
        </w:rPr>
      </w:pPr>
      <w:r>
        <w:rPr>
          <w:rFonts w:ascii="Arial" w:cs="Arial" w:eastAsia="Arial" w:hAnsi="Arial"/>
          <w:sz w:val="18"/>
          <w:szCs w:val="18"/>
          <w:color w:val="auto"/>
        </w:rPr>
        <w:t>The foregoing description of the Registration Rights Agreement and the Lock-Up Agreement does not purport to be complete and are qualified in their entirety by reference to the full text of the Registration Rights Agreement and Lock-Up Agreement, which are filed as Exhibits 2 and 3 and incorporated herein by reference.</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Materials to be Filed as Exhibits.</w:t>
      </w:r>
    </w:p>
    <w:p>
      <w:pPr>
        <w:spacing w:after="0" w:line="22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6"/>
          <w:szCs w:val="16"/>
          <w:color w:val="auto"/>
        </w:rPr>
        <w:t>Joint Filing Agreement as required by Rule 13d-1(k)(1) under the Securities Exchange Act of 1934, as amended.</w:t>
      </w:r>
    </w:p>
    <w:p>
      <w:pPr>
        <w:spacing w:after="0" w:line="225" w:lineRule="exact"/>
        <w:rPr>
          <w:sz w:val="20"/>
          <w:szCs w:val="20"/>
          <w:color w:val="auto"/>
        </w:rPr>
      </w:pPr>
    </w:p>
    <w:p>
      <w:pPr>
        <w:ind w:left="1480" w:right="160" w:hanging="1470"/>
        <w:spacing w:after="0" w:line="263" w:lineRule="auto"/>
        <w:tabs>
          <w:tab w:leader="none" w:pos="1460" w:val="left"/>
        </w:tabs>
        <w:rPr>
          <w:sz w:val="20"/>
          <w:szCs w:val="20"/>
          <w:color w:val="auto"/>
        </w:rPr>
      </w:pPr>
      <w:r>
        <w:rPr>
          <w:rFonts w:ascii="Arial" w:cs="Arial" w:eastAsia="Arial" w:hAnsi="Arial"/>
          <w:sz w:val="18"/>
          <w:szCs w:val="18"/>
          <w:color w:val="auto"/>
        </w:rPr>
        <w:t>Exhibit 2:</w:t>
      </w:r>
      <w:r>
        <w:rPr>
          <w:sz w:val="20"/>
          <w:szCs w:val="20"/>
          <w:color w:val="auto"/>
        </w:rPr>
        <w:tab/>
      </w:r>
      <w:r>
        <w:rPr>
          <w:rFonts w:ascii="Arial" w:cs="Arial" w:eastAsia="Arial" w:hAnsi="Arial"/>
          <w:sz w:val="18"/>
          <w:szCs w:val="18"/>
          <w:color w:val="auto"/>
        </w:rPr>
        <w:t>Amended and Restated Registration Rights Agreement by and among the Issuer and each of the persons listed on Schedules A and B thereto, dated as of September 3, 2019 (incorporated by reference to Exhibit 4.2 to the Issuer’s Registration Statement on Form S-1 (SEC 333-238822), filed with the SEC on May 29, 2020).</w:t>
      </w:r>
    </w:p>
    <w:p>
      <w:pPr>
        <w:spacing w:after="0" w:line="184" w:lineRule="exact"/>
        <w:rPr>
          <w:sz w:val="20"/>
          <w:szCs w:val="20"/>
          <w:color w:val="auto"/>
        </w:rPr>
      </w:pPr>
    </w:p>
    <w:p>
      <w:pPr>
        <w:ind w:left="1480" w:right="580" w:hanging="1470"/>
        <w:spacing w:after="0" w:line="277" w:lineRule="auto"/>
        <w:tabs>
          <w:tab w:leader="none" w:pos="1460" w:val="left"/>
        </w:tabs>
        <w:rPr>
          <w:sz w:val="20"/>
          <w:szCs w:val="20"/>
          <w:color w:val="auto"/>
        </w:rPr>
      </w:pPr>
      <w:r>
        <w:rPr>
          <w:rFonts w:ascii="Arial" w:cs="Arial" w:eastAsia="Arial" w:hAnsi="Arial"/>
          <w:sz w:val="18"/>
          <w:szCs w:val="18"/>
          <w:color w:val="auto"/>
        </w:rPr>
        <w:t>Exhibit 3:</w:t>
      </w:r>
      <w:r>
        <w:rPr>
          <w:sz w:val="20"/>
          <w:szCs w:val="20"/>
          <w:color w:val="auto"/>
        </w:rPr>
        <w:tab/>
      </w:r>
      <w:r>
        <w:rPr>
          <w:rFonts w:ascii="Arial" w:cs="Arial" w:eastAsia="Arial" w:hAnsi="Arial"/>
          <w:sz w:val="18"/>
          <w:szCs w:val="18"/>
          <w:color w:val="auto"/>
        </w:rPr>
        <w:t>Form of Lock-Up Agreement filed as Exhibit A to Exhibit 1.1 to the Issuer’s Registration Statement on Form S-1/A (SEC 333-238822), filed with the SEC on June 15, 2020).</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9" w:name="page20"/>
    <w:bookmarkEnd w:id="19"/>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July 6,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 Capital V,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Versant Ventures 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14605</wp:posOffset>
            </wp:positionV>
            <wp:extent cx="332613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Robin L. Praeger, Managing Director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Affiliates Fund V,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Versant Ventures 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14605</wp:posOffset>
            </wp:positionV>
            <wp:extent cx="332613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Robin L. Praeger, Managing Director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Ophthalmic Affiliates Fund 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Versant Ventures 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14605</wp:posOffset>
            </wp:positionV>
            <wp:extent cx="332613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Robin L. Praeger, Managing Director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Ventures V, LLC</w:t>
      </w:r>
    </w:p>
    <w:p>
      <w:pPr>
        <w:spacing w:after="0" w:line="22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14605</wp:posOffset>
            </wp:positionV>
            <wp:extent cx="332613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Robin L. Praeger, Managing Director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 Capital V (Canada)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Versant Ventures V (Canada),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Versant Ventures V GP-GP (Canada),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14605</wp:posOffset>
            </wp:positionV>
            <wp:extent cx="332613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Robin L. Praeger, Director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Ventures V GP-GP (Canada), Inc.</w:t>
      </w:r>
    </w:p>
    <w:p>
      <w:pPr>
        <w:spacing w:after="0" w:line="22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14605</wp:posOffset>
            </wp:positionV>
            <wp:extent cx="332613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Robin L. Praeger, Director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Ventures V (Canada),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Versant Ventures V GP-GP (Canada),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14605</wp:posOffset>
            </wp:positionV>
            <wp:extent cx="332613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Robin L. Praeger, Director</w:t>
      </w:r>
    </w:p>
    <w:p>
      <w:pPr>
        <w:spacing w:after="0" w:line="2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60"/>
          </w:cols>
          <w:pgMar w:left="320" w:top="337" w:right="51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Versant Venture Capital VI,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Versant Ventures VI GP,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Versant Ventures VI GP-GP,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32613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Robin L. Praeger, Managing Director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Ventures VI GP,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Versant Ventures VI GP-GP,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32613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Robin L. Praeger, Managing Director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Ventures VI GP-GP, LLC</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32613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Robin L. Praeger, Managing Director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Vantage 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Versant Vantage I GP,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Versant Vantage I GP-GP,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32613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Robin L. Praeger, Managing Director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Vantage I GP,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Versant Vantage I GP-GP,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32613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Robin L. Praeger, Managing Director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Vantage I GP-GP, LLC</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32613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Robin L. Praeger, Managing Director</w:t>
      </w:r>
    </w:p>
    <w:p>
      <w:pPr>
        <w:spacing w:after="0" w:line="22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21" w:name="page22"/>
    <w:bookmarkEnd w:id="21"/>
    <w:p>
      <w:pPr>
        <w:jc w:val="center"/>
        <w:ind w:right="-139"/>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hereby agree that a single Schedule 13D (or any amendment thereto) relating to the Common Stock of Repare Therapeutics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shall be filed on behalf of each of the undersigned and that this Agreement shall be filed as an exhibit to such Schedule 13D.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July 6,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 Capital V,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Versant Ventures 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Robin L. Praeger</w:t>
            </w:r>
          </w:p>
        </w:tc>
      </w:tr>
      <w:tr>
        <w:trPr>
          <w:trHeight w:val="224"/>
        </w:trPr>
        <w:tc>
          <w:tcPr>
            <w:tcW w:w="58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Robin L. Praeger, Managing Director</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Affiliates Fund V,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Versant Ventures 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Robin L. Praeger</w:t>
            </w:r>
          </w:p>
        </w:tc>
      </w:tr>
      <w:tr>
        <w:trPr>
          <w:trHeight w:val="224"/>
        </w:trPr>
        <w:tc>
          <w:tcPr>
            <w:tcW w:w="58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Robin L. Praeger, Managing Director</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Ophthalmic Affiliates Fund 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Versant Ventures 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Robin L. Praeger</w:t>
            </w:r>
          </w:p>
        </w:tc>
      </w:tr>
      <w:tr>
        <w:trPr>
          <w:trHeight w:val="224"/>
        </w:trPr>
        <w:tc>
          <w:tcPr>
            <w:tcW w:w="58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Robin L. Praeger, Managing Director</w:t>
            </w:r>
          </w:p>
        </w:tc>
      </w:tr>
      <w:tr>
        <w:trPr>
          <w:trHeight w:val="418"/>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Versant Ventures V,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Robin L. Praeger</w:t>
            </w:r>
          </w:p>
        </w:tc>
      </w:tr>
      <w:tr>
        <w:trPr>
          <w:trHeight w:val="224"/>
        </w:trPr>
        <w:tc>
          <w:tcPr>
            <w:tcW w:w="58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Robin L. Praeger, Managing Director</w:t>
            </w:r>
          </w:p>
        </w:tc>
      </w:tr>
      <w:tr>
        <w:trPr>
          <w:trHeight w:val="418"/>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Versant Ventures V GP-GP (Canada),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Robin L. Praeger</w:t>
            </w:r>
          </w:p>
        </w:tc>
      </w:tr>
      <w:tr>
        <w:trPr>
          <w:trHeight w:val="224"/>
        </w:trPr>
        <w:tc>
          <w:tcPr>
            <w:tcW w:w="58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Robin L. Praeger, Director</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 Capital V (Canada)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Versant Ventures V (Canada),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Versant Ventures V GP-GP (Canada),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Robin L. Praeger</w:t>
            </w:r>
          </w:p>
        </w:tc>
      </w:tr>
      <w:tr>
        <w:trPr>
          <w:trHeight w:val="224"/>
        </w:trPr>
        <w:tc>
          <w:tcPr>
            <w:tcW w:w="58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Robin L. Praeger, Director</w:t>
            </w:r>
          </w:p>
        </w:tc>
      </w:tr>
    </w:tbl>
    <w:p>
      <w:pPr>
        <w:spacing w:after="0" w:line="1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Versant Ventures V (Canada),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Versant Ventures V GP-GP (Canada),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14605</wp:posOffset>
            </wp:positionV>
            <wp:extent cx="331724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Robin L. Praeger, Director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 Capital VI,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Versant Ventures VI GP,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Versant Ventures VI GP-GP,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14605</wp:posOffset>
            </wp:positionV>
            <wp:extent cx="331724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Robin L. Praeger, Managing Director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Ventures VI GP,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Versant Ventures VI GP-GP,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14605</wp:posOffset>
            </wp:positionV>
            <wp:extent cx="331724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Robin L. Praeger, Managing Director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Ventures VI GP-GP, LLC</w:t>
      </w:r>
    </w:p>
    <w:p>
      <w:pPr>
        <w:spacing w:after="0" w:line="22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14605</wp:posOffset>
            </wp:positionV>
            <wp:extent cx="331724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Robin L. Praeger, Managing Director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Vantage 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Versant Vantage I GP,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Versant Vantage I GP-GP,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14605</wp:posOffset>
            </wp:positionV>
            <wp:extent cx="331724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Robin L. Praeger, Managing Director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Vantage I GP,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Versant Vantage I GP-GP,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14605</wp:posOffset>
            </wp:positionV>
            <wp:extent cx="331724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Robin L. Praeger, Managing Director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Vantage I GP-GP, LLC</w:t>
      </w:r>
    </w:p>
    <w:p>
      <w:pPr>
        <w:spacing w:after="0" w:line="22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14605</wp:posOffset>
            </wp:positionV>
            <wp:extent cx="331724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Robin L. Praeger, Managing Director</w:t>
      </w:r>
    </w:p>
    <w:p>
      <w:pPr>
        <w:spacing w:after="0" w:line="22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0139"/>
      </w:cols>
      <w:pgMar w:left="320" w:top="3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1."/>
      <w:numFmt w:val="decimal"/>
      <w:start w:val="1"/>
    </w:lvl>
  </w:abstractNum>
  <w:abstractNum w:abstractNumId="2">
    <w:nsid w:val="579478FE"/>
    <w:multiLevelType w:val="hybridMultilevel"/>
    <w:lvl w:ilvl="0">
      <w:lvlJc w:val="left"/>
      <w:lvlText w:val="%1."/>
      <w:numFmt w:val="decimal"/>
      <w:start w:val="3"/>
    </w:lvl>
  </w:abstractNum>
  <w:abstractNum w:abstractNumId="3">
    <w:nsid w:val="749ABB43"/>
    <w:multiLevelType w:val="hybridMultilevel"/>
    <w:lvl w:ilvl="0">
      <w:lvlJc w:val="left"/>
      <w:lvlText w:val="%1."/>
      <w:numFmt w:val="decimal"/>
      <w:start w:val="6"/>
    </w:lvl>
    <w:lvl w:ilvl="1">
      <w:lvlJc w:val="left"/>
      <w:lvlText w:val="%2."/>
      <w:numFmt w:val="decimal"/>
      <w:start w:val="7"/>
    </w:lvl>
  </w:abstractNum>
  <w:abstractNum w:abstractNumId="4">
    <w:nsid w:val="3DC240FB"/>
    <w:multiLevelType w:val="hybridMultilevel"/>
    <w:lvl w:ilvl="0">
      <w:lvlJc w:val="left"/>
      <w:lvlText w:val="%1"/>
      <w:numFmt w:val="decimal"/>
      <w:start w:val="1"/>
    </w:lvl>
    <w:lvl w:ilvl="1">
      <w:lvlJc w:val="left"/>
      <w:lvlText w:val="%2."/>
      <w:numFmt w:val="decimal"/>
      <w:start w:val="10"/>
    </w:lvl>
  </w:abstractNum>
  <w:abstractNum w:abstractNumId="5">
    <w:nsid w:val="1BA026FA"/>
    <w:multiLevelType w:val="hybridMultilevel"/>
    <w:lvl w:ilvl="0">
      <w:lvlJc w:val="left"/>
      <w:lvlText w:val="%1."/>
      <w:numFmt w:val="decimal"/>
      <w:start w:val="11"/>
    </w:lvl>
    <w:lvl w:ilvl="1">
      <w:lvlJc w:val="left"/>
      <w:lvlText w:val="%2"/>
      <w:numFmt w:val="decimal"/>
      <w:start w:val="1"/>
    </w:lvl>
  </w:abstractNum>
  <w:abstractNum w:abstractNumId="6">
    <w:nsid w:val="79A1DEAA"/>
    <w:multiLevelType w:val="hybridMultilevel"/>
    <w:lvl w:ilvl="0">
      <w:lvlJc w:val="left"/>
      <w:lvlText w:val="%1."/>
      <w:numFmt w:val="decimal"/>
      <w:start w:val="13"/>
    </w:lvl>
  </w:abstractNum>
  <w:abstractNum w:abstractNumId="7">
    <w:nsid w:val="75C6C33A"/>
    <w:multiLevelType w:val="hybridMultilevel"/>
    <w:lvl w:ilvl="0">
      <w:lvlJc w:val="left"/>
      <w:lvlText w:val="(%1)"/>
      <w:numFmt w:val="decimal"/>
      <w:start w:val="1"/>
    </w:lvl>
  </w:abstractNum>
  <w:abstractNum w:abstractNumId="8">
    <w:nsid w:val="12E685FB"/>
    <w:multiLevelType w:val="hybridMultilevel"/>
    <w:lvl w:ilvl="0">
      <w:lvlJc w:val="left"/>
      <w:lvlText w:val="%1."/>
      <w:numFmt w:val="decimal"/>
      <w:start w:val="1"/>
    </w:lvl>
  </w:abstractNum>
  <w:abstractNum w:abstractNumId="9">
    <w:nsid w:val="70C6A529"/>
    <w:multiLevelType w:val="hybridMultilevel"/>
    <w:lvl w:ilvl="0">
      <w:lvlJc w:val="left"/>
      <w:lvlText w:val="%1."/>
      <w:numFmt w:val="decimal"/>
      <w:start w:val="3"/>
    </w:lvl>
  </w:abstractNum>
  <w:abstractNum w:abstractNumId="10">
    <w:nsid w:val="520EEDD1"/>
    <w:multiLevelType w:val="hybridMultilevel"/>
    <w:lvl w:ilvl="0">
      <w:lvlJc w:val="left"/>
      <w:lvlText w:val="%1."/>
      <w:numFmt w:val="decimal"/>
      <w:start w:val="6"/>
    </w:lvl>
    <w:lvl w:ilvl="1">
      <w:lvlJc w:val="left"/>
      <w:lvlText w:val="%2."/>
      <w:numFmt w:val="decimal"/>
      <w:start w:val="7"/>
    </w:lvl>
  </w:abstractNum>
  <w:abstractNum w:abstractNumId="11">
    <w:nsid w:val="374A3FE6"/>
    <w:multiLevelType w:val="hybridMultilevel"/>
    <w:lvl w:ilvl="0">
      <w:lvlJc w:val="left"/>
      <w:lvlText w:val="%1"/>
      <w:numFmt w:val="decimal"/>
      <w:start w:val="1"/>
    </w:lvl>
    <w:lvl w:ilvl="1">
      <w:lvlJc w:val="left"/>
      <w:lvlText w:val="%2."/>
      <w:numFmt w:val="decimal"/>
      <w:start w:val="10"/>
    </w:lvl>
  </w:abstractNum>
  <w:abstractNum w:abstractNumId="12">
    <w:nsid w:val="4F4EF005"/>
    <w:multiLevelType w:val="hybridMultilevel"/>
    <w:lvl w:ilvl="0">
      <w:lvlJc w:val="left"/>
      <w:lvlText w:val="%1."/>
      <w:numFmt w:val="decimal"/>
      <w:start w:val="11"/>
    </w:lvl>
    <w:lvl w:ilvl="1">
      <w:lvlJc w:val="left"/>
      <w:lvlText w:val="%2"/>
      <w:numFmt w:val="decimal"/>
      <w:start w:val="1"/>
    </w:lvl>
  </w:abstractNum>
  <w:abstractNum w:abstractNumId="13">
    <w:nsid w:val="23F9C13C"/>
    <w:multiLevelType w:val="hybridMultilevel"/>
    <w:lvl w:ilvl="0">
      <w:lvlJc w:val="left"/>
      <w:lvlText w:val="%1"/>
      <w:numFmt w:val="decimal"/>
      <w:start w:val="1"/>
    </w:lvl>
    <w:lvl w:ilvl="1">
      <w:lvlJc w:val="left"/>
      <w:lvlText w:val="%2."/>
      <w:numFmt w:val="decimal"/>
      <w:start w:val="13"/>
    </w:lvl>
  </w:abstractNum>
  <w:abstractNum w:abstractNumId="14">
    <w:nsid w:val="649BB77C"/>
    <w:multiLevelType w:val="hybridMultilevel"/>
    <w:lvl w:ilvl="0">
      <w:lvlJc w:val="left"/>
      <w:lvlText w:val="(%1)"/>
      <w:numFmt w:val="decimal"/>
      <w:start w:val="1"/>
    </w:lvl>
    <w:lvl w:ilvl="1">
      <w:lvlJc w:val="left"/>
      <w:lvlText w:val="%2"/>
      <w:numFmt w:val="decimal"/>
      <w:start w:val="1"/>
    </w:lvl>
  </w:abstractNum>
  <w:abstractNum w:abstractNumId="15">
    <w:nsid w:val="275AC794"/>
    <w:multiLevelType w:val="hybridMultilevel"/>
    <w:lvl w:ilvl="0">
      <w:lvlJc w:val="left"/>
      <w:lvlText w:val="%1."/>
      <w:numFmt w:val="decimal"/>
      <w:start w:val="1"/>
    </w:lvl>
  </w:abstractNum>
  <w:abstractNum w:abstractNumId="16">
    <w:nsid w:val="39386575"/>
    <w:multiLevelType w:val="hybridMultilevel"/>
    <w:lvl w:ilvl="0">
      <w:lvlJc w:val="left"/>
      <w:lvlText w:val="%1."/>
      <w:numFmt w:val="decimal"/>
      <w:start w:val="3"/>
    </w:lvl>
  </w:abstractNum>
  <w:abstractNum w:abstractNumId="17">
    <w:nsid w:val="1CF10FD8"/>
    <w:multiLevelType w:val="hybridMultilevel"/>
    <w:lvl w:ilvl="0">
      <w:lvlJc w:val="left"/>
      <w:lvlText w:val="%1."/>
      <w:numFmt w:val="decimal"/>
      <w:start w:val="6"/>
    </w:lvl>
    <w:lvl w:ilvl="1">
      <w:lvlJc w:val="left"/>
      <w:lvlText w:val="%2."/>
      <w:numFmt w:val="decimal"/>
      <w:start w:val="7"/>
    </w:lvl>
  </w:abstractNum>
  <w:abstractNum w:abstractNumId="18">
    <w:nsid w:val="180115BE"/>
    <w:multiLevelType w:val="hybridMultilevel"/>
    <w:lvl w:ilvl="0">
      <w:lvlJc w:val="left"/>
      <w:lvlText w:val="%1"/>
      <w:numFmt w:val="decimal"/>
      <w:start w:val="1"/>
    </w:lvl>
    <w:lvl w:ilvl="1">
      <w:lvlJc w:val="left"/>
      <w:lvlText w:val="%2."/>
      <w:numFmt w:val="decimal"/>
      <w:start w:val="10"/>
    </w:lvl>
  </w:abstractNum>
  <w:abstractNum w:abstractNumId="19">
    <w:nsid w:val="235BA861"/>
    <w:multiLevelType w:val="hybridMultilevel"/>
    <w:lvl w:ilvl="0">
      <w:lvlJc w:val="left"/>
      <w:lvlText w:val="%1."/>
      <w:numFmt w:val="decimal"/>
      <w:start w:val="11"/>
    </w:lvl>
    <w:lvl w:ilvl="1">
      <w:lvlJc w:val="left"/>
      <w:lvlText w:val="%2"/>
      <w:numFmt w:val="decimal"/>
      <w:start w:val="1"/>
    </w:lvl>
  </w:abstractNum>
  <w:abstractNum w:abstractNumId="20">
    <w:nsid w:val="47398C89"/>
    <w:multiLevelType w:val="hybridMultilevel"/>
    <w:lvl w:ilvl="0">
      <w:lvlJc w:val="left"/>
      <w:lvlText w:val="%1"/>
      <w:numFmt w:val="decimal"/>
      <w:start w:val="1"/>
    </w:lvl>
    <w:lvl w:ilvl="1">
      <w:lvlJc w:val="left"/>
      <w:lvlText w:val="%2."/>
      <w:numFmt w:val="decimal"/>
      <w:start w:val="13"/>
    </w:lvl>
  </w:abstractNum>
  <w:abstractNum w:abstractNumId="21">
    <w:nsid w:val="354FE9F9"/>
    <w:multiLevelType w:val="hybridMultilevel"/>
    <w:lvl w:ilvl="0">
      <w:lvlJc w:val="left"/>
      <w:lvlText w:val="(%1)"/>
      <w:numFmt w:val="decimal"/>
      <w:start w:val="1"/>
    </w:lvl>
    <w:lvl w:ilvl="1">
      <w:lvlJc w:val="left"/>
      <w:lvlText w:val="%2"/>
      <w:numFmt w:val="decimal"/>
      <w:start w:val="1"/>
    </w:lvl>
  </w:abstractNum>
  <w:abstractNum w:abstractNumId="22">
    <w:nsid w:val="15B5AF5C"/>
    <w:multiLevelType w:val="hybridMultilevel"/>
    <w:lvl w:ilvl="0">
      <w:lvlJc w:val="left"/>
      <w:lvlText w:val="%1."/>
      <w:numFmt w:val="decimal"/>
      <w:start w:val="1"/>
    </w:lvl>
  </w:abstractNum>
  <w:abstractNum w:abstractNumId="23">
    <w:nsid w:val="741226BB"/>
    <w:multiLevelType w:val="hybridMultilevel"/>
    <w:lvl w:ilvl="0">
      <w:lvlJc w:val="left"/>
      <w:lvlText w:val="%1."/>
      <w:numFmt w:val="decimal"/>
      <w:start w:val="3"/>
    </w:lvl>
  </w:abstractNum>
  <w:abstractNum w:abstractNumId="24">
    <w:nsid w:val="D34B6A8"/>
    <w:multiLevelType w:val="hybridMultilevel"/>
    <w:lvl w:ilvl="0">
      <w:lvlJc w:val="left"/>
      <w:lvlText w:val="%1."/>
      <w:numFmt w:val="decimal"/>
      <w:start w:val="6"/>
    </w:lvl>
    <w:lvl w:ilvl="1">
      <w:lvlJc w:val="left"/>
      <w:lvlText w:val="%2."/>
      <w:numFmt w:val="decimal"/>
      <w:start w:val="7"/>
    </w:lvl>
  </w:abstractNum>
  <w:abstractNum w:abstractNumId="25">
    <w:nsid w:val="10233C99"/>
    <w:multiLevelType w:val="hybridMultilevel"/>
    <w:lvl w:ilvl="0">
      <w:lvlJc w:val="left"/>
      <w:lvlText w:val="%1"/>
      <w:numFmt w:val="decimal"/>
      <w:start w:val="1"/>
    </w:lvl>
    <w:lvl w:ilvl="1">
      <w:lvlJc w:val="left"/>
      <w:lvlText w:val="%2."/>
      <w:numFmt w:val="decimal"/>
      <w:start w:val="10"/>
    </w:lvl>
  </w:abstractNum>
  <w:abstractNum w:abstractNumId="26">
    <w:nsid w:val="3F6AB60F"/>
    <w:multiLevelType w:val="hybridMultilevel"/>
    <w:lvl w:ilvl="0">
      <w:lvlJc w:val="left"/>
      <w:lvlText w:val="%1."/>
      <w:numFmt w:val="decimal"/>
      <w:start w:val="11"/>
    </w:lvl>
    <w:lvl w:ilvl="1">
      <w:lvlJc w:val="left"/>
      <w:lvlText w:val="%2"/>
      <w:numFmt w:val="decimal"/>
      <w:start w:val="1"/>
    </w:lvl>
  </w:abstractNum>
  <w:abstractNum w:abstractNumId="27">
    <w:nsid w:val="61574095"/>
    <w:multiLevelType w:val="hybridMultilevel"/>
    <w:lvl w:ilvl="0">
      <w:lvlJc w:val="left"/>
      <w:lvlText w:val="%1"/>
      <w:numFmt w:val="decimal"/>
      <w:start w:val="1"/>
    </w:lvl>
    <w:lvl w:ilvl="1">
      <w:lvlJc w:val="left"/>
      <w:lvlText w:val="%2."/>
      <w:numFmt w:val="decimal"/>
      <w:start w:val="13"/>
    </w:lvl>
  </w:abstractNum>
  <w:abstractNum w:abstractNumId="28">
    <w:nsid w:val="7E0C57B1"/>
    <w:multiLevelType w:val="hybridMultilevel"/>
    <w:lvl w:ilvl="0">
      <w:lvlJc w:val="left"/>
      <w:lvlText w:val="(%1)"/>
      <w:numFmt w:val="decimal"/>
      <w:start w:val="1"/>
    </w:lvl>
    <w:lvl w:ilvl="1">
      <w:lvlJc w:val="left"/>
      <w:lvlText w:val="%2"/>
      <w:numFmt w:val="decimal"/>
      <w:start w:val="1"/>
    </w:lvl>
  </w:abstractNum>
  <w:abstractNum w:abstractNumId="29">
    <w:nsid w:val="77AE35EB"/>
    <w:multiLevelType w:val="hybridMultilevel"/>
    <w:lvl w:ilvl="0">
      <w:lvlJc w:val="left"/>
      <w:lvlText w:val="%1."/>
      <w:numFmt w:val="decimal"/>
      <w:start w:val="1"/>
    </w:lvl>
  </w:abstractNum>
  <w:abstractNum w:abstractNumId="30">
    <w:nsid w:val="579BE4F1"/>
    <w:multiLevelType w:val="hybridMultilevel"/>
    <w:lvl w:ilvl="0">
      <w:lvlJc w:val="left"/>
      <w:lvlText w:val="%1."/>
      <w:numFmt w:val="decimal"/>
      <w:start w:val="3"/>
    </w:lvl>
  </w:abstractNum>
  <w:abstractNum w:abstractNumId="31">
    <w:nsid w:val="310C50B3"/>
    <w:multiLevelType w:val="hybridMultilevel"/>
    <w:lvl w:ilvl="0">
      <w:lvlJc w:val="left"/>
      <w:lvlText w:val="%1."/>
      <w:numFmt w:val="decimal"/>
      <w:start w:val="6"/>
    </w:lvl>
    <w:lvl w:ilvl="1">
      <w:lvlJc w:val="left"/>
      <w:lvlText w:val="%2."/>
      <w:numFmt w:val="decimal"/>
      <w:start w:val="7"/>
    </w:lvl>
  </w:abstractNum>
  <w:abstractNum w:abstractNumId="32">
    <w:nsid w:val="5FF87E05"/>
    <w:multiLevelType w:val="hybridMultilevel"/>
    <w:lvl w:ilvl="0">
      <w:lvlJc w:val="left"/>
      <w:lvlText w:val="%1"/>
      <w:numFmt w:val="decimal"/>
      <w:start w:val="1"/>
    </w:lvl>
    <w:lvl w:ilvl="1">
      <w:lvlJc w:val="left"/>
      <w:lvlText w:val="%2."/>
      <w:numFmt w:val="decimal"/>
      <w:start w:val="10"/>
    </w:lvl>
  </w:abstractNum>
  <w:abstractNum w:abstractNumId="33">
    <w:nsid w:val="2F305DEF"/>
    <w:multiLevelType w:val="hybridMultilevel"/>
    <w:lvl w:ilvl="0">
      <w:lvlJc w:val="left"/>
      <w:lvlText w:val="%1."/>
      <w:numFmt w:val="decimal"/>
      <w:start w:val="11"/>
    </w:lvl>
    <w:lvl w:ilvl="1">
      <w:lvlJc w:val="left"/>
      <w:lvlText w:val="%2"/>
      <w:numFmt w:val="decimal"/>
      <w:start w:val="1"/>
    </w:lvl>
  </w:abstractNum>
  <w:abstractNum w:abstractNumId="34">
    <w:nsid w:val="25A70BF7"/>
    <w:multiLevelType w:val="hybridMultilevel"/>
    <w:lvl w:ilvl="0">
      <w:lvlJc w:val="left"/>
      <w:lvlText w:val="%1"/>
      <w:numFmt w:val="decimal"/>
      <w:start w:val="1"/>
    </w:lvl>
    <w:lvl w:ilvl="1">
      <w:lvlJc w:val="left"/>
      <w:lvlText w:val="%2."/>
      <w:numFmt w:val="decimal"/>
      <w:start w:val="13"/>
    </w:lvl>
  </w:abstractNum>
  <w:abstractNum w:abstractNumId="35">
    <w:nsid w:val="1DBABF00"/>
    <w:multiLevelType w:val="hybridMultilevel"/>
    <w:lvl w:ilvl="0">
      <w:lvlJc w:val="left"/>
      <w:lvlText w:val="(%1)"/>
      <w:numFmt w:val="decimal"/>
      <w:start w:val="1"/>
    </w:lvl>
    <w:lvl w:ilvl="1">
      <w:lvlJc w:val="left"/>
      <w:lvlText w:val="%2"/>
      <w:numFmt w:val="decimal"/>
      <w:start w:val="1"/>
    </w:lvl>
  </w:abstractNum>
  <w:abstractNum w:abstractNumId="36">
    <w:nsid w:val="4AD084E9"/>
    <w:multiLevelType w:val="hybridMultilevel"/>
    <w:lvl w:ilvl="0">
      <w:lvlJc w:val="left"/>
      <w:lvlText w:val="%1."/>
      <w:numFmt w:val="decimal"/>
      <w:start w:val="1"/>
    </w:lvl>
  </w:abstractNum>
  <w:abstractNum w:abstractNumId="37">
    <w:nsid w:val="1F48EAA1"/>
    <w:multiLevelType w:val="hybridMultilevel"/>
    <w:lvl w:ilvl="0">
      <w:lvlJc w:val="left"/>
      <w:lvlText w:val="%1."/>
      <w:numFmt w:val="decimal"/>
      <w:start w:val="3"/>
    </w:lvl>
  </w:abstractNum>
  <w:abstractNum w:abstractNumId="38">
    <w:nsid w:val="1381823A"/>
    <w:multiLevelType w:val="hybridMultilevel"/>
    <w:lvl w:ilvl="0">
      <w:lvlJc w:val="left"/>
      <w:lvlText w:val="%1."/>
      <w:numFmt w:val="decimal"/>
      <w:start w:val="6"/>
    </w:lvl>
    <w:lvl w:ilvl="1">
      <w:lvlJc w:val="left"/>
      <w:lvlText w:val="%2."/>
      <w:numFmt w:val="decimal"/>
      <w:start w:val="7"/>
    </w:lvl>
  </w:abstractNum>
  <w:abstractNum w:abstractNumId="39">
    <w:nsid w:val="5DB70AE5"/>
    <w:multiLevelType w:val="hybridMultilevel"/>
    <w:lvl w:ilvl="0">
      <w:lvlJc w:val="left"/>
      <w:lvlText w:val="%1"/>
      <w:numFmt w:val="decimal"/>
      <w:start w:val="1"/>
    </w:lvl>
    <w:lvl w:ilvl="1">
      <w:lvlJc w:val="left"/>
      <w:lvlText w:val="%2."/>
      <w:numFmt w:val="decimal"/>
      <w:start w:val="10"/>
    </w:lvl>
  </w:abstractNum>
  <w:abstractNum w:abstractNumId="40">
    <w:nsid w:val="100F8FCA"/>
    <w:multiLevelType w:val="hybridMultilevel"/>
    <w:lvl w:ilvl="0">
      <w:lvlJc w:val="left"/>
      <w:lvlText w:val="%1."/>
      <w:numFmt w:val="decimal"/>
      <w:start w:val="11"/>
    </w:lvl>
    <w:lvl w:ilvl="1">
      <w:lvlJc w:val="left"/>
      <w:lvlText w:val="%2"/>
      <w:numFmt w:val="decimal"/>
      <w:start w:val="1"/>
    </w:lvl>
  </w:abstractNum>
  <w:abstractNum w:abstractNumId="41">
    <w:nsid w:val="6590700B"/>
    <w:multiLevelType w:val="hybridMultilevel"/>
    <w:lvl w:ilvl="0">
      <w:lvlJc w:val="left"/>
      <w:lvlText w:val="%1"/>
      <w:numFmt w:val="decimal"/>
      <w:start w:val="1"/>
    </w:lvl>
    <w:lvl w:ilvl="1">
      <w:lvlJc w:val="left"/>
      <w:lvlText w:val="%2."/>
      <w:numFmt w:val="decimal"/>
      <w:start w:val="13"/>
    </w:lvl>
  </w:abstractNum>
  <w:abstractNum w:abstractNumId="42">
    <w:nsid w:val="15014ACB"/>
    <w:multiLevelType w:val="hybridMultilevel"/>
    <w:lvl w:ilvl="0">
      <w:lvlJc w:val="left"/>
      <w:lvlText w:val="(%1)"/>
      <w:numFmt w:val="decimal"/>
      <w:start w:val="1"/>
    </w:lvl>
    <w:lvl w:ilvl="1">
      <w:lvlJc w:val="left"/>
      <w:lvlText w:val="%2"/>
      <w:numFmt w:val="decimal"/>
      <w:start w:val="1"/>
    </w:lvl>
  </w:abstractNum>
  <w:abstractNum w:abstractNumId="43">
    <w:nsid w:val="5F5E7FD0"/>
    <w:multiLevelType w:val="hybridMultilevel"/>
    <w:lvl w:ilvl="0">
      <w:lvlJc w:val="left"/>
      <w:lvlText w:val="%1."/>
      <w:numFmt w:val="decimal"/>
      <w:start w:val="1"/>
    </w:lvl>
  </w:abstractNum>
  <w:abstractNum w:abstractNumId="44">
    <w:nsid w:val="98A3148"/>
    <w:multiLevelType w:val="hybridMultilevel"/>
    <w:lvl w:ilvl="0">
      <w:lvlJc w:val="left"/>
      <w:lvlText w:val="%1."/>
      <w:numFmt w:val="decimal"/>
      <w:start w:val="3"/>
    </w:lvl>
  </w:abstractNum>
  <w:abstractNum w:abstractNumId="45">
    <w:nsid w:val="799D0247"/>
    <w:multiLevelType w:val="hybridMultilevel"/>
    <w:lvl w:ilvl="0">
      <w:lvlJc w:val="left"/>
      <w:lvlText w:val="%1."/>
      <w:numFmt w:val="decimal"/>
      <w:start w:val="6"/>
    </w:lvl>
    <w:lvl w:ilvl="1">
      <w:lvlJc w:val="left"/>
      <w:lvlText w:val="%2."/>
      <w:numFmt w:val="decimal"/>
      <w:start w:val="7"/>
    </w:lvl>
  </w:abstractNum>
  <w:abstractNum w:abstractNumId="46">
    <w:nsid w:val="6B94764"/>
    <w:multiLevelType w:val="hybridMultilevel"/>
    <w:lvl w:ilvl="0">
      <w:lvlJc w:val="left"/>
      <w:lvlText w:val="%1"/>
      <w:numFmt w:val="decimal"/>
      <w:start w:val="1"/>
    </w:lvl>
    <w:lvl w:ilvl="1">
      <w:lvlJc w:val="left"/>
      <w:lvlText w:val="%2."/>
      <w:numFmt w:val="decimal"/>
      <w:start w:val="10"/>
    </w:lvl>
  </w:abstractNum>
  <w:abstractNum w:abstractNumId="47">
    <w:nsid w:val="42C296BD"/>
    <w:multiLevelType w:val="hybridMultilevel"/>
    <w:lvl w:ilvl="0">
      <w:lvlJc w:val="left"/>
      <w:lvlText w:val="%1."/>
      <w:numFmt w:val="decimal"/>
      <w:start w:val="11"/>
    </w:lvl>
    <w:lvl w:ilvl="1">
      <w:lvlJc w:val="left"/>
      <w:lvlText w:val="%2"/>
      <w:numFmt w:val="decimal"/>
      <w:start w:val="1"/>
    </w:lvl>
  </w:abstractNum>
  <w:abstractNum w:abstractNumId="48">
    <w:nsid w:val="168E121F"/>
    <w:multiLevelType w:val="hybridMultilevel"/>
    <w:lvl w:ilvl="0">
      <w:lvlJc w:val="left"/>
      <w:lvlText w:val="%1"/>
      <w:numFmt w:val="decimal"/>
      <w:start w:val="1"/>
    </w:lvl>
    <w:lvl w:ilvl="1">
      <w:lvlJc w:val="left"/>
      <w:lvlText w:val="%2."/>
      <w:numFmt w:val="decimal"/>
      <w:start w:val="13"/>
    </w:lvl>
  </w:abstractNum>
  <w:abstractNum w:abstractNumId="49">
    <w:nsid w:val="1EBA5D23"/>
    <w:multiLevelType w:val="hybridMultilevel"/>
    <w:lvl w:ilvl="0">
      <w:lvlJc w:val="left"/>
      <w:lvlText w:val="(%1)"/>
      <w:numFmt w:val="decimal"/>
      <w:start w:val="1"/>
    </w:lvl>
    <w:lvl w:ilvl="1">
      <w:lvlJc w:val="left"/>
      <w:lvlText w:val="%2"/>
      <w:numFmt w:val="decimal"/>
      <w:start w:val="1"/>
    </w:lvl>
  </w:abstractNum>
  <w:abstractNum w:abstractNumId="50">
    <w:nsid w:val="661E3F1E"/>
    <w:multiLevelType w:val="hybridMultilevel"/>
    <w:lvl w:ilvl="0">
      <w:lvlJc w:val="left"/>
      <w:lvlText w:val="%1."/>
      <w:numFmt w:val="decimal"/>
      <w:start w:val="1"/>
    </w:lvl>
  </w:abstractNum>
  <w:abstractNum w:abstractNumId="51">
    <w:nsid w:val="5DC79EA8"/>
    <w:multiLevelType w:val="hybridMultilevel"/>
    <w:lvl w:ilvl="0">
      <w:lvlJc w:val="left"/>
      <w:lvlText w:val="%1."/>
      <w:numFmt w:val="decimal"/>
      <w:start w:val="3"/>
    </w:lvl>
  </w:abstractNum>
  <w:abstractNum w:abstractNumId="52">
    <w:nsid w:val="540A471C"/>
    <w:multiLevelType w:val="hybridMultilevel"/>
    <w:lvl w:ilvl="0">
      <w:lvlJc w:val="left"/>
      <w:lvlText w:val="%1."/>
      <w:numFmt w:val="decimal"/>
      <w:start w:val="6"/>
    </w:lvl>
    <w:lvl w:ilvl="1">
      <w:lvlJc w:val="left"/>
      <w:lvlText w:val="%2."/>
      <w:numFmt w:val="decimal"/>
      <w:start w:val="7"/>
    </w:lvl>
  </w:abstractNum>
  <w:abstractNum w:abstractNumId="53">
    <w:nsid w:val="7BD3EE7B"/>
    <w:multiLevelType w:val="hybridMultilevel"/>
    <w:lvl w:ilvl="0">
      <w:lvlJc w:val="left"/>
      <w:lvlText w:val="%1"/>
      <w:numFmt w:val="decimal"/>
      <w:start w:val="1"/>
    </w:lvl>
    <w:lvl w:ilvl="1">
      <w:lvlJc w:val="left"/>
      <w:lvlText w:val="%2."/>
      <w:numFmt w:val="decimal"/>
      <w:start w:val="10"/>
    </w:lvl>
  </w:abstractNum>
  <w:abstractNum w:abstractNumId="54">
    <w:nsid w:val="51D9C564"/>
    <w:multiLevelType w:val="hybridMultilevel"/>
    <w:lvl w:ilvl="0">
      <w:lvlJc w:val="left"/>
      <w:lvlText w:val="%1."/>
      <w:numFmt w:val="decimal"/>
      <w:start w:val="11"/>
    </w:lvl>
    <w:lvl w:ilvl="1">
      <w:lvlJc w:val="left"/>
      <w:lvlText w:val="%2"/>
      <w:numFmt w:val="decimal"/>
      <w:start w:val="1"/>
    </w:lvl>
  </w:abstractNum>
  <w:abstractNum w:abstractNumId="55">
    <w:nsid w:val="613EFDC5"/>
    <w:multiLevelType w:val="hybridMultilevel"/>
    <w:lvl w:ilvl="0">
      <w:lvlJc w:val="left"/>
      <w:lvlText w:val="%1"/>
      <w:numFmt w:val="decimal"/>
      <w:start w:val="1"/>
    </w:lvl>
    <w:lvl w:ilvl="1">
      <w:lvlJc w:val="left"/>
      <w:lvlText w:val="%2."/>
      <w:numFmt w:val="decimal"/>
      <w:start w:val="13"/>
    </w:lvl>
  </w:abstractNum>
  <w:abstractNum w:abstractNumId="56">
    <w:nsid w:val="BF72B14"/>
    <w:multiLevelType w:val="hybridMultilevel"/>
    <w:lvl w:ilvl="0">
      <w:lvlJc w:val="left"/>
      <w:lvlText w:val="(%1)"/>
      <w:numFmt w:val="decimal"/>
      <w:start w:val="1"/>
    </w:lvl>
    <w:lvl w:ilvl="1">
      <w:lvlJc w:val="left"/>
      <w:lvlText w:val="%2"/>
      <w:numFmt w:val="decimal"/>
      <w:start w:val="1"/>
    </w:lvl>
  </w:abstractNum>
  <w:abstractNum w:abstractNumId="57">
    <w:nsid w:val="11447B73"/>
    <w:multiLevelType w:val="hybridMultilevel"/>
    <w:lvl w:ilvl="0">
      <w:lvlJc w:val="left"/>
      <w:lvlText w:val="%1."/>
      <w:numFmt w:val="decimal"/>
      <w:start w:val="1"/>
    </w:lvl>
  </w:abstractNum>
  <w:abstractNum w:abstractNumId="58">
    <w:nsid w:val="42963E5A"/>
    <w:multiLevelType w:val="hybridMultilevel"/>
    <w:lvl w:ilvl="0">
      <w:lvlJc w:val="left"/>
      <w:lvlText w:val="%1."/>
      <w:numFmt w:val="decimal"/>
      <w:start w:val="3"/>
    </w:lvl>
  </w:abstractNum>
  <w:abstractNum w:abstractNumId="59">
    <w:nsid w:val="A0382C5"/>
    <w:multiLevelType w:val="hybridMultilevel"/>
    <w:lvl w:ilvl="0">
      <w:lvlJc w:val="left"/>
      <w:lvlText w:val="%1."/>
      <w:numFmt w:val="decimal"/>
      <w:start w:val="6"/>
    </w:lvl>
    <w:lvl w:ilvl="1">
      <w:lvlJc w:val="left"/>
      <w:lvlText w:val="%2."/>
      <w:numFmt w:val="decimal"/>
      <w:start w:val="7"/>
    </w:lvl>
  </w:abstractNum>
  <w:abstractNum w:abstractNumId="60">
    <w:nsid w:val="8F2B15E"/>
    <w:multiLevelType w:val="hybridMultilevel"/>
    <w:lvl w:ilvl="0">
      <w:lvlJc w:val="left"/>
      <w:lvlText w:val="%1"/>
      <w:numFmt w:val="decimal"/>
      <w:start w:val="1"/>
    </w:lvl>
    <w:lvl w:ilvl="1">
      <w:lvlJc w:val="left"/>
      <w:lvlText w:val="%2."/>
      <w:numFmt w:val="decimal"/>
      <w:start w:val="10"/>
    </w:lvl>
  </w:abstractNum>
  <w:abstractNum w:abstractNumId="61">
    <w:nsid w:val="1A32234B"/>
    <w:multiLevelType w:val="hybridMultilevel"/>
    <w:lvl w:ilvl="0">
      <w:lvlJc w:val="left"/>
      <w:lvlText w:val="%1."/>
      <w:numFmt w:val="decimal"/>
      <w:start w:val="11"/>
    </w:lvl>
    <w:lvl w:ilvl="1">
      <w:lvlJc w:val="left"/>
      <w:lvlText w:val="%2"/>
      <w:numFmt w:val="decimal"/>
      <w:start w:val="1"/>
    </w:lvl>
  </w:abstractNum>
  <w:abstractNum w:abstractNumId="62">
    <w:nsid w:val="3B0FD379"/>
    <w:multiLevelType w:val="hybridMultilevel"/>
    <w:lvl w:ilvl="0">
      <w:lvlJc w:val="left"/>
      <w:lvlText w:val="%1"/>
      <w:numFmt w:val="decimal"/>
      <w:start w:val="1"/>
    </w:lvl>
    <w:lvl w:ilvl="1">
      <w:lvlJc w:val="left"/>
      <w:lvlText w:val="%2."/>
      <w:numFmt w:val="decimal"/>
      <w:start w:val="13"/>
    </w:lvl>
  </w:abstractNum>
  <w:abstractNum w:abstractNumId="63">
    <w:nsid w:val="68EB2F63"/>
    <w:multiLevelType w:val="hybridMultilevel"/>
    <w:lvl w:ilvl="0">
      <w:lvlJc w:val="left"/>
      <w:lvlText w:val="(%1)"/>
      <w:numFmt w:val="decimal"/>
      <w:start w:val="1"/>
    </w:lvl>
    <w:lvl w:ilvl="1">
      <w:lvlJc w:val="left"/>
      <w:lvlText w:val="%2"/>
      <w:numFmt w:val="decimal"/>
      <w:start w:val="1"/>
    </w:lvl>
  </w:abstractNum>
  <w:abstractNum w:abstractNumId="64">
    <w:nsid w:val="4962813B"/>
    <w:multiLevelType w:val="hybridMultilevel"/>
    <w:lvl w:ilvl="0">
      <w:lvlJc w:val="left"/>
      <w:lvlText w:val="%1."/>
      <w:numFmt w:val="decimal"/>
      <w:start w:val="1"/>
    </w:lvl>
  </w:abstractNum>
  <w:abstractNum w:abstractNumId="65">
    <w:nsid w:val="60B6DF70"/>
    <w:multiLevelType w:val="hybridMultilevel"/>
    <w:lvl w:ilvl="0">
      <w:lvlJc w:val="left"/>
      <w:lvlText w:val="%1."/>
      <w:numFmt w:val="decimal"/>
      <w:start w:val="3"/>
    </w:lvl>
  </w:abstractNum>
  <w:abstractNum w:abstractNumId="66">
    <w:nsid w:val="6A5EE64"/>
    <w:multiLevelType w:val="hybridMultilevel"/>
    <w:lvl w:ilvl="0">
      <w:lvlJc w:val="left"/>
      <w:lvlText w:val="%1."/>
      <w:numFmt w:val="decimal"/>
      <w:start w:val="6"/>
    </w:lvl>
    <w:lvl w:ilvl="1">
      <w:lvlJc w:val="left"/>
      <w:lvlText w:val="%2."/>
      <w:numFmt w:val="decimal"/>
      <w:start w:val="7"/>
    </w:lvl>
  </w:abstractNum>
  <w:abstractNum w:abstractNumId="67">
    <w:nsid w:val="14330624"/>
    <w:multiLevelType w:val="hybridMultilevel"/>
    <w:lvl w:ilvl="0">
      <w:lvlJc w:val="left"/>
      <w:lvlText w:val="%1"/>
      <w:numFmt w:val="decimal"/>
      <w:start w:val="1"/>
    </w:lvl>
    <w:lvl w:ilvl="1">
      <w:lvlJc w:val="left"/>
      <w:lvlText w:val="%2."/>
      <w:numFmt w:val="decimal"/>
      <w:start w:val="10"/>
    </w:lvl>
  </w:abstractNum>
  <w:abstractNum w:abstractNumId="68">
    <w:nsid w:val="7FFFCA11"/>
    <w:multiLevelType w:val="hybridMultilevel"/>
    <w:lvl w:ilvl="0">
      <w:lvlJc w:val="left"/>
      <w:lvlText w:val="%1."/>
      <w:numFmt w:val="decimal"/>
      <w:start w:val="11"/>
    </w:lvl>
    <w:lvl w:ilvl="1">
      <w:lvlJc w:val="left"/>
      <w:lvlText w:val="%2"/>
      <w:numFmt w:val="decimal"/>
      <w:start w:val="1"/>
    </w:lvl>
  </w:abstractNum>
  <w:abstractNum w:abstractNumId="69">
    <w:nsid w:val="1A27709E"/>
    <w:multiLevelType w:val="hybridMultilevel"/>
    <w:lvl w:ilvl="0">
      <w:lvlJc w:val="left"/>
      <w:lvlText w:val="%1"/>
      <w:numFmt w:val="decimal"/>
      <w:start w:val="1"/>
    </w:lvl>
    <w:lvl w:ilvl="1">
      <w:lvlJc w:val="left"/>
      <w:lvlText w:val="%2."/>
      <w:numFmt w:val="decimal"/>
      <w:start w:val="13"/>
    </w:lvl>
  </w:abstractNum>
  <w:abstractNum w:abstractNumId="70">
    <w:nsid w:val="71EA1109"/>
    <w:multiLevelType w:val="hybridMultilevel"/>
    <w:lvl w:ilvl="0">
      <w:lvlJc w:val="left"/>
      <w:lvlText w:val="(%1)"/>
      <w:numFmt w:val="decimal"/>
      <w:start w:val="1"/>
    </w:lvl>
    <w:lvl w:ilvl="1">
      <w:lvlJc w:val="left"/>
      <w:lvlText w:val="%2"/>
      <w:numFmt w:val="decimal"/>
      <w:start w:val="1"/>
    </w:lvl>
  </w:abstractNum>
  <w:abstractNum w:abstractNumId="71">
    <w:nsid w:val="100F59DC"/>
    <w:multiLevelType w:val="hybridMultilevel"/>
    <w:lvl w:ilvl="0">
      <w:lvlJc w:val="left"/>
      <w:lvlText w:val="%1."/>
      <w:numFmt w:val="decimal"/>
      <w:start w:val="1"/>
    </w:lvl>
  </w:abstractNum>
  <w:abstractNum w:abstractNumId="72">
    <w:nsid w:val="7FB7E0AA"/>
    <w:multiLevelType w:val="hybridMultilevel"/>
    <w:lvl w:ilvl="0">
      <w:lvlJc w:val="left"/>
      <w:lvlText w:val="%1."/>
      <w:numFmt w:val="decimal"/>
      <w:start w:val="3"/>
    </w:lvl>
  </w:abstractNum>
  <w:abstractNum w:abstractNumId="73">
    <w:nsid w:val="6EB5BD4"/>
    <w:multiLevelType w:val="hybridMultilevel"/>
    <w:lvl w:ilvl="0">
      <w:lvlJc w:val="left"/>
      <w:lvlText w:val="%1."/>
      <w:numFmt w:val="decimal"/>
      <w:start w:val="6"/>
    </w:lvl>
    <w:lvl w:ilvl="1">
      <w:lvlJc w:val="left"/>
      <w:lvlText w:val="%2."/>
      <w:numFmt w:val="decimal"/>
      <w:start w:val="7"/>
    </w:lvl>
  </w:abstractNum>
  <w:abstractNum w:abstractNumId="74">
    <w:nsid w:val="6F6DD9AC"/>
    <w:multiLevelType w:val="hybridMultilevel"/>
    <w:lvl w:ilvl="0">
      <w:lvlJc w:val="left"/>
      <w:lvlText w:val="%1"/>
      <w:numFmt w:val="decimal"/>
      <w:start w:val="1"/>
    </w:lvl>
    <w:lvl w:ilvl="1">
      <w:lvlJc w:val="left"/>
      <w:lvlText w:val="%2."/>
      <w:numFmt w:val="decimal"/>
      <w:start w:val="10"/>
    </w:lvl>
  </w:abstractNum>
  <w:abstractNum w:abstractNumId="75">
    <w:nsid w:val="94211F2"/>
    <w:multiLevelType w:val="hybridMultilevel"/>
    <w:lvl w:ilvl="0">
      <w:lvlJc w:val="left"/>
      <w:lvlText w:val="%1."/>
      <w:numFmt w:val="decimal"/>
      <w:start w:val="11"/>
    </w:lvl>
    <w:lvl w:ilvl="1">
      <w:lvlJc w:val="left"/>
      <w:lvlText w:val="%2"/>
      <w:numFmt w:val="decimal"/>
      <w:start w:val="1"/>
    </w:lvl>
  </w:abstractNum>
  <w:abstractNum w:abstractNumId="76">
    <w:nsid w:val="885E1B"/>
    <w:multiLevelType w:val="hybridMultilevel"/>
    <w:lvl w:ilvl="0">
      <w:lvlJc w:val="left"/>
      <w:lvlText w:val="%1"/>
      <w:numFmt w:val="decimal"/>
      <w:start w:val="1"/>
    </w:lvl>
    <w:lvl w:ilvl="1">
      <w:lvlJc w:val="left"/>
      <w:lvlText w:val="%2."/>
      <w:numFmt w:val="decimal"/>
      <w:start w:val="13"/>
    </w:lvl>
  </w:abstractNum>
  <w:abstractNum w:abstractNumId="77">
    <w:nsid w:val="76272110"/>
    <w:multiLevelType w:val="hybridMultilevel"/>
    <w:lvl w:ilvl="0">
      <w:lvlJc w:val="left"/>
      <w:lvlText w:val="(%1)"/>
      <w:numFmt w:val="decimal"/>
      <w:start w:val="1"/>
    </w:lvl>
    <w:lvl w:ilvl="1">
      <w:lvlJc w:val="left"/>
      <w:lvlText w:val="%2"/>
      <w:numFmt w:val="decimal"/>
      <w:start w:val="1"/>
    </w:lvl>
  </w:abstractNum>
  <w:abstractNum w:abstractNumId="78">
    <w:nsid w:val="4C04A8AF"/>
    <w:multiLevelType w:val="hybridMultilevel"/>
    <w:lvl w:ilvl="0">
      <w:lvlJc w:val="left"/>
      <w:lvlText w:val="%1."/>
      <w:numFmt w:val="decimal"/>
      <w:start w:val="1"/>
    </w:lvl>
  </w:abstractNum>
  <w:abstractNum w:abstractNumId="79">
    <w:nsid w:val="1716703B"/>
    <w:multiLevelType w:val="hybridMultilevel"/>
    <w:lvl w:ilvl="0">
      <w:lvlJc w:val="left"/>
      <w:lvlText w:val="%1."/>
      <w:numFmt w:val="decimal"/>
      <w:start w:val="3"/>
    </w:lvl>
  </w:abstractNum>
  <w:abstractNum w:abstractNumId="80">
    <w:nsid w:val="14E17E33"/>
    <w:multiLevelType w:val="hybridMultilevel"/>
    <w:lvl w:ilvl="0">
      <w:lvlJc w:val="left"/>
      <w:lvlText w:val="%1."/>
      <w:numFmt w:val="decimal"/>
      <w:start w:val="6"/>
    </w:lvl>
    <w:lvl w:ilvl="1">
      <w:lvlJc w:val="left"/>
      <w:lvlText w:val="%2."/>
      <w:numFmt w:val="decimal"/>
      <w:start w:val="7"/>
    </w:lvl>
  </w:abstractNum>
  <w:abstractNum w:abstractNumId="81">
    <w:nsid w:val="3222E7CD"/>
    <w:multiLevelType w:val="hybridMultilevel"/>
    <w:lvl w:ilvl="0">
      <w:lvlJc w:val="left"/>
      <w:lvlText w:val="%1"/>
      <w:numFmt w:val="decimal"/>
      <w:start w:val="1"/>
    </w:lvl>
    <w:lvl w:ilvl="1">
      <w:lvlJc w:val="left"/>
      <w:lvlText w:val="%2."/>
      <w:numFmt w:val="decimal"/>
      <w:start w:val="10"/>
    </w:lvl>
  </w:abstractNum>
  <w:abstractNum w:abstractNumId="82">
    <w:nsid w:val="74DE0EE3"/>
    <w:multiLevelType w:val="hybridMultilevel"/>
    <w:lvl w:ilvl="0">
      <w:lvlJc w:val="left"/>
      <w:lvlText w:val="%1."/>
      <w:numFmt w:val="decimal"/>
      <w:start w:val="11"/>
    </w:lvl>
    <w:lvl w:ilvl="1">
      <w:lvlJc w:val="left"/>
      <w:lvlText w:val="%2"/>
      <w:numFmt w:val="decimal"/>
      <w:start w:val="1"/>
    </w:lvl>
  </w:abstractNum>
  <w:abstractNum w:abstractNumId="83">
    <w:nsid w:val="68EBC550"/>
    <w:multiLevelType w:val="hybridMultilevel"/>
    <w:lvl w:ilvl="0">
      <w:lvlJc w:val="left"/>
      <w:lvlText w:val="%1"/>
      <w:numFmt w:val="decimal"/>
      <w:start w:val="1"/>
    </w:lvl>
    <w:lvl w:ilvl="1">
      <w:lvlJc w:val="left"/>
      <w:lvlText w:val="%2."/>
      <w:numFmt w:val="decimal"/>
      <w:start w:val="13"/>
    </w:lvl>
  </w:abstractNum>
  <w:abstractNum w:abstractNumId="84">
    <w:nsid w:val="2DF6D648"/>
    <w:multiLevelType w:val="hybridMultilevel"/>
    <w:lvl w:ilvl="0">
      <w:lvlJc w:val="left"/>
      <w:lvlText w:val="(%1)"/>
      <w:numFmt w:val="decimal"/>
      <w:start w:val="1"/>
    </w:lvl>
    <w:lvl w:ilvl="1">
      <w:lvlJc w:val="left"/>
      <w:lvlText w:val="%2"/>
      <w:numFmt w:val="decimal"/>
      <w:start w:val="1"/>
    </w:lvl>
  </w:abstractNum>
  <w:abstractNum w:abstractNumId="85">
    <w:nsid w:val="46B7D447"/>
    <w:multiLevelType w:val="hybridMultilevel"/>
    <w:lvl w:ilvl="0">
      <w:lvlJc w:val="left"/>
      <w:lvlText w:val="%1."/>
      <w:numFmt w:val="decimal"/>
      <w:start w:val="1"/>
    </w:lvl>
  </w:abstractNum>
  <w:abstractNum w:abstractNumId="86">
    <w:nsid w:val="4A2AC315"/>
    <w:multiLevelType w:val="hybridMultilevel"/>
    <w:lvl w:ilvl="0">
      <w:lvlJc w:val="left"/>
      <w:lvlText w:val="%1."/>
      <w:numFmt w:val="decimal"/>
      <w:start w:val="3"/>
    </w:lvl>
  </w:abstractNum>
  <w:abstractNum w:abstractNumId="87">
    <w:nsid w:val="39EE015C"/>
    <w:multiLevelType w:val="hybridMultilevel"/>
    <w:lvl w:ilvl="0">
      <w:lvlJc w:val="left"/>
      <w:lvlText w:val="%1."/>
      <w:numFmt w:val="decimal"/>
      <w:start w:val="6"/>
    </w:lvl>
    <w:lvl w:ilvl="1">
      <w:lvlJc w:val="left"/>
      <w:lvlText w:val="%2."/>
      <w:numFmt w:val="decimal"/>
      <w:start w:val="7"/>
    </w:lvl>
  </w:abstractNum>
  <w:abstractNum w:abstractNumId="88">
    <w:nsid w:val="57FC4FBB"/>
    <w:multiLevelType w:val="hybridMultilevel"/>
    <w:lvl w:ilvl="0">
      <w:lvlJc w:val="left"/>
      <w:lvlText w:val="%1"/>
      <w:numFmt w:val="decimal"/>
      <w:start w:val="1"/>
    </w:lvl>
    <w:lvl w:ilvl="1">
      <w:lvlJc w:val="left"/>
      <w:lvlText w:val="%2."/>
      <w:numFmt w:val="decimal"/>
      <w:start w:val="10"/>
    </w:lvl>
  </w:abstractNum>
  <w:abstractNum w:abstractNumId="89">
    <w:nsid w:val="CC1016F"/>
    <w:multiLevelType w:val="hybridMultilevel"/>
    <w:lvl w:ilvl="0">
      <w:lvlJc w:val="left"/>
      <w:lvlText w:val="%1."/>
      <w:numFmt w:val="decimal"/>
      <w:start w:val="11"/>
    </w:lvl>
    <w:lvl w:ilvl="1">
      <w:lvlJc w:val="left"/>
      <w:lvlText w:val="%2"/>
      <w:numFmt w:val="decimal"/>
      <w:start w:val="1"/>
    </w:lvl>
  </w:abstractNum>
  <w:abstractNum w:abstractNumId="90">
    <w:nsid w:val="43F18422"/>
    <w:multiLevelType w:val="hybridMultilevel"/>
    <w:lvl w:ilvl="0">
      <w:lvlJc w:val="left"/>
      <w:lvlText w:val="%1"/>
      <w:numFmt w:val="decimal"/>
      <w:start w:val="1"/>
    </w:lvl>
    <w:lvl w:ilvl="1">
      <w:lvlJc w:val="left"/>
      <w:lvlText w:val="%2."/>
      <w:numFmt w:val="decimal"/>
      <w:start w:val="13"/>
    </w:lvl>
  </w:abstractNum>
  <w:abstractNum w:abstractNumId="91">
    <w:nsid w:val="60EF0119"/>
    <w:multiLevelType w:val="hybridMultilevel"/>
    <w:lvl w:ilvl="0">
      <w:lvlJc w:val="left"/>
      <w:lvlText w:val="(%1)"/>
      <w:numFmt w:val="decimal"/>
      <w:start w:val="1"/>
    </w:lvl>
    <w:lvl w:ilvl="1">
      <w:lvlJc w:val="left"/>
      <w:lvlText w:val="%2"/>
      <w:numFmt w:val="decimal"/>
      <w:start w:val="1"/>
    </w:lvl>
  </w:abstractNum>
  <w:abstractNum w:abstractNumId="92">
    <w:nsid w:val="26F324BA"/>
    <w:multiLevelType w:val="hybridMultilevel"/>
    <w:lvl w:ilvl="0">
      <w:lvlJc w:val="left"/>
      <w:lvlText w:val="(%1)"/>
      <w:numFmt w:val="lowerLetter"/>
      <w:start w:val="1"/>
    </w:lvl>
  </w:abstractNum>
  <w:abstractNum w:abstractNumId="93">
    <w:nsid w:val="7F01579B"/>
    <w:multiLevelType w:val="hybridMultilevel"/>
    <w:lvl w:ilvl="0">
      <w:lvlJc w:val="left"/>
      <w:lvlText w:val="(%1)"/>
      <w:numFmt w:val="lowerLetter"/>
      <w:start w:val="3"/>
    </w:lvl>
  </w:abstractNum>
  <w:abstractNum w:abstractNumId="94">
    <w:nsid w:val="49DA307D"/>
    <w:multiLevelType w:val="hybridMultilevel"/>
    <w:lvl w:ilvl="0">
      <w:lvlJc w:val="left"/>
      <w:lvlText w:val="(%1)"/>
      <w:numFmt w:val="decimal"/>
      <w:start w:val="1"/>
    </w:lvl>
  </w:abstractNum>
  <w:abstractNum w:abstractNumId="95">
    <w:nsid w:val="7055A5F5"/>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2020-07-07T05:02:57Z</dcterms:created>
  <dcterms:modified xsi:type="dcterms:W3CDTF">2020-07-07T05:02:57Z</dcterms:modified>
</cp:coreProperties>
</file>