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Zinda Michael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REPARE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7210 FREDERICK-BANTING,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Repare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RPTX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12/22/2020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60"/>
        <w:spacing w:after="0"/>
        <w:rPr>
          <w:sz w:val="20"/>
          <w:szCs w:val="20"/>
          <w:color w:val="auto"/>
        </w:rPr>
      </w:pPr>
      <w:r>
        <w:rPr>
          <w:rFonts w:ascii="Arial" w:cs="Arial" w:eastAsia="Arial" w:hAnsi="Arial"/>
          <w:sz w:val="17"/>
          <w:szCs w:val="17"/>
          <w:color w:val="0000FF"/>
        </w:rPr>
        <w:t>EVP, Chief Science Officer</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ind w:right="3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8"/>
              </w:rPr>
              <w:t>ST-LAURENT   A8</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H4S 2A1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jc w:val="center"/>
              <w:ind w:left="54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jc w:val="center"/>
              <w:ind w:left="565"/>
              <w:spacing w:after="0"/>
              <w:rPr>
                <w:sz w:val="20"/>
                <w:szCs w:val="20"/>
                <w:color w:val="auto"/>
              </w:rPr>
            </w:pPr>
            <w:r>
              <w:rPr>
                <w:rFonts w:ascii="Arial" w:cs="Arial" w:eastAsia="Arial" w:hAnsi="Arial"/>
                <w:sz w:val="17"/>
                <w:szCs w:val="17"/>
                <w:color w:val="0000FF"/>
                <w:w w:val="89"/>
              </w:rPr>
              <w:t>12/22/2020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87"/>
              <w:spacing w:after="0"/>
              <w:rPr>
                <w:sz w:val="20"/>
                <w:szCs w:val="20"/>
                <w:color w:val="auto"/>
              </w:rPr>
            </w:pPr>
            <w:r>
              <w:rPr>
                <w:rFonts w:ascii="Arial" w:cs="Arial" w:eastAsia="Arial" w:hAnsi="Arial"/>
                <w:sz w:val="17"/>
                <w:szCs w:val="17"/>
                <w:color w:val="0000FF"/>
                <w:w w:val="88"/>
              </w:rPr>
              <w:t>15,706</w:t>
            </w:r>
          </w:p>
        </w:tc>
        <w:tc>
          <w:tcPr>
            <w:tcW w:w="660" w:type="dxa"/>
            <w:vAlign w:val="bottom"/>
          </w:tcPr>
          <w:p>
            <w:pPr>
              <w:jc w:val="right"/>
              <w:ind w:right="15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1.637</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7"/>
              </w:rPr>
              <w:t>100,935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jc w:val="center"/>
              <w:ind w:left="565"/>
              <w:spacing w:after="0"/>
              <w:rPr>
                <w:sz w:val="20"/>
                <w:szCs w:val="20"/>
                <w:color w:val="auto"/>
              </w:rPr>
            </w:pPr>
            <w:r>
              <w:rPr>
                <w:rFonts w:ascii="Arial" w:cs="Arial" w:eastAsia="Arial" w:hAnsi="Arial"/>
                <w:sz w:val="17"/>
                <w:szCs w:val="17"/>
                <w:color w:val="0000FF"/>
                <w:w w:val="89"/>
              </w:rPr>
              <w:t>12/22/2020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87"/>
              <w:spacing w:after="0"/>
              <w:rPr>
                <w:sz w:val="20"/>
                <w:szCs w:val="20"/>
                <w:color w:val="auto"/>
              </w:rPr>
            </w:pPr>
            <w:r>
              <w:rPr>
                <w:rFonts w:ascii="Arial" w:cs="Arial" w:eastAsia="Arial" w:hAnsi="Arial"/>
                <w:sz w:val="17"/>
                <w:szCs w:val="17"/>
                <w:color w:val="0000FF"/>
                <w:w w:val="88"/>
              </w:rPr>
              <w:t>25,606</w:t>
            </w:r>
          </w:p>
        </w:tc>
        <w:tc>
          <w:tcPr>
            <w:tcW w:w="660" w:type="dxa"/>
            <w:vAlign w:val="bottom"/>
          </w:tcPr>
          <w:p>
            <w:pPr>
              <w:jc w:val="right"/>
              <w:ind w:right="15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2.062</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7"/>
              </w:rPr>
              <w:t>126,541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jc w:val="center"/>
              <w:ind w:left="565"/>
              <w:spacing w:after="0"/>
              <w:rPr>
                <w:sz w:val="20"/>
                <w:szCs w:val="20"/>
                <w:color w:val="auto"/>
              </w:rPr>
            </w:pPr>
            <w:r>
              <w:rPr>
                <w:rFonts w:ascii="Arial" w:cs="Arial" w:eastAsia="Arial" w:hAnsi="Arial"/>
                <w:sz w:val="17"/>
                <w:szCs w:val="17"/>
                <w:color w:val="0000FF"/>
                <w:w w:val="89"/>
              </w:rPr>
              <w:t>12/22/2020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w w:val="91"/>
              </w:rPr>
              <w:t>S</w:t>
            </w:r>
          </w:p>
        </w:tc>
        <w:tc>
          <w:tcPr>
            <w:tcW w:w="700" w:type="dxa"/>
            <w:vAlign w:val="bottom"/>
          </w:tcPr>
          <w:p>
            <w:pPr>
              <w:jc w:val="center"/>
              <w:ind w:left="87"/>
              <w:spacing w:after="0"/>
              <w:rPr>
                <w:sz w:val="20"/>
                <w:szCs w:val="20"/>
                <w:color w:val="auto"/>
              </w:rPr>
            </w:pPr>
            <w:r>
              <w:rPr>
                <w:rFonts w:ascii="Arial" w:cs="Arial" w:eastAsia="Arial" w:hAnsi="Arial"/>
                <w:sz w:val="17"/>
                <w:szCs w:val="17"/>
                <w:color w:val="0000FF"/>
                <w:w w:val="89"/>
              </w:rPr>
              <w:t>1,612</w:t>
            </w:r>
          </w:p>
        </w:tc>
        <w:tc>
          <w:tcPr>
            <w:tcW w:w="660" w:type="dxa"/>
            <w:vAlign w:val="bottom"/>
          </w:tcPr>
          <w:p>
            <w:pPr>
              <w:jc w:val="right"/>
              <w:ind w:right="15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44"/>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7"/>
              </w:rPr>
              <w:t>124,929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89"/>
              </w:rPr>
              <w:t>12/22/2020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8"/>
              </w:rPr>
              <w:t>39,700</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33.36</w:t>
            </w:r>
            <w:r>
              <w:rPr>
                <w:rFonts w:ascii="Arial" w:cs="Arial" w:eastAsia="Arial" w:hAnsi="Arial"/>
                <w:sz w:val="21"/>
                <w:szCs w:val="21"/>
                <w:color w:val="008000"/>
                <w:w w:val="86"/>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85,229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jc w:val="center"/>
              <w:ind w:left="565"/>
              <w:spacing w:after="0"/>
              <w:rPr>
                <w:sz w:val="20"/>
                <w:szCs w:val="20"/>
                <w:color w:val="auto"/>
              </w:rPr>
            </w:pPr>
            <w:r>
              <w:rPr>
                <w:rFonts w:ascii="Arial" w:cs="Arial" w:eastAsia="Arial" w:hAnsi="Arial"/>
                <w:sz w:val="17"/>
                <w:szCs w:val="17"/>
                <w:color w:val="0000FF"/>
                <w:w w:val="89"/>
              </w:rPr>
              <w:t>12/23/2020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87"/>
              <w:spacing w:after="0"/>
              <w:rPr>
                <w:sz w:val="20"/>
                <w:szCs w:val="20"/>
                <w:color w:val="auto"/>
              </w:rPr>
            </w:pPr>
            <w:r>
              <w:rPr>
                <w:rFonts w:ascii="Arial" w:cs="Arial" w:eastAsia="Arial" w:hAnsi="Arial"/>
                <w:sz w:val="17"/>
                <w:szCs w:val="17"/>
                <w:color w:val="0000FF"/>
                <w:w w:val="89"/>
              </w:rPr>
              <w:t>1,976</w:t>
            </w:r>
          </w:p>
        </w:tc>
        <w:tc>
          <w:tcPr>
            <w:tcW w:w="660" w:type="dxa"/>
            <w:vAlign w:val="bottom"/>
          </w:tcPr>
          <w:p>
            <w:pPr>
              <w:jc w:val="right"/>
              <w:ind w:right="15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1.637</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87,205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jc w:val="center"/>
              <w:ind w:left="565"/>
              <w:spacing w:after="0"/>
              <w:rPr>
                <w:sz w:val="20"/>
                <w:szCs w:val="20"/>
                <w:color w:val="auto"/>
              </w:rPr>
            </w:pPr>
            <w:r>
              <w:rPr>
                <w:rFonts w:ascii="Arial" w:cs="Arial" w:eastAsia="Arial" w:hAnsi="Arial"/>
                <w:sz w:val="17"/>
                <w:szCs w:val="17"/>
                <w:color w:val="0000FF"/>
                <w:w w:val="89"/>
              </w:rPr>
              <w:t>12/23/2020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87"/>
              <w:spacing w:after="0"/>
              <w:rPr>
                <w:sz w:val="20"/>
                <w:szCs w:val="20"/>
                <w:color w:val="auto"/>
              </w:rPr>
            </w:pPr>
            <w:r>
              <w:rPr>
                <w:rFonts w:ascii="Arial" w:cs="Arial" w:eastAsia="Arial" w:hAnsi="Arial"/>
                <w:sz w:val="17"/>
                <w:szCs w:val="17"/>
                <w:color w:val="0000FF"/>
                <w:w w:val="89"/>
              </w:rPr>
              <w:t>4,771</w:t>
            </w:r>
          </w:p>
        </w:tc>
        <w:tc>
          <w:tcPr>
            <w:tcW w:w="660" w:type="dxa"/>
            <w:vAlign w:val="bottom"/>
          </w:tcPr>
          <w:p>
            <w:pPr>
              <w:jc w:val="right"/>
              <w:ind w:right="15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2.062</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91,976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jc w:val="center"/>
              <w:ind w:left="565"/>
              <w:spacing w:after="0"/>
              <w:rPr>
                <w:sz w:val="20"/>
                <w:szCs w:val="20"/>
                <w:color w:val="auto"/>
              </w:rPr>
            </w:pPr>
            <w:r>
              <w:rPr>
                <w:rFonts w:ascii="Arial" w:cs="Arial" w:eastAsia="Arial" w:hAnsi="Arial"/>
                <w:sz w:val="17"/>
                <w:szCs w:val="17"/>
                <w:color w:val="0000FF"/>
                <w:w w:val="89"/>
              </w:rPr>
              <w:t>12/23/2020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87"/>
              <w:spacing w:after="0"/>
              <w:rPr>
                <w:sz w:val="20"/>
                <w:szCs w:val="20"/>
                <w:color w:val="auto"/>
              </w:rPr>
            </w:pPr>
            <w:r>
              <w:rPr>
                <w:rFonts w:ascii="Arial" w:cs="Arial" w:eastAsia="Arial" w:hAnsi="Arial"/>
                <w:sz w:val="17"/>
                <w:szCs w:val="17"/>
                <w:color w:val="0000FF"/>
                <w:w w:val="89"/>
              </w:rPr>
              <w:t>9,488</w:t>
            </w:r>
          </w:p>
        </w:tc>
        <w:tc>
          <w:tcPr>
            <w:tcW w:w="660" w:type="dxa"/>
            <w:vAlign w:val="bottom"/>
          </w:tcPr>
          <w:p>
            <w:pPr>
              <w:jc w:val="right"/>
              <w:ind w:right="15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2.425</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7"/>
              </w:rPr>
              <w:t>101,464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89"/>
              </w:rPr>
              <w:t>12/23/2020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8"/>
              </w:rPr>
              <w:t>12,556</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33.48</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88,908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89"/>
              </w:rPr>
              <w:t>12/23/2020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89"/>
              </w:rPr>
              <w:t>3,679</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34.26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85,229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760" w:type="dxa"/>
            <w:vAlign w:val="bottom"/>
            <w:gridSpan w:val="3"/>
          </w:tcPr>
          <w:p>
            <w:pPr>
              <w:jc w:val="center"/>
              <w:ind w:left="565"/>
              <w:spacing w:after="0"/>
              <w:rPr>
                <w:sz w:val="20"/>
                <w:szCs w:val="20"/>
                <w:color w:val="auto"/>
              </w:rPr>
            </w:pPr>
            <w:r>
              <w:rPr>
                <w:rFonts w:ascii="Arial" w:cs="Arial" w:eastAsia="Arial" w:hAnsi="Arial"/>
                <w:sz w:val="17"/>
                <w:szCs w:val="17"/>
                <w:color w:val="0000FF"/>
                <w:w w:val="89"/>
              </w:rPr>
              <w:t>12/24/2020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87"/>
              <w:spacing w:after="0"/>
              <w:rPr>
                <w:sz w:val="20"/>
                <w:szCs w:val="20"/>
                <w:color w:val="auto"/>
              </w:rPr>
            </w:pPr>
            <w:r>
              <w:rPr>
                <w:rFonts w:ascii="Arial" w:cs="Arial" w:eastAsia="Arial" w:hAnsi="Arial"/>
                <w:sz w:val="17"/>
                <w:szCs w:val="17"/>
                <w:color w:val="0000FF"/>
                <w:w w:val="91"/>
              </w:rPr>
              <w:t>432</w:t>
            </w:r>
          </w:p>
        </w:tc>
        <w:tc>
          <w:tcPr>
            <w:tcW w:w="660" w:type="dxa"/>
            <w:vAlign w:val="bottom"/>
          </w:tcPr>
          <w:p>
            <w:pPr>
              <w:jc w:val="right"/>
              <w:ind w:right="15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2.062</w:t>
            </w: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85,661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89"/>
              </w:rPr>
              <w:t>12/24/2020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center"/>
              <w:ind w:left="87"/>
              <w:spacing w:after="0"/>
              <w:rPr>
                <w:sz w:val="20"/>
                <w:szCs w:val="20"/>
                <w:color w:val="auto"/>
              </w:rPr>
            </w:pPr>
            <w:r>
              <w:rPr>
                <w:rFonts w:ascii="Arial" w:cs="Arial" w:eastAsia="Arial" w:hAnsi="Arial"/>
                <w:sz w:val="17"/>
                <w:szCs w:val="17"/>
                <w:color w:val="0000FF"/>
                <w:w w:val="91"/>
              </w:rPr>
              <w:t>432</w:t>
            </w:r>
          </w:p>
        </w:tc>
        <w:tc>
          <w:tcPr>
            <w:tcW w:w="66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33.14</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85,229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center"/>
              <w:ind w:left="46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5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50"/>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88"/>
              </w:rPr>
              <w:t>15,706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84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1.637</w:t>
            </w:r>
          </w:p>
        </w:tc>
        <w:tc>
          <w:tcPr>
            <w:tcW w:w="980" w:type="dxa"/>
            <w:vAlign w:val="bottom"/>
          </w:tcPr>
          <w:p>
            <w:pPr>
              <w:jc w:val="center"/>
              <w:spacing w:after="0" w:line="125" w:lineRule="exact"/>
              <w:rPr>
                <w:sz w:val="20"/>
                <w:szCs w:val="20"/>
                <w:color w:val="auto"/>
              </w:rPr>
            </w:pPr>
            <w:r>
              <w:rPr>
                <w:rFonts w:ascii="Arial" w:cs="Arial" w:eastAsia="Arial" w:hAnsi="Arial"/>
                <w:sz w:val="13"/>
                <w:szCs w:val="13"/>
                <w:color w:val="0000FF"/>
                <w:w w:val="89"/>
              </w:rPr>
              <w:t>12/22/2020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ind w:left="40"/>
              <w:spacing w:after="0" w:line="125"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60" w:type="dxa"/>
            <w:vAlign w:val="bottom"/>
          </w:tcPr>
          <w:p>
            <w:pPr>
              <w:jc w:val="center"/>
              <w:ind w:left="200"/>
              <w:spacing w:after="0" w:line="125" w:lineRule="exact"/>
              <w:rPr>
                <w:sz w:val="20"/>
                <w:szCs w:val="20"/>
                <w:color w:val="auto"/>
              </w:rPr>
            </w:pPr>
            <w:r>
              <w:rPr>
                <w:rFonts w:ascii="Arial" w:cs="Arial" w:eastAsia="Arial" w:hAnsi="Arial"/>
                <w:sz w:val="13"/>
                <w:szCs w:val="13"/>
                <w:color w:val="0000FF"/>
                <w:w w:val="90"/>
              </w:rPr>
              <w:t>15,706</w:t>
            </w:r>
          </w:p>
        </w:tc>
        <w:tc>
          <w:tcPr>
            <w:tcW w:w="780" w:type="dxa"/>
            <w:vAlign w:val="bottom"/>
            <w:gridSpan w:val="2"/>
            <w:vMerge w:val="continue"/>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3"/>
                <w:szCs w:val="13"/>
                <w:color w:val="0000FF"/>
              </w:rPr>
              <w:t>12/04/2027</w:t>
            </w: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0"/>
              <w:spacing w:after="0" w:line="125" w:lineRule="exact"/>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00" w:type="dxa"/>
            <w:vAlign w:val="bottom"/>
          </w:tcPr>
          <w:p>
            <w:pPr>
              <w:jc w:val="center"/>
              <w:ind w:left="180"/>
              <w:spacing w:after="0" w:line="125" w:lineRule="exact"/>
              <w:rPr>
                <w:sz w:val="20"/>
                <w:szCs w:val="20"/>
                <w:color w:val="auto"/>
              </w:rPr>
            </w:pPr>
            <w:r>
              <w:rPr>
                <w:rFonts w:ascii="Arial" w:cs="Arial" w:eastAsia="Arial" w:hAnsi="Arial"/>
                <w:sz w:val="13"/>
                <w:szCs w:val="13"/>
                <w:color w:val="0000FF"/>
                <w:w w:val="90"/>
              </w:rPr>
              <w:t>13,832</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right"/>
              <w:ind w:right="15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(6)</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88"/>
              </w:rPr>
              <w:t>25,606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84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2.062</w:t>
            </w:r>
          </w:p>
        </w:tc>
        <w:tc>
          <w:tcPr>
            <w:tcW w:w="980" w:type="dxa"/>
            <w:vAlign w:val="bottom"/>
          </w:tcPr>
          <w:p>
            <w:pPr>
              <w:jc w:val="center"/>
              <w:spacing w:after="0" w:line="125" w:lineRule="exact"/>
              <w:rPr>
                <w:sz w:val="20"/>
                <w:szCs w:val="20"/>
                <w:color w:val="auto"/>
              </w:rPr>
            </w:pPr>
            <w:r>
              <w:rPr>
                <w:rFonts w:ascii="Arial" w:cs="Arial" w:eastAsia="Arial" w:hAnsi="Arial"/>
                <w:sz w:val="13"/>
                <w:szCs w:val="13"/>
                <w:color w:val="0000FF"/>
                <w:w w:val="89"/>
              </w:rPr>
              <w:t>12/22/2020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ind w:left="40"/>
              <w:spacing w:after="0" w:line="125"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60" w:type="dxa"/>
            <w:vAlign w:val="bottom"/>
          </w:tcPr>
          <w:p>
            <w:pPr>
              <w:jc w:val="center"/>
              <w:ind w:left="200"/>
              <w:spacing w:after="0" w:line="125" w:lineRule="exact"/>
              <w:rPr>
                <w:sz w:val="20"/>
                <w:szCs w:val="20"/>
                <w:color w:val="auto"/>
              </w:rPr>
            </w:pPr>
            <w:r>
              <w:rPr>
                <w:rFonts w:ascii="Arial" w:cs="Arial" w:eastAsia="Arial" w:hAnsi="Arial"/>
                <w:sz w:val="13"/>
                <w:szCs w:val="13"/>
                <w:color w:val="0000FF"/>
                <w:w w:val="90"/>
              </w:rPr>
              <w:t>25,606</w:t>
            </w:r>
          </w:p>
        </w:tc>
        <w:tc>
          <w:tcPr>
            <w:tcW w:w="780" w:type="dxa"/>
            <w:vAlign w:val="bottom"/>
            <w:gridSpan w:val="2"/>
            <w:vMerge w:val="continue"/>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3"/>
                <w:szCs w:val="13"/>
                <w:color w:val="0000FF"/>
              </w:rPr>
              <w:t>03/29/2029</w:t>
            </w: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0"/>
              <w:spacing w:after="0" w:line="125" w:lineRule="exact"/>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00" w:type="dxa"/>
            <w:vAlign w:val="bottom"/>
          </w:tcPr>
          <w:p>
            <w:pPr>
              <w:jc w:val="center"/>
              <w:ind w:left="180"/>
              <w:spacing w:after="0" w:line="125" w:lineRule="exact"/>
              <w:rPr>
                <w:sz w:val="20"/>
                <w:szCs w:val="20"/>
                <w:color w:val="auto"/>
              </w:rPr>
            </w:pPr>
            <w:r>
              <w:rPr>
                <w:rFonts w:ascii="Arial" w:cs="Arial" w:eastAsia="Arial" w:hAnsi="Arial"/>
                <w:sz w:val="13"/>
                <w:szCs w:val="13"/>
                <w:color w:val="0000FF"/>
                <w:w w:val="90"/>
              </w:rPr>
              <w:t>60,101</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right"/>
              <w:ind w:right="15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89"/>
              </w:rPr>
              <w:t>1,976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1.637</w:t>
            </w:r>
          </w:p>
        </w:tc>
        <w:tc>
          <w:tcPr>
            <w:tcW w:w="9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12/23/2020</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center"/>
              <w:ind w:left="220"/>
              <w:spacing w:after="0" w:line="142" w:lineRule="exact"/>
              <w:rPr>
                <w:sz w:val="20"/>
                <w:szCs w:val="20"/>
                <w:color w:val="auto"/>
              </w:rPr>
            </w:pPr>
            <w:r>
              <w:rPr>
                <w:rFonts w:ascii="Arial" w:cs="Arial" w:eastAsia="Arial" w:hAnsi="Arial"/>
                <w:sz w:val="13"/>
                <w:szCs w:val="13"/>
                <w:color w:val="0000FF"/>
                <w:w w:val="92"/>
              </w:rPr>
              <w:t>1,976</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12/04/2027</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5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00" w:type="dxa"/>
            <w:vAlign w:val="bottom"/>
            <w:vMerge w:val="restart"/>
          </w:tcPr>
          <w:p>
            <w:pPr>
              <w:jc w:val="center"/>
              <w:ind w:left="160"/>
              <w:spacing w:after="0" w:line="142" w:lineRule="exact"/>
              <w:rPr>
                <w:sz w:val="20"/>
                <w:szCs w:val="20"/>
                <w:color w:val="auto"/>
              </w:rPr>
            </w:pPr>
            <w:r>
              <w:rPr>
                <w:rFonts w:ascii="Arial" w:cs="Arial" w:eastAsia="Arial" w:hAnsi="Arial"/>
                <w:sz w:val="13"/>
                <w:szCs w:val="13"/>
                <w:color w:val="0000FF"/>
                <w:w w:val="85"/>
              </w:rPr>
              <w:t>11,856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(6)</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89"/>
              </w:rPr>
              <w:t>4,771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2.062</w:t>
            </w:r>
          </w:p>
        </w:tc>
        <w:tc>
          <w:tcPr>
            <w:tcW w:w="9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12/23/2020</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center"/>
              <w:ind w:left="220"/>
              <w:spacing w:after="0" w:line="142" w:lineRule="exact"/>
              <w:rPr>
                <w:sz w:val="20"/>
                <w:szCs w:val="20"/>
                <w:color w:val="auto"/>
              </w:rPr>
            </w:pPr>
            <w:r>
              <w:rPr>
                <w:rFonts w:ascii="Arial" w:cs="Arial" w:eastAsia="Arial" w:hAnsi="Arial"/>
                <w:sz w:val="13"/>
                <w:szCs w:val="13"/>
                <w:color w:val="0000FF"/>
                <w:w w:val="92"/>
              </w:rPr>
              <w:t>4,771</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03/29/2029</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5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00" w:type="dxa"/>
            <w:vAlign w:val="bottom"/>
            <w:vMerge w:val="restart"/>
          </w:tcPr>
          <w:p>
            <w:pPr>
              <w:jc w:val="center"/>
              <w:ind w:left="180"/>
              <w:spacing w:after="0" w:line="142" w:lineRule="exact"/>
              <w:rPr>
                <w:sz w:val="20"/>
                <w:szCs w:val="20"/>
                <w:color w:val="auto"/>
              </w:rPr>
            </w:pPr>
            <w:r>
              <w:rPr>
                <w:rFonts w:ascii="Arial" w:cs="Arial" w:eastAsia="Arial" w:hAnsi="Arial"/>
                <w:sz w:val="13"/>
                <w:szCs w:val="13"/>
                <w:color w:val="0000FF"/>
                <w:w w:val="90"/>
              </w:rPr>
              <w:t>55,330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(7)</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4"/>
              <w:spacing w:after="0"/>
              <w:rPr>
                <w:sz w:val="20"/>
                <w:szCs w:val="20"/>
                <w:color w:val="auto"/>
              </w:rPr>
            </w:pPr>
            <w:r>
              <w:rPr>
                <w:rFonts w:ascii="Arial" w:cs="Arial" w:eastAsia="Arial" w:hAnsi="Arial"/>
                <w:sz w:val="17"/>
                <w:szCs w:val="17"/>
                <w:color w:val="0000FF"/>
                <w:w w:val="89"/>
              </w:rPr>
              <w:t>9,488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2.425</w:t>
            </w:r>
          </w:p>
        </w:tc>
        <w:tc>
          <w:tcPr>
            <w:tcW w:w="9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12/23/2020</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center"/>
              <w:ind w:left="220"/>
              <w:spacing w:after="0" w:line="142" w:lineRule="exact"/>
              <w:rPr>
                <w:sz w:val="20"/>
                <w:szCs w:val="20"/>
                <w:color w:val="auto"/>
              </w:rPr>
            </w:pPr>
            <w:r>
              <w:rPr>
                <w:rFonts w:ascii="Arial" w:cs="Arial" w:eastAsia="Arial" w:hAnsi="Arial"/>
                <w:sz w:val="13"/>
                <w:szCs w:val="13"/>
                <w:color w:val="0000FF"/>
                <w:w w:val="92"/>
              </w:rPr>
              <w:t>9,488</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12/16/2029</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5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880" w:type="dxa"/>
            <w:vAlign w:val="bottom"/>
            <w:gridSpan w:val="2"/>
            <w:vMerge w:val="restart"/>
          </w:tcPr>
          <w:p>
            <w:pPr>
              <w:jc w:val="center"/>
              <w:ind w:right="2"/>
              <w:spacing w:after="0" w:line="142" w:lineRule="exact"/>
              <w:rPr>
                <w:sz w:val="20"/>
                <w:szCs w:val="20"/>
                <w:color w:val="auto"/>
              </w:rPr>
            </w:pPr>
            <w:r>
              <w:rPr>
                <w:rFonts w:ascii="Arial" w:cs="Arial" w:eastAsia="Arial" w:hAnsi="Arial"/>
                <w:sz w:val="13"/>
                <w:szCs w:val="13"/>
                <w:color w:val="0000FF"/>
                <w:w w:val="89"/>
              </w:rPr>
              <w:t>148,466</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-7393940</wp:posOffset>
            </wp:positionV>
            <wp:extent cx="7033895" cy="763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76396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21"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7033895" cy="2178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7805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7"/>
                <w:szCs w:val="17"/>
                <w:color w:val="0000FF"/>
              </w:rPr>
              <w:t>432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2.062</w:t>
            </w: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12/24/2020</w:t>
            </w:r>
          </w:p>
        </w:tc>
        <w:tc>
          <w:tcPr>
            <w:tcW w:w="1100" w:type="dxa"/>
            <w:vAlign w:val="bottom"/>
          </w:tcPr>
          <w:p>
            <w:pPr>
              <w:spacing w:after="0"/>
              <w:rPr>
                <w:sz w:val="5"/>
                <w:szCs w:val="5"/>
                <w:color w:val="auto"/>
              </w:rPr>
            </w:pPr>
          </w:p>
        </w:tc>
        <w:tc>
          <w:tcPr>
            <w:tcW w:w="780" w:type="dxa"/>
            <w:vAlign w:val="bottom"/>
            <w:vMerge w:val="restart"/>
          </w:tcPr>
          <w:p>
            <w:pPr>
              <w:ind w:left="140"/>
              <w:spacing w:after="0" w:line="142"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432</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03/29/2029</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54,898</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14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$33.00 to $33.925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(2), (3) and (4).</w:t>
      </w:r>
    </w:p>
    <w:p>
      <w:pPr>
        <w:spacing w:after="0" w:line="32" w:lineRule="exact"/>
        <w:rPr>
          <w:rFonts w:ascii="Arial" w:cs="Arial" w:eastAsia="Arial" w:hAnsi="Arial"/>
          <w:sz w:val="13"/>
          <w:szCs w:val="13"/>
          <w:color w:val="008000"/>
        </w:rPr>
      </w:pPr>
    </w:p>
    <w:p>
      <w:pPr>
        <w:ind w:left="160" w:hanging="13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$33.00 to $33.97 inclusive.</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$34.00 to $34.61 inclusive.</w:t>
      </w:r>
    </w:p>
    <w:p>
      <w:pPr>
        <w:spacing w:after="0" w:line="43" w:lineRule="exact"/>
        <w:rPr>
          <w:rFonts w:ascii="Arial" w:cs="Arial" w:eastAsia="Arial" w:hAnsi="Arial"/>
          <w:sz w:val="13"/>
          <w:szCs w:val="13"/>
          <w:color w:val="008000"/>
        </w:rPr>
      </w:pPr>
    </w:p>
    <w:p>
      <w:pPr>
        <w:ind w:left="160" w:hanging="13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$33.00 to $33.46 inclusive.</w:t>
      </w:r>
    </w:p>
    <w:p>
      <w:pPr>
        <w:spacing w:after="0" w:line="43" w:lineRule="exact"/>
        <w:rPr>
          <w:rFonts w:ascii="Arial" w:cs="Arial" w:eastAsia="Arial" w:hAnsi="Arial"/>
          <w:sz w:val="13"/>
          <w:szCs w:val="13"/>
          <w:color w:val="008000"/>
        </w:rPr>
      </w:pPr>
    </w:p>
    <w:p>
      <w:pPr>
        <w:ind w:left="20" w:right="420" w:firstLine="2"/>
        <w:spacing w:after="0" w:line="24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Twenty-five percent (25%) of the shares subject to the option vested on June 22, 2018, and one thirty-sixth (1/36th) of the remaining shares subject to the option vested or shall vest each month thereafter, subject to Reporting Person continuing to provide service through each such date.</w:t>
      </w:r>
    </w:p>
    <w:p>
      <w:pPr>
        <w:spacing w:after="0" w:line="25" w:lineRule="exact"/>
        <w:rPr>
          <w:rFonts w:ascii="Arial" w:cs="Arial" w:eastAsia="Arial" w:hAnsi="Arial"/>
          <w:sz w:val="13"/>
          <w:szCs w:val="13"/>
          <w:color w:val="008000"/>
        </w:rPr>
      </w:pPr>
    </w:p>
    <w:p>
      <w:pPr>
        <w:ind w:left="20" w:right="320" w:firstLine="2"/>
        <w:spacing w:after="0" w:line="24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Twenty-five percent (25%) of the shares subject to the option vested on March 29, 2020, and one thirty-sixth (1/36th) of the remaining shares subject to the option vested or shall vest each month thereafter, subject to Reporting Person continuing to provide service through each such date.</w:t>
      </w:r>
    </w:p>
    <w:p>
      <w:pPr>
        <w:spacing w:after="0" w:line="25" w:lineRule="exact"/>
        <w:rPr>
          <w:rFonts w:ascii="Arial" w:cs="Arial" w:eastAsia="Arial" w:hAnsi="Arial"/>
          <w:sz w:val="13"/>
          <w:szCs w:val="13"/>
          <w:color w:val="008000"/>
        </w:rPr>
      </w:pPr>
    </w:p>
    <w:p>
      <w:pPr>
        <w:ind w:left="20" w:right="200" w:firstLine="2"/>
        <w:spacing w:after="0" w:line="24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Twenty-five percent (25%) of the shares subject to the option vested on December 16, 2020, and one thirty-ninth (1/39th) of the remaining shares subject to the option shall vest each month thereafter, subject to Reporting Person continuing to provide service through each such date.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Steve Forte,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12/28/2020</w:t>
            </w:r>
          </w:p>
        </w:tc>
        <w:tc>
          <w:tcPr>
            <w:tcW w:w="0" w:type="dxa"/>
            <w:vAlign w:val="bottom"/>
          </w:tcPr>
          <w:p>
            <w:pPr>
              <w:spacing w:after="0"/>
              <w:rPr>
                <w:sz w:val="1"/>
                <w:szCs w:val="1"/>
                <w:color w:val="auto"/>
              </w:rPr>
            </w:pPr>
          </w:p>
        </w:tc>
      </w:tr>
      <w:tr>
        <w:trPr>
          <w:trHeight w:val="88"/>
        </w:trPr>
        <w:tc>
          <w:tcPr>
            <w:tcW w:w="18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4"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5366" TargetMode="External"/><Relationship Id="rId14"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2020-12-28T15:42:26Z</dcterms:created>
  <dcterms:modified xsi:type="dcterms:W3CDTF">2020-12-28T15:42:26Z</dcterms:modified>
</cp:coreProperties>
</file>