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right"/>
        <w:ind w:right="4500"/>
        <w:spacing w:after="0"/>
        <w:rPr>
          <w:sz w:val="20"/>
          <w:szCs w:val="20"/>
          <w:color w:val="auto"/>
        </w:rPr>
      </w:pPr>
      <w:r>
        <w:rPr>
          <w:rFonts w:ascii="Arial" w:cs="Arial" w:eastAsia="Arial" w:hAnsi="Arial"/>
          <w:sz w:val="18"/>
          <w:szCs w:val="18"/>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right"/>
        <w:ind w:right="4560"/>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2,548,764</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2,548,764</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2,548,764</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760273102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6"/>
              </w:rPr>
              <w:t>BVF I GP LLC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2,548,764</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2,548,764</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2,548,764</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II,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1,903,361</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1,903,361</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1,903,361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4.6%</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9"/>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1,903,361</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1,903,361</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1,903,361</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299,728</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299,728</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299,728</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BVF Partners OS Ltd.</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299,728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299,728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299,728</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GP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4,452,125</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4,452,125</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4,452,125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8</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Partners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4,858,761</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4,858,761</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4,858,761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11.6%</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 IA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9</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4,858,761</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4,858,761</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4,858,761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11.6%</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10</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4,858,761</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4,858,761</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4,858,761</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Repare Therapeutics Inc., a Canada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7210 Frederick-Banting, Suite 100</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St-Laurent, Québec, Canada H4S 2A1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GP Holdings LLC (“BVF GPH”)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540"/>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Common Shares, no par value (the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848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w w:val="90"/>
              </w:rPr>
              <w:t>760273102</w:t>
            </w:r>
          </w:p>
        </w:tc>
        <w:tc>
          <w:tcPr>
            <w:tcW w:w="6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/x/</w:t>
            </w:r>
          </w:p>
        </w:tc>
        <w:tc>
          <w:tcPr>
            <w:tcW w:w="848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(a)</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(b)</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(c)</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(d)</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(e)</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(f)</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(g)</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(h)</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(i)</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(j)</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(k)</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w w:val="98"/>
              </w:rPr>
              <w:t>Group, in accordance with Rule 240.13d-1(b)(1)(ii)(K). If filing as a non-U.S. institution in accordance with</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Rule 240.13d-1(b)(1)(ii)(J), please specify the type of institution: ____</w:t>
            </w:r>
          </w:p>
        </w:tc>
      </w:tr>
      <w:tr>
        <w:trPr>
          <w:trHeight w:val="540"/>
        </w:trPr>
        <w:tc>
          <w:tcPr>
            <w:tcW w:w="1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2021, (i) BVF beneficially owned 2,548,764 Shares, (ii) BVF2 beneficially owned 1,903,361 Shares and (iii) Trading Fund OS beneficially owned 299,728.</w:t>
      </w:r>
    </w:p>
    <w:p>
      <w:pPr>
        <w:spacing w:after="0" w:line="170" w:lineRule="exact"/>
        <w:rPr>
          <w:rFonts w:ascii="Arial" w:cs="Arial" w:eastAsia="Arial" w:hAnsi="Arial"/>
          <w:sz w:val="18"/>
          <w:szCs w:val="18"/>
          <w:color w:val="auto"/>
        </w:rPr>
      </w:pPr>
    </w:p>
    <w:p>
      <w:pPr>
        <w:ind w:left="1300" w:right="540"/>
        <w:spacing w:after="0" w:line="56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2,548,764 Shares beneficially owned by BVF. BVF2 GP, as the general partner of BVF2, may be deemed to beneficially own the 1,903,361 Shares beneficially owned by BVF2.</w:t>
      </w: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299,728 Shares beneficially owned by Trading Fund OS.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BVF GPH, as the sole member of each of BVF GP and BVF2 GP, may be deemed to beneficially own the 4,452,125 Shares beneficially owned in the aggregate by BVF and BVF2.</w:t>
      </w:r>
    </w:p>
    <w:p>
      <w:pPr>
        <w:spacing w:after="0" w:line="170" w:lineRule="exact"/>
        <w:rPr>
          <w:rFonts w:ascii="Arial" w:cs="Arial" w:eastAsia="Arial" w:hAnsi="Arial"/>
          <w:sz w:val="18"/>
          <w:szCs w:val="18"/>
          <w:color w:val="auto"/>
        </w:rPr>
      </w:pPr>
    </w:p>
    <w:p>
      <w:pPr>
        <w:jc w:val="both"/>
        <w:ind w:left="1300"/>
        <w:spacing w:after="0" w:line="311" w:lineRule="auto"/>
        <w:rPr>
          <w:rFonts w:ascii="Arial" w:cs="Arial" w:eastAsia="Arial" w:hAnsi="Arial"/>
          <w:sz w:val="18"/>
          <w:szCs w:val="18"/>
          <w:color w:val="auto"/>
        </w:rPr>
      </w:pPr>
      <w:r>
        <w:rPr>
          <w:rFonts w:ascii="Arial" w:cs="Arial" w:eastAsia="Arial" w:hAnsi="Arial"/>
          <w:sz w:val="16"/>
          <w:szCs w:val="16"/>
          <w:color w:val="auto"/>
        </w:rPr>
        <w:t>Partners, as the investment manager of BVF, BVF2 and Trading Fund OS, and the sole member of Partners OS, may be deemed to beneficially own the 4,858,761 Shares beneficially owned in the aggregate by BVF, BVF2 and Trading Fund OS and held in a certain Partners managed account (the “Partners Managed Account”), including 106,908 Shares held in the Partners Managed Account.</w:t>
      </w:r>
    </w:p>
    <w:p>
      <w:pPr>
        <w:spacing w:after="0" w:line="14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BVF Inc., as the general partner of Partners, may be deemed to beneficially own the 4,858,761 Shares beneficially owned by Partners.</w:t>
      </w:r>
    </w:p>
    <w:p>
      <w:pPr>
        <w:spacing w:after="0" w:line="248"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Mr. Lampert, as a director and officer of BVF Inc., may be deemed to beneficially own the 4,858,761 Shares beneficially owned by BVF Inc.</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41,735,057 Shares outstanding as of November 10, 2021, as disclosed in the Issuer’s Quarterly Report on Form 10-Q filed with the Securities and Exchange Commission on November 10, 2021.</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As of the close of business on December 31, 2021, (i) BVF beneficially owned approximately 6.1% of the outstanding Shares, (ii) BVF2 beneficially owned approximately 4.6% of the outstanding Shares, (iii) Trading Fund OS beneficially owned less than 1% of the outstanding Shares, (iv) BVF GP may be deemed to beneficially own approximately 6.1% of the outstanding Shares, (v) BVF2 GP may be deemed to beneficially own approximately 4.6% of the outstanding Shares, (vi) Partners OS may be deemed to beneficially own less than 1% of the outstanding Shares, (vii) BVF GPH may be deemed to beneficially own approximately 10.7% of the outstanding Shares, and (viii) each of Partners, BVF Inc. and Mr. Lampert may be deemed to beneficially own approximately 11.6% of the outstanding Shares (less than 1% of the outstanding Shares are held in the Partners Managed Account).</w:t>
      </w:r>
    </w:p>
    <w:p>
      <w:pPr>
        <w:spacing w:after="0" w:line="17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right="60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p>
      <w:pPr>
        <w:spacing w:after="0" w:line="187"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 to the Schedule 13G filed with the Securities and Exchange Commission on June 29, 2020.</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6"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Partners L.P., its investment manager</w:t>
      </w:r>
    </w:p>
    <w:p>
      <w:pPr>
        <w:spacing w:after="0" w:line="23"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39"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14605</wp:posOffset>
            </wp:positionV>
            <wp:extent cx="3557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N. LAMPERT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4820" w:space="720"/>
        <w:col w:w="5680"/>
      </w:cols>
      <w:pgMar w:left="32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2022-02-14T05:29:22Z</dcterms:created>
  <dcterms:modified xsi:type="dcterms:W3CDTF">2022-02-14T05:29:22Z</dcterms:modified>
</cp:coreProperties>
</file>