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280" w:hanging="3872"/>
        <w:spacing w:after="0" w:line="391" w:lineRule="auto"/>
        <w:tabs>
          <w:tab w:leader="none" w:pos="81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4" w:lineRule="exact"/>
        <w:rPr>
          <w:sz w:val="24"/>
          <w:szCs w:val="24"/>
          <w:color w:val="auto"/>
        </w:rPr>
      </w:pPr>
    </w:p>
    <w:p>
      <w:pPr>
        <w:ind w:left="2700" w:right="1260" w:hanging="2692"/>
        <w:spacing w:after="0" w:line="375" w:lineRule="auto"/>
        <w:tabs>
          <w:tab w:leader="none" w:pos="8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_________________ to ___________________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-515620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500" w:type="dxa"/>
        <w:tblCellMar>
          <w:top w:w="0" w:type="dxa"/>
          <w:left w:w="0" w:type="dxa"/>
          <w:bottom w:w="0" w:type="dxa"/>
          <w:right w:w="0" w:type="dxa"/>
        </w:tblCellMar>
      </w:tblPr>
      <w:tr>
        <w:trPr>
          <w:trHeight w:val="216"/>
        </w:trPr>
        <w:tc>
          <w:tcPr>
            <w:tcW w:w="4500" w:type="dxa"/>
            <w:vAlign w:val="bottom"/>
          </w:tcPr>
          <w:p>
            <w:pPr>
              <w:jc w:val="center"/>
              <w:ind w:right="1804"/>
              <w:spacing w:after="0"/>
              <w:rPr>
                <w:sz w:val="20"/>
                <w:szCs w:val="20"/>
                <w:color w:val="auto"/>
              </w:rPr>
            </w:pPr>
            <w:r>
              <w:rPr>
                <w:rFonts w:ascii="Arial" w:cs="Arial" w:eastAsia="Arial" w:hAnsi="Arial"/>
                <w:sz w:val="18"/>
                <w:szCs w:val="18"/>
                <w:b w:val="1"/>
                <w:bCs w:val="1"/>
                <w:color w:val="auto"/>
                <w:w w:val="87"/>
              </w:rPr>
              <w:t>Québec</w:t>
            </w:r>
          </w:p>
        </w:tc>
        <w:tc>
          <w:tcPr>
            <w:tcW w:w="2980" w:type="dxa"/>
            <w:vAlign w:val="bottom"/>
          </w:tcPr>
          <w:p>
            <w:pPr>
              <w:jc w:val="center"/>
              <w:ind w:left="1806"/>
              <w:spacing w:after="0"/>
              <w:rPr>
                <w:sz w:val="20"/>
                <w:szCs w:val="20"/>
                <w:color w:val="auto"/>
              </w:rPr>
            </w:pPr>
            <w:r>
              <w:rPr>
                <w:rFonts w:ascii="Arial" w:cs="Arial" w:eastAsia="Arial" w:hAnsi="Arial"/>
                <w:sz w:val="18"/>
                <w:szCs w:val="18"/>
                <w:b w:val="1"/>
                <w:bCs w:val="1"/>
                <w:color w:val="auto"/>
                <w:w w:val="89"/>
              </w:rPr>
              <w:t>Not applicable</w:t>
            </w:r>
          </w:p>
        </w:tc>
      </w:tr>
      <w:tr>
        <w:trPr>
          <w:trHeight w:val="135"/>
        </w:trPr>
        <w:tc>
          <w:tcPr>
            <w:tcW w:w="4500" w:type="dxa"/>
            <w:vAlign w:val="bottom"/>
          </w:tcPr>
          <w:p>
            <w:pPr>
              <w:jc w:val="center"/>
              <w:ind w:right="180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8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500" w:type="dxa"/>
            <w:vAlign w:val="bottom"/>
          </w:tcPr>
          <w:p>
            <w:pPr>
              <w:jc w:val="center"/>
              <w:ind w:right="1784"/>
              <w:spacing w:after="0"/>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806"/>
              <w:spacing w:after="0"/>
              <w:rPr>
                <w:sz w:val="20"/>
                <w:szCs w:val="20"/>
                <w:color w:val="auto"/>
              </w:rPr>
            </w:pPr>
            <w:r>
              <w:rPr>
                <w:rFonts w:ascii="Arial" w:cs="Arial" w:eastAsia="Arial" w:hAnsi="Arial"/>
                <w:sz w:val="13"/>
                <w:szCs w:val="13"/>
                <w:b w:val="1"/>
                <w:bCs w:val="1"/>
                <w:color w:val="auto"/>
                <w:w w:val="89"/>
              </w:rPr>
              <w:t>Identification No.)</w:t>
            </w:r>
          </w:p>
        </w:tc>
      </w:tr>
      <w:tr>
        <w:trPr>
          <w:trHeight w:val="254"/>
        </w:trPr>
        <w:tc>
          <w:tcPr>
            <w:tcW w:w="4500" w:type="dxa"/>
            <w:vAlign w:val="bottom"/>
          </w:tcPr>
          <w:p>
            <w:pPr>
              <w:jc w:val="center"/>
              <w:ind w:right="1804"/>
              <w:spacing w:after="0"/>
              <w:rPr>
                <w:sz w:val="20"/>
                <w:szCs w:val="20"/>
                <w:color w:val="auto"/>
              </w:rPr>
            </w:pPr>
            <w:r>
              <w:rPr>
                <w:rFonts w:ascii="Arial" w:cs="Arial" w:eastAsia="Arial" w:hAnsi="Arial"/>
                <w:sz w:val="18"/>
                <w:szCs w:val="18"/>
                <w:b w:val="1"/>
                <w:bCs w:val="1"/>
                <w:color w:val="auto"/>
                <w:w w:val="90"/>
              </w:rPr>
              <w:t>7210 Frederick-Banting, Suite 100</w:t>
            </w:r>
          </w:p>
        </w:tc>
        <w:tc>
          <w:tcPr>
            <w:tcW w:w="2980" w:type="dxa"/>
            <w:vAlign w:val="bottom"/>
          </w:tcPr>
          <w:p>
            <w:pPr>
              <w:spacing w:after="0"/>
              <w:rPr>
                <w:sz w:val="22"/>
                <w:szCs w:val="22"/>
                <w:color w:val="auto"/>
              </w:rPr>
            </w:pPr>
          </w:p>
        </w:tc>
      </w:tr>
      <w:tr>
        <w:trPr>
          <w:trHeight w:val="216"/>
        </w:trPr>
        <w:tc>
          <w:tcPr>
            <w:tcW w:w="4500" w:type="dxa"/>
            <w:vAlign w:val="bottom"/>
          </w:tcPr>
          <w:p>
            <w:pPr>
              <w:jc w:val="center"/>
              <w:ind w:right="1784"/>
              <w:spacing w:after="0"/>
              <w:rPr>
                <w:sz w:val="20"/>
                <w:szCs w:val="20"/>
                <w:color w:val="auto"/>
              </w:rPr>
            </w:pPr>
            <w:r>
              <w:rPr>
                <w:rFonts w:ascii="Arial" w:cs="Arial" w:eastAsia="Arial" w:hAnsi="Arial"/>
                <w:sz w:val="18"/>
                <w:szCs w:val="18"/>
                <w:b w:val="1"/>
                <w:bCs w:val="1"/>
                <w:color w:val="auto"/>
                <w:w w:val="91"/>
              </w:rPr>
              <w:t>St-Laurent, Québec, Canada</w:t>
            </w:r>
          </w:p>
        </w:tc>
        <w:tc>
          <w:tcPr>
            <w:tcW w:w="2980" w:type="dxa"/>
            <w:vAlign w:val="bottom"/>
          </w:tcPr>
          <w:p>
            <w:pPr>
              <w:jc w:val="center"/>
              <w:ind w:left="1806"/>
              <w:spacing w:after="0"/>
              <w:rPr>
                <w:sz w:val="20"/>
                <w:szCs w:val="20"/>
                <w:color w:val="auto"/>
              </w:rPr>
            </w:pPr>
            <w:r>
              <w:rPr>
                <w:rFonts w:ascii="Arial" w:cs="Arial" w:eastAsia="Arial" w:hAnsi="Arial"/>
                <w:sz w:val="18"/>
                <w:szCs w:val="18"/>
                <w:b w:val="1"/>
                <w:bCs w:val="1"/>
                <w:color w:val="auto"/>
                <w:w w:val="95"/>
              </w:rPr>
              <w:t>H4S 2A1</w:t>
            </w:r>
          </w:p>
        </w:tc>
      </w:tr>
      <w:tr>
        <w:trPr>
          <w:trHeight w:val="164"/>
        </w:trPr>
        <w:tc>
          <w:tcPr>
            <w:tcW w:w="4500" w:type="dxa"/>
            <w:vAlign w:val="bottom"/>
          </w:tcPr>
          <w:p>
            <w:pPr>
              <w:jc w:val="center"/>
              <w:ind w:right="17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80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shares, no par value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RPTX</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5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13, 2020, there were 36,753,454 shares of the registrant’s common stock,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SPECIAL NOTE REGARDING FORWARD LOOKING STATEMENTS</w:t>
              </w:r>
            </w:hyperlink>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8"/>
        </w:trPr>
        <w:tc>
          <w:tcPr>
            <w:tcW w:w="1060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948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948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9480" w:type="dxa"/>
            <w:vAlign w:val="bottom"/>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(Loss)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9480" w:type="dxa"/>
            <w:vAlign w:val="bottom"/>
          </w:tcPr>
          <w:p>
            <w:pPr>
              <w:ind w:left="3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9480" w:type="dxa"/>
            <w:vAlign w:val="bottom"/>
          </w:tcPr>
          <w:p>
            <w:pPr>
              <w:ind w:left="3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3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3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3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80" w:type="dxa"/>
            <w:vAlign w:val="bottom"/>
          </w:tcPr>
          <w:p>
            <w:pPr>
              <w:ind w:left="3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3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3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3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3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Defaults Upon Senior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3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tcPr>
          <w:p>
            <w:pPr>
              <w:ind w:left="3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3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12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Signatures</w:t>
              </w:r>
            </w:hyperlink>
          </w:p>
        </w:tc>
        <w:tc>
          <w:tcPr>
            <w:tcW w:w="9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research and development costs, plans and objectives of management,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Although we believe that we have a reasonable basis for each forward-looking statement contained in this Quarterly Report on Form 10-Q, we caution you that these statements are based on a combination of facts and factors currently known by us and our expectations of the future, about which we cannot be certain.</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1260" w:hanging="375"/>
        <w:spacing w:after="0" w:line="308" w:lineRule="auto"/>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8" w:lineRule="exact"/>
        <w:rPr>
          <w:rFonts w:ascii="Arial" w:cs="Arial" w:eastAsia="Arial" w:hAnsi="Arial"/>
          <w:sz w:val="17"/>
          <w:szCs w:val="17"/>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17"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or pandemic, such as the coronavirus disease, or COVID-19 pandemic</w:t>
      </w:r>
    </w:p>
    <w:p>
      <w:pPr>
        <w:spacing w:after="0" w:line="62"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unexpected impact of the COVID-19 pandemic on our operations, the continuity of our business, including our preclinical studies and clinical trials, general economic conditions and ability to raise additional capital;</w:t>
      </w:r>
    </w:p>
    <w:p>
      <w:pPr>
        <w:spacing w:after="0" w:line="62"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to timely and successfully complete those trials and to receive necessary regulatory approvals;</w:t>
      </w:r>
    </w:p>
    <w:p>
      <w:pPr>
        <w:spacing w:after="0" w:line="62"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completion of enrollment and availability of data from our current preclinical studies and clinical trials;</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of filings with regulatory authorities for any product candidates that we develop;</w:t>
      </w:r>
    </w:p>
    <w:p>
      <w:pPr>
        <w:spacing w:after="0" w:line="117"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rate and degree of market acceptance for any product candidates that we develop;</w:t>
      </w:r>
    </w:p>
    <w:p>
      <w:pPr>
        <w:spacing w:after="0" w:line="62" w:lineRule="exact"/>
        <w:rPr>
          <w:rFonts w:ascii="Arial" w:cs="Arial" w:eastAsia="Arial" w:hAnsi="Arial"/>
          <w:sz w:val="18"/>
          <w:szCs w:val="18"/>
          <w:color w:val="auto"/>
        </w:rPr>
      </w:pPr>
    </w:p>
    <w:p>
      <w:pPr>
        <w:ind w:left="1260" w:right="2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62"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17" w:lineRule="exact"/>
        <w:rPr>
          <w:rFonts w:ascii="Arial" w:cs="Arial" w:eastAsia="Arial" w:hAnsi="Arial"/>
          <w:sz w:val="18"/>
          <w:szCs w:val="18"/>
          <w:color w:val="auto"/>
        </w:rPr>
      </w:pPr>
    </w:p>
    <w:p>
      <w:pPr>
        <w:ind w:left="1260" w:hanging="375"/>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62"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00" w:lineRule="exact"/>
        <w:rPr>
          <w:sz w:val="20"/>
          <w:szCs w:val="20"/>
          <w:color w:val="auto"/>
        </w:rPr>
      </w:pPr>
    </w:p>
    <w:p>
      <w:pPr>
        <w:spacing w:after="0" w:line="24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these statements relate to our strategy, future operations, future financial position, future revenue, projected costs, prospects, plans, objectives of management and expected market growth, and involve known and unknown risks, uncertainties and other factors including, without limitation, risks, uncertainties and assumptions regarding the impact of the COVID-19 pandemic on our business, operations, strategy, goals and anticipated timelines, our ongoing and planned preclinical activities, our ability to initiate, enroll, conduct or complete ongoing and planned clinical trials, our timelines for regulatory submissions and our financial position that may cause our actual results, levels of activity, performance or achievements to be materially different from any future results, levels of activity, performance or achievements expressed or implied by these forward-looking statements. You are urged to carefully review the disclosures we make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concerning these risks and other factors that may affect our business and operating results in this Quarterly Report on Form 10-Q. You are cautioned not to place undue reliance on these forward-looking statements, which speak only as of the date of this document. We do not intend, and undertake no obligation, to update any forward-looking information to reflect events or circumstances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1020" w:type="dxa"/>
            <w:vAlign w:val="bottom"/>
          </w:tcPr>
          <w:p>
            <w:pPr>
              <w:jc w:val="center"/>
              <w:ind w:left="465"/>
              <w:spacing w:after="0"/>
              <w:rPr>
                <w:sz w:val="20"/>
                <w:szCs w:val="20"/>
                <w:color w:val="auto"/>
              </w:rPr>
            </w:pPr>
            <w:r>
              <w:rPr>
                <w:rFonts w:ascii="Arial" w:cs="Arial" w:eastAsia="Arial" w:hAnsi="Arial"/>
                <w:sz w:val="13"/>
                <w:szCs w:val="13"/>
                <w:b w:val="1"/>
                <w:bCs w:val="1"/>
                <w:color w:val="auto"/>
                <w:w w:val="86"/>
              </w:rPr>
              <w:t>As of</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30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1020" w:type="dxa"/>
            <w:vAlign w:val="bottom"/>
            <w:tcBorders>
              <w:bottom w:val="single" w:sz="8" w:color="auto"/>
            </w:tcBorders>
          </w:tcPr>
          <w:p>
            <w:pPr>
              <w:jc w:val="center"/>
              <w:ind w:left="465"/>
              <w:spacing w:after="0"/>
              <w:rPr>
                <w:sz w:val="20"/>
                <w:szCs w:val="20"/>
                <w:color w:val="auto"/>
              </w:rPr>
            </w:pPr>
            <w:r>
              <w:rPr>
                <w:rFonts w:ascii="Arial" w:cs="Arial" w:eastAsia="Arial" w:hAnsi="Arial"/>
                <w:sz w:val="13"/>
                <w:szCs w:val="13"/>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30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ind w:left="465"/>
              <w:spacing w:after="0"/>
              <w:rPr>
                <w:sz w:val="20"/>
                <w:szCs w:val="20"/>
                <w:color w:val="auto"/>
              </w:rPr>
            </w:pPr>
            <w:r>
              <w:rPr>
                <w:rFonts w:ascii="Arial" w:cs="Arial" w:eastAsia="Arial" w:hAnsi="Arial"/>
                <w:sz w:val="13"/>
                <w:szCs w:val="13"/>
                <w:b w:val="1"/>
                <w:bCs w:val="1"/>
                <w:color w:val="auto"/>
                <w:w w:val="96"/>
              </w:rPr>
              <w:t>2020</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1020" w:type="dxa"/>
            <w:vAlign w:val="bottom"/>
            <w:shd w:val="clear" w:color="auto" w:fill="CFF0FC"/>
          </w:tcPr>
          <w:p>
            <w:pPr>
              <w:jc w:val="right"/>
              <w:ind w:right="845"/>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6"/>
              </w:rPr>
              <w:t>369,933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94,797</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Research and development tax credits receivable</w:t>
            </w:r>
          </w:p>
        </w:tc>
        <w:tc>
          <w:tcPr>
            <w:tcW w:w="10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1,414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receivables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3,296</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6"/>
              </w:rPr>
              <w:t>377,264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98,572</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0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2,453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729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tax assets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192</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02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6"/>
              </w:rPr>
              <w:t>381,731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102,695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SHARES AND SHAREHOLDERS’</w:t>
            </w: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120"/>
              <w:spacing w:after="0"/>
              <w:rPr>
                <w:sz w:val="20"/>
                <w:szCs w:val="20"/>
                <w:color w:val="auto"/>
              </w:rPr>
            </w:pPr>
            <w:r>
              <w:rPr>
                <w:rFonts w:ascii="Arial" w:cs="Arial" w:eastAsia="Arial" w:hAnsi="Arial"/>
                <w:sz w:val="16"/>
                <w:szCs w:val="16"/>
                <w:b w:val="1"/>
                <w:bCs w:val="1"/>
                <w:color w:val="auto"/>
              </w:rPr>
              <w:t>EQUITY (DEFICIT)</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3,576</w:t>
            </w:r>
          </w:p>
        </w:tc>
        <w:tc>
          <w:tcPr>
            <w:tcW w:w="16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5,262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lease liability, current portion</w:t>
            </w:r>
          </w:p>
        </w:tc>
        <w:tc>
          <w:tcPr>
            <w:tcW w:w="10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 payable</w:t>
            </w: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9,797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4,246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net of current portion</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58,142</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8,142</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0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68,075</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12,827</w:t>
            </w:r>
          </w:p>
        </w:tc>
        <w:tc>
          <w:tcPr>
            <w:tcW w:w="0" w:type="dxa"/>
            <w:vAlign w:val="bottom"/>
          </w:tcPr>
          <w:p>
            <w:pPr>
              <w:spacing w:after="0"/>
              <w:rPr>
                <w:sz w:val="1"/>
                <w:szCs w:val="1"/>
                <w:color w:val="auto"/>
              </w:rPr>
            </w:pPr>
          </w:p>
        </w:tc>
      </w:tr>
      <w:tr>
        <w:trPr>
          <w:trHeight w:val="200"/>
        </w:trPr>
        <w:tc>
          <w:tcPr>
            <w:tcW w:w="7720" w:type="dxa"/>
            <w:vAlign w:val="bottom"/>
          </w:tcPr>
          <w:p>
            <w:pPr>
              <w:spacing w:after="0"/>
              <w:rPr>
                <w:sz w:val="20"/>
                <w:szCs w:val="20"/>
                <w:color w:val="auto"/>
              </w:rPr>
            </w:pPr>
            <w:r>
              <w:rPr>
                <w:rFonts w:ascii="Arial" w:cs="Arial" w:eastAsia="Arial" w:hAnsi="Arial"/>
                <w:sz w:val="16"/>
                <w:szCs w:val="16"/>
                <w:color w:val="auto"/>
              </w:rPr>
              <w:t>Series A convertible preferred shares, no par value per share; 0 shares and unlimited shares</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20"/>
              <w:spacing w:after="0"/>
              <w:rPr>
                <w:sz w:val="20"/>
                <w:szCs w:val="20"/>
                <w:color w:val="auto"/>
              </w:rPr>
            </w:pPr>
            <w:r>
              <w:rPr>
                <w:rFonts w:ascii="Arial" w:cs="Arial" w:eastAsia="Arial" w:hAnsi="Arial"/>
                <w:sz w:val="16"/>
                <w:szCs w:val="16"/>
                <w:color w:val="auto"/>
              </w:rPr>
              <w:t>authorized as of June 30, 2020 and December 31, 2019, respectively; 0 shares and</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20"/>
              <w:spacing w:after="0"/>
              <w:rPr>
                <w:sz w:val="20"/>
                <w:szCs w:val="20"/>
                <w:color w:val="auto"/>
              </w:rPr>
            </w:pPr>
            <w:r>
              <w:rPr>
                <w:rFonts w:ascii="Arial" w:cs="Arial" w:eastAsia="Arial" w:hAnsi="Arial"/>
                <w:sz w:val="16"/>
                <w:szCs w:val="16"/>
                <w:color w:val="auto"/>
              </w:rPr>
              <w:t>11,090,135 shares issued and outstanding as of June 30, 2020 and December 31, 2019,</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20"/>
              <w:spacing w:after="0"/>
              <w:rPr>
                <w:sz w:val="20"/>
                <w:szCs w:val="20"/>
                <w:color w:val="auto"/>
              </w:rPr>
            </w:pPr>
            <w:r>
              <w:rPr>
                <w:rFonts w:ascii="Arial" w:cs="Arial" w:eastAsia="Arial" w:hAnsi="Arial"/>
                <w:sz w:val="16"/>
                <w:szCs w:val="16"/>
                <w:color w:val="auto"/>
              </w:rPr>
              <w:t>respectively; liquidation and redemption value of $0 and $52,750 as of June 30, 2020</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and December 31, 2019, respectively</w:t>
            </w:r>
          </w:p>
        </w:tc>
        <w:tc>
          <w:tcPr>
            <w:tcW w:w="10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53,749</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Series B convertible preferred shares, no par value per share; 0 shares and unlimited shares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authorized as of June 30, 2020 and December 31, 2019, respectively; 0 shares and</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10,468,258 shares issued and outstanding as of June 30, 2020 and December 31, 2019,</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respectively; liquidation and redemption value of $0 and $82,496 as of June 30, 2020</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December 31, 2019, respectively</w:t>
            </w:r>
          </w:p>
        </w:tc>
        <w:tc>
          <w:tcPr>
            <w:tcW w:w="10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82,248</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b w:val="1"/>
                <w:bCs w:val="1"/>
                <w:color w:val="auto"/>
              </w:rPr>
              <w:t>TOTAL CONVERTIBLE PREFERRED SHARES</w:t>
            </w:r>
          </w:p>
        </w:tc>
        <w:tc>
          <w:tcPr>
            <w:tcW w:w="102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135,997</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SHAREHOLDERS’ EQUITY (DEFICIT)</w:t>
            </w: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Preferred shares, no par value per share; unlimited shares and 0 shares authorized as of</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June 30, 2020 and December 31, 2019, respectively; 0 shares issued and outstanding as of</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June 30, 2020 and December 31, 2019</w:t>
            </w:r>
          </w:p>
        </w:tc>
        <w:tc>
          <w:tcPr>
            <w:tcW w:w="10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shares, no par value per share; unlimited shares authorized as of</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June 30, 2020 and December 31, 2019; 36,753,454 and 1,528,374 shares</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as of June 30, 2020, and December 31, 2019, respectively</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6"/>
              </w:rPr>
              <w:t>383,818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4,182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10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(74,344)</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(49,941)</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shareholders’ equity (deficit)</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6"/>
              </w:rPr>
              <w:t>313,656</w:t>
            </w:r>
          </w:p>
        </w:tc>
        <w:tc>
          <w:tcPr>
            <w:tcW w:w="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CONVERTIBLE PREFERRED SHARES AND</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SHAREHOLDERS’ EQUITY (DEFICIT)</w:t>
            </w:r>
          </w:p>
        </w:tc>
        <w:tc>
          <w:tcPr>
            <w:tcW w:w="102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6"/>
              </w:rPr>
              <w:t>381,731</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102,695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 net of tax credits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8,951</w:t>
            </w:r>
          </w:p>
        </w:tc>
        <w:tc>
          <w:tcPr>
            <w:tcW w:w="1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17,583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3,372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5,555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12,323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5,885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23,138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gain (loss) on foreign exchange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Change in fair value of Series A preferred share tranche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obligation</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(24,403)</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Pr>
          <w:p>
            <w:pPr>
              <w:spacing w:after="0"/>
              <w:rPr>
                <w:sz w:val="23"/>
                <w:szCs w:val="23"/>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Pr>
          <w:p>
            <w:pPr>
              <w:spacing w:after="0"/>
              <w:rPr>
                <w:sz w:val="23"/>
                <w:szCs w:val="23"/>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(24,403)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196"/>
        </w:trPr>
        <w:tc>
          <w:tcPr>
            <w:tcW w:w="5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shareholders—basic and</w:t>
            </w: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4,825,214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1,528,374</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3,229,635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1,528,374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Shares and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84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rPr>
              <w:t>Convertible Preferred Shares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140" w:type="dxa"/>
            <w:vAlign w:val="bottom"/>
            <w:gridSpan w:val="3"/>
          </w:tcPr>
          <w:p>
            <w:pPr>
              <w:jc w:val="right"/>
              <w:ind w:right="8"/>
              <w:spacing w:after="0" w:line="155" w:lineRule="exact"/>
              <w:rPr>
                <w:sz w:val="20"/>
                <w:szCs w:val="20"/>
                <w:color w:val="auto"/>
              </w:rPr>
            </w:pPr>
            <w:r>
              <w:rPr>
                <w:rFonts w:ascii="Arial" w:cs="Arial" w:eastAsia="Arial" w:hAnsi="Arial"/>
                <w:sz w:val="14"/>
                <w:szCs w:val="14"/>
                <w:b w:val="1"/>
                <w:bCs w:val="1"/>
                <w:color w:val="auto"/>
              </w:rPr>
              <w:t>Series A</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8"/>
              <w:spacing w:after="0" w:line="155" w:lineRule="exact"/>
              <w:rPr>
                <w:sz w:val="20"/>
                <w:szCs w:val="20"/>
                <w:color w:val="auto"/>
              </w:rPr>
            </w:pPr>
            <w:r>
              <w:rPr>
                <w:rFonts w:ascii="Arial" w:cs="Arial" w:eastAsia="Arial" w:hAnsi="Arial"/>
                <w:sz w:val="14"/>
                <w:szCs w:val="14"/>
                <w:b w:val="1"/>
                <w:bCs w:val="1"/>
                <w:color w:val="auto"/>
              </w:rPr>
              <w:t>Series B</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4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55"/>
        </w:trPr>
        <w:tc>
          <w:tcPr>
            <w:tcW w:w="29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December 31, 2018</w:t>
            </w:r>
          </w:p>
        </w:tc>
        <w:tc>
          <w:tcPr>
            <w:tcW w:w="9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6,813,340</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31,873</w:t>
            </w:r>
          </w:p>
        </w:tc>
        <w:tc>
          <w:tcPr>
            <w:tcW w:w="8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1,528,374</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340</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(22,725)</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(22,384)</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Issuance of Series A convertible preferred</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4"/>
                <w:szCs w:val="14"/>
                <w:color w:val="auto"/>
              </w:rPr>
              <w:t>shares,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120"/>
              <w:spacing w:after="0"/>
              <w:rPr>
                <w:sz w:val="20"/>
                <w:szCs w:val="20"/>
                <w:color w:val="auto"/>
              </w:rPr>
            </w:pPr>
            <w:r>
              <w:rPr>
                <w:rFonts w:ascii="Arial" w:cs="Arial" w:eastAsia="Arial" w:hAnsi="Arial"/>
                <w:sz w:val="14"/>
                <w:szCs w:val="14"/>
                <w:color w:val="auto"/>
              </w:rPr>
              <w:t>net of issuance costs of $5</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4,276,795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21,876</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 expense</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(4,838)</w:t>
            </w:r>
          </w:p>
        </w:tc>
        <w:tc>
          <w:tcPr>
            <w:tcW w:w="0" w:type="dxa"/>
            <w:vAlign w:val="bottom"/>
          </w:tcPr>
          <w:p>
            <w:pPr>
              <w:spacing w:after="0"/>
              <w:rPr>
                <w:sz w:val="1"/>
                <w:szCs w:val="1"/>
                <w:color w:val="auto"/>
              </w:rPr>
            </w:pPr>
          </w:p>
        </w:tc>
      </w:tr>
      <w:tr>
        <w:trPr>
          <w:trHeight w:val="156"/>
        </w:trPr>
        <w:tc>
          <w:tcPr>
            <w:tcW w:w="29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March 31, 2019</w:t>
            </w:r>
          </w:p>
        </w:tc>
        <w:tc>
          <w:tcPr>
            <w:tcW w:w="9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11,090,135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53,749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1,528,374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(27,563)</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(27,157)</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4"/>
                <w:szCs w:val="14"/>
                <w:color w:val="auto"/>
              </w:rPr>
              <w:t>Share-based compensation expense</w:t>
            </w: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9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Net loss and comprehensive loss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(6,359)</w:t>
            </w: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June 30, 2019</w:t>
            </w: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11,090,135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53,749</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1,528,374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526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(33,922)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(33,395)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December 31, 2019</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11,090,135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53,749</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10,468,258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82,248</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1,528,374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3,811</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(49,941)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(46,129)</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181,318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(196)</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 expense</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271</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(12,601)</w:t>
            </w: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(12,601)</w:t>
            </w:r>
          </w:p>
        </w:tc>
        <w:tc>
          <w:tcPr>
            <w:tcW w:w="0" w:type="dxa"/>
            <w:vAlign w:val="bottom"/>
          </w:tcPr>
          <w:p>
            <w:pPr>
              <w:spacing w:after="0"/>
              <w:rPr>
                <w:sz w:val="1"/>
                <w:szCs w:val="1"/>
                <w:color w:val="auto"/>
              </w:rPr>
            </w:pPr>
          </w:p>
        </w:tc>
      </w:tr>
      <w:tr>
        <w:trPr>
          <w:trHeight w:val="156"/>
        </w:trPr>
        <w:tc>
          <w:tcPr>
            <w:tcW w:w="29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March 31, 2020</w:t>
            </w:r>
          </w:p>
        </w:tc>
        <w:tc>
          <w:tcPr>
            <w:tcW w:w="9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11,090,135</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53,749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10,468,258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82,248</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1,709,692</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521</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3,886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(62,542)</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(58,135)</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4"/>
                <w:szCs w:val="14"/>
                <w:color w:val="auto"/>
              </w:rPr>
              <w:t>Exercise of stock options</w:t>
            </w: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9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85,369</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257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 expense</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Issuance of common shares upon initial public</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120"/>
              <w:spacing w:after="0"/>
              <w:rPr>
                <w:sz w:val="20"/>
                <w:szCs w:val="20"/>
                <w:color w:val="auto"/>
              </w:rPr>
            </w:pPr>
            <w:r>
              <w:rPr>
                <w:rFonts w:ascii="Arial" w:cs="Arial" w:eastAsia="Arial" w:hAnsi="Arial"/>
                <w:sz w:val="14"/>
                <w:szCs w:val="14"/>
                <w:color w:val="auto"/>
              </w:rPr>
              <w:t>offering, net of issuance costs of $20,957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12,650,000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232,043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232,043</w:t>
            </w:r>
          </w:p>
        </w:tc>
        <w:tc>
          <w:tcPr>
            <w:tcW w:w="0" w:type="dxa"/>
            <w:vAlign w:val="bottom"/>
          </w:tcPr>
          <w:p>
            <w:pPr>
              <w:spacing w:after="0"/>
              <w:rPr>
                <w:sz w:val="1"/>
                <w:szCs w:val="1"/>
                <w:color w:val="auto"/>
              </w:rPr>
            </w:pPr>
          </w:p>
        </w:tc>
      </w:tr>
      <w:tr>
        <w:trPr>
          <w:trHeight w:val="143"/>
        </w:trPr>
        <w:tc>
          <w:tcPr>
            <w:tcW w:w="29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 convertible preferred shares into</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an</w:t>
            </w: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equivalent number of common shares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(11,090,135)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(53,749)</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(10,468,258)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(82,248)</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21,558,393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8"/>
              </w:rPr>
              <w:t>135,997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135,997</w:t>
            </w:r>
          </w:p>
        </w:tc>
        <w:tc>
          <w:tcPr>
            <w:tcW w:w="0" w:type="dxa"/>
            <w:vAlign w:val="bottom"/>
          </w:tcPr>
          <w:p>
            <w:pPr>
              <w:spacing w:after="0"/>
              <w:rPr>
                <w:sz w:val="1"/>
                <w:szCs w:val="1"/>
                <w:color w:val="auto"/>
              </w:rPr>
            </w:pPr>
          </w:p>
        </w:tc>
      </w:tr>
      <w:tr>
        <w:trPr>
          <w:trHeight w:val="143"/>
        </w:trPr>
        <w:tc>
          <w:tcPr>
            <w:tcW w:w="2940" w:type="dxa"/>
            <w:vAlign w:val="bottom"/>
          </w:tcPr>
          <w:p>
            <w:pPr>
              <w:spacing w:after="0" w:line="143" w:lineRule="exact"/>
              <w:rPr>
                <w:sz w:val="20"/>
                <w:szCs w:val="20"/>
                <w:color w:val="auto"/>
              </w:rPr>
            </w:pPr>
            <w:r>
              <w:rPr>
                <w:rFonts w:ascii="Arial" w:cs="Arial" w:eastAsia="Arial" w:hAnsi="Arial"/>
                <w:sz w:val="14"/>
                <w:szCs w:val="14"/>
                <w:color w:val="auto"/>
              </w:rPr>
              <w:t>Issuance of warrant and conversion into</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120"/>
              <w:spacing w:after="0"/>
              <w:rPr>
                <w:sz w:val="20"/>
                <w:szCs w:val="20"/>
                <w:color w:val="auto"/>
              </w:rPr>
            </w:pPr>
            <w:r>
              <w:rPr>
                <w:rFonts w:ascii="Arial" w:cs="Arial" w:eastAsia="Arial" w:hAnsi="Arial"/>
                <w:sz w:val="14"/>
                <w:szCs w:val="14"/>
                <w:color w:val="auto"/>
              </w:rPr>
              <w:t>shares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Net loss and comprehensive loss</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(11,802)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(11,802)</w:t>
            </w:r>
          </w:p>
        </w:tc>
        <w:tc>
          <w:tcPr>
            <w:tcW w:w="0" w:type="dxa"/>
            <w:vAlign w:val="bottom"/>
          </w:tcPr>
          <w:p>
            <w:pPr>
              <w:spacing w:after="0"/>
              <w:rPr>
                <w:sz w:val="1"/>
                <w:szCs w:val="1"/>
                <w:color w:val="auto"/>
              </w:rPr>
            </w:pP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June 30, 2020</w:t>
            </w: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36,753,454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8"/>
              </w:rPr>
              <w:t>383,818</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4,182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(74,344)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313,656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w:t>
      </w:r>
    </w:p>
    <w:p>
      <w:pPr>
        <w:spacing w:after="0" w:line="253"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Six Months Ended</w:t>
      </w:r>
    </w:p>
    <w:p>
      <w:pPr>
        <w:spacing w:after="0" w:line="11" w:lineRule="exact"/>
        <w:rPr>
          <w:sz w:val="20"/>
          <w:szCs w:val="20"/>
          <w:color w:val="auto"/>
        </w:rPr>
      </w:pPr>
    </w:p>
    <w:p>
      <w:pPr>
        <w:jc w:val="center"/>
        <w:ind w:left="7580"/>
        <w:spacing w:after="0"/>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Net loss and comprehensive loss for the period</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(24,403)</w:t>
            </w:r>
          </w:p>
        </w:tc>
        <w:tc>
          <w:tcPr>
            <w:tcW w:w="16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(11,197)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660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Change in fair value of the Series A preferred shares tranche obligation</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Foreign exchange loss (gain)</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1,162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Research and development tax credits receivable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Other receivables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asset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2,371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liability, current portion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720" w:type="dxa"/>
            <w:vAlign w:val="bottom"/>
          </w:tcPr>
          <w:p>
            <w:pPr>
              <w:ind w:left="500"/>
              <w:spacing w:after="0"/>
              <w:rPr>
                <w:sz w:val="20"/>
                <w:szCs w:val="20"/>
                <w:color w:val="auto"/>
              </w:rPr>
            </w:pPr>
            <w:r>
              <w:rPr>
                <w:rFonts w:ascii="Arial" w:cs="Arial" w:eastAsia="Arial" w:hAnsi="Arial"/>
                <w:sz w:val="16"/>
                <w:szCs w:val="16"/>
                <w:color w:val="auto"/>
              </w:rPr>
              <w:t>Income tax payable</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liability, net of current portion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Deferred revenue</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50,000</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8,142</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26,967</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Proceeds from issuance of Series A preferred shares, net</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Proceeds from issuance of warrant</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15,000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proceeds from issuance of common shares in initial public offering</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6"/>
              </w:rPr>
              <w:t>233,760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6"/>
              </w:rPr>
              <w:t>249,248</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20,995</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fluctuations on cash held</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Net Increase In Cash And Restricted Cash</w:t>
            </w:r>
          </w:p>
        </w:tc>
        <w:tc>
          <w:tcPr>
            <w:tcW w:w="96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275,127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b w:val="1"/>
                <w:bCs w:val="1"/>
                <w:color w:val="auto"/>
              </w:rPr>
              <w:t>17,865</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restricted cash at 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95,005</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10,929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Cash and restricted cash at end of period</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vMerge w:val="continue"/>
          </w:tcPr>
          <w:p>
            <w:pPr>
              <w:spacing w:after="0"/>
              <w:rPr>
                <w:sz w:val="20"/>
                <w:szCs w:val="20"/>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370,132</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28,794</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Reconciliation Of Cash And Restricted Cash</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960" w:type="dxa"/>
            <w:vAlign w:val="bottom"/>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6"/>
              </w:rPr>
              <w:t>369,933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28,588</w:t>
            </w:r>
          </w:p>
        </w:tc>
        <w:tc>
          <w:tcPr>
            <w:tcW w:w="0" w:type="dxa"/>
            <w:vAlign w:val="bottom"/>
          </w:tcPr>
          <w:p>
            <w:pPr>
              <w:spacing w:after="0"/>
              <w:rPr>
                <w:sz w:val="1"/>
                <w:szCs w:val="1"/>
                <w:color w:val="auto"/>
              </w:rPr>
            </w:pPr>
          </w:p>
        </w:tc>
      </w:tr>
      <w:tr>
        <w:trPr>
          <w:trHeight w:val="25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199</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and restricted cash</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96"/>
              </w:rPr>
              <w:t>370,132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28,794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Property and equipment purchases in accounts payable</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423</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Initial public offering costs in accounts payable</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Initial public offering costs in accruals and other current liabilities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vMerge w:val="continue"/>
          </w:tcPr>
          <w:p>
            <w:pPr>
              <w:spacing w:after="0"/>
              <w:rPr>
                <w:sz w:val="20"/>
                <w:szCs w:val="20"/>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1,615</w:t>
            </w:r>
          </w:p>
        </w:tc>
        <w:tc>
          <w:tcPr>
            <w:tcW w:w="1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Conversion of Series A and B convertible preferred shares into common shares</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6"/>
              </w:rPr>
              <w:t>135,997</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Conversion of warrant into common shares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15,000</w:t>
            </w: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September 6, 2016. On June 23, 2020, immediately following the completion of its initial public offering (the “IPO”), the Company was continued as a corporation under the </w:t>
      </w:r>
      <w:r>
        <w:rPr>
          <w:rFonts w:ascii="Arial" w:cs="Arial" w:eastAsia="Arial" w:hAnsi="Arial"/>
          <w:sz w:val="18"/>
          <w:szCs w:val="18"/>
          <w:i w:val="1"/>
          <w:iCs w:val="1"/>
          <w:color w:val="auto"/>
        </w:rPr>
        <w:t>Business Corporations Act (Québec)</w:t>
      </w:r>
      <w:r>
        <w:rPr>
          <w:rFonts w:ascii="Arial" w:cs="Arial" w:eastAsia="Arial" w:hAnsi="Arial"/>
          <w:sz w:val="18"/>
          <w:szCs w:val="18"/>
          <w:color w:val="auto"/>
        </w:rPr>
        <w:t>.</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June 12, 2020, the Company effected a 1-for-6.062 reverse stock split of the Company’s share capital. Accordingly, all common shares, Series A and B preferred shares, stock options and per share amounts in these unaudited condensed consolidated financial statements have been retroactively adjusted to reflect the reverse stock split on a retroactive basis for all periods presented.</w:t>
      </w:r>
    </w:p>
    <w:p>
      <w:pPr>
        <w:spacing w:after="0" w:line="184"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On June 23, 2020, the Company completed its IPO of 12,650,000 of its common shares, including the exercise in full by the underwriters of their option to purchase up to 1,650,000 additional common shares, for aggregate gross proceeds of $253,000. The Company’s shares began trading on the Nasdaq Global Select Market under the ticker symbol “RPTX” on June 19, 2020. The Company received $232,043 in net proceeds after deducting underwriting discounts and commissions and other offering expenses payable by the Company. Upon closing of the IPO, all outstanding convertible preferred shares converted into 21,558,393 common shares and the outstanding warrant was automatically exercised into 750,000 common shares.</w:t>
      </w:r>
    </w:p>
    <w:p>
      <w:pPr>
        <w:spacing w:after="0" w:line="265"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510"/>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June 30, 2020, the consolidated results of its operations for the three and six months ended June 30, 2020 and 2019, its statements of shareholders’ equity for the three and six months ended June 30, 2020 and 2019 and its consolidated cash flows for the six months ended June 30, 2020 and 2019.</w:t>
      </w:r>
    </w:p>
    <w:p>
      <w:pPr>
        <w:spacing w:after="0" w:line="176"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Company’s audited consolidated financial statements and the accompanying notes for the year ended December 31, 2019 included in the Company’s final prospectus that forms part of the Company’s Registration Statement on Form S-1 (File No. 333-238822), filed with the Securities and Exchange Commission (the “SEC”) pursuant to Rule 424(b)(4) on June 19, 2020 (the “Prospectus”). The condensed consolidated balance sheet data as of December 31, 2019 presented for comparative purposes was derived from the Company’s audited consolidated financial statements but does not include all disclosures required by U.S. GAAP. The results for the three and six months ended June 30, 2020 are not necessarily indicative of the operating results to be expected for the full year or for any other subsequent interim period.</w:t>
      </w:r>
    </w:p>
    <w:p>
      <w:pPr>
        <w:spacing w:after="0" w:line="19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in the Prospectus. Since the date of the audited consolidated financial statements for the year ended December 31, 2019 included in the Prospectus, there have been no changes to its significant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With the global spread of the ongoing COVID-19 pandemic in the first half of 2020, the Company established a cross-functional task force and has implemented business continuity plans designed to address and mitigate the impact of the COVID-19 pandemic on its employees and its business, including its preclinical studies and its ongoing and planned clinical trials. The Company’s operations are considered as an “essential business” and therefore, the Company is continuing to operate during this period. The Company has taken measures to secure its research and development activities, while work in its laboratories and facilities has been re-organized to reduce risk of COVID-19 transmission. While the Company is experiencing limited financial impacts at this time, given the global economic slowdown, the overall disruption of global healthcare systems and the other risks and uncertainties associated with the pandemic, the Company’s business, financial condition and results of operations could be materially adversely affected. The Company continues to closely monitor the COVID-19 pandemic as it evolves its business continuity plans, clinical development plans and response strategy. As of the date of these financial statements, the Company is not aware of any specific event or circumstance that would require the Company to update these estimates, assumptions and judgments or revise the carrying value of its assets or liabilities. Actual results could differ from those estimates, and any such differences may be material to the Company’s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as of June 30, 2020 and December 31, 2019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1,118</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1,043</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1,814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208</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initial public offering costs</w:t>
            </w:r>
          </w:p>
        </w:tc>
        <w:tc>
          <w:tcPr>
            <w:tcW w:w="10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1,615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08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21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accrued expenses and other current liabilities</w:t>
            </w: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5,262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1,276</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and License Agreement</w:t>
      </w:r>
    </w:p>
    <w:p>
      <w:pPr>
        <w:spacing w:after="0" w:line="12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In May 2020, the Company entered into a collaboration and license agreement with Bristol-Myers Squibb Company (“Bristol Myers Squibb”), pursuant to which the Company and Bristol Myers Squibb have agreed to collaborate in the research and development of potential new product candidates for the treatment of cancer. The Company is providing Bristol Myers Squibb access to a selected number of its existing screening campaigns and novel campaigns. The Company is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w:t>
      </w:r>
    </w:p>
    <w:p>
      <w:pPr>
        <w:spacing w:after="0" w:line="19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Under the terms of the agreement, Bristol Myers Squibb paid the Company an initial nonrefundable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w:t>
      </w:r>
    </w:p>
    <w:p>
      <w:pPr>
        <w:spacing w:after="0" w:line="15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The Company assessed the collaboration and license agreement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concluded that Bristol Myers Squibb is a customer based on the agreement structure. At inception, the Company identified several performance obligations under the agreement, including research services for each campaign, as well as a selected number of material rights associated with options to obtain exclusive development, manufacturing and commercial licenses to targets identified. The Company determined that the options to obtain the exclusive development, manufacturing and commercialization licenses were material rights under ASC 606 because there are minimal amounts to be paid to the Company upon exercise of such options.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ind w:firstLine="510"/>
        <w:spacing w:after="0" w:line="311" w:lineRule="auto"/>
        <w:rPr>
          <w:sz w:val="20"/>
          <w:szCs w:val="20"/>
          <w:color w:val="auto"/>
        </w:rPr>
      </w:pPr>
      <w:r>
        <w:rPr>
          <w:rFonts w:ascii="Arial" w:cs="Arial" w:eastAsia="Arial" w:hAnsi="Arial"/>
          <w:sz w:val="16"/>
          <w:szCs w:val="16"/>
          <w:color w:val="auto"/>
        </w:rPr>
        <w:t>The Company determined that the transaction price at the onset of the agreement is the total upfront payment received of $50,000. Additional consideration to be paid to the Company upon the exercise of the license options and future milestone payments were excluded from the transaction price as they represent option fees and milestone payments that can only be achieved subsequent to option exercises and the achievement of the milestone events.</w:t>
      </w:r>
    </w:p>
    <w:p>
      <w:pPr>
        <w:spacing w:after="0" w:line="14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Company will allocate the transaction price to each performance obligation based on the relative stand-alone selling price of each performance obligation at inception. Revenue is expected to be recognized at the point in time when option licenses are exercised by Bristol Myers Squibb, with the remainder to be recognized on a proportional performance basis over the period of service for research services. The upfront payment of $50,000 has been recorded as deferred revenue as of June 30, 2020 as, up to that point in time, no research and development services had been performed under the agreement and no options were exercised.</w:t>
      </w:r>
    </w:p>
    <w:p>
      <w:pPr>
        <w:spacing w:after="0" w:line="188"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conjunction with the collaboration and license agreement, the Company entered into a warrant agreement with an affiliate of Bristol Myers Squibb pursuant to which the Company issued a warrant for total proceeds of $15,000. Upon closing of the IPO, this warrant was automatically exercised into 750,000 common shares of the Company. The Company evaluated whether the warrant should be treated as a separate agreement or a single arrangement with the collaboration and license agreement. Although both agreements were negotiated concurrently, the warrant was issued at fair value. Accordingly, the Company accounted for the warrant agreement separately from the collaboration and license agreement.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has historically entered into lease arrangements for its facilities. As of June 30, 2020, the Company had three operating leases with required future minimum payments. The Company’s leases generally do not include termination or purchase options.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and six months ended June 30, 2020:</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Lease Cost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Variable lease cost</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16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June 30, 2020</w:t>
            </w:r>
          </w:p>
        </w:tc>
      </w:tr>
      <w:tr>
        <w:trPr>
          <w:trHeight w:val="68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330</w:t>
            </w:r>
          </w:p>
        </w:tc>
      </w:tr>
      <w:tr>
        <w:trPr>
          <w:trHeight w:val="230"/>
        </w:trPr>
        <w:tc>
          <w:tcPr>
            <w:tcW w:w="160" w:type="dxa"/>
            <w:vAlign w:val="bottom"/>
          </w:tcPr>
          <w:p>
            <w:pPr>
              <w:spacing w:after="0"/>
              <w:rPr>
                <w:sz w:val="19"/>
                <w:szCs w:val="19"/>
                <w:color w:val="auto"/>
              </w:rPr>
            </w:pP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4</w:t>
            </w:r>
          </w:p>
        </w:tc>
      </w:tr>
      <w:tr>
        <w:trPr>
          <w:trHeight w:val="230"/>
        </w:trPr>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426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-916305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-616585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557" w:right="339" w:bottom="1440" w:gutter="0" w:footer="0" w:header="0"/>
          <w:type w:val="continuous"/>
        </w:sectPr>
      </w:pP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91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r>
      <w:tr>
        <w:trPr>
          <w:trHeight w:val="230"/>
        </w:trPr>
        <w:tc>
          <w:tcPr>
            <w:tcW w:w="9180" w:type="dxa"/>
            <w:vAlign w:val="bottom"/>
          </w:tcPr>
          <w:p>
            <w:pPr>
              <w:ind w:left="260"/>
              <w:spacing w:after="0"/>
              <w:rPr>
                <w:sz w:val="20"/>
                <w:szCs w:val="20"/>
                <w:color w:val="auto"/>
              </w:rPr>
            </w:pPr>
            <w:r>
              <w:rPr>
                <w:rFonts w:ascii="Arial" w:cs="Arial" w:eastAsia="Arial" w:hAnsi="Arial"/>
                <w:sz w:val="18"/>
                <w:szCs w:val="18"/>
                <w:color w:val="auto"/>
              </w:rPr>
              <w:t>Operating cash flows used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95"/>
              <w:spacing w:after="0"/>
              <w:rPr>
                <w:sz w:val="20"/>
                <w:szCs w:val="20"/>
                <w:color w:val="auto"/>
              </w:rPr>
            </w:pPr>
            <w:r>
              <w:rPr>
                <w:rFonts w:ascii="Arial" w:cs="Arial" w:eastAsia="Arial" w:hAnsi="Arial"/>
                <w:sz w:val="18"/>
                <w:szCs w:val="18"/>
                <w:color w:val="auto"/>
              </w:rPr>
              <w:t>335</w:t>
            </w:r>
          </w:p>
        </w:tc>
      </w:tr>
      <w:tr>
        <w:trPr>
          <w:trHeight w:val="230"/>
        </w:trPr>
        <w:tc>
          <w:tcPr>
            <w:tcW w:w="9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1.37 years</w:t>
            </w:r>
          </w:p>
        </w:tc>
      </w:tr>
      <w:tr>
        <w:trPr>
          <w:trHeight w:val="230"/>
        </w:trPr>
        <w:tc>
          <w:tcPr>
            <w:tcW w:w="9180" w:type="dxa"/>
            <w:vAlign w:val="bottom"/>
          </w:tcPr>
          <w:p>
            <w:pPr>
              <w:ind w:left="2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332" w:lineRule="exact"/>
        <w:rPr>
          <w:sz w:val="20"/>
          <w:szCs w:val="20"/>
          <w:color w:val="auto"/>
        </w:rPr>
      </w:pPr>
    </w:p>
    <w:p>
      <w:pPr>
        <w:ind w:right="898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Deficit Convertible Preferred Shares</w:t>
      </w:r>
    </w:p>
    <w:p>
      <w:pPr>
        <w:jc w:val="both"/>
        <w:ind w:firstLine="510"/>
        <w:spacing w:after="0" w:line="301" w:lineRule="auto"/>
        <w:rPr>
          <w:sz w:val="20"/>
          <w:szCs w:val="20"/>
          <w:color w:val="auto"/>
        </w:rPr>
      </w:pPr>
      <w:r>
        <w:rPr>
          <w:rFonts w:ascii="Arial" w:cs="Arial" w:eastAsia="Arial" w:hAnsi="Arial"/>
          <w:sz w:val="16"/>
          <w:szCs w:val="16"/>
          <w:color w:val="auto"/>
        </w:rPr>
        <w:t>The Company’s Series A and Series B convertible preferred shares were convertible on a one-to-one basis into common shares. Upon completion of the IPO, all issued and outstanding Series A and Series B convertible preferred shares were converted into 21,558,393 common shares and the existing classes of Series A and Series B convertible preferred shares were removed (unlimited preferred shares authorized, 11,090,135 Series A convertible preferred shares and 10,468,258 Series B convertible preferred shares issued and outstanding as of December 31, 2019).</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Effective upon the closing of the IPO, the Company authorized for issue an unlimited number of preferred shares, issuable in series. No preferred shares were issued and outstanding as of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conjunction with the collaboration and license agreement with Bristol Myers Squibb, the Company entered into a warrant agreement with an affiliate of Bristol Myers Squibb pursuant to which the Company issued a warrant for total proceeds of $15,000 on May 26, 2020. Upon closing of the IPO, the warrant was automatically exercised at the public offering price of $20.00 per share into 750,000 common shares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Authorized share capital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unlimited number of common shares, voting and participating, without par value.</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June 23, 2020, the Company completed its IPO of 12,650,000 of its common shares, including the exercise in full by the underwriters of their option to purchase up to 1,650,000 additional common shares, at the public offering price of $20.00 per share, for aggregate gross proceeds of $253,000. The Company received $232,043 in net proceeds after deducting underwriting discounts and commissions and other offering expenses payable by the Company. Upon closing of the IPO, all outstanding convertible preferred shares converted into 21,558,393 common shares and the outstanding warrant automatically converted into 750,000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June 2020, the Company’s board of directors adopted, and the Company’s shareholders approved the 2020 Employee Share Purchase Plan (the “ESPP”). The maximum number of common shares that may be issued under the ESPP is 327,000. Additionally, the number of shares reserved and available for issuance under the ESPP will automatically increase each January 1, beginning on January 1, 2021 and each January 1 thereafter through January 31, 2030, by the lesser of (1) 1.0% of the total number of common shares outstanding on December 31 of the preceding calendar year, (2) 3,300,000 common shares, or (3) such smaller number of common shares as the Company’s board of directors may designate. The ESPP enables eligible employees to purchase common shares of the Company at the end of each offering period at a price equal to 85% of the fair market value of the shares on the first business day or the last business day of the offering period, whichever is lower. The ESPP will become active upon approval of the plan administrator, which is the Company’s board of directors. As of June 30, 2020, no common shares have been issued under the ESPP.</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w:t>
      </w:r>
    </w:p>
    <w:p>
      <w:pPr>
        <w:spacing w:after="0" w:line="18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June 2020, the Company’s board of directors adopted, and the Company’s shareholders approved the 2020 Equity Incentive Plan (the “2020 Plan”). The 2020 Plan became effective on the effective date of the IPO, at which time the Company ceased making awards under the Option Plan. The 2020 Plan allows the Company’s compensation committee to make equity-based and cash-based incentive awards to the Company’s officers, employees, directors and consultants. A total of 3,600,000 common shares were initially reserved for issuance under the 2020 Plan, plus the number of shares (not to exceed 3,807,448 shares) (i) 298,605 common shares that were available for the issuance of awards under the Option Plan at the time the 2020 Plan became effective, which ceased to be available for future issuance under the Option Plan at such time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In addition, the number of shares reserved and available for issuance under the 2020 Plan will automatically increase each January 1, beginning on January 1, 2021 and each January 1 thereafter through January 31, 2030, by 5% of the outstanding number of common shares on the immediately preceding December 31, or such lesser number of shares as determined by the Company’s board of directors.</w:t>
      </w:r>
    </w:p>
    <w:p>
      <w:pPr>
        <w:spacing w:after="0" w:line="182"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2020 Plan is administered by the Company’s board of directors. The exercise prices, vesting and other restrictions are determined by the board of directors, except that the exercise price per share may not be less than 100% of the fair value of the common share on the date of grant, determined based on the average of the daily volume-weighted average trading price of shares on each of the five trading days immediately preceding the date of grant. Stock option awards under the 2020 Plan expire 10 years after the grant date and generally have vesting conditions of 25% on the first anniversary date of the grant and 75% on a monthly basis at a rate of 1/36</w:t>
      </w:r>
      <w:r>
        <w:rPr>
          <w:rFonts w:ascii="Arial" w:cs="Arial" w:eastAsia="Arial" w:hAnsi="Arial"/>
          <w:sz w:val="14"/>
          <w:szCs w:val="14"/>
          <w:color w:val="auto"/>
        </w:rPr>
        <w:t>th</w:t>
      </w:r>
      <w:r>
        <w:rPr>
          <w:rFonts w:ascii="Arial" w:cs="Arial" w:eastAsia="Arial" w:hAnsi="Arial"/>
          <w:sz w:val="17"/>
          <w:szCs w:val="17"/>
          <w:color w:val="auto"/>
        </w:rPr>
        <w:t xml:space="preserve"> unless otherwise decided by the board of directors.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Total outstanding stock options as of June 30, 2020 and 2019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1"/>
                <w:szCs w:val="11"/>
                <w:color w:val="auto"/>
              </w:rPr>
            </w:pPr>
          </w:p>
        </w:tc>
        <w:tc>
          <w:tcPr>
            <w:tcW w:w="112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12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57"/>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period</w:t>
            </w: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3,505,119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2.07</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907,315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869,075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16.35</w:t>
            </w:r>
          </w:p>
        </w:tc>
        <w:tc>
          <w:tcPr>
            <w:tcW w:w="14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1,013,635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(266,687)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2.13</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period</w:t>
            </w: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4,099,545</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1,920,950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six months ended June 30, 2020, an aggregate of 266,687 options were exercised at a weighted-average exercise price of $1.83 per share, for aggregate proceeds of $488. As a result, an amount of $289 previously included in additional paid-in capital related to the exercised options has been credited to common shares and deducted from additional paid-in capital.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was allocated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103</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1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w:t>
            </w: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121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660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186</w:t>
            </w: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 average basis: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6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stock options</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w w:val="88"/>
              </w:rPr>
              <w:t>10.30</w:t>
            </w: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10.30</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0.97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Exercise price</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16.35</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16.35</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2.06</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Share price</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w w:val="88"/>
              </w:rPr>
              <w:t>16.35</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16.35</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2.06</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terms (in years)</w:t>
            </w:r>
          </w:p>
        </w:tc>
        <w:tc>
          <w:tcPr>
            <w:tcW w:w="7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6.08</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71.99%</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70.79%</w:t>
            </w: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bl>
    <w:p>
      <w:pPr>
        <w:spacing w:after="0" w:line="24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As of June 30, 2020, there was $11,837 of unrecognized share-based compensation expense related to unvested stock options to be recognized over a period of 3.0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jc w:val="right"/>
              <w:ind w:right="4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40" w:type="dxa"/>
            <w:vAlign w:val="bottom"/>
            <w:gridSpan w:val="8"/>
          </w:tcPr>
          <w:p>
            <w:pPr>
              <w:ind w:left="960"/>
              <w:spacing w:after="0" w:line="155" w:lineRule="exact"/>
              <w:rPr>
                <w:sz w:val="20"/>
                <w:szCs w:val="20"/>
                <w:color w:val="auto"/>
              </w:rPr>
            </w:pPr>
            <w:r>
              <w:rPr>
                <w:rFonts w:ascii="Arial" w:cs="Arial" w:eastAsia="Arial" w:hAnsi="Arial"/>
                <w:sz w:val="14"/>
                <w:szCs w:val="14"/>
                <w:i w:val="1"/>
                <w:iCs w:val="1"/>
                <w:color w:val="auto"/>
                <w:w w:val="91"/>
              </w:rPr>
              <w:t>(in thousands, except share and per share amounts)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(24,403)</w:t>
            </w:r>
          </w:p>
        </w:tc>
        <w:tc>
          <w:tcPr>
            <w:tcW w:w="1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outstanding—basic</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4,825,214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1,528,374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3,229,635</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1,528,374</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4"/>
          </w:tcPr>
          <w:p>
            <w:pPr>
              <w:jc w:val="center"/>
              <w:ind w:right="55"/>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7"/>
              </w:rPr>
              <w:t>11,090,135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7"/>
              </w:rPr>
              <w:t>11,090,135</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4,099,545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1,920,950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4,099,545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1,920,950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Significant Agreements and Commitments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March 2020, the Company executed a strategic collaboration with The University of Texas M. D. Anderson Cancer Center (“MDACC”). The collaboration will consist of preclinical studies and clinical trials designed by the Company and MDACC with the research conducted by MDACC. The Company has agreed to commit $10,000 in funding for various studies over a period of five years, of which $2,000 was paid in April 2020.</w:t>
      </w:r>
    </w:p>
    <w:p>
      <w:pPr>
        <w:spacing w:after="0" w:line="16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June 2020, the Company procured a directors and officers (D&amp;O) liability insurance for a total aggregate premium of $6,420, including excise tax, of which $270 has been recognized as accrued expenses and other current liabilities as of June 30, 2020, with a corresponding increase in general and administrative expenses. The total aggregate premium of D&amp;O insurance in the amount of $6,420 was paid and $6,150 was recorded as prepaid expenses and other current assets in July 2020.</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4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August 2020, the board of directors of the Company authorized the issuance of an aggregate of 30,199 stock options to employees under the 2020 Plan, at a weighted average exercise price of $24.00 per share.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2019 included in our final prospectus for our initial public offering, or IPO, dated June 18, 2020 and filed with the Securities and Exchange Commission, or SEC, pursuant to Rule 424(b)(4) under the Securities Act of 1933, as amended, or the Securities Act, on June 19, 2020, which we refer to as the Prospectus.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On June 23, 2020, we completed our IPO whereby we issued an aggregate of 12,650,000 common shares at a public offering price of $20.00 per share. The aggregate net proceeds received by us from the IPO were approximately $232.0 million, after deducting underwriting discounts and commissions and offering expenses of $3.2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As of June 30, 2020, we had cash on hand, including restricted cash, of $370.1 million.</w:t>
      </w:r>
    </w:p>
    <w:p>
      <w:pPr>
        <w:spacing w:after="0" w:line="18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Since inception, we have incurred significant operating losses. Our net losses were $7.8 million, $14.3 million and $27.2 million for the years ended December 31, 2017, 2018 and 2019, respectively and $24.4 million for the six-month period ended June 30, 2020. As of June 30, 2020, we had an accumulated deficit of $74.3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directors and officer liability insurance, or D&amp;O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6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COVID-19 Business Update</w:t>
      </w:r>
    </w:p>
    <w:p>
      <w:pPr>
        <w:spacing w:after="0" w:line="12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With the global spread of the ongoing COVID-19 pandemic in the first half of 2020, we established a cross-functional task force and have implemented business continuity plans designed to address and mitigate the impact of the COVID-19 pandemic on our employees and our business, including our preclinical studies and ongoing and planned clinical trials. Our operations are considered as an “essential business” and therefore, we are continuing to operate during this period. We have taken measures to secure our research and development activities, while work in laboratories and facilities has been re-organized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In addition, our ongoing and planned clinical trials may be affected by the COVID-19 pandemic, including (i) delays or difficulties in enrolling and retaining patients in our ongoing and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4" w:lineRule="exact"/>
        <w:rPr>
          <w:sz w:val="20"/>
          <w:szCs w:val="20"/>
          <w:color w:val="auto"/>
        </w:rPr>
      </w:pPr>
    </w:p>
    <w:p>
      <w:pPr>
        <w:jc w:val="both"/>
        <w:ind w:firstLine="8"/>
        <w:spacing w:after="0" w:line="253"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interruption of our ongoing and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ongoing and planned clinical trials, including because of sickness of employees or their families or the desire of employees to avoid contact with large groups of people.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RP-3500 Clinical Update</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On July 29, 2020, we announced the first patient was dosed in the open-label Phase 1/2 clinical trial to evaluate RP-3500 in patients with advanced recurrent tumors of different histologies with ATM loss-of-function or any of the STEP</w:t>
      </w:r>
      <w:r>
        <w:rPr>
          <w:rFonts w:ascii="Arial" w:cs="Arial" w:eastAsia="Arial" w:hAnsi="Arial"/>
          <w:sz w:val="14"/>
          <w:szCs w:val="14"/>
          <w:color w:val="auto"/>
        </w:rPr>
        <w:t>2</w:t>
      </w:r>
      <w:r>
        <w:rPr>
          <w:rFonts w:ascii="Arial" w:cs="Arial" w:eastAsia="Arial" w:hAnsi="Arial"/>
          <w:sz w:val="17"/>
          <w:szCs w:val="17"/>
          <w:color w:val="auto"/>
        </w:rPr>
        <w:t xml:space="preserve"> identified genomic alterations. We expect to report preliminary safety and efficacy data for the monotherapy and combination therapy dose escalation phase of the trial in the second half of 2021.</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with Bristol Myers Squibb</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screening campaigns and novel campaigns. We are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 Under the terms of the agreement, Bristol Myers Squibb paid us an initial upfront fee payment of $50.0 million and made an equity investment of $15.0 million into our Company. We will also be eligible to receive up to $3.0 billion in total milestones across all potential programs. Such milestones consist of $301.0 million in total milestones per program subject upon the achievement of certain specified research, development, regulatory and commercial milestones.</w:t>
      </w:r>
    </w:p>
    <w:p>
      <w:pPr>
        <w:spacing w:after="0" w:line="18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July 2020, we amended the collaboration and license agreement, pursuant to which we and Bristol Myers Squibb have agreed to include additional campaigns to the list of Existing Repare Campaigns (as such term is defined in the agreement) from which Bristol Myers Squibb may select campaigns under the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On June 23, 2020, we completed our IPO, whereby we issued 12,650,000 of our common shares, including the exercise in full by the underwriters of their option to purchase up to 1,650,000 additional common shares, for aggregate net proceeds of approximately $232.0 million, after deducting underwriting discounts and commissions and offering expenses payable by us of $3.2 million. Our shares began trading on the Nasdaq Global Select Market under the ticker symbol “RPTX” on June 19, 2020. Upon closing of our IPO, all outstanding preferred shares converted into 21,558,393 common shares and the outstanding warrant automatically exercised into 750,000 common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On June 12, 2020, we effected a 1-for-6.062 reverse stock split of our share capital. Accordingly, all common shares, Series A and B preferred shares, stock options and per share amounts contained in this Quarterly Report on Form 10-Q have been retroactively adjusted to reflect the reverse stock split on a retroactive basis for all periods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Bristol-Myers Squibb Company</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May 2020, we entered into a collaboration and license agreement with Bristol Myers Squibb, pursuant to which we and Bristol Myers Squibb have agreed to collaborate in the research and development of potential new product candidates for the treatment of cancer. We are providing Bristol Myers Squibb access to a selected number of our existing screening campaigns and novel campaigns. We are responsible for carrying out early stage research activities directed to identifying potential targets for potential licensing by Bristol Myers Squibb. The collaboration consists of programs directed to both druggable targets and to targets commonly considered undruggable to traditional small molecule approaches. In the event that Bristol Myers Squibb elects to obtain an exclusive license for the subsequent development, manufacturing and commercialization of a program, Bristol Myers Squibb will then be solely responsible for all such worldwide activities. As part of the agreement, Bristol Myers Squibb paid us an initial upfront fee payment of $50.0 million and made an equity investment of $15.0 million in our Company. The $50.0 million upfront payment has been recorded as deferred revenue on our balance sheet as of June 30, 2020 as per our revenue recognition accounting policy and is expected to be recognized at the point in time when option licenses are exercised by Bristol Myers Squibb, with the remainder to be recognized on a proportional performance basis over the period of service for research services.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January 2019, we entered into a research services, license and collaboration agreement with Ono Pharmaceutical Company Ltd., or Ono, pursuant to which we and Ono have agreed to collaborate in the research of potential product candidates targeting Polθ and the development of our small molecule Polθ inhibitor program. Pursuant to the terms of the agreement, we received initial upfront payments of approximately $8.1 million. These upfront payments have been recorded as deferred revenue on our balance sheet as of December 31, 2019 and June 30, 2020 as per our revenue recognition accounting policy and will be recognized as revenue at the point in time when a product candidate is licensed to Ono pursuant to the terms of the agreement.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62" w:lineRule="exact"/>
        <w:rPr>
          <w:sz w:val="20"/>
          <w:szCs w:val="20"/>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8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5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Discovery costs</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Direct external costs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1,650</w:t>
            </w:r>
          </w:p>
        </w:tc>
        <w:tc>
          <w:tcPr>
            <w:tcW w:w="140" w:type="dxa"/>
            <w:vAlign w:val="bottom"/>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3,663</w:t>
            </w:r>
          </w:p>
        </w:tc>
        <w:tc>
          <w:tcPr>
            <w:tcW w:w="14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3,291</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Laboratory supplies and research materials</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1,579</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Personnel related costs</w:t>
            </w: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1,595</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2,040</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Facilities related costs</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w:t>
            </w: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costs</w:t>
            </w: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881</w:t>
            </w:r>
          </w:p>
        </w:tc>
      </w:tr>
      <w:tr>
        <w:trPr>
          <w:trHeight w:val="223"/>
        </w:trPr>
        <w:tc>
          <w:tcPr>
            <w:tcW w:w="58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4,439</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4,230</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9,564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8,052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Development</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RP-3500 program (direct external costs)</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4"/>
              </w:rPr>
              <w:t>2,883</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5,553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CCNE1-SL program (direct external costs)</w:t>
            </w: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Personnel related costs</w:t>
            </w: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330</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Facilities related costs</w:t>
            </w: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costs</w:t>
            </w:r>
          </w:p>
        </w:tc>
        <w:tc>
          <w:tcPr>
            <w:tcW w:w="7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256</w:t>
            </w:r>
          </w:p>
        </w:tc>
      </w:tr>
      <w:tr>
        <w:trPr>
          <w:trHeight w:val="223"/>
        </w:trPr>
        <w:tc>
          <w:tcPr>
            <w:tcW w:w="58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4,703</w:t>
            </w:r>
          </w:p>
        </w:tc>
        <w:tc>
          <w:tcPr>
            <w:tcW w:w="1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8,400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751</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R&amp;D tax credits</w:t>
            </w:r>
          </w:p>
        </w:tc>
        <w:tc>
          <w:tcPr>
            <w:tcW w:w="7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research and development costs</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8,951</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4,853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17,583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8,556</w:t>
            </w: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*Certain amounts have been reclassified for presentation purposes.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firstLine="510"/>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77" w:lineRule="exact"/>
        <w:rPr>
          <w:sz w:val="20"/>
          <w:szCs w:val="20"/>
          <w:color w:val="auto"/>
        </w:rPr>
      </w:pPr>
    </w:p>
    <w:p>
      <w:pPr>
        <w:ind w:left="1000" w:right="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the FDA, the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ongoing and planned clinical trials, we could be required to expend significant additional financial resources and time on the completion of clinical development of that product candidate.</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Other income (expense),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510"/>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8,951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3,372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12,323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5,885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Realized and unrealized gain on foreign exchange</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obligation</w:t>
            </w: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(11,802)</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Research and development expenses were $9.0 million for the three months ended June 30, 2020, compared to $4.9 million for the three months ended June 30, 2019. The increase of $4.1 million was primarily due to:</w:t>
      </w:r>
    </w:p>
    <w:p>
      <w:pPr>
        <w:spacing w:after="0" w:line="62" w:lineRule="exact"/>
        <w:rPr>
          <w:sz w:val="20"/>
          <w:szCs w:val="20"/>
          <w:color w:val="auto"/>
        </w:rPr>
      </w:pPr>
    </w:p>
    <w:p>
      <w:pPr>
        <w:ind w:left="1000" w:right="2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$3.3 million increase in direct external costs, primarily for development activities as a result of our increased efforts towards identifying a product candidate in our CCNE1-SL inhibitor program and advancing the development of RP-3500;</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$1.2 million increase in personnel-related expenses in support of our increased discovery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$0.1 million decrease in laboratory supplies and research materials;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$0.3 million net decrease in other research and development costs.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General and administrative expenses were $3.4 million for the three months ended June 30, 2020, compared to $1.0 million for the three months ended June 30, 2019. The increase of $2.4 million consisted of a $0.5 million increase in payroll and personnel related costs, a $0.8 million increase in legal and professional fees, a $0.6 million increase in D&amp;O insurance costs and a $0.8 million increase in other general and administrative expenses, related to costs associated with operating activities and the preparations for becoming a public company, partially offset by a decrease of $0.3 million in travel related expenses.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Other income, net was $0.6 million for the three months ended June 30, 2020, compared to other expense, net of $0.5 million for the three months ended June 30, 2019. The difference of $1.1 million was primarily attributable to a decrease of $0.7 million in the change in fair value of the Series A preferred share tranche obligation as well as an increase of $0.4 million in unrealized gains on foreign exchange as a result of fluctuations in foreign exchange rates, as well as higher foreign currency-denominated cash, other receivables and research and development tax credits receivable balances held in the second quarter of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Income tax expense was $0.1 million for the three months ended June 30, 2020, compared to $0.02 million for the three months ended June 30, 2019, reflecting taxable income in our U.S. subsidiary.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net losses of $11.8 million and $6.4 million for the three months ended June 30, 2020 and 2019, respectively.</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and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5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60"/>
              <w:spacing w:after="0"/>
              <w:rPr>
                <w:sz w:val="20"/>
                <w:szCs w:val="20"/>
                <w:color w:val="auto"/>
              </w:rPr>
            </w:pPr>
            <w:r>
              <w:rPr>
                <w:rFonts w:ascii="Arial" w:cs="Arial" w:eastAsia="Arial" w:hAnsi="Arial"/>
                <w:sz w:val="18"/>
                <w:szCs w:val="18"/>
                <w:color w:val="auto"/>
              </w:rPr>
              <w:t>Research and development, net of tax credits</w:t>
            </w:r>
          </w:p>
        </w:tc>
        <w:tc>
          <w:tcPr>
            <w:tcW w:w="1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17,583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8,556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5,555</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2,108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23,138</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10,664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and unrealized (loss) gain on foreign exchange</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8"/>
                <w:szCs w:val="18"/>
                <w:color w:val="auto"/>
              </w:rPr>
              <w:t>Change in fair value of Series A preferred share tranche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obligation</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1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(13,212)</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$17.6 million for the six months ended June 30, 2020, compared to $8.6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The increase of $9.0 million was primarily due to:</w:t>
      </w:r>
    </w:p>
    <w:p>
      <w:pPr>
        <w:spacing w:after="0" w:line="103" w:lineRule="exact"/>
        <w:rPr>
          <w:sz w:val="20"/>
          <w:szCs w:val="20"/>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$6.6 million increase in direct external costs for both discovery and development activities as a result of our increased efforts towards identifying a product candidate in our CCNE1-SL inhibitor program and advancing the development of RP-3500;</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$2.3 million increase in personnel related expenses in support of our increased discovery and development activities; and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$0.1 million increase in laboratory supplies and research materials as a result of our increased efforts towards identifying a product candidate.</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General and administrative expenses were $5.6 million for the six months ended June 30, 2020, compared to $2.1 million for the six months ended June 30, 2019. The increase of $3.5 million consisted of a $0.7 million increase in payroll and personnel related costs, as well as a $1.4 million increase in legal and professional fees, a $0.6 million increase in D&amp;O insurance costs and a $1.1 million increase in other general and administrative expenses, related to costs associated with operating activities and the preparations for becoming a public company, partially offset by a decrease of $0.3 million in travel related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Other expense, net was $1.1 million for the six months ended June 30, 2020, compared to $0.4 million for the six months ended June 30, 2019. The increase of $0.7 million in other expenses is primarily attributable to an increase of $1.4 million in unrealized losses on foreign exchange as a result of fluctuations in foreign exchange rates, as well as higher foreign currency-denominated cash, other receivables and research and development tax credits receivable balances held in the first half of 2020, partially offset by a $0.7 million decrease in changes in the fair value of the Series A preferred share tranche obligation. From December 31, 2019 to June 30, 2020, the relative value of the U.S. dollar to the Canadian dollar increased by approximately 5%.</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tax expense was $0.1 million for each of the six months ended June 30, 2020 and 2019, reflecting taxable income in our U.S. subsidiary.</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net losses of $24.4 million and $11.2 million for the six months ended June 30, 2020 and 2019,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On June 23, 2020, we completed our IPO whereby we issued an aggregate of 12,650,000 common shares at a public offering price of $20.00 per share. The aggregate net proceeds received by us from the IPO were approximately $232.0 million, after deducting underwriting discounts and commissions and offering expenses of $3.2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our common shares. We have also partnered with Ono for our Polθ inhibitor program and Bristol Myers Squibb for research and development of potential new product candidates for the treatment of cancer and received initial upfront payments of approximately $58.1 million in the aggregate. As of June 30, 2020, we had $370.1 million of cash on hand, including restricted cash.</w:t>
      </w:r>
    </w:p>
    <w:p>
      <w:pPr>
        <w:spacing w:after="0" w:line="18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and we will incur additional costs associated with operating as a public company. We expect that our research and development and general and administrative costs will increase in connection with our planned research and development activities.</w:t>
      </w:r>
    </w:p>
    <w:p>
      <w:pPr>
        <w:spacing w:after="0" w:line="18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As of June 30, 2020, our cash and restricted cash on hand was $370.1 million. We believe that our existing cash on hand will be sufficient to fund our anticipated operating and capital expenditure requirements for at least the next 12 months from the date of this Quarterly Report on Form 10-Q.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92" w:lineRule="exact"/>
        <w:rPr>
          <w:sz w:val="20"/>
          <w:szCs w:val="20"/>
          <w:color w:val="auto"/>
        </w:rPr>
      </w:pPr>
    </w:p>
    <w:p>
      <w:pPr>
        <w:jc w:val="both"/>
        <w:ind w:right="20" w:firstLine="510"/>
        <w:spacing w:after="0" w:line="308" w:lineRule="auto"/>
        <w:rPr>
          <w:sz w:val="20"/>
          <w:szCs w:val="20"/>
          <w:color w:val="auto"/>
        </w:rPr>
      </w:pPr>
      <w:r>
        <w:rPr>
          <w:rFonts w:ascii="Arial" w:cs="Arial" w:eastAsia="Arial" w:hAnsi="Arial"/>
          <w:sz w:val="17"/>
          <w:szCs w:val="17"/>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38"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RP-3500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right="20" w:firstLine="510"/>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58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26,967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249,248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20,995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228,253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fluctuations on cash held</w:t>
            </w:r>
          </w:p>
        </w:tc>
        <w:tc>
          <w:tcPr>
            <w:tcW w:w="2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cash and restricted cash</w:t>
            </w:r>
          </w:p>
        </w:tc>
        <w:tc>
          <w:tcPr>
            <w:tcW w:w="20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275,127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17,865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257,262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vMerge w:val="restart"/>
          </w:tcPr>
          <w:p>
            <w:pPr>
              <w:jc w:val="right"/>
              <w:ind w:right="850"/>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Net cash provided by operating activities was $26.9 million for the six months ended June 30, 2020, reflecting a net loss of $24.4 million, offset by a net change of $48.8 million in our net operating assets and non-cash charges of $2.5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$50.0 million in deferred revenue as a result of the upfront payment received from Bristol Myers Squibb pursuant to the collaboration and license agreement entered into in the second quarter of 2020, as well as a $3.4 million increase in accrued expenses and other current liabilities, accounts payable and income taxes payable, offset by an increase of $4.3 million in prepaid expenses and other current assets, other receivables, other non-current assets, research and development tax credits receivable and deferred tax asset, as well as a $0.3 million decrease in current and long-term operating lease liabilities.</w:t>
      </w:r>
    </w:p>
    <w:p>
      <w:pPr>
        <w:spacing w:after="0" w:line="1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Net cash used in operating activities was $3.2 million for the six months ended June 30, 2019, reflecting a net loss of $11.2 million, offset by a net change of $7.3 million in our net operating assets and non-cash charges of $0.7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agreement, as well as an increase of $0.4 million in accounts payable, income taxes payable and short-term lease liabilities, partially offset by an increase of $1.0 million in other receivables, research and development tax credits receivable, prepaid expenses and other current assets and deferred tax asset, as well as a decrease of $0.2 million in accrued expenses and other current liabilities and long-term lease liabilities.</w:t>
      </w:r>
    </w:p>
    <w:p>
      <w:pPr>
        <w:spacing w:after="0" w:line="178"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$30.2 million increase in cash provided by operating activities for the six months ended June 30, 2020 compared to June 30, 2019 is primarily due to the $50.0 million upfront payment received from Bristol Myers Squibb in the second quarter of 2020 pursuant to our collaboration and license agreement, partially offset by the $8.1 million upfront payment received from Ono in the first quarter of 2019 under the terms of our collaboration agreement for our Polθ inhibitor program, as well as an increase in research and development expenses and general and administrative expenses as a result of our increased efforts towards identifying a product candidate in our CCNE1-SL inhibitor program and advancing the development of RP-3500.</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Net cash used in investing activities was $0.04 million and $0.4 million for the six months ended June 30, 2020 and 2019, respectively, and resulted from the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Net cash provided by financing activities was $249.3 million for the six months ended June 30, 2020, consisting primarily of net proceeds from our IPO and the issuance of a warrant in the second quarter of 2020. Net cash provided by financing activities was $21.0 million for the six months ended June 30, 2019, consisting of net proceeds from the issuance of our Series A preferred shares.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effect of exchange rate fluctuations on cash held was a loss of $1.0 million and a gain of $0.5 million for the six months ended June 30, 2020 and 2019, respectively, and resulted from fluctuations in foreign exchange rates, as well as higher foreign currency-denominated cash balances held in the first half of 2020 compared to the first half of 2019. From December 31, 2019 to June 30, 2020, the relative value of the U.S. dollar to the Canadian dollar increased by approximately 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In June 2020, we procured D&amp;O insurance for a total aggregate premium of $6,420, which payment was made in July 2020. Other than our procurement of D&amp;O insurance, there were no material changes to our contractual obligations and commitments during the three months ended June 30, 2020 from those described under “Management’s Discussion and Analysis of Financial Condition and Results of Operations” in the Prospectus.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This management’s discussion and analysis is based on our unaudited condensed consolidated financial statements, which have been prepared in accordance with U.S. generally accepted accounting principles. The preparation of these unaudited condensed consolidated financial statements requires us to make judgments and estimates that affect the reported amounts of assets and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75" w:lineRule="auto"/>
        <w:rPr>
          <w:sz w:val="20"/>
          <w:szCs w:val="20"/>
          <w:color w:val="auto"/>
        </w:rPr>
      </w:pPr>
      <w:r>
        <w:rPr>
          <w:rFonts w:ascii="Arial" w:cs="Arial" w:eastAsia="Arial" w:hAnsi="Arial"/>
          <w:sz w:val="17"/>
          <w:szCs w:val="17"/>
          <w:color w:val="auto"/>
        </w:rPr>
        <w:t>the disclosure of contingent assets and liabilities at the date of the unaudited condensed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from those described in “Management’s Discussion and Analysis of Financial Condition and Results of Operations” included in the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See Note 2 to our annual consolidated financial statements included in the Prospectus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In addition, we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17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our IPO, (b) in which we have total annual gross revenues of at least $1.07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Interest-earning instruments carry a degree of interest rate risk. Through June 30, 2020, we have not earned interest on our cash balances and we do not enter into investments for trading or speculative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Canadian dollar net exposure as of June 30, 2020, and assuming all other variables remain constant, a 10% depreciation in the relative value of the U.S. dollar to the Canadian dollar would result in an increase of approximately $1.4 million on our net loss.</w:t>
      </w:r>
    </w:p>
    <w:p>
      <w:pPr>
        <w:spacing w:after="0" w:line="16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Securities Exchange Act of 1934, as amended,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2020.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10"/>
        <w:spacing w:after="0" w:line="313"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Investing in our common shares involves a high degree of risk. You should carefully consider the risks described below, as well as the other information in this Quarterly Report on Form 10-Q, including our unaudited condensed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are a 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and initiating our open-label Phase ½ clinical trial of RP-3500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On June 23, 2020, we completed our IPO whereby we issued an aggregate of 12,650,000 common shares at a public offering price of $20.00 per share. The aggregate net proceeds received by us from the IPO were approximately $232.0 million, after deducting underwriting discounts and commissions and offering expenses of $3.2 million. Prior to our IPO, we had funded our operations primarily through equity financings, having raised an aggregate of approximately $135.2 million of gross proceeds from the sale of our preferred shares and $15.0 million of gross proceeds from the issuance of a warrant to acquire common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ind w:firstLine="510"/>
        <w:spacing w:after="0" w:line="301" w:lineRule="auto"/>
        <w:rPr>
          <w:sz w:val="20"/>
          <w:szCs w:val="20"/>
          <w:color w:val="auto"/>
        </w:rPr>
      </w:pPr>
      <w:r>
        <w:rPr>
          <w:rFonts w:ascii="Arial" w:cs="Arial" w:eastAsia="Arial" w:hAnsi="Arial"/>
          <w:sz w:val="16"/>
          <w:szCs w:val="16"/>
          <w:color w:val="auto"/>
        </w:rPr>
        <w:t>We have incurred significant operating losses since our inception in 2016. Our net loss was $24.4 million for the six months ended June 30, 2020 and $7.8 million, $14.3 million and $27.2 million for the years ended December 31, 2017, 2018 and 2019, respectively. As of June 30, 2020, we had an accumulated deficit of $74.3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49"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ongoing open-label Phase 1/2 clinical trial of RP-3500;</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19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FDA, the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To date, we have primarily funded our operations through sales of equity securities, including our IPO in June 2020. We expect to spend substantial amounts to advance our product candidates into clinical development and to complete the clinical development of, seek regulatory approvals for and commercialize our product candidates, if approved. We will require additional capital,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we expect to incur additional costs associated with operating as a public company following the completion of our IPO in June 2020.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day-to-day activities and harm our product candidate development efforts. If we are unable to raise capital when needed or on acceptable terms, we would be forced to delay, reduce or eliminate certain of our research and development programs.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June 30, 2020, our cash and restricted cash was $370.1 million. We will need to obtain substantial additional funding in connection with our continuing operations and planned activities. Our future capital requirements will depend on many factors, including:</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ongoing and planned clinical trials of RP-3500;</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restrict our operations or require us to relinquish rights to our product candidates.</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We are very early in our development efforts.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76"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have no products approved for sale and our lead product candidate, RP-3500, has just begun clinical development and will require additional clinical 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5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preclinical studies, including the identification of clinical candidates for each of our preclinical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 of IND applications for our planned or future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ongoing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left="520"/>
        <w:spacing w:after="0" w:line="311" w:lineRule="auto"/>
        <w:rPr>
          <w:sz w:val="20"/>
          <w:szCs w:val="20"/>
          <w:color w:val="auto"/>
        </w:rPr>
      </w:pPr>
      <w:r>
        <w:rPr>
          <w:rFonts w:ascii="Arial" w:cs="Arial" w:eastAsia="Arial" w:hAnsi="Arial"/>
          <w:sz w:val="16"/>
          <w:szCs w:val="16"/>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4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lead product candidate, RP-3500, was developed through the application of our SNIPRx platform. All of our product candidates to date were derived based on the same principle of SL. As such, negative results in the 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limited experience as a company in conducting clinical trials.</w:t>
      </w:r>
    </w:p>
    <w:p>
      <w:pPr>
        <w:spacing w:after="0" w:line="117"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have limited experience as a company in conducting clinical trials and have just begun our first clinical trial of RP-3500. In part because of this lack of experience, we cannot be certain that our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There can be no assurance that we will be able to negotiate and enter into any master services agreement with CROs, as necessary, on terms that are acceptable to us on a timely basis or at all.</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have filed an IND for RP-3500,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the COVID-19 coronavirus has spread to multiple countries, including the United States, Canada and Europe.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Similar orders and exemptions were also implemented by the Québec provincial government in March 2020.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510"/>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addition, our ongoing and planned clinical trials may be affected by the COVID-19 pandemic, including:</w:t>
      </w:r>
    </w:p>
    <w:p>
      <w:pPr>
        <w:spacing w:after="0" w:line="117" w:lineRule="exact"/>
        <w:rPr>
          <w:sz w:val="20"/>
          <w:szCs w:val="20"/>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and retaining clinical site investigators and clinical site staff;</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62" w:lineRule="exact"/>
        <w:rPr>
          <w:rFonts w:ascii="Arial" w:cs="Arial" w:eastAsia="Arial" w:hAnsi="Arial"/>
          <w:sz w:val="18"/>
          <w:szCs w:val="18"/>
          <w:color w:val="auto"/>
        </w:rPr>
      </w:pPr>
    </w:p>
    <w:p>
      <w:pPr>
        <w:jc w:val="both"/>
        <w:ind w:left="1000" w:right="20" w:hanging="493"/>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57"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38"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both"/>
        <w:ind w:firstLine="510"/>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29" w:lineRule="exact"/>
        <w:rPr>
          <w:sz w:val="20"/>
          <w:szCs w:val="20"/>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62"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78"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1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2"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6"/>
          <w:szCs w:val="16"/>
          <w:color w:val="auto"/>
        </w:rPr>
        <w:t>We have recently initiated our first clinical trial, an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 regulatory approval, any of which may require significant additional resources and delay the timing of our clinical trials and ultimately the approval, if any, of any of our product candidates.</w:t>
      </w:r>
    </w:p>
    <w:p>
      <w:pPr>
        <w:spacing w:after="0" w:line="38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7"/>
          <w:szCs w:val="17"/>
          <w:color w:val="auto"/>
        </w:rPr>
        <w:t>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ongoing and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 There is a limited history of multi-tumor indications, and any regulatory approvals may be conditioned upon confirmatory trials with clinical endpoints 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9"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52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78"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49"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ongoing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firstLine="510"/>
        <w:spacing w:after="0" w:line="273" w:lineRule="auto"/>
        <w:rPr>
          <w:sz w:val="20"/>
          <w:szCs w:val="20"/>
          <w:color w:val="auto"/>
        </w:rPr>
      </w:pPr>
      <w:r>
        <w:rPr>
          <w:rFonts w:ascii="Arial" w:cs="Arial" w:eastAsia="Arial" w:hAnsi="Arial"/>
          <w:sz w:val="17"/>
          <w:szCs w:val="17"/>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 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7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54"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3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149"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spacing w:after="0" w:line="308" w:lineRule="auto"/>
        <w:rPr>
          <w:sz w:val="20"/>
          <w:szCs w:val="20"/>
          <w:color w:val="auto"/>
        </w:rPr>
      </w:pPr>
      <w:r>
        <w:rPr>
          <w:rFonts w:ascii="Arial" w:cs="Arial" w:eastAsia="Arial" w:hAnsi="Arial"/>
          <w:sz w:val="17"/>
          <w:szCs w:val="17"/>
          <w:color w:val="auto"/>
        </w:rPr>
        <w:t>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4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76" w:lineRule="exact"/>
        <w:rPr>
          <w:sz w:val="20"/>
          <w:szCs w:val="20"/>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w:t>
      </w:r>
    </w:p>
    <w:p>
      <w:pPr>
        <w:spacing w:after="0" w:line="117"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82" w:lineRule="exact"/>
        <w:rPr>
          <w:sz w:val="20"/>
          <w:szCs w:val="20"/>
          <w:color w:val="auto"/>
        </w:rPr>
      </w:pPr>
    </w:p>
    <w:p>
      <w:pPr>
        <w:jc w:val="both"/>
        <w:ind w:left="52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will face competition from other companies in establishing these collaborations. Furthermore, even if a diagnostic is commercially available, we may not be able to obtain reimbursement for its use without obtaining regulatory approval.</w:t>
      </w:r>
    </w:p>
    <w:p>
      <w:pPr>
        <w:spacing w:after="0" w:line="17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 xml:space="preserve">The FDA and other comparable regulatory authorities regulate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 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8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52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40"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8"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38"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76"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jc w:val="both"/>
        <w:ind w:left="1000" w:hanging="493"/>
        <w:spacing w:after="0" w:line="31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80"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firstLine="510"/>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60"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12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ind w:firstLine="51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71"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5"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false claims laws, transparency, health information privacy and security laws, and other healthcare laws and regulations. If we are unable to comply, or have not fully complied, with such laws, we could face substantial penalties.</w:t>
      </w:r>
    </w:p>
    <w:p>
      <w:pPr>
        <w:spacing w:after="0" w:line="5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Such laws include:</w:t>
      </w:r>
    </w:p>
    <w:p>
      <w:pPr>
        <w:spacing w:after="0" w:line="80" w:lineRule="exact"/>
        <w:rPr>
          <w:sz w:val="20"/>
          <w:szCs w:val="20"/>
          <w:color w:val="auto"/>
        </w:rPr>
      </w:pPr>
    </w:p>
    <w:p>
      <w:pPr>
        <w:jc w:val="both"/>
        <w:ind w:left="1000" w:hanging="493"/>
        <w:spacing w:after="0" w:line="255"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4" w:lineRule="exact"/>
        <w:rPr>
          <w:rFonts w:ascii="Arial" w:cs="Arial" w:eastAsia="Arial" w:hAnsi="Arial"/>
          <w:sz w:val="18"/>
          <w:szCs w:val="18"/>
          <w:color w:val="auto"/>
        </w:rPr>
      </w:pPr>
    </w:p>
    <w:p>
      <w:pPr>
        <w:jc w:val="both"/>
        <w:ind w:left="1000" w:hanging="493"/>
        <w:spacing w:after="0" w:line="270"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72" w:lineRule="exact"/>
        <w:rPr>
          <w:rFonts w:ascii="Arial" w:cs="Arial" w:eastAsia="Arial" w:hAnsi="Arial"/>
          <w:sz w:val="17"/>
          <w:szCs w:val="17"/>
          <w:color w:val="auto"/>
        </w:rPr>
      </w:pPr>
    </w:p>
    <w:p>
      <w:pPr>
        <w:jc w:val="both"/>
        <w:ind w:left="1000" w:hanging="493"/>
        <w:spacing w:after="0" w:line="296"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53" w:lineRule="exact"/>
        <w:rPr>
          <w:rFonts w:ascii="Arial" w:cs="Arial" w:eastAsia="Arial" w:hAnsi="Arial"/>
          <w:sz w:val="16"/>
          <w:szCs w:val="16"/>
          <w:color w:val="auto"/>
        </w:rPr>
      </w:pPr>
    </w:p>
    <w:p>
      <w:pPr>
        <w:jc w:val="both"/>
        <w:ind w:left="1000" w:hanging="493"/>
        <w:spacing w:after="0" w:line="290"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7"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 certain manufacturers of drugs, devices, biologics and medical supplies that are reimbursable under Medicare, Medicaid, or the Children’s Health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ind w:left="1000"/>
        <w:spacing w:after="0" w:line="296" w:lineRule="auto"/>
        <w:rPr>
          <w:sz w:val="20"/>
          <w:szCs w:val="20"/>
          <w:color w:val="auto"/>
        </w:rPr>
      </w:pPr>
      <w:r>
        <w:rPr>
          <w:rFonts w:ascii="Arial" w:cs="Arial" w:eastAsia="Arial" w:hAnsi="Arial"/>
          <w:sz w:val="16"/>
          <w:szCs w:val="16"/>
          <w:color w:val="auto"/>
        </w:rPr>
        <w:t>Insurance Program, with specific exceptions, to report annually to the Centers for Medicare &amp; Medicaid Services, or CMS, information related to certain payments and 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53" w:lineRule="exact"/>
        <w:rPr>
          <w:sz w:val="20"/>
          <w:szCs w:val="20"/>
          <w:color w:val="auto"/>
        </w:rPr>
      </w:pPr>
    </w:p>
    <w:p>
      <w:pPr>
        <w:jc w:val="both"/>
        <w:ind w:left="1000" w:hanging="493"/>
        <w:spacing w:after="0" w:line="28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58"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4"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70" w:lineRule="exact"/>
        <w:rPr>
          <w:sz w:val="20"/>
          <w:szCs w:val="20"/>
          <w:color w:val="auto"/>
        </w:rPr>
      </w:pPr>
    </w:p>
    <w:p>
      <w:pPr>
        <w:jc w:val="both"/>
        <w:ind w:left="1000" w:right="2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jc w:val="both"/>
        <w:ind w:left="100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5" w:lineRule="exact"/>
        <w:rPr>
          <w:sz w:val="20"/>
          <w:szCs w:val="20"/>
          <w:color w:val="auto"/>
        </w:rPr>
      </w:pPr>
    </w:p>
    <w:p>
      <w:pPr>
        <w:jc w:val="both"/>
        <w:ind w:firstLine="510"/>
        <w:spacing w:after="0" w:line="284"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previously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President Trump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plans, pharmacies and pharmaceutical benefit managers; and one that reduces costs of insulin and epipens to patients of federally qualified health centers. Although some of these and other measures may require additional authorization through to become effective, Congress and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311" w:lineRule="auto"/>
        <w:rPr>
          <w:sz w:val="20"/>
          <w:szCs w:val="20"/>
          <w:color w:val="auto"/>
        </w:rPr>
      </w:pPr>
      <w:r>
        <w:rPr>
          <w:rFonts w:ascii="Arial" w:cs="Arial" w:eastAsia="Arial" w:hAnsi="Arial"/>
          <w:sz w:val="16"/>
          <w:szCs w:val="16"/>
          <w:color w:val="auto"/>
        </w:rPr>
        <w:t>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49"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7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279"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8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ind w:left="5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6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ongoing and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510"/>
        <w:spacing w:after="0" w:line="257" w:lineRule="auto"/>
        <w:rPr>
          <w:sz w:val="20"/>
          <w:szCs w:val="20"/>
          <w:color w:val="auto"/>
        </w:rPr>
      </w:pPr>
      <w:r>
        <w:rPr>
          <w:rFonts w:ascii="Arial" w:cs="Arial" w:eastAsia="Arial" w:hAnsi="Arial"/>
          <w:sz w:val="18"/>
          <w:szCs w:val="18"/>
          <w:color w:val="auto"/>
        </w:rPr>
        <w:t>For example, we are currently party to a collaboration agreement with Ono Pharmaceutical Co., or Ono, pursuant to which we and Ono have agreed to collaborate in the research of potential product candidates targeting Polθ and the development of our small molecule Polθ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80"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8"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$301.0 million in total milestones per each program subject to the agreement. However, given the overlapping nature of the triggers for these milestone payments, as well as the uncertainty associated with achieving any of such milestones, it is unlikely that we will receive the entire $301.0 million in milestone payments with respect to each program subject to the agreement.</w:t>
      </w:r>
    </w:p>
    <w:p>
      <w:pPr>
        <w:spacing w:after="0" w:line="195"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All of the risks relating to product development, regulatory approval and commercialization described in this Quarterly Report on Form 10-Q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firstLine="510"/>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7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85"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firstLine="510"/>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2"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10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5"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65"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62" w:lineRule="exact"/>
        <w:rPr>
          <w:sz w:val="20"/>
          <w:szCs w:val="20"/>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62" w:lineRule="exact"/>
        <w:rPr>
          <w:rFonts w:ascii="Arial" w:cs="Arial" w:eastAsia="Arial" w:hAnsi="Arial"/>
          <w:sz w:val="18"/>
          <w:szCs w:val="18"/>
          <w:color w:val="auto"/>
        </w:rPr>
      </w:pPr>
    </w:p>
    <w:p>
      <w:pPr>
        <w:jc w:val="both"/>
        <w:ind w:left="1000" w:right="20" w:hanging="493"/>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left="5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62"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ind w:firstLine="510"/>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5"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our business and competitive position would be harmed.</w:t>
      </w:r>
    </w:p>
    <w:p>
      <w:pPr>
        <w:spacing w:after="0" w:line="1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spacing w:after="0" w:line="255" w:lineRule="auto"/>
        <w:rPr>
          <w:sz w:val="20"/>
          <w:szCs w:val="20"/>
          <w:color w:val="auto"/>
        </w:rPr>
      </w:pPr>
      <w:r>
        <w:rPr>
          <w:rFonts w:ascii="Arial" w:cs="Arial" w:eastAsia="Arial" w:hAnsi="Arial"/>
          <w:sz w:val="18"/>
          <w:szCs w:val="18"/>
          <w:color w:val="auto"/>
        </w:rPr>
        <w:t>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92"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520" w:right="2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38"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7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85"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7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As of June 30, 2020, we had 69 full-time employees, including 58 employees engaged in research and development. As our clinical development and commercialization plans and strategies develop, and as we 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Phase 1/2 clinical trial of RP-3500,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ind w:left="52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left="52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7"/>
          <w:szCs w:val="17"/>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9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jc w:val="both"/>
        <w:ind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public market may not develop or be liquid enough for you to sell your shares quickly, if at all.</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Prior to our IPO in June 2020, there was no public market for our common shares. If an active trading market for our common shares does not develop, you may not be able to sell your shares quickly or without depressing the market price of our common shares, if at all. An inactive market may also impair our ability to raise capital to continue to fund operations by selling our common shares and may impair our ability to acquire other companies or technologies by using our common shares as consideration.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trading price of our common shares has been and is likely to continue to be volatile and fluctuate substantially.</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trading price of our common shares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shareholders may not be able to sell their common shares at or above the price they paid for their common shares. The market price of our common shares may be influenced by many factors, including:</w:t>
      </w:r>
    </w:p>
    <w:p>
      <w:pPr>
        <w:spacing w:after="0" w:line="63" w:lineRule="exact"/>
        <w:rPr>
          <w:sz w:val="20"/>
          <w:szCs w:val="20"/>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ongoing clinical trial of RP-3500 or future clinical trials of any future product candidates or those of our competitors;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Quarterly Report on Form 10-Q.</w:t>
      </w:r>
    </w:p>
    <w:p>
      <w:pPr>
        <w:spacing w:after="0" w:line="22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Based upon our common shares outstanding as of June 30, 2020, our executive officers, directors and shareholders who own more than 5% of our outstanding common shares beneficially own shares, in the aggregate, representing approximately 69% of our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7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trading market for our common shares will be influenced by the research and reports that industry or financial analysts publish about us or our business. We will not have any control over these equity research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52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currently restricted from immediate resale, but may be sold into the market in the near future. This could cause the market price of our shares to drop significantly, even if our business is doing well.</w:t>
      </w:r>
    </w:p>
    <w:p>
      <w:pPr>
        <w:spacing w:after="0" w:line="3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perceives that our shareholders intend to sell, substantial amounts of our common shares in the public market, the market price of our common shares could decline significantly.</w:t>
      </w:r>
    </w:p>
    <w:p>
      <w:pPr>
        <w:spacing w:after="0" w:line="18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As of June 30, 2020, we had 36,753,454 common shares outstanding. Upon completion of our IPO, the 12,650,000 common shares sold in the IPO became freely tradable, and approximately 24,018,085 common shares will be available for sale in the public market in December 2020 following the expiration of lock-up agreements entered into by our shareholders in connection with the IPO. The representatives of the underwriters for our IPO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77"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addition, we filed a registration statement on Form S-8 to register our common shares that are issuable pursuant to our equity incentive plans. Shares registered under this registration statement on Form S-8 will be available for sale in the public market subject to vesting arrangements and exercise of options, the lock-up agreements described above and, in the case of our affiliates, the restrictions of Rule 144 under the Securities Act.</w:t>
      </w:r>
    </w:p>
    <w:p>
      <w:pPr>
        <w:spacing w:after="0" w:line="14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Additionally, the holders of an aggregate of 23,050,723 common shares, or their transferees,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26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articles of continuance permit us to issue an unlimited number of common shares and preferred shares without additional shareholder approval.</w:t>
      </w:r>
    </w:p>
    <w:p>
      <w:pPr>
        <w:spacing w:after="0" w:line="6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articles of continuance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Our articles of continuance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w:t>
      </w:r>
    </w:p>
    <w:p>
      <w:pPr>
        <w:spacing w:after="0" w:line="178"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ind w:left="5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IPO,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are a passive foreign investment company, there could be adverse U.S. federal income tax consequences to U.S. Holders.</w:t>
      </w:r>
    </w:p>
    <w:p>
      <w:pPr>
        <w:spacing w:after="0" w:line="12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our IPO. Our U.S. counsel expresses no opinion with respect to our PFIC status for our taxable year ended December 31, 2019, and also expresses no opinion with regard to our expectations regarding our PFIC status in the future.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firstLine="510"/>
        <w:spacing w:after="0" w:line="279" w:lineRule="auto"/>
        <w:rPr>
          <w:sz w:val="20"/>
          <w:szCs w:val="20"/>
          <w:color w:val="auto"/>
        </w:rPr>
      </w:pPr>
      <w:r>
        <w:rPr>
          <w:rFonts w:ascii="Arial" w:cs="Arial" w:eastAsia="Arial" w:hAnsi="Arial"/>
          <w:sz w:val="17"/>
          <w:szCs w:val="17"/>
          <w:color w:val="auto"/>
        </w:rPr>
        <w:t>If we are a PFIC, a U.S. Holder (as defined below) of our common shares would be subject to adverse 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Each U.S. Holder should consult its own tax advisors with respect to the potential adverse U.S. tax consequences to it if we are or were to become a PFIC.</w:t>
      </w:r>
    </w:p>
    <w:p>
      <w:pPr>
        <w:spacing w:after="0" w:line="17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A “U.S. Holder” is a holder who, for U.S. federal income tax purposes, is a beneficial owner of common shares who is eligible for the benefits of the Canada-U.S. Tax Treaty and is: (i) an individual who is a citizen or resident of the United States; (ii) a corporation, or another entity treated as a corporation for U.S. federal income tax purposes, created or organized in or under the laws of the United States, any state thereof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94"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7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7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6"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our periodic reports.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0"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We could be an emerging growth company until December 31, 2025,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6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common shares held by non-affiliates is less than $700 million and our annual revenue was less than $100.0 million during our most recently completed fiscal year. We may continue to be a smaller reporting company if either (i) the market value of our common shares held by non-affiliates is less than $250 million or (ii) our annual revenue was less than $100.0 million during the most recently completed fiscal year and the market value of our common shares held by non-affiliates is less than $700.0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D&amp;O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5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designate specific courts in Canada and the United States as the exclusive forum for certain litigation that may be initiated by our shareholders, which could limit our shareholders’ ability to obtain a favorable judicial forum for disputes with us.</w:t>
      </w:r>
    </w:p>
    <w:p>
      <w:pPr>
        <w:spacing w:after="0" w:line="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courts of the Province of Québec and the appellate courts therefrom shall, to the fullest extent permitted by law, be the sole and exclusive forum for: (a) any derivative action or proceeding brought on our behalf; (b) any action or proceeding asserting a claim for breach of fiduciary duty owed to us by any of our directors, officers or other employees; (c) any action or proceeding asserting a claim arising out of any provision of the Business Corporations Act (Québec) or the articles or our bylaws (as either may be amended from time to time); or (d) any action or proceeding asserting a claim otherwise related to our affairs, or the Canadian Forum Provision. The Canadian Forum Provision will not apply to any causes of action arising under the Securities Act or the Exchange Act. Our amended and restated bylaws further provide that unless we consent in writing to the selection of an alternative forum, the federal district courts of the United States of America shall be the exclusive forum for the resolution of any complaint asserting a cause of action arising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under the Securities Act, or the U.S. Federal Forum Provision. In addition, our amended and restated bylaws provide that any person or entity holding, owning or otherwise acquiring any interest in any of our securities is deemed to have notice of and consented to the Canadian Forum Provision and the U.S. Federal Forum Provision.</w:t>
      </w:r>
    </w:p>
    <w:p>
      <w:pPr>
        <w:spacing w:after="0" w:line="1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Canadian Forum Provision and the U.S. Federal Forum Provision in our amended and restated bylaws may impose additional litigation costs on shareholders in pursuing any such claims. Additionally, the forum selection clauses in our amended and restated bylaws may limit our shareholders’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courts in Canada and other courts within the United States, will enforce our U.S. Federal Forum Provision. If the U.S. Federal Forum Provision is found to be unenforceable, we may incur additional costs associated with resolving such matters. The U.S. Federal Forum Provision may also impose additional litigation costs on shareholders who assert that the provision is not enforceable or invalid. The courts of the Province of Québec and the federal district courts of the United States of America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are be governed by the corporate laws of Québec, which in some cases have a different effect on shareholders than the corporate laws of Delaware.</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7"/>
          <w:szCs w:val="17"/>
          <w:color w:val="auto"/>
        </w:rPr>
        <w:t>We are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28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and certain Canadian legislation contain provisions that may have the effect of delaying or preventing certain change in control transactions or shareholder proposals.</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Certain provisions of our amended and restated bylaws and certain Canadian legislation, together or separately, could discourage or delay certain change in control transactions or shareholder proposals.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both"/>
        <w:ind w:firstLine="510"/>
        <w:spacing w:after="0" w:line="259" w:lineRule="auto"/>
        <w:rPr>
          <w:sz w:val="20"/>
          <w:szCs w:val="20"/>
          <w:color w:val="auto"/>
        </w:rPr>
      </w:pPr>
      <w:r>
        <w:rPr>
          <w:rFonts w:ascii="Arial" w:cs="Arial" w:eastAsia="Arial" w:hAnsi="Arial"/>
          <w:sz w:val="18"/>
          <w:szCs w:val="18"/>
          <w:color w:val="auto"/>
        </w:rPr>
        <w:t>Our amended and restated bylaws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7" w:lineRule="exact"/>
        <w:rPr>
          <w:sz w:val="20"/>
          <w:szCs w:val="20"/>
          <w:color w:val="auto"/>
        </w:rPr>
      </w:pPr>
    </w:p>
    <w:p>
      <w:pPr>
        <w:jc w:val="both"/>
        <w:ind w:firstLine="510"/>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2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from January 1, 2020 (share and per share amounts give effect to a one-for-6.062 reverse stock split of our common shares and preferred shares, effected on June 12, 2020) through June 30, 2020:</w:t>
      </w:r>
    </w:p>
    <w:p>
      <w:pPr>
        <w:spacing w:after="0" w:line="170" w:lineRule="exact"/>
        <w:rPr>
          <w:sz w:val="20"/>
          <w:szCs w:val="20"/>
          <w:color w:val="auto"/>
        </w:rPr>
      </w:pPr>
    </w:p>
    <w:p>
      <w:pPr>
        <w:ind w:firstLine="518"/>
        <w:spacing w:after="0" w:line="277" w:lineRule="auto"/>
        <w:tabs>
          <w:tab w:leader="none" w:pos="7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granted stock options to purchase an aggregate of 590,702 common shares at an exercise price of $20.00 per share to employees under our 2020 Equity Incentive Plan.</w:t>
      </w:r>
    </w:p>
    <w:p>
      <w:pPr>
        <w:spacing w:after="0" w:line="170" w:lineRule="exact"/>
        <w:rPr>
          <w:rFonts w:ascii="Arial" w:cs="Arial" w:eastAsia="Arial" w:hAnsi="Arial"/>
          <w:sz w:val="18"/>
          <w:szCs w:val="18"/>
          <w:color w:val="auto"/>
        </w:rPr>
      </w:pPr>
    </w:p>
    <w:p>
      <w:pPr>
        <w:ind w:firstLine="518"/>
        <w:spacing w:after="0" w:line="342" w:lineRule="auto"/>
        <w:tabs>
          <w:tab w:leader="none" w:pos="784"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issued and sold an aggregate of 266,687 common shares upon the exercise of options under our Repare Therapeutics Inc. Amended and Restated Option Plan, as amended, at exercise prices ranging from $1.64 to $2.06 per share, for aggregate proceeds to us of approximately $0.5 million.</w:t>
      </w:r>
    </w:p>
    <w:p>
      <w:pPr>
        <w:spacing w:after="0" w:line="150" w:lineRule="exact"/>
        <w:rPr>
          <w:rFonts w:ascii="Arial" w:cs="Arial" w:eastAsia="Arial" w:hAnsi="Arial"/>
          <w:sz w:val="16"/>
          <w:szCs w:val="16"/>
          <w:color w:val="auto"/>
        </w:rPr>
      </w:pPr>
    </w:p>
    <w:p>
      <w:pPr>
        <w:jc w:val="both"/>
        <w:ind w:firstLine="518"/>
        <w:spacing w:after="0" w:line="259" w:lineRule="auto"/>
        <w:tabs>
          <w:tab w:leader="none" w:pos="787"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May 2020, in connection with our entry into a collaboration and license agreement with Bristol Myers Squibb, we entered into a warrant agreement with an affiliate of Bristol Myers Squibb. Pursuant to the terms of the warrant agreement, Bristol Myers Squibb paid us $15.0 million in consideration for our issuance of a warrant. Immediately prior to the completion of our IPO, the warrant was automatically exercised into 750,000 common shares.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offers, sales and issuances of the securities described in paragraphs (1) and (2) above were deemed to be exempt from registration under the Securities Act under Rule 701 promulgated thereunder as offers and sale of securities pursuant to benefit plans and contracts relating to compensation in compliance with Rule 701.</w:t>
      </w:r>
    </w:p>
    <w:p>
      <w:pPr>
        <w:spacing w:after="0" w:line="18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The offers, sales, and issuances of the securities described in paragraph (3) above were deemed to be exempt from registration under the Securities Act in reliance on Section 4(a)(2) of the Securities Act and Regulation D or Regulation S promulgated thereunder) as transactions by an issuer not involving any public offering. The recipient of securities in this transaction represented their intentions to acquire the securities for investment only and not with a view to or for sale in connection with any distribution thereof and appropriate legends were affixed to the securities issued in these transactions. The recipient of securities in this transaction was an accredited or sophisticated person and had adequate access, through employment, business or other relationships, to information about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June 23, 2020, we closed our IPO, in which we issued and sold an aggregate of 12,650,000 common shares at a public offering price of $20.00 per share. All of the common shares issued and sold in our IPO were registered under the Securities Act pursuant to a registration statement on Form S-1 (File No. 333-238822), which was declared effective by the SEC on June 18, 2020. Morgan Stanley &amp; Co. LLC, Goldman Sachs &amp; Co. LLC, Cowen and Company, LLC and Piper Sandler &amp; Co. acted as joint book-running managers for the IPO. The offering commenced on June 18, 2020, and, following the sale of the shares upon the closing of the IPO, the offer terminated.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ind w:firstLine="510"/>
        <w:spacing w:after="0" w:line="263" w:lineRule="auto"/>
        <w:rPr>
          <w:sz w:val="20"/>
          <w:szCs w:val="20"/>
          <w:color w:val="auto"/>
        </w:rPr>
      </w:pPr>
      <w:r>
        <w:rPr>
          <w:rFonts w:ascii="Arial" w:cs="Arial" w:eastAsia="Arial" w:hAnsi="Arial"/>
          <w:sz w:val="18"/>
          <w:szCs w:val="18"/>
          <w:color w:val="auto"/>
        </w:rPr>
        <w:t>The aggregate net proceeds to us from the IPO were approximately $232.0 million, after deducting underwriting discounts and commissions and offering expenses payable by us of approximately $3.2 million. No offering expenses were paid directly or indirectly to any of our directors or officers (or their associates) or persons owning 10% or more of any class of our equity securities or to any other affiliates.</w:t>
      </w:r>
    </w:p>
    <w:p>
      <w:pPr>
        <w:spacing w:after="0" w:line="18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There has been no material change in the use of proceeds from our IPO from those disclosed in the final prospectus for our IPO dated June 18, 2020 and filed with the SEC pursuant to Rule 424(b)(4) of the Securities Act on June 19, 2020.</w:t>
      </w:r>
    </w:p>
    <w:p>
      <w:pPr>
        <w:spacing w:after="0" w:line="274" w:lineRule="exact"/>
        <w:rPr>
          <w:sz w:val="20"/>
          <w:szCs w:val="20"/>
          <w:color w:val="auto"/>
        </w:rPr>
      </w:pPr>
    </w:p>
    <w:p>
      <w:pPr>
        <w:ind w:left="520" w:right="8140" w:hanging="512"/>
        <w:spacing w:after="0" w:line="407" w:lineRule="auto"/>
        <w:tabs>
          <w:tab w:leader="none" w:pos="25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632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52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3"/>
              </w:rPr>
              <w:t>Incorporated by Reference</w:t>
            </w:r>
          </w:p>
        </w:tc>
        <w:tc>
          <w:tcPr>
            <w:tcW w:w="1380" w:type="dxa"/>
            <w:vAlign w:val="bottom"/>
            <w:tcBorders>
              <w:bottom w:val="single" w:sz="8" w:color="auto"/>
            </w:tcBorders>
          </w:tcPr>
          <w:p>
            <w:pPr>
              <w:spacing w:after="0"/>
              <w:rPr>
                <w:sz w:val="24"/>
                <w:szCs w:val="24"/>
                <w:color w:val="auto"/>
              </w:rPr>
            </w:pPr>
          </w:p>
        </w:tc>
      </w:tr>
      <w:tr>
        <w:trPr>
          <w:trHeight w:val="265"/>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Schedule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File</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4"/>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ind w:left="6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Filing Date</w:t>
            </w:r>
          </w:p>
        </w:tc>
      </w:tr>
      <w:tr>
        <w:trPr>
          <w:trHeight w:val="520"/>
        </w:trPr>
        <w:tc>
          <w:tcPr>
            <w:tcW w:w="1020" w:type="dxa"/>
            <w:vAlign w:val="bottom"/>
          </w:tcPr>
          <w:p>
            <w:pPr>
              <w:jc w:val="center"/>
              <w:spacing w:after="0"/>
              <w:rPr>
                <w:rFonts w:ascii="Arial" w:cs="Arial" w:eastAsia="Arial" w:hAnsi="Arial"/>
                <w:sz w:val="18"/>
                <w:szCs w:val="18"/>
                <w:u w:val="single" w:color="auto"/>
                <w:color w:val="0000EE"/>
                <w:w w:val="87"/>
              </w:rPr>
            </w:pPr>
            <w:hyperlink r:id="rId99">
              <w:r>
                <w:rPr>
                  <w:rFonts w:ascii="Arial" w:cs="Arial" w:eastAsia="Arial" w:hAnsi="Arial"/>
                  <w:sz w:val="18"/>
                  <w:szCs w:val="18"/>
                  <w:u w:val="single" w:color="auto"/>
                  <w:color w:val="0000EE"/>
                  <w:w w:val="87"/>
                </w:rPr>
                <w:t>3.1</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Articles of Continuance of Repare Therapeutics Inc.</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June 23, 2020</w:t>
            </w:r>
          </w:p>
        </w:tc>
      </w:tr>
      <w:tr>
        <w:trPr>
          <w:trHeight w:val="283"/>
        </w:trPr>
        <w:tc>
          <w:tcPr>
            <w:tcW w:w="1020" w:type="dxa"/>
            <w:vAlign w:val="bottom"/>
          </w:tcPr>
          <w:p>
            <w:pPr>
              <w:jc w:val="center"/>
              <w:spacing w:after="0"/>
              <w:rPr>
                <w:rFonts w:ascii="Arial" w:cs="Arial" w:eastAsia="Arial" w:hAnsi="Arial"/>
                <w:sz w:val="18"/>
                <w:szCs w:val="18"/>
                <w:u w:val="single" w:color="auto"/>
                <w:color w:val="0000EE"/>
                <w:w w:val="87"/>
              </w:rPr>
            </w:pPr>
            <w:hyperlink r:id="rId100">
              <w:r>
                <w:rPr>
                  <w:rFonts w:ascii="Arial" w:cs="Arial" w:eastAsia="Arial" w:hAnsi="Arial"/>
                  <w:sz w:val="18"/>
                  <w:szCs w:val="18"/>
                  <w:u w:val="single" w:color="auto"/>
                  <w:color w:val="0000EE"/>
                  <w:w w:val="87"/>
                </w:rPr>
                <w:t>3.2</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Amended and Restated Bylaws of Repare Therapeutics Inc.</w:t>
              </w:r>
            </w:hyperlink>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001-39335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June 23, 2020</w:t>
            </w:r>
          </w:p>
        </w:tc>
      </w:tr>
      <w:tr>
        <w:trPr>
          <w:trHeight w:val="243"/>
        </w:trPr>
        <w:tc>
          <w:tcPr>
            <w:tcW w:w="1140" w:type="dxa"/>
            <w:vAlign w:val="bottom"/>
            <w:gridSpan w:val="2"/>
          </w:tcPr>
          <w:p>
            <w:pPr>
              <w:jc w:val="center"/>
              <w:ind w:right="120"/>
              <w:spacing w:after="0"/>
              <w:rPr>
                <w:rFonts w:ascii="Arial" w:cs="Arial" w:eastAsia="Arial" w:hAnsi="Arial"/>
                <w:sz w:val="18"/>
                <w:szCs w:val="18"/>
                <w:u w:val="single" w:color="auto"/>
                <w:color w:val="0000EE"/>
                <w:w w:val="95"/>
              </w:rPr>
            </w:pPr>
            <w:hyperlink w:anchor="page79">
              <w:r>
                <w:rPr>
                  <w:rFonts w:ascii="Arial" w:cs="Arial" w:eastAsia="Arial" w:hAnsi="Arial"/>
                  <w:sz w:val="18"/>
                  <w:szCs w:val="18"/>
                  <w:u w:val="single" w:color="auto"/>
                  <w:color w:val="0000EE"/>
                  <w:w w:val="95"/>
                </w:rPr>
                <w:t>10.1†*</w:t>
              </w:r>
            </w:hyperlink>
          </w:p>
        </w:tc>
        <w:tc>
          <w:tcPr>
            <w:tcW w:w="40" w:type="dxa"/>
            <w:vAlign w:val="bottom"/>
          </w:tcPr>
          <w:p>
            <w:pPr>
              <w:spacing w:after="0"/>
              <w:rPr>
                <w:sz w:val="21"/>
                <w:szCs w:val="21"/>
                <w:color w:val="auto"/>
              </w:rPr>
            </w:pPr>
          </w:p>
        </w:tc>
        <w:tc>
          <w:tcPr>
            <w:tcW w:w="4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First Amendment to Collaboration and License Agreement by and</w:t>
              </w:r>
            </w:hyperlink>
          </w:p>
        </w:tc>
        <w:tc>
          <w:tcPr>
            <w:tcW w:w="360" w:type="dxa"/>
            <w:vAlign w:val="bottom"/>
            <w:gridSpan w:val="5"/>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between the registrant, Repare Therapeutics USA Inc. and Bristol-</w:t>
              </w:r>
            </w:hyperlink>
          </w:p>
        </w:tc>
        <w:tc>
          <w:tcPr>
            <w:tcW w:w="340" w:type="dxa"/>
            <w:vAlign w:val="bottom"/>
            <w:gridSpan w:val="4"/>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Myers Squibb Company, dated July 22, 2020.</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1020" w:type="dxa"/>
            <w:vAlign w:val="bottom"/>
          </w:tcPr>
          <w:p>
            <w:pPr>
              <w:jc w:val="center"/>
              <w:spacing w:after="0"/>
              <w:rPr>
                <w:rFonts w:ascii="Arial" w:cs="Arial" w:eastAsia="Arial" w:hAnsi="Arial"/>
                <w:sz w:val="18"/>
                <w:szCs w:val="18"/>
                <w:u w:val="single" w:color="auto"/>
                <w:color w:val="0000EE"/>
                <w:w w:val="95"/>
              </w:rPr>
            </w:pPr>
            <w:hyperlink w:anchor="page84">
              <w:r>
                <w:rPr>
                  <w:rFonts w:ascii="Arial" w:cs="Arial" w:eastAsia="Arial" w:hAnsi="Arial"/>
                  <w:sz w:val="18"/>
                  <w:szCs w:val="18"/>
                  <w:u w:val="single" w:color="auto"/>
                  <w:color w:val="0000EE"/>
                  <w:w w:val="95"/>
                </w:rPr>
                <w:t>31.1*</w:t>
              </w:r>
            </w:hyperlink>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Principal Executive Officer Pursuant to Rules 13a-</w:t>
              </w:r>
            </w:hyperlink>
          </w:p>
        </w:tc>
        <w:tc>
          <w:tcPr>
            <w:tcW w:w="320" w:type="dxa"/>
            <w:vAlign w:val="bottom"/>
            <w:gridSpan w:val="3"/>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14(a) and 15d-14(a) under the Securities Exchange Act of 1934, as</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Adopted Pursuant to Section 302 of the Sarbanes-Oxley Act of</w:t>
              </w:r>
            </w:hyperlink>
          </w:p>
        </w:tc>
        <w:tc>
          <w:tcPr>
            <w:tcW w:w="32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2002.</w:t>
              </w:r>
            </w:hyperlink>
          </w:p>
        </w:tc>
        <w:tc>
          <w:tcPr>
            <w:tcW w:w="9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3"/>
        </w:trPr>
        <w:tc>
          <w:tcPr>
            <w:tcW w:w="1020" w:type="dxa"/>
            <w:vAlign w:val="bottom"/>
          </w:tcPr>
          <w:p>
            <w:pPr>
              <w:jc w:val="center"/>
              <w:spacing w:after="0"/>
              <w:rPr>
                <w:rFonts w:ascii="Arial" w:cs="Arial" w:eastAsia="Arial" w:hAnsi="Arial"/>
                <w:sz w:val="18"/>
                <w:szCs w:val="18"/>
                <w:u w:val="single" w:color="auto"/>
                <w:color w:val="0000EE"/>
                <w:w w:val="95"/>
              </w:rPr>
            </w:pPr>
            <w:hyperlink w:anchor="page85">
              <w:r>
                <w:rPr>
                  <w:rFonts w:ascii="Arial" w:cs="Arial" w:eastAsia="Arial" w:hAnsi="Arial"/>
                  <w:sz w:val="18"/>
                  <w:szCs w:val="18"/>
                  <w:u w:val="single" w:color="auto"/>
                  <w:color w:val="0000EE"/>
                  <w:w w:val="95"/>
                </w:rPr>
                <w:t>31.2*</w:t>
              </w:r>
            </w:hyperlink>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40" w:type="dxa"/>
            <w:vAlign w:val="bottom"/>
            <w:gridSpan w:val="11"/>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Certification of Principal Financial Officer Pursuant to Rules 13a-</w:t>
              </w:r>
            </w:hyperlink>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14(a) and 15d-14(a) under the Securities Exchange Act of 1934, as</w:t>
              </w:r>
            </w:hyperlink>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2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Adopted Pursuant to Section 302 of the Sarbanes-Oxley Act of</w:t>
              </w:r>
            </w:hyperlink>
          </w:p>
        </w:tc>
        <w:tc>
          <w:tcPr>
            <w:tcW w:w="32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2002.</w:t>
              </w:r>
            </w:hyperlink>
          </w:p>
        </w:tc>
        <w:tc>
          <w:tcPr>
            <w:tcW w:w="9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3"/>
        </w:trPr>
        <w:tc>
          <w:tcPr>
            <w:tcW w:w="1020" w:type="dxa"/>
            <w:vAlign w:val="bottom"/>
          </w:tcPr>
          <w:p>
            <w:pPr>
              <w:jc w:val="center"/>
              <w:spacing w:after="0"/>
              <w:rPr>
                <w:rFonts w:ascii="Arial" w:cs="Arial" w:eastAsia="Arial" w:hAnsi="Arial"/>
                <w:sz w:val="18"/>
                <w:szCs w:val="18"/>
                <w:u w:val="single" w:color="auto"/>
                <w:color w:val="0000EE"/>
                <w:w w:val="92"/>
              </w:rPr>
            </w:pPr>
            <w:hyperlink w:anchor="page86">
              <w:r>
                <w:rPr>
                  <w:rFonts w:ascii="Arial" w:cs="Arial" w:eastAsia="Arial" w:hAnsi="Arial"/>
                  <w:sz w:val="18"/>
                  <w:szCs w:val="18"/>
                  <w:u w:val="single" w:color="auto"/>
                  <w:color w:val="0000EE"/>
                  <w:w w:val="92"/>
                </w:rPr>
                <w:t>32.1+</w:t>
              </w:r>
            </w:hyperlink>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40" w:type="dxa"/>
            <w:vAlign w:val="bottom"/>
            <w:gridSpan w:val="1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Certification of Principal Executive Officer Pursuant to 18 U.S.C.</w:t>
              </w:r>
            </w:hyperlink>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Section 1350, as Adopted Pursuant to Section 906 of the Sarbanes-</w:t>
              </w:r>
            </w:hyperlink>
          </w:p>
        </w:tc>
        <w:tc>
          <w:tcPr>
            <w:tcW w:w="3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Oxley Act of 2002.</w:t>
              </w:r>
            </w:hyperlink>
          </w:p>
        </w:tc>
        <w:tc>
          <w:tcPr>
            <w:tcW w:w="374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63"/>
        </w:trPr>
        <w:tc>
          <w:tcPr>
            <w:tcW w:w="1020" w:type="dxa"/>
            <w:vAlign w:val="bottom"/>
          </w:tcPr>
          <w:p>
            <w:pPr>
              <w:jc w:val="center"/>
              <w:spacing w:after="0"/>
              <w:rPr>
                <w:rFonts w:ascii="Arial" w:cs="Arial" w:eastAsia="Arial" w:hAnsi="Arial"/>
                <w:sz w:val="18"/>
                <w:szCs w:val="18"/>
                <w:u w:val="single" w:color="auto"/>
                <w:color w:val="0000EE"/>
                <w:w w:val="92"/>
              </w:rPr>
            </w:pPr>
            <w:hyperlink w:anchor="page87">
              <w:r>
                <w:rPr>
                  <w:rFonts w:ascii="Arial" w:cs="Arial" w:eastAsia="Arial" w:hAnsi="Arial"/>
                  <w:sz w:val="18"/>
                  <w:szCs w:val="18"/>
                  <w:u w:val="single" w:color="auto"/>
                  <w:color w:val="0000EE"/>
                  <w:w w:val="92"/>
                </w:rPr>
                <w:t>32.2+</w:t>
              </w:r>
            </w:hyperlink>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of Principal Financial Officer Pursuant to 18 U.S.C.</w:t>
              </w:r>
            </w:hyperlink>
          </w:p>
        </w:tc>
        <w:tc>
          <w:tcPr>
            <w:tcW w:w="400" w:type="dxa"/>
            <w:vAlign w:val="bottom"/>
            <w:gridSpan w:val="6"/>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Section 1350, as Adopted Pursuant to Section 906 of the Sarbanes-</w:t>
              </w:r>
            </w:hyperlink>
          </w:p>
        </w:tc>
        <w:tc>
          <w:tcPr>
            <w:tcW w:w="3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Oxley Act of 2002.</w:t>
              </w:r>
            </w:hyperlink>
          </w:p>
        </w:tc>
        <w:tc>
          <w:tcPr>
            <w:tcW w:w="374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04"/>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101.INS*</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3"/>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3"/>
        </w:trPr>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101.DEF*</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3"/>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62" w:lineRule="exact"/>
        <w:rPr>
          <w:sz w:val="20"/>
          <w:szCs w:val="20"/>
          <w:color w:val="auto"/>
        </w:rPr>
      </w:pPr>
    </w:p>
    <w:p>
      <w:pPr>
        <w:jc w:val="both"/>
        <w:ind w:left="500" w:hanging="492"/>
        <w:spacing w:after="0" w:line="301"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120"/>
              <w:spacing w:after="0"/>
              <w:rPr>
                <w:sz w:val="20"/>
                <w:szCs w:val="20"/>
                <w:color w:val="auto"/>
              </w:rPr>
            </w:pPr>
            <w:r>
              <w:rPr>
                <w:rFonts w:ascii="Arial" w:cs="Arial" w:eastAsia="Arial" w:hAnsi="Arial"/>
                <w:sz w:val="18"/>
                <w:szCs w:val="18"/>
                <w:color w:val="auto"/>
              </w:rPr>
              <w:t>REPARE THERAPEUTICS INC.</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13, 2020</w:t>
            </w:r>
          </w:p>
        </w:tc>
        <w:tc>
          <w:tcPr>
            <w:tcW w:w="7660" w:type="dxa"/>
            <w:vAlign w:val="bottom"/>
            <w:gridSpan w:val="2"/>
          </w:tcPr>
          <w:p>
            <w:pPr>
              <w:ind w:left="2120"/>
              <w:spacing w:after="0"/>
              <w:rPr>
                <w:sz w:val="20"/>
                <w:szCs w:val="20"/>
                <w:color w:val="auto"/>
              </w:rPr>
            </w:pPr>
            <w:r>
              <w:rPr>
                <w:rFonts w:ascii="Arial" w:cs="Arial" w:eastAsia="Arial" w:hAnsi="Arial"/>
                <w:sz w:val="18"/>
                <w:szCs w:val="18"/>
                <w:color w:val="auto"/>
              </w:rPr>
              <w:t>By: /s/ Lloyd M. Segal</w:t>
            </w:r>
          </w:p>
        </w:tc>
      </w:tr>
      <w:tr>
        <w:trPr>
          <w:trHeight w:val="222"/>
        </w:trPr>
        <w:tc>
          <w:tcPr>
            <w:tcW w:w="3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13, 2020</w:t>
            </w:r>
          </w:p>
        </w:tc>
        <w:tc>
          <w:tcPr>
            <w:tcW w:w="7660" w:type="dxa"/>
            <w:vAlign w:val="bottom"/>
            <w:gridSpan w:val="2"/>
          </w:tcPr>
          <w:p>
            <w:pPr>
              <w:ind w:left="2120"/>
              <w:spacing w:after="0"/>
              <w:rPr>
                <w:sz w:val="20"/>
                <w:szCs w:val="20"/>
                <w:color w:val="auto"/>
              </w:rPr>
            </w:pPr>
            <w:r>
              <w:rPr>
                <w:rFonts w:ascii="Arial" w:cs="Arial" w:eastAsia="Arial" w:hAnsi="Arial"/>
                <w:sz w:val="18"/>
                <w:szCs w:val="18"/>
                <w:color w:val="auto"/>
              </w:rPr>
              <w:t>By: /s/ Steve Forte</w:t>
            </w:r>
          </w:p>
        </w:tc>
      </w:tr>
      <w:tr>
        <w:trPr>
          <w:trHeight w:val="222"/>
        </w:trPr>
        <w:tc>
          <w:tcPr>
            <w:tcW w:w="3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Forte</w:t>
            </w: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675"/>
        </w:trPr>
        <w:tc>
          <w:tcPr>
            <w:tcW w:w="3580" w:type="dxa"/>
            <w:vAlign w:val="bottom"/>
          </w:tcPr>
          <w:p>
            <w:pPr>
              <w:spacing w:after="0"/>
              <w:rPr>
                <w:sz w:val="24"/>
                <w:szCs w:val="24"/>
                <w:color w:val="auto"/>
              </w:rPr>
            </w:pP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76</w:t>
            </w:r>
          </w:p>
        </w:tc>
        <w:tc>
          <w:tcPr>
            <w:tcW w:w="5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8" w:name="page79"/>
    <w:bookmarkEnd w:id="78"/>
    <w:p>
      <w:pPr>
        <w:ind w:left="10180"/>
        <w:spacing w:after="0"/>
        <w:rPr>
          <w:sz w:val="20"/>
          <w:szCs w:val="20"/>
          <w:color w:val="auto"/>
        </w:rPr>
      </w:pPr>
      <w:r>
        <w:rPr>
          <w:rFonts w:ascii="Arial" w:cs="Arial" w:eastAsia="Arial" w:hAnsi="Arial"/>
          <w:sz w:val="19"/>
          <w:szCs w:val="19"/>
          <w:b w:val="1"/>
          <w:bCs w:val="1"/>
          <w:color w:val="auto"/>
        </w:rPr>
        <w:t>Exhibit10.1</w:t>
      </w:r>
    </w:p>
    <w:p>
      <w:pPr>
        <w:spacing w:after="0" w:line="241" w:lineRule="exact"/>
        <w:rPr>
          <w:sz w:val="20"/>
          <w:szCs w:val="20"/>
          <w:color w:val="auto"/>
        </w:rPr>
      </w:pPr>
    </w:p>
    <w:p>
      <w:pPr>
        <w:jc w:val="both"/>
        <w:ind w:right="80"/>
        <w:spacing w:after="0" w:line="243" w:lineRule="auto"/>
        <w:rPr>
          <w:sz w:val="20"/>
          <w:szCs w:val="20"/>
          <w:color w:val="auto"/>
        </w:rPr>
      </w:pPr>
      <w:r>
        <w:rPr>
          <w:rFonts w:ascii="Arial" w:cs="Arial" w:eastAsia="Arial" w:hAnsi="Arial"/>
          <w:sz w:val="22"/>
          <w:szCs w:val="22"/>
          <w:b w:val="1"/>
          <w:bCs w:val="1"/>
          <w:color w:val="auto"/>
        </w:rPr>
        <w:t>CERTAIN CONFIDENTIAL INFORMATION CONTAINED IN THIS DOCUMENT, MARKED BY [***], HAS BEEN OMITTED BECAUSE IT IS BOTH (I) NOT MATERIAL AND (II) WOULD LIKELY CAUSE COMPETITIVE HARM IF PUBLICLY DISCLOSED.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FIRST AMENDMENT TO</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COLLABORATION AND LICENSE AGREEMENT</w:t>
      </w:r>
    </w:p>
    <w:p>
      <w:pPr>
        <w:spacing w:after="0" w:line="215"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9"/>
          <w:szCs w:val="19"/>
          <w:color w:val="auto"/>
        </w:rPr>
        <w:t>This First Amendment to Collaboration and License Agreement (this “</w:t>
      </w:r>
      <w:r>
        <w:rPr>
          <w:rFonts w:ascii="Arial" w:cs="Arial" w:eastAsia="Arial" w:hAnsi="Arial"/>
          <w:sz w:val="19"/>
          <w:szCs w:val="19"/>
          <w:u w:val="single" w:color="auto"/>
          <w:color w:val="auto"/>
        </w:rPr>
        <w:t>First Amendment</w:t>
      </w:r>
      <w:r>
        <w:rPr>
          <w:rFonts w:ascii="Arial" w:cs="Arial" w:eastAsia="Arial" w:hAnsi="Arial"/>
          <w:sz w:val="19"/>
          <w:szCs w:val="19"/>
          <w:color w:val="auto"/>
        </w:rPr>
        <w:t>”) is entered into as of July 22nd, 2020 (the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 by and between Repare Therapeutics Inc., a Canadian corporation with offices at 7210 Frederick- Banting, Suite 100, St. Laurent, Quebec, Canada H4S 2A1 (“</w:t>
      </w:r>
      <w:r>
        <w:rPr>
          <w:rFonts w:ascii="Arial" w:cs="Arial" w:eastAsia="Arial" w:hAnsi="Arial"/>
          <w:sz w:val="19"/>
          <w:szCs w:val="19"/>
          <w:u w:val="single" w:color="auto"/>
          <w:color w:val="auto"/>
        </w:rPr>
        <w:t>Repare Inc.</w:t>
      </w:r>
      <w:r>
        <w:rPr>
          <w:rFonts w:ascii="Arial" w:cs="Arial" w:eastAsia="Arial" w:hAnsi="Arial"/>
          <w:sz w:val="19"/>
          <w:szCs w:val="19"/>
          <w:color w:val="auto"/>
        </w:rPr>
        <w:t>”) and Repare Therapeutics USA, Inc., a Delaware corporation with offices at One Broadway, 15th Floor, Cambridge, Massachusetts 02142 (“</w:t>
      </w:r>
      <w:r>
        <w:rPr>
          <w:rFonts w:ascii="Arial" w:cs="Arial" w:eastAsia="Arial" w:hAnsi="Arial"/>
          <w:sz w:val="19"/>
          <w:szCs w:val="19"/>
          <w:u w:val="single" w:color="auto"/>
          <w:color w:val="auto"/>
        </w:rPr>
        <w:t>Repare USA</w:t>
      </w:r>
      <w:r>
        <w:rPr>
          <w:rFonts w:ascii="Arial" w:cs="Arial" w:eastAsia="Arial" w:hAnsi="Arial"/>
          <w:sz w:val="19"/>
          <w:szCs w:val="19"/>
          <w:color w:val="auto"/>
        </w:rPr>
        <w:t>” and, together with Repare Inc., “</w:t>
      </w:r>
      <w:r>
        <w:rPr>
          <w:rFonts w:ascii="Arial" w:cs="Arial" w:eastAsia="Arial" w:hAnsi="Arial"/>
          <w:sz w:val="19"/>
          <w:szCs w:val="19"/>
          <w:u w:val="single" w:color="auto"/>
          <w:color w:val="auto"/>
        </w:rPr>
        <w:t>Repare</w:t>
      </w:r>
      <w:r>
        <w:rPr>
          <w:rFonts w:ascii="Arial" w:cs="Arial" w:eastAsia="Arial" w:hAnsi="Arial"/>
          <w:sz w:val="19"/>
          <w:szCs w:val="19"/>
          <w:color w:val="auto"/>
        </w:rPr>
        <w:t>”), on the one hand, and Bristol-Myers Squibb Company, a Delaware corporation with offices at 430 E. 29th Street, 14th Floor, New York, New York 10016 (“</w:t>
      </w:r>
      <w:r>
        <w:rPr>
          <w:rFonts w:ascii="Arial" w:cs="Arial" w:eastAsia="Arial" w:hAnsi="Arial"/>
          <w:sz w:val="19"/>
          <w:szCs w:val="19"/>
          <w:u w:val="single" w:color="auto"/>
          <w:color w:val="auto"/>
        </w:rPr>
        <w:t>BMS</w:t>
      </w:r>
      <w:r>
        <w:rPr>
          <w:rFonts w:ascii="Arial" w:cs="Arial" w:eastAsia="Arial" w:hAnsi="Arial"/>
          <w:sz w:val="19"/>
          <w:szCs w:val="19"/>
          <w:color w:val="auto"/>
        </w:rPr>
        <w:t>”), on the other hand. BMS and Repare are each referred to herein by name or as a “</w:t>
      </w:r>
      <w:r>
        <w:rPr>
          <w:rFonts w:ascii="Arial" w:cs="Arial" w:eastAsia="Arial" w:hAnsi="Arial"/>
          <w:sz w:val="19"/>
          <w:szCs w:val="19"/>
          <w:u w:val="single" w:color="auto"/>
          <w:color w:val="auto"/>
        </w:rPr>
        <w:t>Party</w:t>
      </w:r>
      <w:r>
        <w:rPr>
          <w:rFonts w:ascii="Arial" w:cs="Arial" w:eastAsia="Arial" w:hAnsi="Arial"/>
          <w:sz w:val="19"/>
          <w:szCs w:val="19"/>
          <w:color w:val="auto"/>
        </w:rPr>
        <w:t>”, or,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79" w:lineRule="exact"/>
        <w:rPr>
          <w:sz w:val="20"/>
          <w:szCs w:val="20"/>
          <w:color w:val="auto"/>
        </w:rPr>
      </w:pPr>
    </w:p>
    <w:p>
      <w:pPr>
        <w:jc w:val="both"/>
        <w:ind w:firstLine="891"/>
        <w:spacing w:after="0"/>
        <w:rPr>
          <w:sz w:val="20"/>
          <w:szCs w:val="20"/>
          <w:color w:val="auto"/>
        </w:rPr>
      </w:pPr>
      <w:r>
        <w:rPr>
          <w:rFonts w:ascii="Arial" w:cs="Arial" w:eastAsia="Arial" w:hAnsi="Arial"/>
          <w:sz w:val="22"/>
          <w:szCs w:val="22"/>
          <w:color w:val="auto"/>
        </w:rPr>
        <w:t>WHEREAS, Repare and BMS entered into that certain Collaboration and License Agreement as of May 26, 2020 (the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which BMS may, among other things, designate certain Existing Repare Campaigns as Primary Campaigns or Backup Campaigns; and</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WHEREAS, the Parties wish to amend the Agreement to add certain Campaigns as Existing Repare Campaigns;</w:t>
      </w:r>
    </w:p>
    <w:p>
      <w:pPr>
        <w:spacing w:after="0" w:line="26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NOW, THEREFORE, the Parties, intending to be legally bound, hereby agree as follows:</w:t>
      </w:r>
    </w:p>
    <w:p>
      <w:pPr>
        <w:spacing w:after="0" w:line="233" w:lineRule="exact"/>
        <w:rPr>
          <w:sz w:val="20"/>
          <w:szCs w:val="20"/>
          <w:color w:val="auto"/>
        </w:rPr>
      </w:pPr>
    </w:p>
    <w:p>
      <w:pPr>
        <w:ind w:left="880" w:right="100" w:hanging="440"/>
        <w:spacing w:after="0" w:line="250" w:lineRule="auto"/>
        <w:tabs>
          <w:tab w:leader="none" w:pos="8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Capitalized terms used in this First Amendment that are not defined herein shall have the meanings ascribed to them in the Agreement.</w:t>
      </w:r>
    </w:p>
    <w:p>
      <w:pPr>
        <w:spacing w:after="0" w:line="201" w:lineRule="exact"/>
        <w:rPr>
          <w:rFonts w:ascii="Arial" w:cs="Arial" w:eastAsia="Arial" w:hAnsi="Arial"/>
          <w:sz w:val="22"/>
          <w:szCs w:val="22"/>
          <w:color w:val="auto"/>
        </w:rPr>
      </w:pPr>
    </w:p>
    <w:p>
      <w:pPr>
        <w:ind w:left="880" w:right="360" w:hanging="440"/>
        <w:spacing w:after="0" w:line="250" w:lineRule="auto"/>
        <w:tabs>
          <w:tab w:leader="none" w:pos="8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Schedule 1.1.55 of the Agreement is hereby deleted in its entirety and replaced with the Schedule 1.1.55 attached to this First Amendment.</w:t>
      </w:r>
    </w:p>
    <w:p>
      <w:pPr>
        <w:spacing w:after="0" w:line="201" w:lineRule="exact"/>
        <w:rPr>
          <w:rFonts w:ascii="Arial" w:cs="Arial" w:eastAsia="Arial" w:hAnsi="Arial"/>
          <w:sz w:val="22"/>
          <w:szCs w:val="22"/>
          <w:color w:val="auto"/>
        </w:rPr>
      </w:pPr>
    </w:p>
    <w:p>
      <w:pPr>
        <w:ind w:left="880" w:hanging="440"/>
        <w:spacing w:after="0"/>
        <w:tabs>
          <w:tab w:leader="none" w:pos="8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Section 2.4.4 of the Agreement is hereby amended and restated in its entirety to read as follows:</w:t>
      </w:r>
    </w:p>
    <w:p>
      <w:pPr>
        <w:spacing w:after="0" w:line="233" w:lineRule="exact"/>
        <w:rPr>
          <w:sz w:val="20"/>
          <w:szCs w:val="20"/>
          <w:color w:val="auto"/>
        </w:rPr>
      </w:pPr>
    </w:p>
    <w:p>
      <w:pPr>
        <w:jc w:val="both"/>
        <w:ind w:left="900"/>
        <w:spacing w:after="0"/>
        <w:rPr>
          <w:sz w:val="20"/>
          <w:szCs w:val="20"/>
          <w:color w:val="auto"/>
        </w:rPr>
      </w:pPr>
      <w:r>
        <w:rPr>
          <w:rFonts w:ascii="Arial" w:cs="Arial" w:eastAsia="Arial" w:hAnsi="Arial"/>
          <w:sz w:val="22"/>
          <w:szCs w:val="22"/>
          <w:color w:val="auto"/>
        </w:rPr>
        <w:t xml:space="preserve">2.4.4 </w:t>
      </w:r>
      <w:r>
        <w:rPr>
          <w:rFonts w:ascii="Arial" w:cs="Arial" w:eastAsia="Arial" w:hAnsi="Arial"/>
          <w:sz w:val="22"/>
          <w:szCs w:val="22"/>
          <w:u w:val="single" w:color="auto"/>
          <w:color w:val="auto"/>
        </w:rPr>
        <w:t>Advanced Program Expansion</w:t>
      </w:r>
      <w:r>
        <w:rPr>
          <w:rFonts w:ascii="Arial" w:cs="Arial" w:eastAsia="Arial" w:hAnsi="Arial"/>
          <w:sz w:val="22"/>
          <w:szCs w:val="22"/>
          <w:color w:val="auto"/>
        </w:rPr>
        <w:t>. During the Collaboration Term, the Parties may, but are not obligated to, agree to add [</w:t>
      </w:r>
      <w:r>
        <w:rPr>
          <w:rFonts w:ascii="Arial" w:cs="Arial" w:eastAsia="Arial" w:hAnsi="Arial"/>
          <w:sz w:val="22"/>
          <w:szCs w:val="22"/>
          <w:b w:val="1"/>
          <w:bCs w:val="1"/>
          <w:color w:val="auto"/>
        </w:rPr>
        <w:t>***</w:t>
      </w:r>
      <w:r>
        <w:rPr>
          <w:rFonts w:ascii="Arial" w:cs="Arial" w:eastAsia="Arial" w:hAnsi="Arial"/>
          <w:sz w:val="22"/>
          <w:szCs w:val="22"/>
          <w:color w:val="auto"/>
        </w:rPr>
        <w:t>] as an Existing Repare Campaign, subject to agreement by the Parties on the terms on which such Campaign would be added as an Existing Repare Campaign.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9" w:name="page80"/>
    <w:bookmarkEnd w:id="79"/>
    <w:p>
      <w:pPr>
        <w:ind w:left="440" w:right="80" w:hanging="440"/>
        <w:spacing w:after="0" w:line="235" w:lineRule="auto"/>
        <w:tabs>
          <w:tab w:leader="none" w:pos="4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This First Amendment shall be deemed incorporated into and made a part of the Agreement. The provisions of this First Amendment shall constitute an amendment to the Agreement, and, to the extent that any term or provision of this First Amendment may be deemed expressly inconsistent with any term or provision in the Agreement, this First Amendment shall govern and control. Except as expressly modified by the terms of this First Amendment, all of the terms, conditions, and provisions of the Agreement are hereby ratified, and the Agreement remains in full force and effect.</w:t>
      </w:r>
    </w:p>
    <w:p>
      <w:pPr>
        <w:spacing w:after="0" w:line="187" w:lineRule="exact"/>
        <w:rPr>
          <w:rFonts w:ascii="Arial" w:cs="Arial" w:eastAsia="Arial" w:hAnsi="Arial"/>
          <w:sz w:val="22"/>
          <w:szCs w:val="22"/>
          <w:color w:val="auto"/>
        </w:rPr>
      </w:pPr>
    </w:p>
    <w:p>
      <w:pPr>
        <w:ind w:left="440" w:hanging="440"/>
        <w:spacing w:after="0" w:line="275" w:lineRule="auto"/>
        <w:tabs>
          <w:tab w:leader="none" w:pos="4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This First Amendment may be executed in two (2) counterparts, each of which shall be deemed an original, and both of which together shall constitute one and the same instrument. Any such counterpart, to the extent delivered by means of Electronic Delivery, shall be treated in all manner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claim or defense with respect to the formation of a contract, and each Party forever waives any such claim or defense, except to the extent that such claim or defense relates to lack of authenticity.</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54"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224790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760" w:top="591" w:right="379" w:bottom="1440" w:gutter="0" w:footer="0" w:header="0"/>
        </w:sectPr>
      </w:pPr>
    </w:p>
    <w:bookmarkStart w:id="80" w:name="page81"/>
    <w:bookmarkEnd w:id="80"/>
    <w:p>
      <w:pPr>
        <w:jc w:val="both"/>
        <w:ind w:firstLine="839"/>
        <w:spacing w:after="0"/>
        <w:rPr>
          <w:sz w:val="20"/>
          <w:szCs w:val="20"/>
          <w:color w:val="auto"/>
        </w:rPr>
      </w:pPr>
      <w:r>
        <w:rPr>
          <w:rFonts w:ascii="Arial" w:cs="Arial" w:eastAsia="Arial" w:hAnsi="Arial"/>
          <w:sz w:val="22"/>
          <w:szCs w:val="22"/>
          <w:color w:val="auto"/>
        </w:rPr>
        <w:t>IN WITNESS WHEREOF, and intending to be legally bound hereby, the Parties have caused this First Amendment to Collaboration and License Agreement to be executed by their respective duly authorized officers as of the First Amendment Effective Date.</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BRISTOL-MYERS SQUIBB COMPANY</w:t>
      </w:r>
    </w:p>
    <w:p>
      <w:pPr>
        <w:spacing w:after="0" w:line="200" w:lineRule="exact"/>
        <w:rPr>
          <w:sz w:val="20"/>
          <w:szCs w:val="20"/>
          <w:color w:val="auto"/>
        </w:rPr>
      </w:pPr>
    </w:p>
    <w:p>
      <w:pPr>
        <w:spacing w:after="0" w:line="276"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22"/>
          <w:szCs w:val="22"/>
          <w:color w:val="auto"/>
        </w:rPr>
        <w:t>By:</w:t>
        <w:tab/>
        <w:t>/s/ Janeen Doyle</w:t>
      </w:r>
    </w:p>
    <w:p>
      <w:pPr>
        <w:sectPr>
          <w:pgSz w:w="11900" w:h="16838" w:orient="portrait"/>
          <w:cols w:equalWidth="0" w:num="1">
            <w:col w:w="11240"/>
          </w:cols>
          <w:pgMar w:left="320" w:top="402" w:right="339" w:bottom="1440" w:gutter="0" w:footer="0" w:header="0"/>
        </w:sectPr>
      </w:pPr>
    </w:p>
    <w:p>
      <w:pPr>
        <w:spacing w:after="0" w:line="233" w:lineRule="exact"/>
        <w:rPr>
          <w:sz w:val="20"/>
          <w:szCs w:val="20"/>
          <w:color w:val="auto"/>
        </w:rPr>
      </w:pPr>
    </w:p>
    <w:p>
      <w:pPr>
        <w:ind w:left="6240"/>
        <w:spacing w:after="0"/>
        <w:rPr>
          <w:sz w:val="20"/>
          <w:szCs w:val="20"/>
          <w:color w:val="auto"/>
        </w:rPr>
      </w:pPr>
      <w:r>
        <w:rPr>
          <w:rFonts w:ascii="Arial" w:cs="Arial" w:eastAsia="Arial" w:hAnsi="Arial"/>
          <w:sz w:val="19"/>
          <w:szCs w:val="19"/>
          <w:color w:val="auto"/>
        </w:rPr>
        <w:t>Name:</w:t>
      </w:r>
    </w:p>
    <w:p>
      <w:pPr>
        <w:spacing w:after="0" w:line="43"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Janeen Doyle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Research &amp; Early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Development Alliances Strategy &amp;</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Business Development</w:t>
      </w:r>
    </w:p>
    <w:p>
      <w:pPr>
        <w:spacing w:after="0" w:line="200" w:lineRule="exact"/>
        <w:rPr>
          <w:sz w:val="20"/>
          <w:szCs w:val="20"/>
          <w:color w:val="auto"/>
        </w:rPr>
      </w:pPr>
    </w:p>
    <w:p>
      <w:pPr>
        <w:sectPr>
          <w:pgSz w:w="11900" w:h="16838" w:orient="portrait"/>
          <w:cols w:equalWidth="0" w:num="2">
            <w:col w:w="6820" w:space="460"/>
            <w:col w:w="3960"/>
          </w:cols>
          <w:pgMar w:left="320" w:top="4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81" w:name="page82"/>
    <w:bookmarkEnd w:id="81"/>
    <w:p>
      <w:pPr>
        <w:jc w:val="both"/>
        <w:ind w:firstLine="879"/>
        <w:spacing w:after="0"/>
        <w:rPr>
          <w:sz w:val="20"/>
          <w:szCs w:val="20"/>
          <w:color w:val="auto"/>
        </w:rPr>
      </w:pPr>
      <w:r>
        <w:rPr>
          <w:rFonts w:ascii="Arial" w:cs="Arial" w:eastAsia="Arial" w:hAnsi="Arial"/>
          <w:sz w:val="22"/>
          <w:szCs w:val="22"/>
          <w:color w:val="auto"/>
        </w:rPr>
        <w:t>IN WITNESS WHEREOF, and intending to be legally bound hereby, the Parties have caused this First Amendment to Collaboration and License Agreement to be executed by their respective duly authorized officers as of the First Amendment Effective Date.</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REPARE THERAPEUTICS INC.</w:t>
      </w:r>
    </w:p>
    <w:p>
      <w:pPr>
        <w:spacing w:after="0" w:line="200" w:lineRule="exact"/>
        <w:rPr>
          <w:sz w:val="20"/>
          <w:szCs w:val="20"/>
          <w:color w:val="auto"/>
        </w:rPr>
      </w:pPr>
    </w:p>
    <w:p>
      <w:pPr>
        <w:spacing w:after="0" w:line="276"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 Forte</w:t>
      </w:r>
    </w:p>
    <w:p>
      <w:pPr>
        <w:spacing w:after="0" w:line="11" w:lineRule="exact"/>
        <w:rPr>
          <w:sz w:val="20"/>
          <w:szCs w:val="20"/>
          <w:color w:val="auto"/>
        </w:rPr>
      </w:pPr>
    </w:p>
    <w:tbl>
      <w:tblPr>
        <w:tblLayout w:type="fixed"/>
        <w:tblInd w:w="6280" w:type="dxa"/>
        <w:tblCellMar>
          <w:top w:w="0" w:type="dxa"/>
          <w:left w:w="0" w:type="dxa"/>
          <w:bottom w:w="0" w:type="dxa"/>
          <w:right w:w="0" w:type="dxa"/>
        </w:tblCellMar>
      </w:tblPr>
      <w:tr>
        <w:trPr>
          <w:trHeight w:val="220"/>
        </w:trPr>
        <w:tc>
          <w:tcPr>
            <w:tcW w:w="7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w:t>
            </w:r>
          </w:p>
        </w:tc>
        <w:tc>
          <w:tcPr>
            <w:tcW w:w="4220" w:type="dxa"/>
            <w:vAlign w:val="bottom"/>
            <w:tcBorders>
              <w:top w:val="single" w:sz="8" w:color="auto"/>
            </w:tcBorders>
          </w:tcPr>
          <w:p>
            <w:pPr>
              <w:ind w:left="220"/>
              <w:spacing w:after="0" w:line="220" w:lineRule="exact"/>
              <w:rPr>
                <w:sz w:val="20"/>
                <w:szCs w:val="20"/>
                <w:color w:val="auto"/>
              </w:rPr>
            </w:pPr>
            <w:r>
              <w:rPr>
                <w:rFonts w:ascii="Arial" w:cs="Arial" w:eastAsia="Arial" w:hAnsi="Arial"/>
                <w:sz w:val="20"/>
                <w:szCs w:val="20"/>
                <w:color w:val="auto"/>
              </w:rPr>
              <w:t>Steve Forte</w:t>
            </w:r>
          </w:p>
        </w:tc>
      </w:t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20"/>
              <w:spacing w:after="0"/>
              <w:rPr>
                <w:sz w:val="20"/>
                <w:szCs w:val="20"/>
                <w:color w:val="auto"/>
              </w:rPr>
            </w:pPr>
            <w:r>
              <w:rPr>
                <w:rFonts w:ascii="Arial" w:cs="Arial" w:eastAsia="Arial" w:hAnsi="Arial"/>
                <w:sz w:val="20"/>
                <w:szCs w:val="20"/>
                <w:color w:val="auto"/>
              </w:rPr>
              <w:t>EVP &amp;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REPARE THERAPEUTICS USA, INC.</w:t>
      </w:r>
    </w:p>
    <w:p>
      <w:pPr>
        <w:spacing w:after="0" w:line="200" w:lineRule="exact"/>
        <w:rPr>
          <w:sz w:val="20"/>
          <w:szCs w:val="20"/>
          <w:color w:val="auto"/>
        </w:rPr>
      </w:pPr>
    </w:p>
    <w:p>
      <w:pPr>
        <w:spacing w:after="0" w:line="273"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Kim A. Seth</w:t>
      </w:r>
    </w:p>
    <w:p>
      <w:pPr>
        <w:spacing w:after="0" w:line="14" w:lineRule="exact"/>
        <w:rPr>
          <w:sz w:val="20"/>
          <w:szCs w:val="20"/>
          <w:color w:val="auto"/>
        </w:rPr>
      </w:pPr>
    </w:p>
    <w:tbl>
      <w:tblPr>
        <w:tblLayout w:type="fixed"/>
        <w:tblInd w:w="6280" w:type="dxa"/>
        <w:tblCellMar>
          <w:top w:w="0" w:type="dxa"/>
          <w:left w:w="0" w:type="dxa"/>
          <w:bottom w:w="0" w:type="dxa"/>
          <w:right w:w="0" w:type="dxa"/>
        </w:tblCellMar>
      </w:tblPr>
      <w:tr>
        <w:trPr>
          <w:trHeight w:val="220"/>
        </w:trPr>
        <w:tc>
          <w:tcPr>
            <w:tcW w:w="74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w:t>
            </w:r>
          </w:p>
        </w:tc>
        <w:tc>
          <w:tcPr>
            <w:tcW w:w="4220" w:type="dxa"/>
            <w:vAlign w:val="bottom"/>
            <w:tcBorders>
              <w:top w:val="single" w:sz="8" w:color="auto"/>
            </w:tcBorders>
          </w:tcPr>
          <w:p>
            <w:pPr>
              <w:ind w:left="220"/>
              <w:spacing w:after="0" w:line="220" w:lineRule="exact"/>
              <w:rPr>
                <w:sz w:val="20"/>
                <w:szCs w:val="20"/>
                <w:color w:val="auto"/>
              </w:rPr>
            </w:pPr>
            <w:r>
              <w:rPr>
                <w:rFonts w:ascii="Arial" w:cs="Arial" w:eastAsia="Arial" w:hAnsi="Arial"/>
                <w:sz w:val="20"/>
                <w:szCs w:val="20"/>
                <w:color w:val="auto"/>
              </w:rPr>
              <w:t>Kim A. Seth</w:t>
            </w:r>
          </w:p>
        </w:tc>
      </w:tr>
      <w:tr>
        <w:trPr>
          <w:trHeight w:val="238"/>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4220" w:type="dxa"/>
            <w:vAlign w:val="bottom"/>
          </w:tcPr>
          <w:p>
            <w:pPr>
              <w:ind w:left="220"/>
              <w:spacing w:after="0"/>
              <w:rPr>
                <w:sz w:val="20"/>
                <w:szCs w:val="20"/>
                <w:color w:val="auto"/>
              </w:rPr>
            </w:pPr>
            <w:r>
              <w:rPr>
                <w:rFonts w:ascii="Arial" w:cs="Arial" w:eastAsia="Arial" w:hAnsi="Arial"/>
                <w:sz w:val="20"/>
                <w:szCs w:val="20"/>
                <w:color w:val="auto"/>
              </w:rPr>
              <w:t>EVP, Head of Business</w:t>
            </w:r>
          </w:p>
        </w:tc>
      </w:tr>
      <w:tr>
        <w:trPr>
          <w:trHeight w:val="274"/>
        </w:trPr>
        <w:tc>
          <w:tcPr>
            <w:tcW w:w="740" w:type="dxa"/>
            <w:vAlign w:val="bottom"/>
          </w:tcPr>
          <w:p>
            <w:pPr>
              <w:spacing w:after="0"/>
              <w:rPr>
                <w:sz w:val="23"/>
                <w:szCs w:val="23"/>
                <w:color w:val="auto"/>
              </w:rPr>
            </w:pPr>
          </w:p>
        </w:tc>
        <w:tc>
          <w:tcPr>
            <w:tcW w:w="4220" w:type="dxa"/>
            <w:vAlign w:val="bottom"/>
          </w:tcPr>
          <w:p>
            <w:pPr>
              <w:ind w:left="220"/>
              <w:spacing w:after="0"/>
              <w:rPr>
                <w:sz w:val="20"/>
                <w:szCs w:val="20"/>
                <w:color w:val="auto"/>
              </w:rPr>
            </w:pPr>
            <w:r>
              <w:rPr>
                <w:rFonts w:ascii="Arial" w:cs="Arial" w:eastAsia="Arial" w:hAnsi="Arial"/>
                <w:sz w:val="22"/>
                <w:szCs w:val="22"/>
                <w:color w:val="auto"/>
              </w:rPr>
              <w:t>and Corporate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82" w:name="page83"/>
    <w:bookmarkEnd w:id="82"/>
    <w:p>
      <w:pPr>
        <w:ind w:left="3240"/>
        <w:spacing w:after="0"/>
        <w:rPr>
          <w:sz w:val="20"/>
          <w:szCs w:val="20"/>
          <w:color w:val="auto"/>
        </w:rPr>
      </w:pPr>
      <w:r>
        <w:rPr>
          <w:rFonts w:ascii="Arial" w:cs="Arial" w:eastAsia="Arial" w:hAnsi="Arial"/>
          <w:sz w:val="19"/>
          <w:szCs w:val="19"/>
          <w:b w:val="1"/>
          <w:bCs w:val="1"/>
          <w:u w:val="single" w:color="auto"/>
          <w:color w:val="auto"/>
        </w:rPr>
        <w:t>Schedule 1.1.55 Existing Repare</w:t>
      </w:r>
    </w:p>
    <w:p>
      <w:pPr>
        <w:spacing w:after="0" w:line="49"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Campaigns</w:t>
      </w:r>
    </w:p>
    <w:p>
      <w:pPr>
        <w:spacing w:after="0" w:line="28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019"/>
          </w:cols>
          <w:pgMar w:left="1440" w:top="625"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Lloyd M. Segal, certify that:</w:t>
      </w:r>
    </w:p>
    <w:p>
      <w:pPr>
        <w:spacing w:after="0" w:line="22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2020</w:t>
            </w:r>
          </w:p>
        </w:tc>
        <w:tc>
          <w:tcPr>
            <w:tcW w:w="7640" w:type="dxa"/>
            <w:vAlign w:val="bottom"/>
            <w:gridSpan w:val="2"/>
          </w:tcPr>
          <w:p>
            <w:pPr>
              <w:ind w:left="2100"/>
              <w:spacing w:after="0"/>
              <w:rPr>
                <w:sz w:val="20"/>
                <w:szCs w:val="20"/>
                <w:color w:val="auto"/>
              </w:rPr>
            </w:pPr>
            <w:r>
              <w:rPr>
                <w:rFonts w:ascii="Arial" w:cs="Arial" w:eastAsia="Arial" w:hAnsi="Arial"/>
                <w:sz w:val="18"/>
                <w:szCs w:val="18"/>
                <w:color w:val="auto"/>
              </w:rPr>
              <w:t>By: /s/ Lloyd M. Segal</w:t>
            </w:r>
          </w:p>
        </w:tc>
      </w:tr>
      <w:tr>
        <w:trPr>
          <w:trHeight w:val="222"/>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62"/>
        </w:trPr>
        <w:tc>
          <w:tcPr>
            <w:tcW w:w="3600" w:type="dxa"/>
            <w:vAlign w:val="bottom"/>
          </w:tcPr>
          <w:p>
            <w:pPr>
              <w:spacing w:after="0"/>
              <w:rPr>
                <w:sz w:val="24"/>
                <w:szCs w:val="24"/>
                <w:color w:val="auto"/>
              </w:rPr>
            </w:pPr>
          </w:p>
        </w:tc>
        <w:tc>
          <w:tcPr>
            <w:tcW w:w="24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 Forte, certify that:</w:t>
      </w:r>
    </w:p>
    <w:p>
      <w:pPr>
        <w:spacing w:after="0" w:line="225"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Repare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2020</w:t>
            </w:r>
          </w:p>
        </w:tc>
        <w:tc>
          <w:tcPr>
            <w:tcW w:w="7640" w:type="dxa"/>
            <w:vAlign w:val="bottom"/>
            <w:gridSpan w:val="2"/>
          </w:tcPr>
          <w:p>
            <w:pPr>
              <w:ind w:left="2100"/>
              <w:spacing w:after="0"/>
              <w:rPr>
                <w:sz w:val="20"/>
                <w:szCs w:val="20"/>
                <w:color w:val="auto"/>
              </w:rPr>
            </w:pPr>
            <w:r>
              <w:rPr>
                <w:rFonts w:ascii="Arial" w:cs="Arial" w:eastAsia="Arial" w:hAnsi="Arial"/>
                <w:sz w:val="18"/>
                <w:szCs w:val="18"/>
                <w:color w:val="auto"/>
              </w:rPr>
              <w:t>By: /s/ Steve Forte</w:t>
            </w:r>
          </w:p>
        </w:tc>
      </w:tr>
      <w:tr>
        <w:trPr>
          <w:trHeight w:val="222"/>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 Forte</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61"/>
        </w:trPr>
        <w:tc>
          <w:tcPr>
            <w:tcW w:w="3600" w:type="dxa"/>
            <w:vAlign w:val="bottom"/>
          </w:tcPr>
          <w:p>
            <w:pPr>
              <w:spacing w:after="0"/>
              <w:rPr>
                <w:sz w:val="24"/>
                <w:szCs w:val="24"/>
                <w:color w:val="auto"/>
              </w:rPr>
            </w:pPr>
          </w:p>
        </w:tc>
        <w:tc>
          <w:tcPr>
            <w:tcW w:w="24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connection with the Quarterly Report of Repare Therapeutics Inc. (the “Company”) on Form 10-Q for the period ended June 30, 2020 as filed with the Securities and Exchange Commission on the date hereof (the “Report”), I Lloyd M. Segal, President and Chief Executive Officer of the Company, hereby certify, pursuant to 18 U.S.C. § 1350, as adopted pursuant to § 906 of the Sarbanes-Oxley Act of 2002, that, to the best of my knowledge:</w:t>
      </w:r>
    </w:p>
    <w:p>
      <w:pPr>
        <w:spacing w:after="0" w:line="149" w:lineRule="exact"/>
        <w:rPr>
          <w:sz w:val="20"/>
          <w:szCs w:val="20"/>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2020</w:t>
            </w:r>
          </w:p>
        </w:tc>
        <w:tc>
          <w:tcPr>
            <w:tcW w:w="226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Lloyd M. Segal</w:t>
            </w:r>
          </w:p>
        </w:tc>
      </w:tr>
      <w:tr>
        <w:trPr>
          <w:trHeight w:val="222"/>
        </w:trPr>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Lloyd M. Segal</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3600" w:type="dxa"/>
            <w:vAlign w:val="bottom"/>
          </w:tcPr>
          <w:p>
            <w:pPr>
              <w:spacing w:after="0"/>
              <w:rPr>
                <w:sz w:val="24"/>
                <w:szCs w:val="24"/>
                <w:color w:val="auto"/>
              </w:rPr>
            </w:pPr>
          </w:p>
        </w:tc>
        <w:tc>
          <w:tcPr>
            <w:tcW w:w="22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Quarterly Report of Repare Therapeutics Inc. (the “Company”) on Form 10-Q for the period ended June 30, 2020 as filed with the Securities and Exchange Commission on the date hereof (the “Report”), I, Steve Forte, Chief Financial Officer of the Company, hereby certify, pursuant to 18 U.S.C. § 1350, as adopted pursuant to § 906 of the Sarbanes-Oxley Act of 2002, that, to the best of my knowledge:</w:t>
      </w:r>
    </w:p>
    <w:p>
      <w:pPr>
        <w:spacing w:after="0" w:line="165" w:lineRule="exact"/>
        <w:rPr>
          <w:sz w:val="20"/>
          <w:szCs w:val="20"/>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13, 2020</w:t>
            </w:r>
          </w:p>
        </w:tc>
        <w:tc>
          <w:tcPr>
            <w:tcW w:w="226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Forte</w:t>
            </w:r>
          </w:p>
        </w:tc>
      </w:tr>
      <w:tr>
        <w:trPr>
          <w:trHeight w:val="222"/>
        </w:trPr>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Steve Forte</w:t>
            </w:r>
          </w:p>
        </w:tc>
      </w:tr>
      <w:tr>
        <w:trPr>
          <w:trHeight w:val="216"/>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tc>
      </w:tr>
      <w:tr>
        <w:trPr>
          <w:trHeight w:val="675"/>
        </w:trPr>
        <w:tc>
          <w:tcPr>
            <w:tcW w:w="3600" w:type="dxa"/>
            <w:vAlign w:val="bottom"/>
          </w:tcPr>
          <w:p>
            <w:pPr>
              <w:spacing w:after="0"/>
              <w:rPr>
                <w:sz w:val="24"/>
                <w:szCs w:val="24"/>
                <w:color w:val="auto"/>
              </w:rPr>
            </w:pPr>
          </w:p>
        </w:tc>
        <w:tc>
          <w:tcPr>
            <w:tcW w:w="22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3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6"/>
    </w:lvl>
  </w:abstractNum>
  <w:abstractNum w:abstractNumId="5">
    <w:nsid w:val="7C3DBD3D"/>
    <w:multiLevelType w:val="hybridMultilevel"/>
    <w:lvl w:ilvl="0">
      <w:lvlJc w:val="left"/>
      <w:lvlText w:val="(%1)"/>
      <w:numFmt w:val="lowerRoman"/>
      <w:start w:val="4"/>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4"/>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99" Type="http://schemas.openxmlformats.org/officeDocument/2006/relationships/hyperlink" Target="http://www.sec.gov/Archives/edgar/data/1664710/000119312520105266/d891585dex31.htm" TargetMode="External"/><Relationship Id="rId100" Type="http://schemas.openxmlformats.org/officeDocument/2006/relationships/hyperlink" Target="http://www.sec.gov/Archives/edgar/data/1664710/000119312520105266/d89158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2020-08-13T15:31:16Z</dcterms:created>
  <dcterms:modified xsi:type="dcterms:W3CDTF">2020-08-13T15:31:16Z</dcterms:modified>
</cp:coreProperties>
</file>