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Repare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001-39335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ind w:right="1740"/>
        <w:spacing w:after="0"/>
        <w:rPr>
          <w:sz w:val="20"/>
          <w:szCs w:val="20"/>
          <w:color w:val="auto"/>
        </w:rPr>
      </w:pPr>
      <w:r>
        <w:rPr>
          <w:rFonts w:ascii="Arial" w:cs="Arial" w:eastAsia="Arial" w:hAnsi="Arial"/>
          <w:sz w:val="16"/>
          <w:szCs w:val="16"/>
          <w:b w:val="1"/>
          <w:bCs w:val="1"/>
          <w:color w:val="auto"/>
        </w:rPr>
        <w:t>7210 Frederick-Banting, Suite 100</w:t>
      </w:r>
    </w:p>
    <w:p>
      <w:pPr>
        <w:spacing w:after="0" w:line="50"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H4S 2A1</w:t>
      </w:r>
    </w:p>
    <w:p>
      <w:pPr>
        <w:spacing w:after="0" w:line="50"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RPTX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Repare Therapeutics Inc. (the “Company”) intends to share with investors the amount of cash, cash equivalents, restricted cash and marketable securities it had on hand as of December 31, 2021. Although the Company has not finalized its financial results for the twelve months ended December 31, 2021, the Company preliminarily estimates that its cash, cash equivalents, restricted cash and marketable securities as of December 31, 2021 was approximately $341.7 million.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information in this Item 2.02 is unaudited and preliminary, and does not present all information necessary for an understanding of the Company’s financial condition as of December 31, 2021 and its results of operations for the three months and year ended December 31, 2021. The audit of the Company’s financial statements for the year ended December 31, 2021 is ongoing. The Company’s actual consolidated cash, cash equivalents, restricted cash and marketable securities as of December 31, 2021 may differ from these estimates due to the completion of the Company’s year-end closing and auditing procedures.</w:t>
      </w:r>
    </w:p>
    <w:p>
      <w:pPr>
        <w:spacing w:after="0" w:line="18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information in this Item 2.02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2022</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2022-01-10T06:39:00Z</dcterms:created>
  <dcterms:modified xsi:type="dcterms:W3CDTF">2022-01-10T06:39:00Z</dcterms:modified>
</cp:coreProperties>
</file>