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174625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132715</wp:posOffset>
            </wp:positionV>
            <wp:extent cx="142303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337"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161290</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38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15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 the Securities Exchange Act of 1934</w:t>
      </w:r>
    </w:p>
    <w:p>
      <w:pPr>
        <w:spacing w:after="0" w:line="107"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Date of Report (Date of earliest event reported): May 09,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222885</wp:posOffset>
            </wp:positionV>
            <wp:extent cx="142303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200" w:lineRule="exact"/>
        <w:rPr>
          <w:sz w:val="24"/>
          <w:szCs w:val="24"/>
          <w:color w:val="auto"/>
        </w:rPr>
      </w:pPr>
    </w:p>
    <w:p>
      <w:pPr>
        <w:spacing w:after="0" w:line="398"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Repare Therapeutics Inc.</w:t>
      </w:r>
    </w:p>
    <w:p>
      <w:pPr>
        <w:spacing w:after="0" w:line="90"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247650</wp:posOffset>
            </wp:positionV>
            <wp:extent cx="14230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00" w:lineRule="exact"/>
        <w:rPr>
          <w:sz w:val="24"/>
          <w:szCs w:val="24"/>
          <w:color w:val="auto"/>
        </w:rPr>
      </w:pPr>
    </w:p>
    <w:p>
      <w:pPr>
        <w:spacing w:after="0" w:line="381" w:lineRule="exact"/>
        <w:rPr>
          <w:sz w:val="24"/>
          <w:szCs w:val="24"/>
          <w:color w:val="auto"/>
        </w:rPr>
      </w:pPr>
    </w:p>
    <w:tbl>
      <w:tblPr>
        <w:tblLayout w:type="fixed"/>
        <w:tblInd w:w="1000" w:type="dxa"/>
        <w:tblCellMar>
          <w:top w:w="0" w:type="dxa"/>
          <w:left w:w="0" w:type="dxa"/>
          <w:bottom w:w="0" w:type="dxa"/>
          <w:right w:w="0" w:type="dxa"/>
        </w:tblCellMar>
      </w:tblPr>
      <w:tr>
        <w:trPr>
          <w:trHeight w:val="234"/>
        </w:trPr>
        <w:tc>
          <w:tcPr>
            <w:tcW w:w="3240" w:type="dxa"/>
            <w:vAlign w:val="bottom"/>
          </w:tcPr>
          <w:p>
            <w:pPr>
              <w:jc w:val="center"/>
              <w:ind w:right="541"/>
              <w:spacing w:after="0"/>
              <w:rPr>
                <w:sz w:val="20"/>
                <w:szCs w:val="20"/>
                <w:color w:val="auto"/>
              </w:rPr>
            </w:pPr>
            <w:r>
              <w:rPr>
                <w:rFonts w:ascii="Arial" w:cs="Arial" w:eastAsia="Arial" w:hAnsi="Arial"/>
                <w:sz w:val="18"/>
                <w:szCs w:val="18"/>
                <w:b w:val="1"/>
                <w:bCs w:val="1"/>
                <w:color w:val="auto"/>
                <w:w w:val="87"/>
              </w:rPr>
              <w:t>Quebec</w:t>
            </w:r>
          </w:p>
        </w:tc>
        <w:tc>
          <w:tcPr>
            <w:tcW w:w="3160" w:type="dxa"/>
            <w:vAlign w:val="bottom"/>
          </w:tcPr>
          <w:p>
            <w:pPr>
              <w:jc w:val="right"/>
              <w:ind w:right="1301"/>
              <w:spacing w:after="0"/>
              <w:rPr>
                <w:sz w:val="20"/>
                <w:szCs w:val="20"/>
                <w:color w:val="auto"/>
              </w:rPr>
            </w:pPr>
            <w:r>
              <w:rPr>
                <w:rFonts w:ascii="Arial" w:cs="Arial" w:eastAsia="Arial" w:hAnsi="Arial"/>
                <w:sz w:val="18"/>
                <w:szCs w:val="18"/>
                <w:b w:val="1"/>
                <w:bCs w:val="1"/>
                <w:color w:val="auto"/>
              </w:rPr>
              <w:t>001-39335</w:t>
            </w:r>
          </w:p>
        </w:tc>
        <w:tc>
          <w:tcPr>
            <w:tcW w:w="2100" w:type="dxa"/>
            <w:vAlign w:val="bottom"/>
          </w:tcPr>
          <w:p>
            <w:pPr>
              <w:jc w:val="center"/>
              <w:ind w:left="904"/>
              <w:spacing w:after="0"/>
              <w:rPr>
                <w:sz w:val="20"/>
                <w:szCs w:val="20"/>
                <w:color w:val="auto"/>
              </w:rPr>
            </w:pPr>
            <w:r>
              <w:rPr>
                <w:rFonts w:ascii="Arial" w:cs="Arial" w:eastAsia="Arial" w:hAnsi="Arial"/>
                <w:sz w:val="18"/>
                <w:szCs w:val="18"/>
                <w:b w:val="1"/>
                <w:bCs w:val="1"/>
                <w:color w:val="auto"/>
                <w:w w:val="90"/>
              </w:rPr>
              <w:t>Not applicable</w:t>
            </w:r>
          </w:p>
        </w:tc>
      </w:tr>
      <w:tr>
        <w:trPr>
          <w:trHeight w:val="149"/>
        </w:trPr>
        <w:tc>
          <w:tcPr>
            <w:tcW w:w="3240" w:type="dxa"/>
            <w:vAlign w:val="bottom"/>
          </w:tcPr>
          <w:p>
            <w:pPr>
              <w:jc w:val="center"/>
              <w:ind w:right="521"/>
              <w:spacing w:after="0"/>
              <w:rPr>
                <w:sz w:val="20"/>
                <w:szCs w:val="20"/>
                <w:color w:val="auto"/>
              </w:rPr>
            </w:pPr>
            <w:r>
              <w:rPr>
                <w:rFonts w:ascii="Arial" w:cs="Arial" w:eastAsia="Arial" w:hAnsi="Arial"/>
                <w:sz w:val="13"/>
                <w:szCs w:val="13"/>
                <w:b w:val="1"/>
                <w:bCs w:val="1"/>
                <w:color w:val="auto"/>
                <w:w w:val="95"/>
              </w:rPr>
              <w:t>(State or Other Jurisdiction</w:t>
            </w:r>
          </w:p>
        </w:tc>
        <w:tc>
          <w:tcPr>
            <w:tcW w:w="3160" w:type="dxa"/>
            <w:vAlign w:val="bottom"/>
          </w:tcPr>
          <w:p>
            <w:pPr>
              <w:jc w:val="center"/>
              <w:ind w:right="301"/>
              <w:spacing w:after="0"/>
              <w:rPr>
                <w:sz w:val="20"/>
                <w:szCs w:val="20"/>
                <w:color w:val="auto"/>
              </w:rPr>
            </w:pPr>
            <w:r>
              <w:rPr>
                <w:rFonts w:ascii="Arial" w:cs="Arial" w:eastAsia="Arial" w:hAnsi="Arial"/>
                <w:sz w:val="13"/>
                <w:szCs w:val="13"/>
                <w:b w:val="1"/>
                <w:bCs w:val="1"/>
                <w:color w:val="auto"/>
                <w:w w:val="95"/>
              </w:rPr>
              <w:t>(Commission File Number)</w:t>
            </w:r>
          </w:p>
        </w:tc>
        <w:tc>
          <w:tcPr>
            <w:tcW w:w="2100" w:type="dxa"/>
            <w:vAlign w:val="bottom"/>
          </w:tcPr>
          <w:p>
            <w:pPr>
              <w:jc w:val="center"/>
              <w:ind w:left="904"/>
              <w:spacing w:after="0"/>
              <w:rPr>
                <w:sz w:val="20"/>
                <w:szCs w:val="20"/>
                <w:color w:val="auto"/>
              </w:rPr>
            </w:pPr>
            <w:r>
              <w:rPr>
                <w:rFonts w:ascii="Arial" w:cs="Arial" w:eastAsia="Arial" w:hAnsi="Arial"/>
                <w:sz w:val="13"/>
                <w:szCs w:val="13"/>
                <w:b w:val="1"/>
                <w:bCs w:val="1"/>
                <w:color w:val="auto"/>
                <w:w w:val="98"/>
              </w:rPr>
              <w:t>(IRS Employer</w:t>
            </w:r>
          </w:p>
        </w:tc>
      </w:tr>
      <w:tr>
        <w:trPr>
          <w:trHeight w:val="174"/>
        </w:trPr>
        <w:tc>
          <w:tcPr>
            <w:tcW w:w="3240" w:type="dxa"/>
            <w:vAlign w:val="bottom"/>
          </w:tcPr>
          <w:p>
            <w:pPr>
              <w:jc w:val="center"/>
              <w:ind w:right="521"/>
              <w:spacing w:after="0"/>
              <w:rPr>
                <w:sz w:val="20"/>
                <w:szCs w:val="20"/>
                <w:color w:val="auto"/>
              </w:rPr>
            </w:pPr>
            <w:r>
              <w:rPr>
                <w:rFonts w:ascii="Arial" w:cs="Arial" w:eastAsia="Arial" w:hAnsi="Arial"/>
                <w:sz w:val="13"/>
                <w:szCs w:val="13"/>
                <w:b w:val="1"/>
                <w:bCs w:val="1"/>
                <w:color w:val="auto"/>
                <w:w w:val="96"/>
              </w:rPr>
              <w:t>of Incorporation)</w:t>
            </w:r>
          </w:p>
        </w:tc>
        <w:tc>
          <w:tcPr>
            <w:tcW w:w="3160" w:type="dxa"/>
            <w:vAlign w:val="bottom"/>
          </w:tcPr>
          <w:p>
            <w:pPr>
              <w:spacing w:after="0"/>
              <w:rPr>
                <w:sz w:val="15"/>
                <w:szCs w:val="15"/>
                <w:color w:val="auto"/>
              </w:rPr>
            </w:pPr>
          </w:p>
        </w:tc>
        <w:tc>
          <w:tcPr>
            <w:tcW w:w="2100" w:type="dxa"/>
            <w:vAlign w:val="bottom"/>
          </w:tcPr>
          <w:p>
            <w:pPr>
              <w:jc w:val="center"/>
              <w:ind w:left="884"/>
              <w:spacing w:after="0"/>
              <w:rPr>
                <w:sz w:val="20"/>
                <w:szCs w:val="20"/>
                <w:color w:val="auto"/>
              </w:rPr>
            </w:pPr>
            <w:r>
              <w:rPr>
                <w:rFonts w:ascii="Arial" w:cs="Arial" w:eastAsia="Arial" w:hAnsi="Arial"/>
                <w:sz w:val="13"/>
                <w:szCs w:val="13"/>
                <w:b w:val="1"/>
                <w:bCs w:val="1"/>
                <w:color w:val="auto"/>
                <w:w w:val="96"/>
              </w:rPr>
              <w:t>Identification No.)</w:t>
            </w:r>
          </w:p>
        </w:tc>
      </w:tr>
      <w:tr>
        <w:trPr>
          <w:trHeight w:val="441"/>
        </w:trPr>
        <w:tc>
          <w:tcPr>
            <w:tcW w:w="3240" w:type="dxa"/>
            <w:vAlign w:val="bottom"/>
          </w:tcPr>
          <w:p>
            <w:pPr>
              <w:jc w:val="center"/>
              <w:ind w:right="541"/>
              <w:spacing w:after="0"/>
              <w:rPr>
                <w:sz w:val="20"/>
                <w:szCs w:val="20"/>
                <w:color w:val="auto"/>
              </w:rPr>
            </w:pPr>
            <w:r>
              <w:rPr>
                <w:rFonts w:ascii="Arial" w:cs="Arial" w:eastAsia="Arial" w:hAnsi="Arial"/>
                <w:sz w:val="18"/>
                <w:szCs w:val="18"/>
                <w:b w:val="1"/>
                <w:bCs w:val="1"/>
                <w:color w:val="auto"/>
                <w:w w:val="90"/>
              </w:rPr>
              <w:t>7210 Frederick-Banting, Suite 100</w:t>
            </w:r>
          </w:p>
        </w:tc>
        <w:tc>
          <w:tcPr>
            <w:tcW w:w="3160" w:type="dxa"/>
            <w:vAlign w:val="bottom"/>
          </w:tcPr>
          <w:p>
            <w:pPr>
              <w:spacing w:after="0"/>
              <w:rPr>
                <w:sz w:val="24"/>
                <w:szCs w:val="24"/>
                <w:color w:val="auto"/>
              </w:rPr>
            </w:pPr>
          </w:p>
        </w:tc>
        <w:tc>
          <w:tcPr>
            <w:tcW w:w="2100" w:type="dxa"/>
            <w:vAlign w:val="bottom"/>
          </w:tcPr>
          <w:p>
            <w:pPr>
              <w:spacing w:after="0"/>
              <w:rPr>
                <w:sz w:val="24"/>
                <w:szCs w:val="24"/>
                <w:color w:val="auto"/>
              </w:rPr>
            </w:pPr>
          </w:p>
        </w:tc>
      </w:tr>
      <w:tr>
        <w:trPr>
          <w:trHeight w:val="234"/>
        </w:trPr>
        <w:tc>
          <w:tcPr>
            <w:tcW w:w="3240" w:type="dxa"/>
            <w:vAlign w:val="bottom"/>
          </w:tcPr>
          <w:p>
            <w:pPr>
              <w:jc w:val="center"/>
              <w:ind w:right="521"/>
              <w:spacing w:after="0"/>
              <w:rPr>
                <w:sz w:val="20"/>
                <w:szCs w:val="20"/>
                <w:color w:val="auto"/>
              </w:rPr>
            </w:pPr>
            <w:r>
              <w:rPr>
                <w:rFonts w:ascii="Arial" w:cs="Arial" w:eastAsia="Arial" w:hAnsi="Arial"/>
                <w:sz w:val="18"/>
                <w:szCs w:val="18"/>
                <w:b w:val="1"/>
                <w:bCs w:val="1"/>
                <w:color w:val="auto"/>
                <w:w w:val="91"/>
              </w:rPr>
              <w:t>St-Laurent, Quebec, Canada</w:t>
            </w:r>
          </w:p>
        </w:tc>
        <w:tc>
          <w:tcPr>
            <w:tcW w:w="3160" w:type="dxa"/>
            <w:vAlign w:val="bottom"/>
          </w:tcPr>
          <w:p>
            <w:pPr>
              <w:spacing w:after="0"/>
              <w:rPr>
                <w:sz w:val="20"/>
                <w:szCs w:val="20"/>
                <w:color w:val="auto"/>
              </w:rPr>
            </w:pPr>
          </w:p>
        </w:tc>
        <w:tc>
          <w:tcPr>
            <w:tcW w:w="2100" w:type="dxa"/>
            <w:vAlign w:val="bottom"/>
          </w:tcPr>
          <w:p>
            <w:pPr>
              <w:jc w:val="center"/>
              <w:ind w:left="904"/>
              <w:spacing w:after="0"/>
              <w:rPr>
                <w:sz w:val="20"/>
                <w:szCs w:val="20"/>
                <w:color w:val="auto"/>
              </w:rPr>
            </w:pPr>
            <w:r>
              <w:rPr>
                <w:rFonts w:ascii="Arial" w:cs="Arial" w:eastAsia="Arial" w:hAnsi="Arial"/>
                <w:sz w:val="18"/>
                <w:szCs w:val="18"/>
                <w:b w:val="1"/>
                <w:bCs w:val="1"/>
                <w:color w:val="auto"/>
                <w:w w:val="93"/>
              </w:rPr>
              <w:t>H4S 2A1</w:t>
            </w:r>
          </w:p>
        </w:tc>
      </w:tr>
      <w:tr>
        <w:trPr>
          <w:trHeight w:val="175"/>
        </w:trPr>
        <w:tc>
          <w:tcPr>
            <w:tcW w:w="3240" w:type="dxa"/>
            <w:vAlign w:val="bottom"/>
          </w:tcPr>
          <w:p>
            <w:pPr>
              <w:jc w:val="center"/>
              <w:ind w:right="521"/>
              <w:spacing w:after="0"/>
              <w:rPr>
                <w:sz w:val="20"/>
                <w:szCs w:val="20"/>
                <w:color w:val="auto"/>
              </w:rPr>
            </w:pPr>
            <w:r>
              <w:rPr>
                <w:rFonts w:ascii="Arial" w:cs="Arial" w:eastAsia="Arial" w:hAnsi="Arial"/>
                <w:sz w:val="13"/>
                <w:szCs w:val="13"/>
                <w:b w:val="1"/>
                <w:bCs w:val="1"/>
                <w:color w:val="auto"/>
                <w:w w:val="93"/>
              </w:rPr>
              <w:t>(Address of Principal Executive Offices)</w:t>
            </w:r>
          </w:p>
        </w:tc>
        <w:tc>
          <w:tcPr>
            <w:tcW w:w="3160" w:type="dxa"/>
            <w:vAlign w:val="bottom"/>
          </w:tcPr>
          <w:p>
            <w:pPr>
              <w:spacing w:after="0"/>
              <w:rPr>
                <w:sz w:val="15"/>
                <w:szCs w:val="15"/>
                <w:color w:val="auto"/>
              </w:rPr>
            </w:pPr>
          </w:p>
        </w:tc>
        <w:tc>
          <w:tcPr>
            <w:tcW w:w="2100" w:type="dxa"/>
            <w:vAlign w:val="bottom"/>
          </w:tcPr>
          <w:p>
            <w:pPr>
              <w:jc w:val="center"/>
              <w:ind w:left="904"/>
              <w:spacing w:after="0"/>
              <w:rPr>
                <w:sz w:val="20"/>
                <w:szCs w:val="20"/>
                <w:color w:val="auto"/>
              </w:rPr>
            </w:pPr>
            <w:r>
              <w:rPr>
                <w:rFonts w:ascii="Arial" w:cs="Arial" w:eastAsia="Arial" w:hAnsi="Arial"/>
                <w:sz w:val="13"/>
                <w:szCs w:val="13"/>
                <w:b w:val="1"/>
                <w:bCs w:val="1"/>
                <w:color w:val="auto"/>
                <w:w w:val="99"/>
              </w:rPr>
              <w:t>(Zip Code)</w:t>
            </w:r>
          </w:p>
        </w:tc>
      </w:tr>
    </w:tbl>
    <w:p>
      <w:pPr>
        <w:spacing w:after="0" w:line="200" w:lineRule="exact"/>
        <w:rPr>
          <w:sz w:val="24"/>
          <w:szCs w:val="24"/>
          <w:color w:val="auto"/>
        </w:rPr>
      </w:pPr>
    </w:p>
    <w:p>
      <w:pPr>
        <w:spacing w:after="0" w:line="228"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Registrant’s Telephone Number, Including Area Code: 857 412-7018</w:t>
      </w:r>
    </w:p>
    <w:p>
      <w:pPr>
        <w:spacing w:after="0" w:line="200" w:lineRule="exact"/>
        <w:rPr>
          <w:sz w:val="24"/>
          <w:szCs w:val="24"/>
          <w:color w:val="auto"/>
        </w:rPr>
      </w:pPr>
    </w:p>
    <w:p>
      <w:pPr>
        <w:spacing w:after="0" w:line="200" w:lineRule="exact"/>
        <w:rPr>
          <w:sz w:val="24"/>
          <w:szCs w:val="24"/>
          <w:color w:val="auto"/>
        </w:rPr>
      </w:pPr>
    </w:p>
    <w:p>
      <w:pPr>
        <w:spacing w:after="0" w:line="236" w:lineRule="exact"/>
        <w:rPr>
          <w:sz w:val="24"/>
          <w:szCs w:val="24"/>
          <w:color w:val="auto"/>
        </w:rPr>
      </w:pPr>
    </w:p>
    <w:p>
      <w:pPr>
        <w:jc w:val="center"/>
        <w:spacing w:after="0"/>
        <w:rPr>
          <w:sz w:val="20"/>
          <w:szCs w:val="20"/>
          <w:color w:val="auto"/>
        </w:rPr>
      </w:pPr>
      <w:r>
        <w:rPr>
          <w:rFonts w:ascii="Arial" w:cs="Arial" w:eastAsia="Arial" w:hAnsi="Arial"/>
          <w:sz w:val="13"/>
          <w:szCs w:val="13"/>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255905</wp:posOffset>
            </wp:positionV>
            <wp:extent cx="142303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3035" cy="8890"/>
                    </a:xfrm>
                    <a:prstGeom prst="rect">
                      <a:avLst/>
                    </a:prstGeom>
                    <a:noFill/>
                  </pic:spPr>
                </pic:pic>
              </a:graphicData>
            </a:graphic>
          </wp:anchor>
        </w:drawing>
      </w:r>
    </w:p>
    <w:p>
      <w:pPr>
        <w:spacing w:after="0" w:line="200" w:lineRule="exact"/>
        <w:rPr>
          <w:sz w:val="24"/>
          <w:szCs w:val="24"/>
          <w:color w:val="auto"/>
        </w:rPr>
      </w:pPr>
    </w:p>
    <w:p>
      <w:pPr>
        <w:spacing w:after="0" w:line="344"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16" w:lineRule="exact"/>
        <w:rPr>
          <w:sz w:val="24"/>
          <w:szCs w:val="24"/>
          <w:color w:val="auto"/>
        </w:rPr>
      </w:pPr>
    </w:p>
    <w:p>
      <w:pPr>
        <w:ind w:left="380" w:hanging="372"/>
        <w:spacing w:after="0"/>
        <w:tabs>
          <w:tab w:leader="none" w:pos="3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380" w:hanging="372"/>
        <w:spacing w:after="0"/>
        <w:tabs>
          <w:tab w:leader="none" w:pos="3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380" w:hanging="372"/>
        <w:spacing w:after="0"/>
        <w:tabs>
          <w:tab w:leader="none" w:pos="3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380" w:hanging="372"/>
        <w:spacing w:after="0"/>
        <w:tabs>
          <w:tab w:leader="none" w:pos="3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67"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320" w:type="dxa"/>
            <w:vAlign w:val="bottom"/>
          </w:tcPr>
          <w:p>
            <w:pPr>
              <w:spacing w:after="0"/>
              <w:rPr>
                <w:sz w:val="20"/>
                <w:szCs w:val="20"/>
                <w:color w:val="auto"/>
              </w:rPr>
            </w:pPr>
          </w:p>
        </w:tc>
        <w:tc>
          <w:tcPr>
            <w:tcW w:w="7920" w:type="dxa"/>
            <w:vAlign w:val="bottom"/>
            <w:gridSpan w:val="5"/>
          </w:tcPr>
          <w:p>
            <w:pPr>
              <w:ind w:left="100"/>
              <w:spacing w:after="0"/>
              <w:rPr>
                <w:sz w:val="20"/>
                <w:szCs w:val="20"/>
                <w:color w:val="auto"/>
              </w:rPr>
            </w:pPr>
            <w:r>
              <w:rPr>
                <w:rFonts w:ascii="Arial" w:cs="Arial" w:eastAsia="Arial" w:hAnsi="Arial"/>
                <w:sz w:val="18"/>
                <w:szCs w:val="18"/>
                <w:b w:val="1"/>
                <w:bCs w:val="1"/>
                <w:color w:val="auto"/>
              </w:rPr>
              <w:t>Securities registered pursuant to Section 12(b) of the Act:</w:t>
            </w:r>
          </w:p>
        </w:tc>
      </w:tr>
      <w:tr>
        <w:trPr>
          <w:trHeight w:val="360"/>
        </w:trPr>
        <w:tc>
          <w:tcPr>
            <w:tcW w:w="33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tcPr>
          <w:p>
            <w:pPr>
              <w:jc w:val="center"/>
              <w:spacing w:after="0"/>
              <w:rPr>
                <w:sz w:val="20"/>
                <w:szCs w:val="20"/>
                <w:color w:val="auto"/>
              </w:rPr>
            </w:pPr>
            <w:r>
              <w:rPr>
                <w:rFonts w:ascii="Arial" w:cs="Arial" w:eastAsia="Arial" w:hAnsi="Arial"/>
                <w:sz w:val="18"/>
                <w:szCs w:val="18"/>
                <w:b w:val="1"/>
                <w:bCs w:val="1"/>
                <w:color w:val="auto"/>
                <w:w w:val="93"/>
              </w:rPr>
              <w:t>Trading</w:t>
            </w:r>
          </w:p>
        </w:tc>
        <w:tc>
          <w:tcPr>
            <w:tcW w:w="120" w:type="dxa"/>
            <w:vAlign w:val="bottom"/>
          </w:tcPr>
          <w:p>
            <w:pPr>
              <w:spacing w:after="0"/>
              <w:rPr>
                <w:sz w:val="24"/>
                <w:szCs w:val="24"/>
                <w:color w:val="auto"/>
              </w:rPr>
            </w:pPr>
          </w:p>
        </w:tc>
        <w:tc>
          <w:tcPr>
            <w:tcW w:w="5040" w:type="dxa"/>
            <w:vAlign w:val="bottom"/>
          </w:tcPr>
          <w:p>
            <w:pPr>
              <w:spacing w:after="0"/>
              <w:rPr>
                <w:sz w:val="24"/>
                <w:szCs w:val="24"/>
                <w:color w:val="auto"/>
              </w:rPr>
            </w:pPr>
          </w:p>
        </w:tc>
      </w:tr>
      <w:tr>
        <w:trPr>
          <w:trHeight w:val="241"/>
        </w:trPr>
        <w:tc>
          <w:tcPr>
            <w:tcW w:w="3320" w:type="dxa"/>
            <w:vAlign w:val="bottom"/>
            <w:tcBorders>
              <w:bottom w:val="single" w:sz="8" w:color="auto"/>
            </w:tcBorders>
          </w:tcPr>
          <w:p>
            <w:pPr>
              <w:jc w:val="center"/>
              <w:ind w:left="890"/>
              <w:spacing w:after="0"/>
              <w:rPr>
                <w:sz w:val="20"/>
                <w:szCs w:val="20"/>
                <w:color w:val="auto"/>
              </w:rPr>
            </w:pPr>
            <w:r>
              <w:rPr>
                <w:rFonts w:ascii="Arial" w:cs="Arial" w:eastAsia="Arial" w:hAnsi="Arial"/>
                <w:sz w:val="18"/>
                <w:szCs w:val="18"/>
                <w:b w:val="1"/>
                <w:bCs w:val="1"/>
                <w:color w:val="auto"/>
                <w:w w:val="86"/>
              </w:rPr>
              <w:t>Title of each class</w:t>
            </w:r>
          </w:p>
        </w:tc>
        <w:tc>
          <w:tcPr>
            <w:tcW w:w="96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Symbol(s)</w:t>
            </w:r>
          </w:p>
        </w:tc>
        <w:tc>
          <w:tcPr>
            <w:tcW w:w="120" w:type="dxa"/>
            <w:vAlign w:val="bottom"/>
          </w:tcPr>
          <w:p>
            <w:pPr>
              <w:spacing w:after="0"/>
              <w:rPr>
                <w:sz w:val="20"/>
                <w:szCs w:val="20"/>
                <w:color w:val="auto"/>
              </w:rPr>
            </w:pPr>
          </w:p>
        </w:tc>
        <w:tc>
          <w:tcPr>
            <w:tcW w:w="50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30"/>
        </w:trPr>
        <w:tc>
          <w:tcPr>
            <w:tcW w:w="3320" w:type="dxa"/>
            <w:vAlign w:val="bottom"/>
          </w:tcPr>
          <w:p>
            <w:pPr>
              <w:jc w:val="center"/>
              <w:ind w:left="890"/>
              <w:spacing w:after="0"/>
              <w:rPr>
                <w:sz w:val="20"/>
                <w:szCs w:val="20"/>
                <w:color w:val="auto"/>
              </w:rPr>
            </w:pPr>
            <w:r>
              <w:rPr>
                <w:rFonts w:ascii="Arial" w:cs="Arial" w:eastAsia="Arial" w:hAnsi="Arial"/>
                <w:sz w:val="18"/>
                <w:szCs w:val="18"/>
                <w:color w:val="auto"/>
                <w:w w:val="88"/>
              </w:rPr>
              <w:t>Common shares, no par value</w:t>
            </w:r>
          </w:p>
        </w:tc>
        <w:tc>
          <w:tcPr>
            <w:tcW w:w="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tcPr>
          <w:p>
            <w:pPr>
              <w:jc w:val="center"/>
              <w:spacing w:after="0"/>
              <w:rPr>
                <w:sz w:val="20"/>
                <w:szCs w:val="20"/>
                <w:color w:val="auto"/>
              </w:rPr>
            </w:pPr>
            <w:r>
              <w:rPr>
                <w:rFonts w:ascii="Arial" w:cs="Arial" w:eastAsia="Arial" w:hAnsi="Arial"/>
                <w:sz w:val="18"/>
                <w:szCs w:val="18"/>
                <w:color w:val="auto"/>
                <w:w w:val="95"/>
              </w:rPr>
              <w:t>RPTX</w:t>
            </w:r>
          </w:p>
        </w:tc>
        <w:tc>
          <w:tcPr>
            <w:tcW w:w="120" w:type="dxa"/>
            <w:vAlign w:val="bottom"/>
          </w:tcPr>
          <w:p>
            <w:pPr>
              <w:spacing w:after="0"/>
              <w:rPr>
                <w:sz w:val="20"/>
                <w:szCs w:val="20"/>
                <w:color w:val="auto"/>
              </w:rPr>
            </w:pPr>
          </w:p>
        </w:tc>
        <w:tc>
          <w:tcPr>
            <w:tcW w:w="5040" w:type="dxa"/>
            <w:vAlign w:val="bottom"/>
          </w:tcPr>
          <w:p>
            <w:pPr>
              <w:jc w:val="center"/>
              <w:spacing w:after="0"/>
              <w:rPr>
                <w:sz w:val="20"/>
                <w:szCs w:val="20"/>
                <w:color w:val="auto"/>
              </w:rPr>
            </w:pPr>
            <w:r>
              <w:rPr>
                <w:rFonts w:ascii="Arial" w:cs="Arial" w:eastAsia="Arial" w:hAnsi="Arial"/>
                <w:sz w:val="18"/>
                <w:szCs w:val="18"/>
                <w:color w:val="auto"/>
                <w:w w:val="91"/>
              </w:rPr>
              <w:t>The Nasdaq Stock Market LLC</w:t>
            </w:r>
          </w:p>
        </w:tc>
      </w:tr>
    </w:tbl>
    <w:p>
      <w:pPr>
        <w:spacing w:after="0" w:line="201" w:lineRule="exact"/>
        <w:rPr>
          <w:sz w:val="24"/>
          <w:szCs w:val="24"/>
          <w:color w:val="auto"/>
        </w:rPr>
      </w:pPr>
    </w:p>
    <w:p>
      <w:pPr>
        <w:ind w:right="48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 230.405 of this chapter) or Rule 12b-2 of the Securities Exchange Act of 1934 (§ 240.12b-2 of this chapter).</w:t>
      </w:r>
    </w:p>
    <w:p>
      <w:pPr>
        <w:spacing w:after="0" w:line="84"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04" w:lineRule="exact"/>
        <w:rPr>
          <w:sz w:val="24"/>
          <w:szCs w:val="24"/>
          <w:color w:val="auto"/>
        </w:rPr>
      </w:pPr>
    </w:p>
    <w:p>
      <w:pPr>
        <w:ind w:right="16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343535</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71"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121" w:lineRule="exact"/>
        <w:rPr>
          <w:sz w:val="20"/>
          <w:szCs w:val="20"/>
          <w:color w:val="auto"/>
        </w:rPr>
      </w:pPr>
    </w:p>
    <w:p>
      <w:pPr>
        <w:ind w:right="280"/>
        <w:spacing w:after="0" w:line="342" w:lineRule="auto"/>
        <w:rPr>
          <w:sz w:val="20"/>
          <w:szCs w:val="20"/>
          <w:color w:val="auto"/>
        </w:rPr>
      </w:pPr>
      <w:r>
        <w:rPr>
          <w:rFonts w:ascii="Arial" w:cs="Arial" w:eastAsia="Arial" w:hAnsi="Arial"/>
          <w:sz w:val="16"/>
          <w:szCs w:val="16"/>
          <w:color w:val="auto"/>
        </w:rPr>
        <w:t>On May 9, 2023, Repare Therapeutics Inc. (the "Company") issued a press release announcing its recent business highlights and financial results for the three months ended March 31, 2023. A copy of the press release is furnished hereto as Exhibit 99.1 and is incorporated herein by reference.</w:t>
      </w:r>
    </w:p>
    <w:p>
      <w:pPr>
        <w:spacing w:after="0" w:line="23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information in this Current Report on Form 8-K, including Exhibit 99.1 attached hereto, is being furnished and shall not be deemed “filed” for purposes of Section 18 of the Securities Exchange Act of 1934, as amended (the “Exchange Act”) or otherwise subject to the liabilities of that section. The information contained herein and in the accompanying exhibit is not incorporated by reference in any filing of the Company under the Securities Act of 1933, as amended, or the Exchange Act, whether made before or after the date hereof, regardless of any general incorporation language in such filing, except as shall be expressly set forth by specific reference in such filing.</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040" w:type="dxa"/>
            <w:vAlign w:val="bottom"/>
          </w:tcPr>
          <w:p>
            <w:pPr>
              <w:ind w:left="20"/>
              <w:spacing w:after="0"/>
              <w:rPr>
                <w:sz w:val="20"/>
                <w:szCs w:val="20"/>
                <w:color w:val="auto"/>
              </w:rPr>
            </w:pPr>
            <w:r>
              <w:rPr>
                <w:rFonts w:ascii="Arial" w:cs="Arial" w:eastAsia="Arial" w:hAnsi="Arial"/>
                <w:sz w:val="18"/>
                <w:szCs w:val="18"/>
                <w:color w:val="auto"/>
              </w:rPr>
              <w:t>Exhibit</w:t>
            </w:r>
          </w:p>
        </w:tc>
        <w:tc>
          <w:tcPr>
            <w:tcW w:w="24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7760" w:type="dxa"/>
            <w:vAlign w:val="bottom"/>
          </w:tcPr>
          <w:p>
            <w:pPr>
              <w:spacing w:after="0"/>
              <w:rPr>
                <w:sz w:val="19"/>
                <w:szCs w:val="19"/>
                <w:color w:val="auto"/>
              </w:rPr>
            </w:pPr>
          </w:p>
        </w:tc>
      </w:tr>
      <w:tr>
        <w:trPr>
          <w:trHeight w:val="237"/>
        </w:trPr>
        <w:tc>
          <w:tcPr>
            <w:tcW w:w="104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No.</w:t>
            </w:r>
          </w:p>
        </w:tc>
        <w:tc>
          <w:tcPr>
            <w:tcW w:w="2420" w:type="dxa"/>
            <w:vAlign w:val="bottom"/>
            <w:tcBorders>
              <w:bottom w:val="single" w:sz="8" w:color="auto"/>
            </w:tcBorders>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7760" w:type="dxa"/>
            <w:vAlign w:val="bottom"/>
            <w:tcBorders>
              <w:bottom w:val="single" w:sz="8" w:color="auto"/>
            </w:tcBorders>
          </w:tcPr>
          <w:p>
            <w:pPr>
              <w:ind w:left="2240"/>
              <w:spacing w:after="0"/>
              <w:rPr>
                <w:sz w:val="20"/>
                <w:szCs w:val="20"/>
                <w:color w:val="auto"/>
              </w:rPr>
            </w:pPr>
            <w:r>
              <w:rPr>
                <w:rFonts w:ascii="Arial" w:cs="Arial" w:eastAsia="Arial" w:hAnsi="Arial"/>
                <w:sz w:val="18"/>
                <w:szCs w:val="18"/>
                <w:color w:val="auto"/>
              </w:rPr>
              <w:t>Description</w:t>
            </w:r>
          </w:p>
        </w:tc>
      </w:tr>
      <w:tr>
        <w:trPr>
          <w:trHeight w:val="176"/>
        </w:trPr>
        <w:tc>
          <w:tcPr>
            <w:tcW w:w="1040" w:type="dxa"/>
            <w:vAlign w:val="bottom"/>
          </w:tcPr>
          <w:p>
            <w:pPr>
              <w:jc w:val="right"/>
              <w:ind w:right="330"/>
              <w:spacing w:after="0" w:line="176" w:lineRule="exact"/>
              <w:rPr>
                <w:sz w:val="20"/>
                <w:szCs w:val="20"/>
                <w:color w:val="auto"/>
              </w:rPr>
            </w:pPr>
            <w:r>
              <w:rPr>
                <w:rFonts w:ascii="Arial" w:cs="Arial" w:eastAsia="Arial" w:hAnsi="Arial"/>
                <w:sz w:val="18"/>
                <w:szCs w:val="18"/>
                <w:color w:val="auto"/>
              </w:rPr>
              <w:t>99.1</w:t>
            </w:r>
          </w:p>
        </w:tc>
        <w:tc>
          <w:tcPr>
            <w:tcW w:w="2420" w:type="dxa"/>
            <w:vAlign w:val="bottom"/>
            <w:tcBorders>
              <w:bottom w:val="single" w:sz="8" w:color="0000FF"/>
            </w:tcBorders>
          </w:tcPr>
          <w:p>
            <w:pPr>
              <w:spacing w:after="0" w:line="176" w:lineRule="exact"/>
              <w:rPr>
                <w:sz w:val="20"/>
                <w:szCs w:val="20"/>
                <w:color w:val="auto"/>
              </w:rPr>
            </w:pPr>
            <w:r>
              <w:rPr>
                <w:rFonts w:ascii="Arial" w:cs="Arial" w:eastAsia="Arial" w:hAnsi="Arial"/>
                <w:sz w:val="18"/>
                <w:szCs w:val="18"/>
                <w:color w:val="0000FF"/>
                <w:w w:val="86"/>
              </w:rPr>
              <w:t>Press Release dated May 9, 2023.</w:t>
            </w:r>
          </w:p>
        </w:tc>
        <w:tc>
          <w:tcPr>
            <w:tcW w:w="20" w:type="dxa"/>
            <w:vAlign w:val="bottom"/>
            <w:tcBorders>
              <w:bottom w:val="single" w:sz="8" w:color="0000EE"/>
            </w:tcBorders>
          </w:tcPr>
          <w:p>
            <w:pPr>
              <w:spacing w:after="0"/>
              <w:rPr>
                <w:sz w:val="15"/>
                <w:szCs w:val="15"/>
                <w:color w:val="auto"/>
              </w:rPr>
            </w:pPr>
          </w:p>
        </w:tc>
        <w:tc>
          <w:tcPr>
            <w:tcW w:w="7760" w:type="dxa"/>
            <w:vAlign w:val="bottom"/>
          </w:tcPr>
          <w:p>
            <w:pPr>
              <w:spacing w:after="0"/>
              <w:rPr>
                <w:sz w:val="15"/>
                <w:szCs w:val="15"/>
                <w:color w:val="auto"/>
              </w:rPr>
            </w:pPr>
          </w:p>
        </w:tc>
      </w:tr>
    </w:tbl>
    <w:p>
      <w:pPr>
        <w:spacing w:after="0" w:line="26" w:lineRule="exact"/>
        <w:rPr>
          <w:sz w:val="20"/>
          <w:szCs w:val="20"/>
          <w:color w:val="auto"/>
        </w:rPr>
      </w:pPr>
    </w:p>
    <w:p>
      <w:pPr>
        <w:ind w:left="1040" w:hanging="714"/>
        <w:spacing w:after="0"/>
        <w:tabs>
          <w:tab w:leader="none" w:pos="1040" w:val="left"/>
        </w:tabs>
        <w:numPr>
          <w:ilvl w:val="0"/>
          <w:numId w:val="2"/>
        </w:numPr>
        <w:rPr>
          <w:rFonts w:ascii="Arial" w:cs="Arial" w:eastAsia="Arial" w:hAnsi="Arial"/>
          <w:sz w:val="18"/>
          <w:szCs w:val="18"/>
          <w:color w:val="auto"/>
        </w:rPr>
      </w:pPr>
      <w:r>
        <w:rPr>
          <w:rFonts w:ascii="Arial" w:cs="Arial" w:eastAsia="Arial" w:hAnsi="Arial"/>
          <w:sz w:val="18"/>
          <w:szCs w:val="18"/>
          <w:u w:val="single" w:color="auto"/>
          <w:color w:val="auto"/>
        </w:rPr>
        <w:t>Cover Page Interactive Data File (embedded within the Inline XBRL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353695</wp:posOffset>
            </wp:positionV>
            <wp:extent cx="71577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5" w:right="339" w:bottom="1440" w:gutter="0" w:footer="0" w:header="0"/>
        </w:sectPr>
      </w:pPr>
    </w:p>
    <w:bookmarkStart w:id="2" w:name="page3"/>
    <w:bookmarkEnd w:id="2"/>
    <w:p>
      <w:pPr>
        <w:jc w:val="center"/>
        <w:ind w:right="-39"/>
        <w:spacing w:after="0"/>
        <w:rPr>
          <w:sz w:val="20"/>
          <w:szCs w:val="20"/>
          <w:color w:val="auto"/>
        </w:rPr>
      </w:pPr>
      <w:r>
        <w:rPr>
          <w:rFonts w:ascii="Arial" w:cs="Arial" w:eastAsia="Arial" w:hAnsi="Arial"/>
          <w:sz w:val="18"/>
          <w:szCs w:val="18"/>
          <w:b w:val="1"/>
          <w:bCs w:val="1"/>
          <w:color w:val="auto"/>
        </w:rPr>
        <w:t>SIGNATURES</w:t>
      </w:r>
    </w:p>
    <w:p>
      <w:pPr>
        <w:spacing w:after="0" w:line="17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11"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REPARE THERAPEUTICS INC.</w:t>
      </w:r>
    </w:p>
    <w:p>
      <w:pPr>
        <w:spacing w:after="0" w:line="200" w:lineRule="exact"/>
        <w:rPr>
          <w:sz w:val="20"/>
          <w:szCs w:val="20"/>
          <w:color w:val="auto"/>
        </w:rPr>
      </w:pPr>
    </w:p>
    <w:p>
      <w:pPr>
        <w:spacing w:after="0" w:line="201" w:lineRule="exact"/>
        <w:rPr>
          <w:sz w:val="20"/>
          <w:szCs w:val="20"/>
          <w:color w:val="auto"/>
        </w:rPr>
      </w:pPr>
    </w:p>
    <w:p>
      <w:pPr>
        <w:ind w:left="20"/>
        <w:spacing w:after="0"/>
        <w:tabs>
          <w:tab w:leader="none" w:pos="680" w:val="left"/>
          <w:tab w:leader="none" w:pos="5640" w:val="left"/>
          <w:tab w:leader="none" w:pos="60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May 9, 2023</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Lloyd M. Segal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3862705</wp:posOffset>
            </wp:positionH>
            <wp:positionV relativeFrom="paragraph">
              <wp:posOffset>23495</wp:posOffset>
            </wp:positionV>
            <wp:extent cx="327469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274695" cy="8890"/>
                    </a:xfrm>
                    <a:prstGeom prst="rect">
                      <a:avLst/>
                    </a:prstGeom>
                    <a:noFill/>
                  </pic:spPr>
                </pic:pic>
              </a:graphicData>
            </a:graphic>
          </wp:anchor>
        </w:drawing>
      </w:r>
    </w:p>
    <w:p>
      <w:pPr>
        <w:spacing w:after="0" w:line="30"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Lloyd M. Segal</w:t>
      </w:r>
    </w:p>
    <w:p>
      <w:pPr>
        <w:spacing w:after="0" w:line="23" w:lineRule="exact"/>
        <w:rPr>
          <w:sz w:val="20"/>
          <w:szCs w:val="20"/>
          <w:color w:val="auto"/>
        </w:rPr>
      </w:pPr>
    </w:p>
    <w:p>
      <w:pPr>
        <w:ind w:left="6100"/>
        <w:spacing w:after="0"/>
        <w:rPr>
          <w:sz w:val="20"/>
          <w:szCs w:val="20"/>
          <w:color w:val="auto"/>
        </w:rPr>
      </w:pPr>
      <w:r>
        <w:rPr>
          <w:rFonts w:ascii="Arial" w:cs="Arial" w:eastAsia="Arial" w:hAnsi="Arial"/>
          <w:sz w:val="18"/>
          <w:szCs w:val="18"/>
          <w:color w:val="auto"/>
        </w:rPr>
        <w:t>President and Chief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310515</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1303020" cy="53149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303020" cy="5314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left="780" w:right="60"/>
        <w:spacing w:after="0" w:line="288" w:lineRule="auto"/>
        <w:rPr>
          <w:sz w:val="20"/>
          <w:szCs w:val="20"/>
          <w:color w:val="auto"/>
        </w:rPr>
      </w:pPr>
      <w:r>
        <w:rPr>
          <w:rFonts w:ascii="Arial" w:cs="Arial" w:eastAsia="Arial" w:hAnsi="Arial"/>
          <w:sz w:val="25"/>
          <w:szCs w:val="25"/>
          <w:b w:val="1"/>
          <w:bCs w:val="1"/>
          <w:color w:val="auto"/>
        </w:rPr>
        <w:t>Repare Therapeutics Provides Business Update and Reports First Quarter 2023 Financial Results</w:t>
      </w:r>
    </w:p>
    <w:p>
      <w:pPr>
        <w:spacing w:after="0" w:line="338" w:lineRule="exact"/>
        <w:rPr>
          <w:sz w:val="20"/>
          <w:szCs w:val="20"/>
          <w:color w:val="auto"/>
        </w:rPr>
      </w:pPr>
    </w:p>
    <w:p>
      <w:pPr>
        <w:jc w:val="center"/>
        <w:ind w:right="60"/>
        <w:spacing w:after="0" w:line="257" w:lineRule="auto"/>
        <w:rPr>
          <w:sz w:val="20"/>
          <w:szCs w:val="20"/>
          <w:color w:val="auto"/>
        </w:rPr>
      </w:pPr>
      <w:r>
        <w:rPr>
          <w:rFonts w:ascii="Arial" w:cs="Arial" w:eastAsia="Arial" w:hAnsi="Arial"/>
          <w:sz w:val="22"/>
          <w:szCs w:val="22"/>
          <w:i w:val="1"/>
          <w:iCs w:val="1"/>
          <w:color w:val="auto"/>
        </w:rPr>
        <w:t>Reported initial camonsertib data from ongoing Phase 1/2 TRESR and Phase 1b/2 ATTACC clinical trials in a plenary oral presentation at 2023 AACR Annual Meeting</w:t>
      </w:r>
    </w:p>
    <w:p>
      <w:pPr>
        <w:spacing w:after="0" w:line="160" w:lineRule="exact"/>
        <w:rPr>
          <w:sz w:val="20"/>
          <w:szCs w:val="20"/>
          <w:color w:val="auto"/>
        </w:rPr>
      </w:pPr>
    </w:p>
    <w:p>
      <w:pPr>
        <w:jc w:val="center"/>
        <w:ind w:right="60"/>
        <w:spacing w:after="0" w:line="257" w:lineRule="auto"/>
        <w:rPr>
          <w:sz w:val="20"/>
          <w:szCs w:val="20"/>
          <w:color w:val="auto"/>
        </w:rPr>
      </w:pPr>
      <w:r>
        <w:rPr>
          <w:rFonts w:ascii="Arial" w:cs="Arial" w:eastAsia="Arial" w:hAnsi="Arial"/>
          <w:sz w:val="22"/>
          <w:szCs w:val="22"/>
          <w:i w:val="1"/>
          <w:iCs w:val="1"/>
          <w:color w:val="auto"/>
        </w:rPr>
        <w:t>Camonsertib combination therapy showed 48% CBR across tumor types regardless of choice of PARP inhibitor or platinum resistance, with a favorable safety and tolerability profile</w:t>
      </w:r>
    </w:p>
    <w:p>
      <w:pPr>
        <w:spacing w:after="0" w:line="160" w:lineRule="exact"/>
        <w:rPr>
          <w:sz w:val="20"/>
          <w:szCs w:val="20"/>
          <w:color w:val="auto"/>
        </w:rPr>
      </w:pPr>
    </w:p>
    <w:p>
      <w:pPr>
        <w:ind w:left="360"/>
        <w:spacing w:after="0"/>
        <w:rPr>
          <w:sz w:val="20"/>
          <w:szCs w:val="20"/>
          <w:color w:val="auto"/>
        </w:rPr>
      </w:pPr>
      <w:r>
        <w:rPr>
          <w:rFonts w:ascii="Arial" w:cs="Arial" w:eastAsia="Arial" w:hAnsi="Arial"/>
          <w:sz w:val="22"/>
          <w:szCs w:val="22"/>
          <w:i w:val="1"/>
          <w:iCs w:val="1"/>
          <w:color w:val="auto"/>
        </w:rPr>
        <w:t>Company on track to report initial RP-6306 monotherapy data from Phase 1 MYTHIC clinical trial in June 2023</w:t>
      </w:r>
    </w:p>
    <w:p>
      <w:pPr>
        <w:spacing w:after="0" w:line="206" w:lineRule="exact"/>
        <w:rPr>
          <w:sz w:val="20"/>
          <w:szCs w:val="20"/>
          <w:color w:val="auto"/>
        </w:rPr>
      </w:pPr>
    </w:p>
    <w:p>
      <w:pPr>
        <w:ind w:left="420"/>
        <w:spacing w:after="0"/>
        <w:rPr>
          <w:sz w:val="20"/>
          <w:szCs w:val="20"/>
          <w:color w:val="auto"/>
        </w:rPr>
      </w:pPr>
      <w:r>
        <w:rPr>
          <w:rFonts w:ascii="Arial" w:cs="Arial" w:eastAsia="Arial" w:hAnsi="Arial"/>
          <w:sz w:val="22"/>
          <w:szCs w:val="22"/>
          <w:i w:val="1"/>
          <w:iCs w:val="1"/>
          <w:color w:val="auto"/>
        </w:rPr>
        <w:t>Announced the appointment of Susan Molineaux, Ph.D., and departure of Jerel Davis, Ph.D. on our Board of</w:t>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22"/>
          <w:szCs w:val="22"/>
          <w:i w:val="1"/>
          <w:iCs w:val="1"/>
          <w:color w:val="auto"/>
        </w:rPr>
        <w:t>Directors, as well as the addition of Daniel Belanger to the senior leadership team</w:t>
      </w:r>
    </w:p>
    <w:p>
      <w:pPr>
        <w:spacing w:after="0" w:line="200" w:lineRule="exact"/>
        <w:rPr>
          <w:sz w:val="20"/>
          <w:szCs w:val="20"/>
          <w:color w:val="auto"/>
        </w:rPr>
      </w:pPr>
    </w:p>
    <w:p>
      <w:pPr>
        <w:spacing w:after="0" w:line="304" w:lineRule="exact"/>
        <w:rPr>
          <w:sz w:val="20"/>
          <w:szCs w:val="20"/>
          <w:color w:val="auto"/>
        </w:rPr>
      </w:pPr>
    </w:p>
    <w:p>
      <w:pPr>
        <w:jc w:val="both"/>
        <w:spacing w:after="0" w:line="245" w:lineRule="auto"/>
        <w:rPr>
          <w:sz w:val="20"/>
          <w:szCs w:val="20"/>
          <w:color w:val="auto"/>
        </w:rPr>
      </w:pPr>
      <w:r>
        <w:rPr>
          <w:rFonts w:ascii="Arial" w:cs="Arial" w:eastAsia="Arial" w:hAnsi="Arial"/>
          <w:sz w:val="22"/>
          <w:szCs w:val="22"/>
          <w:b w:val="1"/>
          <w:bCs w:val="1"/>
          <w:color w:val="auto"/>
        </w:rPr>
        <w:t xml:space="preserve">CAMBRIDGE, Mass. &amp; MONTREAL (BUSINESS WIRE)—May 9, 2023— </w:t>
      </w:r>
      <w:r>
        <w:rPr>
          <w:rFonts w:ascii="Arial" w:cs="Arial" w:eastAsia="Arial" w:hAnsi="Arial"/>
          <w:sz w:val="22"/>
          <w:szCs w:val="22"/>
          <w:color w:val="auto"/>
        </w:rPr>
        <w:t>Repare Therapeutics Inc. (“Repare” or the</w:t>
      </w:r>
      <w:r>
        <w:rPr>
          <w:rFonts w:ascii="Arial" w:cs="Arial" w:eastAsia="Arial" w:hAnsi="Arial"/>
          <w:sz w:val="22"/>
          <w:szCs w:val="22"/>
          <w:b w:val="1"/>
          <w:bCs w:val="1"/>
          <w:color w:val="auto"/>
        </w:rPr>
        <w:t xml:space="preserve"> </w:t>
      </w:r>
      <w:r>
        <w:rPr>
          <w:rFonts w:ascii="Arial" w:cs="Arial" w:eastAsia="Arial" w:hAnsi="Arial"/>
          <w:sz w:val="22"/>
          <w:szCs w:val="22"/>
          <w:color w:val="auto"/>
        </w:rPr>
        <w:t>“Company”) (Nasdaq: RPTX), a leading clinical-stage precision oncology company, today reported financial results for the first quarter ended March 31, 2023.</w:t>
      </w:r>
    </w:p>
    <w:p>
      <w:pPr>
        <w:spacing w:after="0" w:line="196" w:lineRule="exact"/>
        <w:rPr>
          <w:sz w:val="20"/>
          <w:szCs w:val="20"/>
          <w:color w:val="auto"/>
        </w:rPr>
      </w:pPr>
    </w:p>
    <w:p>
      <w:pPr>
        <w:jc w:val="both"/>
        <w:spacing w:after="0" w:line="233" w:lineRule="auto"/>
        <w:rPr>
          <w:sz w:val="20"/>
          <w:szCs w:val="20"/>
          <w:color w:val="auto"/>
        </w:rPr>
      </w:pPr>
      <w:r>
        <w:rPr>
          <w:rFonts w:ascii="Arial" w:cs="Arial" w:eastAsia="Arial" w:hAnsi="Arial"/>
          <w:sz w:val="22"/>
          <w:szCs w:val="22"/>
          <w:color w:val="auto"/>
        </w:rPr>
        <w:t>“We continue to execute clinically and across our pipeline programs, including presenting initial clinical data of camonsertib in combination with various PARP inhibitors from the ongoing TRESR and ATTACC trials at this year’s AACR conference,” said Lloyd M. Segal, President and Chief Executive Officer of Repare. “These findings are consistent with our preclinical data demonstrating that low, intermittent dosing of the camonsertib and PARP inhibitor combinations appears well tolerated and exhibited antitumor activity, most notably in advanced ovarian cancer. In addition, we are on track to present initial Phase 1 monotherapy data for RP-6306 in June.”</w:t>
      </w:r>
    </w:p>
    <w:p>
      <w:pPr>
        <w:spacing w:after="0" w:line="17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First Quarter 2023 Review and Operational Updates:</w:t>
      </w:r>
    </w:p>
    <w:p>
      <w:pPr>
        <w:spacing w:after="0" w:line="98" w:lineRule="exact"/>
        <w:rPr>
          <w:sz w:val="20"/>
          <w:szCs w:val="20"/>
          <w:color w:val="auto"/>
        </w:rPr>
      </w:pPr>
    </w:p>
    <w:p>
      <w:pPr>
        <w:jc w:val="both"/>
        <w:ind w:left="1020" w:hanging="503"/>
        <w:spacing w:after="0" w:line="238" w:lineRule="auto"/>
        <w:tabs>
          <w:tab w:leader="none" w:pos="1020" w:val="left"/>
        </w:tabs>
        <w:numPr>
          <w:ilvl w:val="0"/>
          <w:numId w:val="3"/>
        </w:numPr>
        <w:rPr>
          <w:rFonts w:ascii="Arial" w:cs="Arial" w:eastAsia="Arial" w:hAnsi="Arial"/>
          <w:sz w:val="22"/>
          <w:szCs w:val="22"/>
          <w:color w:val="auto"/>
        </w:rPr>
      </w:pPr>
      <w:r>
        <w:rPr>
          <w:rFonts w:ascii="Arial" w:cs="Arial" w:eastAsia="Arial" w:hAnsi="Arial"/>
          <w:sz w:val="22"/>
          <w:szCs w:val="22"/>
          <w:b w:val="1"/>
          <w:bCs w:val="1"/>
          <w:color w:val="auto"/>
        </w:rPr>
        <w:t>Announced initial clinical data from the Phase 1/2 TRESR and ATTACC trials evaluating camonsertib (RP-3500/RG6526, partnered with Roche), a potent and selective oral small molecule inhibitor of ATR (Ataxia-Telangiectasia and Rad3-related protein kinase), in combination with three poly (ADP-ribose) polymerase (PARP) inhibitors in a Clinical Trials Plenary Session at the 2023 American Association for Cancer Research (AACR) Annual Meeting.</w:t>
      </w:r>
    </w:p>
    <w:p>
      <w:pPr>
        <w:spacing w:after="0" w:line="79" w:lineRule="exact"/>
        <w:rPr>
          <w:rFonts w:ascii="Arial" w:cs="Arial" w:eastAsia="Arial" w:hAnsi="Arial"/>
          <w:sz w:val="22"/>
          <w:szCs w:val="22"/>
          <w:color w:val="auto"/>
        </w:rPr>
      </w:pPr>
    </w:p>
    <w:p>
      <w:pPr>
        <w:ind w:left="1540" w:hanging="509"/>
        <w:spacing w:after="0" w:line="234" w:lineRule="auto"/>
        <w:rPr>
          <w:rFonts w:ascii="Arial" w:cs="Arial" w:eastAsia="Arial" w:hAnsi="Arial"/>
          <w:sz w:val="22"/>
          <w:szCs w:val="22"/>
          <w:color w:val="auto"/>
        </w:rPr>
      </w:pPr>
      <w:r>
        <w:rPr>
          <w:rFonts w:ascii="Arial" w:cs="Arial" w:eastAsia="Arial" w:hAnsi="Arial"/>
          <w:sz w:val="22"/>
          <w:szCs w:val="22"/>
          <w:color w:val="auto"/>
        </w:rPr>
        <w:t>oCamonsertib combinations appear to be well tolerated. Dose limiting toxicity in 68 patients treated with the proposed combination doses were related to myelotoxicity (Grade 3+ anemia 3%, thrombocytopenia 6%, neutropenia 7%, and febrile neutropenia 3%). No prophylactic growth factors were required when administering the PARP inhibitors at evaluated doses.</w:t>
      </w:r>
    </w:p>
    <w:p>
      <w:pPr>
        <w:spacing w:after="0" w:line="93" w:lineRule="exact"/>
        <w:rPr>
          <w:rFonts w:ascii="Arial" w:cs="Arial" w:eastAsia="Arial" w:hAnsi="Arial"/>
          <w:sz w:val="22"/>
          <w:szCs w:val="22"/>
          <w:color w:val="auto"/>
        </w:rPr>
      </w:pPr>
    </w:p>
    <w:p>
      <w:pPr>
        <w:ind w:left="1540" w:hanging="509"/>
        <w:spacing w:after="0" w:line="233" w:lineRule="auto"/>
        <w:rPr>
          <w:rFonts w:ascii="Arial" w:cs="Arial" w:eastAsia="Arial" w:hAnsi="Arial"/>
          <w:sz w:val="22"/>
          <w:szCs w:val="22"/>
          <w:color w:val="auto"/>
        </w:rPr>
      </w:pPr>
      <w:r>
        <w:rPr>
          <w:rFonts w:ascii="Arial" w:cs="Arial" w:eastAsia="Arial" w:hAnsi="Arial"/>
          <w:sz w:val="22"/>
          <w:szCs w:val="22"/>
          <w:color w:val="auto"/>
        </w:rPr>
        <w:t>oCamonsertib combination resulted in durable clinical benefit across tumor types and genomic alterations, regardless of choice of PARP inhibitor and presence of platinum resistance. Overall clinical benefit rate (CBR) for all patients was 48%. Patients with platinum-resistant tumors had an overall response rate (ORR) of 12% and CBR of 49% and benefited similarly to non-platinum-resistant tumors (ORR 13%, CBR 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198755</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 w:name="page5"/>
    <w:bookmarkEnd w:id="4"/>
    <w:p>
      <w:pPr>
        <w:jc w:val="both"/>
        <w:ind w:left="1023" w:hanging="514"/>
        <w:spacing w:after="0" w:line="235" w:lineRule="auto"/>
        <w:tabs>
          <w:tab w:leader="none" w:pos="1023" w:val="left"/>
        </w:tabs>
        <w:numPr>
          <w:ilvl w:val="1"/>
          <w:numId w:val="4"/>
        </w:numPr>
        <w:rPr>
          <w:rFonts w:ascii="Arial" w:cs="Arial" w:eastAsia="Arial" w:hAnsi="Arial"/>
          <w:sz w:val="22"/>
          <w:szCs w:val="22"/>
          <w:color w:val="auto"/>
        </w:rPr>
      </w:pPr>
      <w:r>
        <w:rPr>
          <w:rFonts w:ascii="Arial" w:cs="Arial" w:eastAsia="Arial" w:hAnsi="Arial"/>
          <w:sz w:val="22"/>
          <w:szCs w:val="22"/>
          <w:color w:val="auto"/>
        </w:rPr>
        <w:t>Compelling results were observed particularly in patients with advanced ovarian cancer (n = 19). In these patients, overall response was 32%, CBR was 58% and median progression-free survival was approximately 7 months with treatment greater than 16 weeks and ongoing in 9 patients.</w:t>
      </w:r>
    </w:p>
    <w:p>
      <w:pPr>
        <w:spacing w:after="0" w:line="93" w:lineRule="exact"/>
        <w:rPr>
          <w:rFonts w:ascii="Arial" w:cs="Arial" w:eastAsia="Arial" w:hAnsi="Arial"/>
          <w:sz w:val="22"/>
          <w:szCs w:val="22"/>
          <w:color w:val="auto"/>
        </w:rPr>
      </w:pPr>
    </w:p>
    <w:p>
      <w:pPr>
        <w:jc w:val="both"/>
        <w:ind w:left="1023" w:hanging="514"/>
        <w:spacing w:after="0" w:line="233" w:lineRule="auto"/>
        <w:tabs>
          <w:tab w:leader="none" w:pos="1023" w:val="left"/>
        </w:tabs>
        <w:numPr>
          <w:ilvl w:val="1"/>
          <w:numId w:val="4"/>
        </w:numPr>
        <w:rPr>
          <w:rFonts w:ascii="Arial" w:cs="Arial" w:eastAsia="Arial" w:hAnsi="Arial"/>
          <w:sz w:val="22"/>
          <w:szCs w:val="22"/>
          <w:color w:val="auto"/>
        </w:rPr>
      </w:pPr>
      <w:r>
        <w:rPr>
          <w:rFonts w:ascii="Arial" w:cs="Arial" w:eastAsia="Arial" w:hAnsi="Arial"/>
          <w:sz w:val="22"/>
          <w:szCs w:val="22"/>
          <w:color w:val="auto"/>
        </w:rPr>
        <w:t>Early circulating tumor DNA molecular responses in 66% (31/47) of evaluable patients confirm antitumor activity of low dose, intermittent PARP inhibitor + ATR inhibitor therapy. The molecular response rate (MRR) was significantly higher in patients with clinical benefit (83%) compared to those without (48%; p=0.015) and significantly higher than camonsertib monotherapy that was also administered at higher doses (43% or 27/63; p=0.02). Molecular responses were also observed in patients with prior PARP inhibitor exposure (57%) and platinum resistance (64%).</w:t>
      </w:r>
    </w:p>
    <w:p>
      <w:pPr>
        <w:spacing w:after="0" w:line="92" w:lineRule="exact"/>
        <w:rPr>
          <w:rFonts w:ascii="Arial" w:cs="Arial" w:eastAsia="Arial" w:hAnsi="Arial"/>
          <w:sz w:val="22"/>
          <w:szCs w:val="22"/>
          <w:color w:val="auto"/>
        </w:rPr>
      </w:pPr>
    </w:p>
    <w:p>
      <w:pPr>
        <w:jc w:val="both"/>
        <w:ind w:left="1023" w:hanging="514"/>
        <w:spacing w:after="0" w:line="235" w:lineRule="auto"/>
        <w:tabs>
          <w:tab w:leader="none" w:pos="1023" w:val="left"/>
        </w:tabs>
        <w:numPr>
          <w:ilvl w:val="1"/>
          <w:numId w:val="4"/>
        </w:numPr>
        <w:rPr>
          <w:rFonts w:ascii="Arial" w:cs="Arial" w:eastAsia="Arial" w:hAnsi="Arial"/>
          <w:sz w:val="22"/>
          <w:szCs w:val="22"/>
          <w:color w:val="auto"/>
        </w:rPr>
      </w:pPr>
      <w:r>
        <w:rPr>
          <w:rFonts w:ascii="Arial" w:cs="Arial" w:eastAsia="Arial" w:hAnsi="Arial"/>
          <w:sz w:val="22"/>
          <w:szCs w:val="22"/>
          <w:color w:val="auto"/>
        </w:rPr>
        <w:t>Repare is conducting dose optimization and efficacy assessments in tumor specific expansions in the ATTACC study in collaboration with Roche to support future clinical development plans for camonsertib combinations with PARP inhibitors.</w:t>
      </w:r>
    </w:p>
    <w:p>
      <w:pPr>
        <w:spacing w:after="0" w:line="175" w:lineRule="exact"/>
        <w:rPr>
          <w:rFonts w:ascii="Arial" w:cs="Arial" w:eastAsia="Arial" w:hAnsi="Arial"/>
          <w:sz w:val="22"/>
          <w:szCs w:val="22"/>
          <w:color w:val="auto"/>
        </w:rPr>
      </w:pPr>
    </w:p>
    <w:p>
      <w:pPr>
        <w:ind w:left="503" w:hanging="503"/>
        <w:spacing w:after="0" w:line="261" w:lineRule="auto"/>
        <w:tabs>
          <w:tab w:leader="none" w:pos="503" w:val="left"/>
        </w:tabs>
        <w:numPr>
          <w:ilvl w:val="0"/>
          <w:numId w:val="4"/>
        </w:numPr>
        <w:rPr>
          <w:rFonts w:ascii="Arial" w:cs="Arial" w:eastAsia="Arial" w:hAnsi="Arial"/>
          <w:sz w:val="22"/>
          <w:szCs w:val="22"/>
          <w:color w:val="auto"/>
        </w:rPr>
      </w:pPr>
      <w:r>
        <w:rPr>
          <w:rFonts w:ascii="Arial" w:cs="Arial" w:eastAsia="Arial" w:hAnsi="Arial"/>
          <w:sz w:val="22"/>
          <w:szCs w:val="22"/>
          <w:b w:val="1"/>
          <w:bCs w:val="1"/>
          <w:color w:val="auto"/>
        </w:rPr>
        <w:t>Evaluating RP-6306, a first-in-class, oral PKMYT1 inhibitor as a monotherapy and in combinations in multiple early clinical studies.</w:t>
      </w:r>
    </w:p>
    <w:p>
      <w:pPr>
        <w:spacing w:after="0" w:line="69" w:lineRule="exact"/>
        <w:rPr>
          <w:rFonts w:ascii="Arial" w:cs="Arial" w:eastAsia="Arial" w:hAnsi="Arial"/>
          <w:sz w:val="22"/>
          <w:szCs w:val="22"/>
          <w:color w:val="auto"/>
        </w:rPr>
      </w:pPr>
    </w:p>
    <w:p>
      <w:pPr>
        <w:jc w:val="both"/>
        <w:ind w:left="1023" w:hanging="514"/>
        <w:spacing w:after="0" w:line="233" w:lineRule="auto"/>
        <w:tabs>
          <w:tab w:leader="none" w:pos="1023" w:val="left"/>
        </w:tabs>
        <w:numPr>
          <w:ilvl w:val="1"/>
          <w:numId w:val="4"/>
        </w:numPr>
        <w:rPr>
          <w:rFonts w:ascii="Arial" w:cs="Arial" w:eastAsia="Arial" w:hAnsi="Arial"/>
          <w:sz w:val="22"/>
          <w:szCs w:val="22"/>
          <w:color w:val="auto"/>
        </w:rPr>
      </w:pPr>
      <w:r>
        <w:rPr>
          <w:rFonts w:ascii="Arial" w:cs="Arial" w:eastAsia="Arial" w:hAnsi="Arial"/>
          <w:sz w:val="22"/>
          <w:szCs w:val="22"/>
          <w:color w:val="auto"/>
        </w:rPr>
        <w:t>Repare presented two poster presentations for RP-6306 at the 2023 AACR Annual Meeting regarding the co-mutation landscape in CCNE1 amplifications and the tumor heterogeneity of copy number in ovarian and uterine cancers. Additionally, several collaborators presented preclinical findings on the potential benefits of combining a Wee1 inhibitor with RP-6306 and the effect of RP-6306 in triple negative breast cancer.</w:t>
      </w:r>
    </w:p>
    <w:p>
      <w:pPr>
        <w:spacing w:after="0" w:line="95" w:lineRule="exact"/>
        <w:rPr>
          <w:rFonts w:ascii="Arial" w:cs="Arial" w:eastAsia="Arial" w:hAnsi="Arial"/>
          <w:sz w:val="22"/>
          <w:szCs w:val="22"/>
          <w:color w:val="auto"/>
        </w:rPr>
      </w:pPr>
    </w:p>
    <w:p>
      <w:pPr>
        <w:jc w:val="both"/>
        <w:ind w:left="1023" w:hanging="514"/>
        <w:spacing w:after="0" w:line="234" w:lineRule="auto"/>
        <w:tabs>
          <w:tab w:leader="none" w:pos="1023" w:val="left"/>
        </w:tabs>
        <w:numPr>
          <w:ilvl w:val="1"/>
          <w:numId w:val="4"/>
        </w:numPr>
        <w:rPr>
          <w:rFonts w:ascii="Arial" w:cs="Arial" w:eastAsia="Arial" w:hAnsi="Arial"/>
          <w:sz w:val="22"/>
          <w:szCs w:val="22"/>
          <w:color w:val="auto"/>
        </w:rPr>
      </w:pPr>
      <w:r>
        <w:rPr>
          <w:rFonts w:ascii="Arial" w:cs="Arial" w:eastAsia="Arial" w:hAnsi="Arial"/>
          <w:sz w:val="22"/>
          <w:szCs w:val="22"/>
          <w:color w:val="auto"/>
        </w:rPr>
        <w:t>Repare expects to report initial Phase 1 monotherapy clinical data for RP-6306 for the treatment of molecularly selected advanced solid tumors (MYTHIC) in June 2023. The Company expects to report initial Phase 1 combination therapy clinical data for RP-6306 for the treatment of molecularly selected advanced solid tumors in the fourth quarter of the year.</w:t>
      </w:r>
    </w:p>
    <w:p>
      <w:pPr>
        <w:spacing w:after="0" w:line="93" w:lineRule="exact"/>
        <w:rPr>
          <w:rFonts w:ascii="Arial" w:cs="Arial" w:eastAsia="Arial" w:hAnsi="Arial"/>
          <w:sz w:val="22"/>
          <w:szCs w:val="22"/>
          <w:color w:val="auto"/>
        </w:rPr>
      </w:pPr>
    </w:p>
    <w:p>
      <w:pPr>
        <w:jc w:val="both"/>
        <w:ind w:left="1023" w:hanging="514"/>
        <w:spacing w:after="0" w:line="235" w:lineRule="auto"/>
        <w:tabs>
          <w:tab w:leader="none" w:pos="1023" w:val="left"/>
        </w:tabs>
        <w:numPr>
          <w:ilvl w:val="1"/>
          <w:numId w:val="4"/>
        </w:numPr>
        <w:rPr>
          <w:rFonts w:ascii="Arial" w:cs="Arial" w:eastAsia="Arial" w:hAnsi="Arial"/>
          <w:sz w:val="22"/>
          <w:szCs w:val="22"/>
          <w:color w:val="auto"/>
        </w:rPr>
      </w:pPr>
      <w:r>
        <w:rPr>
          <w:rFonts w:ascii="Arial" w:cs="Arial" w:eastAsia="Arial" w:hAnsi="Arial"/>
          <w:sz w:val="22"/>
          <w:szCs w:val="22"/>
          <w:color w:val="auto"/>
        </w:rPr>
        <w:t>Repare is working with clinical investigators to initiate clinical testing, as part of an investigator-sponsored trial (IST), of a fourth RP-6306 combination with carboplatin, with first patient dosing expected this year.</w:t>
      </w:r>
    </w:p>
    <w:p>
      <w:pPr>
        <w:spacing w:after="0" w:line="93" w:lineRule="exact"/>
        <w:rPr>
          <w:rFonts w:ascii="Arial" w:cs="Arial" w:eastAsia="Arial" w:hAnsi="Arial"/>
          <w:sz w:val="22"/>
          <w:szCs w:val="22"/>
          <w:color w:val="auto"/>
        </w:rPr>
      </w:pPr>
    </w:p>
    <w:p>
      <w:pPr>
        <w:jc w:val="both"/>
        <w:ind w:left="1023" w:hanging="514"/>
        <w:spacing w:after="0" w:line="247" w:lineRule="auto"/>
        <w:tabs>
          <w:tab w:leader="none" w:pos="1023" w:val="left"/>
        </w:tabs>
        <w:numPr>
          <w:ilvl w:val="1"/>
          <w:numId w:val="4"/>
        </w:numPr>
        <w:rPr>
          <w:rFonts w:ascii="Arial" w:cs="Arial" w:eastAsia="Arial" w:hAnsi="Arial"/>
          <w:sz w:val="21"/>
          <w:szCs w:val="21"/>
          <w:color w:val="auto"/>
        </w:rPr>
      </w:pPr>
      <w:r>
        <w:rPr>
          <w:rFonts w:ascii="Arial" w:cs="Arial" w:eastAsia="Arial" w:hAnsi="Arial"/>
          <w:sz w:val="21"/>
          <w:szCs w:val="21"/>
          <w:color w:val="auto"/>
        </w:rPr>
        <w:t>Repare is collaborating with the Canadian Cancer Trials Group for a basket Phase 2 IST to evaluate RP-6306 in patients with selected, advanced cancers receiving standard agents that is expected to begin this year. A sub-study under the master clinical trial protocol will evaluate RP-6306 in combination with gemcitabine in patients with CD4/6i-resistant ER+/HER2- metastatic breast cancer.</w:t>
      </w:r>
    </w:p>
    <w:p>
      <w:pPr>
        <w:spacing w:after="0" w:line="167" w:lineRule="exact"/>
        <w:rPr>
          <w:rFonts w:ascii="Arial" w:cs="Arial" w:eastAsia="Arial" w:hAnsi="Arial"/>
          <w:sz w:val="21"/>
          <w:szCs w:val="21"/>
          <w:color w:val="auto"/>
        </w:rPr>
      </w:pPr>
    </w:p>
    <w:p>
      <w:pPr>
        <w:ind w:left="503" w:hanging="503"/>
        <w:spacing w:after="0"/>
        <w:tabs>
          <w:tab w:leader="none" w:pos="503" w:val="left"/>
        </w:tabs>
        <w:numPr>
          <w:ilvl w:val="0"/>
          <w:numId w:val="4"/>
        </w:numPr>
        <w:rPr>
          <w:rFonts w:ascii="Arial" w:cs="Arial" w:eastAsia="Arial" w:hAnsi="Arial"/>
          <w:sz w:val="22"/>
          <w:szCs w:val="22"/>
          <w:color w:val="auto"/>
        </w:rPr>
      </w:pPr>
      <w:r>
        <w:rPr>
          <w:rFonts w:ascii="Arial" w:cs="Arial" w:eastAsia="Arial" w:hAnsi="Arial"/>
          <w:sz w:val="22"/>
          <w:szCs w:val="22"/>
          <w:b w:val="1"/>
          <w:bCs w:val="1"/>
          <w:color w:val="auto"/>
        </w:rPr>
        <w:t>Advancing preclinical programs into clinical development.</w:t>
      </w:r>
    </w:p>
    <w:p>
      <w:pPr>
        <w:spacing w:after="0" w:line="124" w:lineRule="exact"/>
        <w:rPr>
          <w:rFonts w:ascii="Arial" w:cs="Arial" w:eastAsia="Arial" w:hAnsi="Arial"/>
          <w:sz w:val="22"/>
          <w:szCs w:val="22"/>
          <w:color w:val="auto"/>
        </w:rPr>
      </w:pPr>
    </w:p>
    <w:p>
      <w:pPr>
        <w:jc w:val="both"/>
        <w:ind w:left="1023" w:hanging="514"/>
        <w:spacing w:after="0" w:line="235" w:lineRule="auto"/>
        <w:tabs>
          <w:tab w:leader="none" w:pos="1023" w:val="left"/>
        </w:tabs>
        <w:numPr>
          <w:ilvl w:val="1"/>
          <w:numId w:val="4"/>
        </w:numPr>
        <w:rPr>
          <w:rFonts w:ascii="Arial" w:cs="Arial" w:eastAsia="Arial" w:hAnsi="Arial"/>
          <w:sz w:val="22"/>
          <w:szCs w:val="22"/>
          <w:color w:val="auto"/>
        </w:rPr>
      </w:pPr>
      <w:r>
        <w:rPr>
          <w:rFonts w:ascii="Arial" w:cs="Arial" w:eastAsia="Arial" w:hAnsi="Arial"/>
          <w:sz w:val="22"/>
          <w:szCs w:val="22"/>
          <w:color w:val="auto"/>
        </w:rPr>
        <w:t>Repare initiated IND-enabling studies in the first half of this year for a small molecule, now designated RP-1664, against an undisclosed target with potential to enter the clinic in late 2023 or early 2024.</w:t>
      </w:r>
    </w:p>
    <w:p>
      <w:pPr>
        <w:spacing w:after="0" w:line="93" w:lineRule="exact"/>
        <w:rPr>
          <w:rFonts w:ascii="Arial" w:cs="Arial" w:eastAsia="Arial" w:hAnsi="Arial"/>
          <w:sz w:val="22"/>
          <w:szCs w:val="22"/>
          <w:color w:val="auto"/>
        </w:rPr>
      </w:pPr>
    </w:p>
    <w:p>
      <w:pPr>
        <w:ind w:left="1023" w:right="20" w:hanging="514"/>
        <w:spacing w:after="0" w:line="238" w:lineRule="auto"/>
        <w:tabs>
          <w:tab w:leader="none" w:pos="1023" w:val="left"/>
        </w:tabs>
        <w:numPr>
          <w:ilvl w:val="1"/>
          <w:numId w:val="4"/>
        </w:numPr>
        <w:rPr>
          <w:rFonts w:ascii="Arial" w:cs="Arial" w:eastAsia="Arial" w:hAnsi="Arial"/>
          <w:sz w:val="22"/>
          <w:szCs w:val="22"/>
          <w:color w:val="auto"/>
        </w:rPr>
      </w:pPr>
      <w:r>
        <w:rPr>
          <w:rFonts w:ascii="Arial" w:cs="Arial" w:eastAsia="Arial" w:hAnsi="Arial"/>
          <w:sz w:val="22"/>
          <w:szCs w:val="22"/>
          <w:color w:val="auto"/>
        </w:rPr>
        <w:t>Repare is also pursuing development of an inhibitor of polymerase theta (Polθ) that is expected to enter the clinic in 2024.</w:t>
      </w:r>
    </w:p>
    <w:p>
      <w:pPr>
        <w:spacing w:after="0" w:line="174" w:lineRule="exact"/>
        <w:rPr>
          <w:rFonts w:ascii="Arial" w:cs="Arial" w:eastAsia="Arial" w:hAnsi="Arial"/>
          <w:sz w:val="22"/>
          <w:szCs w:val="22"/>
          <w:color w:val="auto"/>
        </w:rPr>
      </w:pPr>
    </w:p>
    <w:p>
      <w:pPr>
        <w:jc w:val="both"/>
        <w:ind w:left="503" w:hanging="503"/>
        <w:spacing w:after="0" w:line="263" w:lineRule="auto"/>
        <w:tabs>
          <w:tab w:leader="none" w:pos="503" w:val="left"/>
        </w:tabs>
        <w:numPr>
          <w:ilvl w:val="0"/>
          <w:numId w:val="4"/>
        </w:numPr>
        <w:rPr>
          <w:rFonts w:ascii="Arial" w:cs="Arial" w:eastAsia="Arial" w:hAnsi="Arial"/>
          <w:sz w:val="21"/>
          <w:szCs w:val="21"/>
          <w:color w:val="auto"/>
        </w:rPr>
      </w:pPr>
      <w:r>
        <w:rPr>
          <w:rFonts w:ascii="Arial" w:cs="Arial" w:eastAsia="Arial" w:hAnsi="Arial"/>
          <w:sz w:val="21"/>
          <w:szCs w:val="21"/>
          <w:b w:val="1"/>
          <w:bCs w:val="1"/>
          <w:color w:val="auto"/>
        </w:rPr>
        <w:t>In April 2023, Repare announced the appointment of Susan Molineaux, Ph.D., to its Board of Directors, effective as of the date of the Company’s upcoming annual meeting of shareholders in June 2023. Concurrent with Dr. Molineaux’s appointment as of the date of the annual meeting, Jerel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-335280</wp:posOffset>
            </wp:positionH>
            <wp:positionV relativeFrom="paragraph">
              <wp:posOffset>172720</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723"/>
          </w:cols>
          <w:pgMar w:left="837" w:top="457" w:right="339" w:bottom="1440" w:gutter="0" w:footer="0" w:header="0"/>
        </w:sectPr>
      </w:pPr>
    </w:p>
    <w:bookmarkStart w:id="5" w:name="page6"/>
    <w:bookmarkEnd w:id="5"/>
    <w:p>
      <w:pPr>
        <w:jc w:val="both"/>
        <w:ind w:left="1020"/>
        <w:spacing w:after="0" w:line="245" w:lineRule="auto"/>
        <w:rPr>
          <w:sz w:val="20"/>
          <w:szCs w:val="20"/>
          <w:color w:val="auto"/>
        </w:rPr>
      </w:pPr>
      <w:r>
        <w:rPr>
          <w:rFonts w:ascii="Arial" w:cs="Arial" w:eastAsia="Arial" w:hAnsi="Arial"/>
          <w:sz w:val="22"/>
          <w:szCs w:val="22"/>
          <w:b w:val="1"/>
          <w:bCs w:val="1"/>
          <w:color w:val="auto"/>
        </w:rPr>
        <w:t>Davis, Ph.D., Managing Director at Versant Ventures and a founding member of Repare’s Board of Directors, will step down from the Board. Additionally, Repare has expanded the senior leadership team with the appointment of Daniel Belanger as EVP Human Resources in May 2023.</w:t>
      </w:r>
    </w:p>
    <w:p>
      <w:pPr>
        <w:spacing w:after="0" w:line="27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First Quarter 2023 Financial Results:</w:t>
      </w:r>
    </w:p>
    <w:p>
      <w:pPr>
        <w:spacing w:after="0" w:line="98" w:lineRule="exact"/>
        <w:rPr>
          <w:sz w:val="20"/>
          <w:szCs w:val="20"/>
          <w:color w:val="auto"/>
        </w:rPr>
      </w:pPr>
    </w:p>
    <w:p>
      <w:pPr>
        <w:ind w:left="1020" w:hanging="503"/>
        <w:spacing w:after="0" w:line="261" w:lineRule="auto"/>
        <w:tabs>
          <w:tab w:leader="none" w:pos="1020" w:val="left"/>
        </w:tabs>
        <w:numPr>
          <w:ilvl w:val="0"/>
          <w:numId w:val="5"/>
        </w:numPr>
        <w:rPr>
          <w:rFonts w:ascii="Arial" w:cs="Arial" w:eastAsia="Arial" w:hAnsi="Arial"/>
          <w:sz w:val="22"/>
          <w:szCs w:val="22"/>
          <w:color w:val="auto"/>
        </w:rPr>
      </w:pPr>
      <w:r>
        <w:rPr>
          <w:rFonts w:ascii="Arial" w:cs="Arial" w:eastAsia="Arial" w:hAnsi="Arial"/>
          <w:sz w:val="22"/>
          <w:szCs w:val="22"/>
          <w:b w:val="1"/>
          <w:bCs w:val="1"/>
          <w:color w:val="auto"/>
        </w:rPr>
        <w:t xml:space="preserve">Cash and cash equivalents and marketable securities: </w:t>
      </w:r>
      <w:r>
        <w:rPr>
          <w:rFonts w:ascii="Arial" w:cs="Arial" w:eastAsia="Arial" w:hAnsi="Arial"/>
          <w:sz w:val="22"/>
          <w:szCs w:val="22"/>
          <w:color w:val="auto"/>
        </w:rPr>
        <w:t>Cash and cash equivalents and marketable</w:t>
      </w:r>
      <w:r>
        <w:rPr>
          <w:rFonts w:ascii="Arial" w:cs="Arial" w:eastAsia="Arial" w:hAnsi="Arial"/>
          <w:sz w:val="22"/>
          <w:szCs w:val="22"/>
          <w:b w:val="1"/>
          <w:bCs w:val="1"/>
          <w:color w:val="auto"/>
        </w:rPr>
        <w:t xml:space="preserve"> </w:t>
      </w:r>
      <w:r>
        <w:rPr>
          <w:rFonts w:ascii="Arial" w:cs="Arial" w:eastAsia="Arial" w:hAnsi="Arial"/>
          <w:sz w:val="22"/>
          <w:szCs w:val="22"/>
          <w:color w:val="auto"/>
        </w:rPr>
        <w:t>securities as of March 31, 2023 were $314.1 million.</w:t>
      </w:r>
    </w:p>
    <w:p>
      <w:pPr>
        <w:spacing w:after="0" w:line="43" w:lineRule="exact"/>
        <w:rPr>
          <w:rFonts w:ascii="Arial" w:cs="Arial" w:eastAsia="Arial" w:hAnsi="Arial"/>
          <w:sz w:val="22"/>
          <w:szCs w:val="22"/>
          <w:color w:val="auto"/>
        </w:rPr>
      </w:pPr>
    </w:p>
    <w:p>
      <w:pPr>
        <w:jc w:val="both"/>
        <w:ind w:left="1020" w:hanging="503"/>
        <w:spacing w:after="0"/>
        <w:tabs>
          <w:tab w:leader="none" w:pos="1020" w:val="left"/>
        </w:tabs>
        <w:numPr>
          <w:ilvl w:val="0"/>
          <w:numId w:val="5"/>
        </w:numPr>
        <w:rPr>
          <w:rFonts w:ascii="Arial" w:cs="Arial" w:eastAsia="Arial" w:hAnsi="Arial"/>
          <w:sz w:val="22"/>
          <w:szCs w:val="22"/>
          <w:color w:val="auto"/>
        </w:rPr>
      </w:pPr>
      <w:r>
        <w:rPr>
          <w:rFonts w:ascii="Arial" w:cs="Arial" w:eastAsia="Arial" w:hAnsi="Arial"/>
          <w:sz w:val="22"/>
          <w:szCs w:val="22"/>
          <w:b w:val="1"/>
          <w:bCs w:val="1"/>
          <w:color w:val="auto"/>
        </w:rPr>
        <w:t xml:space="preserve">Revenue from collaboration agreements: </w:t>
      </w:r>
      <w:r>
        <w:rPr>
          <w:rFonts w:ascii="Arial" w:cs="Arial" w:eastAsia="Arial" w:hAnsi="Arial"/>
          <w:sz w:val="22"/>
          <w:szCs w:val="22"/>
          <w:color w:val="auto"/>
        </w:rPr>
        <w:t>Revenue from collaboration agreements were $5.7 million and</w:t>
      </w:r>
      <w:r>
        <w:rPr>
          <w:rFonts w:ascii="Arial" w:cs="Arial" w:eastAsia="Arial" w:hAnsi="Arial"/>
          <w:sz w:val="22"/>
          <w:szCs w:val="22"/>
          <w:b w:val="1"/>
          <w:bCs w:val="1"/>
          <w:color w:val="auto"/>
        </w:rPr>
        <w:t xml:space="preserve"> </w:t>
      </w:r>
      <w:r>
        <w:rPr>
          <w:rFonts w:ascii="Arial" w:cs="Arial" w:eastAsia="Arial" w:hAnsi="Arial"/>
          <w:sz w:val="22"/>
          <w:szCs w:val="22"/>
          <w:color w:val="auto"/>
        </w:rPr>
        <w:t>$0.4 million for the three months ended March 31, 2023 and 2022, respectively. The year-over-year increase in revenue was due to revenue recognized from our collaboration and license agreement with Roche.</w:t>
      </w:r>
    </w:p>
    <w:p>
      <w:pPr>
        <w:spacing w:after="0" w:line="68" w:lineRule="exact"/>
        <w:rPr>
          <w:rFonts w:ascii="Arial" w:cs="Arial" w:eastAsia="Arial" w:hAnsi="Arial"/>
          <w:sz w:val="22"/>
          <w:szCs w:val="22"/>
          <w:color w:val="auto"/>
        </w:rPr>
      </w:pPr>
    </w:p>
    <w:p>
      <w:pPr>
        <w:jc w:val="both"/>
        <w:ind w:left="1020" w:hanging="503"/>
        <w:spacing w:after="0" w:line="238" w:lineRule="auto"/>
        <w:tabs>
          <w:tab w:leader="none" w:pos="1020" w:val="left"/>
        </w:tabs>
        <w:numPr>
          <w:ilvl w:val="0"/>
          <w:numId w:val="5"/>
        </w:numPr>
        <w:rPr>
          <w:rFonts w:ascii="Arial" w:cs="Arial" w:eastAsia="Arial" w:hAnsi="Arial"/>
          <w:sz w:val="22"/>
          <w:szCs w:val="22"/>
          <w:color w:val="auto"/>
        </w:rPr>
      </w:pPr>
      <w:r>
        <w:rPr>
          <w:rFonts w:ascii="Arial" w:cs="Arial" w:eastAsia="Arial" w:hAnsi="Arial"/>
          <w:sz w:val="22"/>
          <w:szCs w:val="22"/>
          <w:b w:val="1"/>
          <w:bCs w:val="1"/>
          <w:color w:val="auto"/>
        </w:rPr>
        <w:t xml:space="preserve">Research and development expenses, net of tax credits (Net R&amp;D): </w:t>
      </w:r>
      <w:r>
        <w:rPr>
          <w:rFonts w:ascii="Arial" w:cs="Arial" w:eastAsia="Arial" w:hAnsi="Arial"/>
          <w:sz w:val="22"/>
          <w:szCs w:val="22"/>
          <w:color w:val="auto"/>
        </w:rPr>
        <w:t>Net R&amp;D expenses were $31.8</w:t>
      </w:r>
      <w:r>
        <w:rPr>
          <w:rFonts w:ascii="Arial" w:cs="Arial" w:eastAsia="Arial" w:hAnsi="Arial"/>
          <w:sz w:val="22"/>
          <w:szCs w:val="22"/>
          <w:b w:val="1"/>
          <w:bCs w:val="1"/>
          <w:color w:val="auto"/>
        </w:rPr>
        <w:t xml:space="preserve"> </w:t>
      </w:r>
      <w:r>
        <w:rPr>
          <w:rFonts w:ascii="Arial" w:cs="Arial" w:eastAsia="Arial" w:hAnsi="Arial"/>
          <w:sz w:val="22"/>
          <w:szCs w:val="22"/>
          <w:color w:val="auto"/>
        </w:rPr>
        <w:t>million and $26.5 million for the three months ended March 31, 2023 and 2022, respectively. The year-over-year increase in Net R&amp;D expenses was primarily due to higher personnel related costs from headcount in support of our development activities, and direct external costs related to the advancement of preclinical programs into IND-enabling studies.</w:t>
      </w:r>
    </w:p>
    <w:p>
      <w:pPr>
        <w:spacing w:after="0" w:line="68" w:lineRule="exact"/>
        <w:rPr>
          <w:rFonts w:ascii="Arial" w:cs="Arial" w:eastAsia="Arial" w:hAnsi="Arial"/>
          <w:sz w:val="22"/>
          <w:szCs w:val="22"/>
          <w:color w:val="auto"/>
        </w:rPr>
      </w:pPr>
    </w:p>
    <w:p>
      <w:pPr>
        <w:jc w:val="both"/>
        <w:ind w:left="1020" w:hanging="503"/>
        <w:spacing w:after="0"/>
        <w:tabs>
          <w:tab w:leader="none" w:pos="1020" w:val="left"/>
        </w:tabs>
        <w:numPr>
          <w:ilvl w:val="0"/>
          <w:numId w:val="5"/>
        </w:numPr>
        <w:rPr>
          <w:rFonts w:ascii="Arial" w:cs="Arial" w:eastAsia="Arial" w:hAnsi="Arial"/>
          <w:sz w:val="22"/>
          <w:szCs w:val="22"/>
          <w:color w:val="auto"/>
        </w:rPr>
      </w:pPr>
      <w:r>
        <w:rPr>
          <w:rFonts w:ascii="Arial" w:cs="Arial" w:eastAsia="Arial" w:hAnsi="Arial"/>
          <w:sz w:val="22"/>
          <w:szCs w:val="22"/>
          <w:b w:val="1"/>
          <w:bCs w:val="1"/>
          <w:color w:val="auto"/>
        </w:rPr>
        <w:t xml:space="preserve">General and administrative (G&amp;A) expenses: </w:t>
      </w:r>
      <w:r>
        <w:rPr>
          <w:rFonts w:ascii="Arial" w:cs="Arial" w:eastAsia="Arial" w:hAnsi="Arial"/>
          <w:sz w:val="22"/>
          <w:szCs w:val="22"/>
          <w:color w:val="auto"/>
        </w:rPr>
        <w:t>G&amp;A expenses were $8.6 million and $8.8 million for three</w:t>
      </w:r>
      <w:r>
        <w:rPr>
          <w:rFonts w:ascii="Arial" w:cs="Arial" w:eastAsia="Arial" w:hAnsi="Arial"/>
          <w:sz w:val="22"/>
          <w:szCs w:val="22"/>
          <w:b w:val="1"/>
          <w:bCs w:val="1"/>
          <w:color w:val="auto"/>
        </w:rPr>
        <w:t xml:space="preserve"> </w:t>
      </w:r>
      <w:r>
        <w:rPr>
          <w:rFonts w:ascii="Arial" w:cs="Arial" w:eastAsia="Arial" w:hAnsi="Arial"/>
          <w:sz w:val="22"/>
          <w:szCs w:val="22"/>
          <w:color w:val="auto"/>
        </w:rPr>
        <w:t>months ended March 31, 2023 and 2022, respectively. The year-over-year decrease in G&amp;A was primarily due to lower professional fees associated with our collaboration and license agreement with Roche and lower D&amp;O insurance premiums, offset by higher personnel related costs.</w:t>
      </w:r>
    </w:p>
    <w:p>
      <w:pPr>
        <w:spacing w:after="0" w:line="68" w:lineRule="exact"/>
        <w:rPr>
          <w:rFonts w:ascii="Arial" w:cs="Arial" w:eastAsia="Arial" w:hAnsi="Arial"/>
          <w:sz w:val="22"/>
          <w:szCs w:val="22"/>
          <w:color w:val="auto"/>
        </w:rPr>
      </w:pPr>
    </w:p>
    <w:p>
      <w:pPr>
        <w:ind w:left="1020" w:right="20" w:hanging="503"/>
        <w:spacing w:after="0" w:line="261" w:lineRule="auto"/>
        <w:tabs>
          <w:tab w:leader="none" w:pos="1020" w:val="left"/>
        </w:tabs>
        <w:numPr>
          <w:ilvl w:val="0"/>
          <w:numId w:val="5"/>
        </w:numPr>
        <w:rPr>
          <w:rFonts w:ascii="Arial" w:cs="Arial" w:eastAsia="Arial" w:hAnsi="Arial"/>
          <w:sz w:val="22"/>
          <w:szCs w:val="22"/>
          <w:color w:val="auto"/>
        </w:rPr>
      </w:pPr>
      <w:r>
        <w:rPr>
          <w:rFonts w:ascii="Arial" w:cs="Arial" w:eastAsia="Arial" w:hAnsi="Arial"/>
          <w:sz w:val="22"/>
          <w:szCs w:val="22"/>
          <w:b w:val="1"/>
          <w:bCs w:val="1"/>
          <w:color w:val="auto"/>
        </w:rPr>
        <w:t xml:space="preserve">Net loss: </w:t>
      </w:r>
      <w:r>
        <w:rPr>
          <w:rFonts w:ascii="Arial" w:cs="Arial" w:eastAsia="Arial" w:hAnsi="Arial"/>
          <w:sz w:val="22"/>
          <w:szCs w:val="22"/>
          <w:color w:val="auto"/>
        </w:rPr>
        <w:t>Net loss was $34.9 million, or $0.83 per share, in the three months ended March 31, 2023, and</w:t>
      </w:r>
      <w:r>
        <w:rPr>
          <w:rFonts w:ascii="Arial" w:cs="Arial" w:eastAsia="Arial" w:hAnsi="Arial"/>
          <w:sz w:val="22"/>
          <w:szCs w:val="22"/>
          <w:b w:val="1"/>
          <w:bCs w:val="1"/>
          <w:color w:val="auto"/>
        </w:rPr>
        <w:t xml:space="preserve"> </w:t>
      </w:r>
      <w:r>
        <w:rPr>
          <w:rFonts w:ascii="Arial" w:cs="Arial" w:eastAsia="Arial" w:hAnsi="Arial"/>
          <w:sz w:val="22"/>
          <w:szCs w:val="22"/>
          <w:color w:val="auto"/>
        </w:rPr>
        <w:t>$34.8 million, or $0.83 per share in the three months ended March 31, 2022.</w:t>
      </w:r>
    </w:p>
    <w:p>
      <w:pPr>
        <w:spacing w:after="0" w:line="260"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Repare Therapeutics’ SNIPRx® Platform</w:t>
      </w:r>
    </w:p>
    <w:p>
      <w:pPr>
        <w:spacing w:after="0" w:line="124" w:lineRule="exact"/>
        <w:rPr>
          <w:sz w:val="20"/>
          <w:szCs w:val="20"/>
          <w:color w:val="auto"/>
        </w:rPr>
      </w:pPr>
    </w:p>
    <w:p>
      <w:pPr>
        <w:jc w:val="both"/>
        <w:spacing w:after="0" w:line="233" w:lineRule="auto"/>
        <w:rPr>
          <w:sz w:val="20"/>
          <w:szCs w:val="20"/>
          <w:color w:val="auto"/>
        </w:rPr>
      </w:pPr>
      <w:r>
        <w:rPr>
          <w:rFonts w:ascii="Arial" w:cs="Arial" w:eastAsia="Arial" w:hAnsi="Arial"/>
          <w:sz w:val="22"/>
          <w:szCs w:val="22"/>
          <w:color w:val="auto"/>
        </w:rPr>
        <w:t>Repare’s SNIPRx® platform is a genome-wide CRISPR-based screening approach that utilizes proprietary isogenic cell lines to identify novel and known synthetic lethal gene pairs and the corresponding patients who are most likely to benefit from the Company’s therapies based on the genetic profile of their tumors. Repare’s platform enables the development of precision therapeutics in patients whose tumors contain one or more genomic alterations identified by SNIPRx® screening, in order to selectively target those tumors in patients most likely to achieve clinical benefit from resulting product candidates.</w:t>
      </w:r>
    </w:p>
    <w:p>
      <w:pPr>
        <w:spacing w:after="0" w:line="2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Repare Therapeutics, Inc.</w:t>
      </w:r>
    </w:p>
    <w:p>
      <w:pPr>
        <w:spacing w:after="0" w:line="124" w:lineRule="exact"/>
        <w:rPr>
          <w:sz w:val="20"/>
          <w:szCs w:val="20"/>
          <w:color w:val="auto"/>
        </w:rPr>
      </w:pPr>
    </w:p>
    <w:p>
      <w:pPr>
        <w:jc w:val="both"/>
        <w:spacing w:after="0" w:line="244" w:lineRule="auto"/>
        <w:rPr>
          <w:sz w:val="20"/>
          <w:szCs w:val="20"/>
          <w:color w:val="auto"/>
        </w:rPr>
      </w:pPr>
      <w:r>
        <w:rPr>
          <w:rFonts w:ascii="Arial" w:cs="Arial" w:eastAsia="Arial" w:hAnsi="Arial"/>
          <w:sz w:val="21"/>
          <w:szCs w:val="21"/>
          <w:color w:val="auto"/>
        </w:rPr>
        <w:t xml:space="preserve">Repare Therapeutics is a leading clinical-stage precision oncology company enabled by its proprietary synthetic lethality approach to the discovery and development of novel therapeutics. The Company utilizes its genome-wide, CRISPR-enabled SNIPRx® platform to systematically discover and develop highly targeted cancer therapies focused on genomic instability, including DNA damage repair. The Company’s pipeline includes RP-6306, a PKMYT1 inhibitor currently in Phase 1 clinical development; camonsertib (also known as RP-3500 or RG6526), a potential leading ATR inhibitor currently in Phase 1/2 clinical development and partnered with Roche; a preclinical Polθ inhibitor program; as well as several undisclosed preclinical programs, including RP-1664. For more information, please visit </w:t>
      </w:r>
      <w:r>
        <w:rPr>
          <w:rFonts w:ascii="Arial" w:cs="Arial" w:eastAsia="Arial" w:hAnsi="Arial"/>
          <w:sz w:val="21"/>
          <w:szCs w:val="21"/>
          <w:u w:val="single" w:color="auto"/>
          <w:color w:val="auto"/>
        </w:rPr>
        <w:t>reparerx.com</w:t>
      </w:r>
      <w:r>
        <w:rPr>
          <w:rFonts w:ascii="Arial" w:cs="Arial" w:eastAsia="Arial" w:hAnsi="Arial"/>
          <w:sz w:val="21"/>
          <w:szCs w:val="21"/>
          <w:color w:val="auto"/>
        </w:rPr>
        <w:t>.</w:t>
      </w:r>
    </w:p>
    <w:p>
      <w:pPr>
        <w:spacing w:after="0" w:line="90" w:lineRule="exact"/>
        <w:rPr>
          <w:sz w:val="20"/>
          <w:szCs w:val="20"/>
          <w:color w:val="auto"/>
        </w:rPr>
      </w:pPr>
    </w:p>
    <w:p>
      <w:pPr>
        <w:spacing w:after="0"/>
        <w:rPr>
          <w:sz w:val="20"/>
          <w:szCs w:val="20"/>
          <w:color w:val="auto"/>
        </w:rPr>
      </w:pPr>
      <w:r>
        <w:rPr>
          <w:rFonts w:ascii="Arial" w:cs="Arial" w:eastAsia="Arial" w:hAnsi="Arial"/>
          <w:sz w:val="22"/>
          <w:szCs w:val="22"/>
          <w:color w:val="auto"/>
        </w:rPr>
        <w:t>SNIPRx® is a registered trademark of Repare Therapeutics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191135</wp:posOffset>
            </wp:positionV>
            <wp:extent cx="71577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9" w:right="339" w:bottom="1440" w:gutter="0" w:footer="0" w:header="0"/>
        </w:sectPr>
      </w:pPr>
    </w:p>
    <w:bookmarkStart w:id="6" w:name="page7"/>
    <w:bookmarkEnd w:id="6"/>
    <w:p>
      <w:pPr>
        <w:spacing w:after="0"/>
        <w:rPr>
          <w:sz w:val="20"/>
          <w:szCs w:val="20"/>
          <w:color w:val="auto"/>
        </w:rPr>
      </w:pPr>
      <w:r>
        <w:rPr>
          <w:rFonts w:ascii="Arial" w:cs="Arial" w:eastAsia="Arial" w:hAnsi="Arial"/>
          <w:sz w:val="22"/>
          <w:szCs w:val="22"/>
          <w:b w:val="1"/>
          <w:bCs w:val="1"/>
          <w:color w:val="auto"/>
        </w:rPr>
        <w:t>Forward-Looking Statements</w:t>
      </w:r>
    </w:p>
    <w:p>
      <w:pPr>
        <w:spacing w:after="0" w:line="124" w:lineRule="exact"/>
        <w:rPr>
          <w:sz w:val="20"/>
          <w:szCs w:val="20"/>
          <w:color w:val="auto"/>
        </w:rPr>
      </w:pPr>
    </w:p>
    <w:p>
      <w:pPr>
        <w:jc w:val="both"/>
        <w:spacing w:after="0" w:line="242" w:lineRule="auto"/>
        <w:rPr>
          <w:sz w:val="20"/>
          <w:szCs w:val="20"/>
          <w:color w:val="auto"/>
        </w:rPr>
      </w:pPr>
      <w:r>
        <w:rPr>
          <w:rFonts w:ascii="Arial" w:cs="Arial" w:eastAsia="Arial" w:hAnsi="Arial"/>
          <w:sz w:val="21"/>
          <w:szCs w:val="21"/>
          <w:color w:val="auto"/>
        </w:rPr>
        <w:t>This press release contains “forward-looking statements” within the meaning of the Private Securities Litigation Reform Act of 1995 and securities laws in Canada. All statements in this press release other than statements of historical facts are “forward-looking statements. These statements may be identified by words such as “aims,” “anticipates,” “believes,” “could,” “estimates,” “expects,” “forecasts,” “goal,” “intends,” “may,” “plans,” “possible,” “potential,” “seeks,” “will” and variations of these words or similar expressions that are intended to identify forward-looking statements, although not all forward-looking statements contain these words. Forward-looking statements in this press release include, but are not limited to, statements regarding: the safety, efficacy and clinical progress of the Company’s clinical programs, including RP-6306 and camonsertib; the clinical and preclinical development of the Company’s pipeline and its research and development programs, including the anticipated timing, anticipated patient enrollment, trial outcomes or associated costs of its clinical trials of RP-6306 and camonsertib and ongoing preclinical studies and future clinical trials of the Company's RP-1664 and Polθ inhibitor programs; the Company’s continued development of camonsertib in partnership with Roche; the status of clinical trials (including, without limitation, expectations regarding the data that is being presented, the expected timing of data releases and development, as well as the completion of clinical trials) and development timelines for the Company’s product candidates; ; and the expected benefits of the Company’s collaborations and partnerships. These forward-looking statements are based on the Company’s expectations and assumptions as of the date of this press release. Each of these forward-looking statements involves risks and uncertainties that could cause the Company’s clinical development programs, future results or performance to differ materially from those expressed or implied by the forward-looking statements. Many factors may cause differences between current expectations and actual results, including: the evolving impact of macroeconomic events, including the COVID-19 pandemic, rising inflation, the U.S. Federal Reserve raising interest rates, recent disruptions in access to bank deposits or lending commitments due to bank failures and the Russia-Ukraine war, on the Company’s business, clinical trials and financial position; unexpected safety or efficacy data observed during preclinical studies or clinical trials; clinical trial site activation or enrollment rates that are lower than expected; changes in expected or existing competition; changes in the regulatory environment; the uncertainties and timing of the regulatory approval process; and unexpected litigation or other disputes. Other factors that may cause the Company’s actual results to differ from those expressed or implied in the forward-looking statements in this press release are identified in the section titled "Risk Factors" in the Company’s Annual Report on Form 10-K for the year ended December 31, 2022 filed with the Securities and Exchange Commission (“SEC”) and the Québec Autorité des Marchés Financiers ("AMF") on February 28, 2023, and its other documents subsequently filed with or furnished to the SEC and AMF. The Company expressly disclaims any obligation to update any forward-looking statements contained herein, whether as a result of any new information, future events, changed circumstances or otherwise, except as otherwise required by law. For more information, please visit reparerx.com and follow Repare on Twitter at @RepareRx and on LinkedIn at https://www.linkedin.com/company/repare-therapeutics/.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186690</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47"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Repare Therapeutics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of U.S. dollars, except share data)</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77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560" w:type="dxa"/>
            <w:vAlign w:val="bottom"/>
            <w:gridSpan w:val="2"/>
          </w:tcPr>
          <w:p>
            <w:pPr>
              <w:jc w:val="center"/>
              <w:ind w:right="620"/>
              <w:spacing w:after="0"/>
              <w:rPr>
                <w:sz w:val="20"/>
                <w:szCs w:val="20"/>
                <w:color w:val="auto"/>
              </w:rPr>
            </w:pPr>
            <w:r>
              <w:rPr>
                <w:rFonts w:ascii="Arial" w:cs="Arial" w:eastAsia="Arial" w:hAnsi="Arial"/>
                <w:sz w:val="13"/>
                <w:szCs w:val="13"/>
                <w:b w:val="1"/>
                <w:bCs w:val="1"/>
                <w:color w:val="auto"/>
                <w:w w:val="92"/>
              </w:rPr>
              <w:t>As of</w:t>
            </w:r>
          </w:p>
        </w:tc>
        <w:tc>
          <w:tcPr>
            <w:tcW w:w="240" w:type="dxa"/>
            <w:vAlign w:val="bottom"/>
          </w:tcPr>
          <w:p>
            <w:pPr>
              <w:spacing w:after="0"/>
              <w:rPr>
                <w:sz w:val="13"/>
                <w:szCs w:val="13"/>
                <w:color w:val="auto"/>
              </w:rPr>
            </w:pPr>
          </w:p>
        </w:tc>
        <w:tc>
          <w:tcPr>
            <w:tcW w:w="1420" w:type="dxa"/>
            <w:vAlign w:val="bottom"/>
            <w:gridSpan w:val="2"/>
          </w:tcPr>
          <w:p>
            <w:pPr>
              <w:jc w:val="center"/>
              <w:ind w:right="380"/>
              <w:spacing w:after="0"/>
              <w:rPr>
                <w:sz w:val="20"/>
                <w:szCs w:val="20"/>
                <w:color w:val="auto"/>
              </w:rPr>
            </w:pPr>
            <w:r>
              <w:rPr>
                <w:rFonts w:ascii="Arial" w:cs="Arial" w:eastAsia="Arial" w:hAnsi="Arial"/>
                <w:sz w:val="13"/>
                <w:szCs w:val="13"/>
                <w:b w:val="1"/>
                <w:bCs w:val="1"/>
                <w:color w:val="auto"/>
                <w:w w:val="86"/>
              </w:rPr>
              <w:t>As of</w:t>
            </w:r>
          </w:p>
        </w:tc>
      </w:tr>
      <w:tr>
        <w:trPr>
          <w:trHeight w:val="175"/>
        </w:trPr>
        <w:tc>
          <w:tcPr>
            <w:tcW w:w="77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560" w:type="dxa"/>
            <w:vAlign w:val="bottom"/>
            <w:gridSpan w:val="2"/>
          </w:tcPr>
          <w:p>
            <w:pPr>
              <w:jc w:val="center"/>
              <w:ind w:right="580"/>
              <w:spacing w:after="0"/>
              <w:rPr>
                <w:sz w:val="20"/>
                <w:szCs w:val="20"/>
                <w:color w:val="auto"/>
              </w:rPr>
            </w:pPr>
            <w:r>
              <w:rPr>
                <w:rFonts w:ascii="Arial" w:cs="Arial" w:eastAsia="Arial" w:hAnsi="Arial"/>
                <w:sz w:val="13"/>
                <w:szCs w:val="13"/>
                <w:b w:val="1"/>
                <w:bCs w:val="1"/>
                <w:color w:val="auto"/>
                <w:w w:val="96"/>
              </w:rPr>
              <w:t>March 31,</w:t>
            </w:r>
          </w:p>
        </w:tc>
        <w:tc>
          <w:tcPr>
            <w:tcW w:w="240" w:type="dxa"/>
            <w:vAlign w:val="bottom"/>
          </w:tcPr>
          <w:p>
            <w:pPr>
              <w:spacing w:after="0"/>
              <w:rPr>
                <w:sz w:val="15"/>
                <w:szCs w:val="15"/>
                <w:color w:val="auto"/>
              </w:rPr>
            </w:pPr>
          </w:p>
        </w:tc>
        <w:tc>
          <w:tcPr>
            <w:tcW w:w="1420" w:type="dxa"/>
            <w:vAlign w:val="bottom"/>
            <w:gridSpan w:val="2"/>
          </w:tcPr>
          <w:p>
            <w:pPr>
              <w:jc w:val="center"/>
              <w:ind w:right="360"/>
              <w:spacing w:after="0"/>
              <w:rPr>
                <w:sz w:val="20"/>
                <w:szCs w:val="20"/>
                <w:color w:val="auto"/>
              </w:rPr>
            </w:pPr>
            <w:r>
              <w:rPr>
                <w:rFonts w:ascii="Arial" w:cs="Arial" w:eastAsia="Arial" w:hAnsi="Arial"/>
                <w:sz w:val="13"/>
                <w:szCs w:val="13"/>
                <w:b w:val="1"/>
                <w:bCs w:val="1"/>
                <w:color w:val="auto"/>
                <w:w w:val="92"/>
              </w:rPr>
              <w:t>December 31,</w:t>
            </w:r>
          </w:p>
        </w:tc>
      </w:tr>
      <w:tr>
        <w:trPr>
          <w:trHeight w:val="169"/>
        </w:trPr>
        <w:tc>
          <w:tcPr>
            <w:tcW w:w="7720" w:type="dxa"/>
            <w:vAlign w:val="bottom"/>
          </w:tcPr>
          <w:p>
            <w:pPr>
              <w:spacing w:after="0"/>
              <w:rPr>
                <w:sz w:val="14"/>
                <w:szCs w:val="14"/>
                <w:color w:val="auto"/>
              </w:rPr>
            </w:pPr>
          </w:p>
        </w:tc>
        <w:tc>
          <w:tcPr>
            <w:tcW w:w="300" w:type="dxa"/>
            <w:vAlign w:val="bottom"/>
            <w:tcBorders>
              <w:top w:val="single" w:sz="8" w:color="auto"/>
              <w:bottom w:val="single" w:sz="8" w:color="auto"/>
            </w:tcBorders>
          </w:tcPr>
          <w:p>
            <w:pPr>
              <w:spacing w:after="0"/>
              <w:rPr>
                <w:sz w:val="14"/>
                <w:szCs w:val="14"/>
                <w:color w:val="auto"/>
              </w:rPr>
            </w:pPr>
          </w:p>
        </w:tc>
        <w:tc>
          <w:tcPr>
            <w:tcW w:w="1280" w:type="dxa"/>
            <w:vAlign w:val="bottom"/>
            <w:tcBorders>
              <w:top w:val="single" w:sz="8" w:color="auto"/>
              <w:bottom w:val="single" w:sz="8" w:color="auto"/>
            </w:tcBorders>
          </w:tcPr>
          <w:p>
            <w:pPr>
              <w:jc w:val="center"/>
              <w:ind w:right="220"/>
              <w:spacing w:after="0"/>
              <w:rPr>
                <w:sz w:val="20"/>
                <w:szCs w:val="20"/>
                <w:color w:val="auto"/>
              </w:rPr>
            </w:pPr>
            <w:r>
              <w:rPr>
                <w:rFonts w:ascii="Arial" w:cs="Arial" w:eastAsia="Arial" w:hAnsi="Arial"/>
                <w:sz w:val="13"/>
                <w:szCs w:val="13"/>
                <w:b w:val="1"/>
                <w:bCs w:val="1"/>
                <w:color w:val="auto"/>
                <w:w w:val="89"/>
              </w:rPr>
              <w:t>2023</w:t>
            </w:r>
          </w:p>
        </w:tc>
        <w:tc>
          <w:tcPr>
            <w:tcW w:w="280" w:type="dxa"/>
            <w:vAlign w:val="bottom"/>
          </w:tcPr>
          <w:p>
            <w:pPr>
              <w:spacing w:after="0"/>
              <w:rPr>
                <w:sz w:val="14"/>
                <w:szCs w:val="14"/>
                <w:color w:val="auto"/>
              </w:rPr>
            </w:pPr>
          </w:p>
        </w:tc>
        <w:tc>
          <w:tcPr>
            <w:tcW w:w="240" w:type="dxa"/>
            <w:vAlign w:val="bottom"/>
            <w:tcBorders>
              <w:top w:val="single" w:sz="8" w:color="auto"/>
              <w:bottom w:val="single" w:sz="8" w:color="auto"/>
            </w:tcBorders>
          </w:tcPr>
          <w:p>
            <w:pPr>
              <w:spacing w:after="0"/>
              <w:rPr>
                <w:sz w:val="14"/>
                <w:szCs w:val="14"/>
                <w:color w:val="auto"/>
              </w:rPr>
            </w:pPr>
          </w:p>
        </w:tc>
        <w:tc>
          <w:tcPr>
            <w:tcW w:w="1320" w:type="dxa"/>
            <w:vAlign w:val="bottom"/>
            <w:tcBorders>
              <w:top w:val="single" w:sz="8" w:color="auto"/>
              <w:bottom w:val="single" w:sz="8" w:color="auto"/>
            </w:tcBorders>
          </w:tcPr>
          <w:p>
            <w:pPr>
              <w:jc w:val="center"/>
              <w:ind w:right="160"/>
              <w:spacing w:after="0"/>
              <w:rPr>
                <w:sz w:val="20"/>
                <w:szCs w:val="20"/>
                <w:color w:val="auto"/>
              </w:rPr>
            </w:pPr>
            <w:r>
              <w:rPr>
                <w:rFonts w:ascii="Arial" w:cs="Arial" w:eastAsia="Arial" w:hAnsi="Arial"/>
                <w:sz w:val="13"/>
                <w:szCs w:val="13"/>
                <w:b w:val="1"/>
                <w:bCs w:val="1"/>
                <w:color w:val="auto"/>
                <w:w w:val="96"/>
              </w:rPr>
              <w:t>2022</w:t>
            </w:r>
          </w:p>
        </w:tc>
        <w:tc>
          <w:tcPr>
            <w:tcW w:w="100" w:type="dxa"/>
            <w:vAlign w:val="bottom"/>
          </w:tcPr>
          <w:p>
            <w:pPr>
              <w:spacing w:after="0"/>
              <w:rPr>
                <w:sz w:val="14"/>
                <w:szCs w:val="14"/>
                <w:color w:val="auto"/>
              </w:rPr>
            </w:pPr>
          </w:p>
        </w:tc>
      </w:tr>
      <w:tr>
        <w:trPr>
          <w:trHeight w:val="223"/>
        </w:trPr>
        <w:tc>
          <w:tcPr>
            <w:tcW w:w="7720" w:type="dxa"/>
            <w:vAlign w:val="bottom"/>
            <w:shd w:val="clear" w:color="auto" w:fill="CFF0FC"/>
          </w:tcPr>
          <w:p>
            <w:pPr>
              <w:ind w:left="20"/>
              <w:spacing w:after="0"/>
              <w:rPr>
                <w:sz w:val="20"/>
                <w:szCs w:val="20"/>
                <w:color w:val="auto"/>
              </w:rPr>
            </w:pPr>
            <w:r>
              <w:rPr>
                <w:rFonts w:ascii="Arial" w:cs="Arial" w:eastAsia="Arial" w:hAnsi="Arial"/>
                <w:sz w:val="16"/>
                <w:szCs w:val="16"/>
                <w:b w:val="1"/>
                <w:bCs w:val="1"/>
                <w:color w:val="auto"/>
              </w:rPr>
              <w:t>ASSETS</w:t>
            </w:r>
          </w:p>
        </w:tc>
        <w:tc>
          <w:tcPr>
            <w:tcW w:w="300" w:type="dxa"/>
            <w:vAlign w:val="bottom"/>
            <w:shd w:val="clear" w:color="auto" w:fill="CFF0FC"/>
          </w:tcPr>
          <w:p>
            <w:pPr>
              <w:spacing w:after="0"/>
              <w:rPr>
                <w:sz w:val="19"/>
                <w:szCs w:val="19"/>
                <w:color w:val="auto"/>
              </w:rPr>
            </w:pPr>
          </w:p>
        </w:tc>
        <w:tc>
          <w:tcPr>
            <w:tcW w:w="12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20"/>
        </w:trPr>
        <w:tc>
          <w:tcPr>
            <w:tcW w:w="7720" w:type="dxa"/>
            <w:vAlign w:val="bottom"/>
          </w:tcPr>
          <w:p>
            <w:pPr>
              <w:ind w:left="20"/>
              <w:spacing w:after="0"/>
              <w:rPr>
                <w:sz w:val="20"/>
                <w:szCs w:val="20"/>
                <w:color w:val="auto"/>
              </w:rPr>
            </w:pPr>
            <w:r>
              <w:rPr>
                <w:rFonts w:ascii="Arial" w:cs="Arial" w:eastAsia="Arial" w:hAnsi="Arial"/>
                <w:sz w:val="16"/>
                <w:szCs w:val="16"/>
                <w:color w:val="auto"/>
              </w:rPr>
              <w:t>CURRENT ASSETS:</w:t>
            </w:r>
          </w:p>
        </w:tc>
        <w:tc>
          <w:tcPr>
            <w:tcW w:w="30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39"/>
        </w:trPr>
        <w:tc>
          <w:tcPr>
            <w:tcW w:w="7720" w:type="dxa"/>
            <w:vAlign w:val="bottom"/>
            <w:shd w:val="clear" w:color="auto" w:fill="CFF0FC"/>
          </w:tcPr>
          <w:p>
            <w:pPr>
              <w:ind w:left="200"/>
              <w:spacing w:after="0"/>
              <w:rPr>
                <w:sz w:val="20"/>
                <w:szCs w:val="20"/>
                <w:color w:val="auto"/>
              </w:rPr>
            </w:pPr>
            <w:r>
              <w:rPr>
                <w:rFonts w:ascii="Arial" w:cs="Arial" w:eastAsia="Arial" w:hAnsi="Arial"/>
                <w:sz w:val="16"/>
                <w:szCs w:val="16"/>
                <w:color w:val="auto"/>
              </w:rPr>
              <w:t>Cash and cash equivalents</w:t>
            </w:r>
          </w:p>
        </w:tc>
        <w:tc>
          <w:tcPr>
            <w:tcW w:w="300" w:type="dxa"/>
            <w:vAlign w:val="bottom"/>
            <w:shd w:val="clear" w:color="auto" w:fill="CFF0FC"/>
          </w:tcPr>
          <w:p>
            <w:pPr>
              <w:jc w:val="right"/>
              <w:ind w:right="119"/>
              <w:spacing w:after="0"/>
              <w:rPr>
                <w:sz w:val="20"/>
                <w:szCs w:val="20"/>
                <w:color w:val="auto"/>
              </w:rPr>
            </w:pPr>
            <w:r>
              <w:rPr>
                <w:rFonts w:ascii="Arial" w:cs="Arial" w:eastAsia="Arial" w:hAnsi="Arial"/>
                <w:sz w:val="16"/>
                <w:szCs w:val="16"/>
                <w:color w:val="auto"/>
                <w:w w:val="89"/>
              </w:rPr>
              <w:t>$</w:t>
            </w:r>
          </w:p>
        </w:tc>
        <w:tc>
          <w:tcPr>
            <w:tcW w:w="12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121,461</w:t>
            </w:r>
          </w:p>
        </w:tc>
        <w:tc>
          <w:tcPr>
            <w:tcW w:w="280" w:type="dxa"/>
            <w:vAlign w:val="bottom"/>
            <w:shd w:val="clear" w:color="auto" w:fill="CFF0FC"/>
          </w:tcPr>
          <w:p>
            <w:pPr>
              <w:spacing w:after="0"/>
              <w:rPr>
                <w:sz w:val="20"/>
                <w:szCs w:val="20"/>
                <w:color w:val="auto"/>
              </w:rPr>
            </w:pPr>
          </w:p>
        </w:tc>
        <w:tc>
          <w:tcPr>
            <w:tcW w:w="240" w:type="dxa"/>
            <w:vAlign w:val="bottom"/>
            <w:shd w:val="clear" w:color="auto" w:fill="CFF0FC"/>
          </w:tcPr>
          <w:p>
            <w:pPr>
              <w:jc w:val="right"/>
              <w:ind w:right="59"/>
              <w:spacing w:after="0"/>
              <w:rPr>
                <w:sz w:val="20"/>
                <w:szCs w:val="20"/>
                <w:color w:val="auto"/>
              </w:rPr>
            </w:pPr>
            <w:r>
              <w:rPr>
                <w:rFonts w:ascii="Arial" w:cs="Arial" w:eastAsia="Arial" w:hAnsi="Arial"/>
                <w:sz w:val="16"/>
                <w:szCs w:val="16"/>
                <w:color w:val="auto"/>
                <w:w w:val="89"/>
              </w:rPr>
              <w:t>$</w:t>
            </w:r>
          </w:p>
        </w:tc>
        <w:tc>
          <w:tcPr>
            <w:tcW w:w="13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159,521</w:t>
            </w:r>
          </w:p>
        </w:tc>
        <w:tc>
          <w:tcPr>
            <w:tcW w:w="100" w:type="dxa"/>
            <w:vAlign w:val="bottom"/>
            <w:shd w:val="clear" w:color="auto" w:fill="CFF0FC"/>
          </w:tcPr>
          <w:p>
            <w:pPr>
              <w:spacing w:after="0"/>
              <w:rPr>
                <w:sz w:val="20"/>
                <w:szCs w:val="20"/>
                <w:color w:val="auto"/>
              </w:rPr>
            </w:pPr>
          </w:p>
        </w:tc>
      </w:tr>
      <w:tr>
        <w:trPr>
          <w:trHeight w:val="220"/>
        </w:trPr>
        <w:tc>
          <w:tcPr>
            <w:tcW w:w="7720" w:type="dxa"/>
            <w:vAlign w:val="bottom"/>
          </w:tcPr>
          <w:p>
            <w:pPr>
              <w:ind w:left="200"/>
              <w:spacing w:after="0"/>
              <w:rPr>
                <w:sz w:val="20"/>
                <w:szCs w:val="20"/>
                <w:color w:val="auto"/>
              </w:rPr>
            </w:pPr>
            <w:r>
              <w:rPr>
                <w:rFonts w:ascii="Arial" w:cs="Arial" w:eastAsia="Arial" w:hAnsi="Arial"/>
                <w:sz w:val="16"/>
                <w:szCs w:val="16"/>
                <w:color w:val="auto"/>
              </w:rPr>
              <w:t>Marketable securities</w:t>
            </w:r>
          </w:p>
        </w:tc>
        <w:tc>
          <w:tcPr>
            <w:tcW w:w="3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192,663</w:t>
            </w: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184,420</w:t>
            </w:r>
          </w:p>
        </w:tc>
        <w:tc>
          <w:tcPr>
            <w:tcW w:w="100" w:type="dxa"/>
            <w:vAlign w:val="bottom"/>
          </w:tcPr>
          <w:p>
            <w:pPr>
              <w:spacing w:after="0"/>
              <w:rPr>
                <w:sz w:val="19"/>
                <w:szCs w:val="19"/>
                <w:color w:val="auto"/>
              </w:rPr>
            </w:pPr>
          </w:p>
        </w:tc>
      </w:tr>
      <w:tr>
        <w:trPr>
          <w:trHeight w:val="239"/>
        </w:trPr>
        <w:tc>
          <w:tcPr>
            <w:tcW w:w="7720" w:type="dxa"/>
            <w:vAlign w:val="bottom"/>
            <w:shd w:val="clear" w:color="auto" w:fill="CFF0FC"/>
          </w:tcPr>
          <w:p>
            <w:pPr>
              <w:ind w:left="200"/>
              <w:spacing w:after="0"/>
              <w:rPr>
                <w:sz w:val="20"/>
                <w:szCs w:val="20"/>
                <w:color w:val="auto"/>
              </w:rPr>
            </w:pPr>
            <w:r>
              <w:rPr>
                <w:rFonts w:ascii="Arial" w:cs="Arial" w:eastAsia="Arial" w:hAnsi="Arial"/>
                <w:sz w:val="16"/>
                <w:szCs w:val="16"/>
                <w:color w:val="auto"/>
              </w:rPr>
              <w:t>Research and development tax credits receivable</w:t>
            </w:r>
          </w:p>
        </w:tc>
        <w:tc>
          <w:tcPr>
            <w:tcW w:w="300" w:type="dxa"/>
            <w:vAlign w:val="bottom"/>
            <w:shd w:val="clear" w:color="auto" w:fill="CFF0FC"/>
          </w:tcPr>
          <w:p>
            <w:pPr>
              <w:spacing w:after="0"/>
              <w:rPr>
                <w:sz w:val="20"/>
                <w:szCs w:val="20"/>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1,659</w:t>
            </w:r>
          </w:p>
        </w:tc>
        <w:tc>
          <w:tcPr>
            <w:tcW w:w="28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1,280</w:t>
            </w:r>
          </w:p>
        </w:tc>
        <w:tc>
          <w:tcPr>
            <w:tcW w:w="100" w:type="dxa"/>
            <w:vAlign w:val="bottom"/>
            <w:shd w:val="clear" w:color="auto" w:fill="CFF0FC"/>
          </w:tcPr>
          <w:p>
            <w:pPr>
              <w:spacing w:after="0"/>
              <w:rPr>
                <w:sz w:val="20"/>
                <w:szCs w:val="20"/>
                <w:color w:val="auto"/>
              </w:rPr>
            </w:pPr>
          </w:p>
        </w:tc>
      </w:tr>
      <w:tr>
        <w:trPr>
          <w:trHeight w:val="220"/>
        </w:trPr>
        <w:tc>
          <w:tcPr>
            <w:tcW w:w="7720" w:type="dxa"/>
            <w:vAlign w:val="bottom"/>
          </w:tcPr>
          <w:p>
            <w:pPr>
              <w:ind w:left="200"/>
              <w:spacing w:after="0"/>
              <w:rPr>
                <w:sz w:val="20"/>
                <w:szCs w:val="20"/>
                <w:color w:val="auto"/>
              </w:rPr>
            </w:pPr>
            <w:r>
              <w:rPr>
                <w:rFonts w:ascii="Arial" w:cs="Arial" w:eastAsia="Arial" w:hAnsi="Arial"/>
                <w:sz w:val="16"/>
                <w:szCs w:val="16"/>
                <w:color w:val="auto"/>
              </w:rPr>
              <w:t>Collaboration revenue receivable</w:t>
            </w:r>
          </w:p>
        </w:tc>
        <w:tc>
          <w:tcPr>
            <w:tcW w:w="3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3,996</w:t>
            </w: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1,525</w:t>
            </w:r>
          </w:p>
        </w:tc>
        <w:tc>
          <w:tcPr>
            <w:tcW w:w="100" w:type="dxa"/>
            <w:vAlign w:val="bottom"/>
          </w:tcPr>
          <w:p>
            <w:pPr>
              <w:spacing w:after="0"/>
              <w:rPr>
                <w:sz w:val="19"/>
                <w:szCs w:val="19"/>
                <w:color w:val="auto"/>
              </w:rPr>
            </w:pPr>
          </w:p>
        </w:tc>
      </w:tr>
      <w:tr>
        <w:trPr>
          <w:trHeight w:val="239"/>
        </w:trPr>
        <w:tc>
          <w:tcPr>
            <w:tcW w:w="7720" w:type="dxa"/>
            <w:vAlign w:val="bottom"/>
            <w:shd w:val="clear" w:color="auto" w:fill="CFF0FC"/>
          </w:tcPr>
          <w:p>
            <w:pPr>
              <w:ind w:left="200"/>
              <w:spacing w:after="0"/>
              <w:rPr>
                <w:sz w:val="20"/>
                <w:szCs w:val="20"/>
                <w:color w:val="auto"/>
              </w:rPr>
            </w:pPr>
            <w:r>
              <w:rPr>
                <w:rFonts w:ascii="Arial" w:cs="Arial" w:eastAsia="Arial" w:hAnsi="Arial"/>
                <w:sz w:val="16"/>
                <w:szCs w:val="16"/>
                <w:color w:val="auto"/>
              </w:rPr>
              <w:t>Other receivables</w:t>
            </w:r>
          </w:p>
        </w:tc>
        <w:tc>
          <w:tcPr>
            <w:tcW w:w="300" w:type="dxa"/>
            <w:vAlign w:val="bottom"/>
            <w:shd w:val="clear" w:color="auto" w:fill="CFF0FC"/>
          </w:tcPr>
          <w:p>
            <w:pPr>
              <w:spacing w:after="0"/>
              <w:rPr>
                <w:sz w:val="20"/>
                <w:szCs w:val="20"/>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1,358</w:t>
            </w:r>
          </w:p>
        </w:tc>
        <w:tc>
          <w:tcPr>
            <w:tcW w:w="28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1,518</w:t>
            </w:r>
          </w:p>
        </w:tc>
        <w:tc>
          <w:tcPr>
            <w:tcW w:w="100" w:type="dxa"/>
            <w:vAlign w:val="bottom"/>
            <w:shd w:val="clear" w:color="auto" w:fill="CFF0FC"/>
          </w:tcPr>
          <w:p>
            <w:pPr>
              <w:spacing w:after="0"/>
              <w:rPr>
                <w:sz w:val="20"/>
                <w:szCs w:val="20"/>
                <w:color w:val="auto"/>
              </w:rPr>
            </w:pPr>
          </w:p>
        </w:tc>
      </w:tr>
      <w:tr>
        <w:trPr>
          <w:trHeight w:val="223"/>
        </w:trPr>
        <w:tc>
          <w:tcPr>
            <w:tcW w:w="7720" w:type="dxa"/>
            <w:vAlign w:val="bottom"/>
          </w:tcPr>
          <w:p>
            <w:pPr>
              <w:ind w:left="200"/>
              <w:spacing w:after="0"/>
              <w:rPr>
                <w:sz w:val="20"/>
                <w:szCs w:val="20"/>
                <w:color w:val="auto"/>
              </w:rPr>
            </w:pPr>
            <w:r>
              <w:rPr>
                <w:rFonts w:ascii="Arial" w:cs="Arial" w:eastAsia="Arial" w:hAnsi="Arial"/>
                <w:sz w:val="16"/>
                <w:szCs w:val="16"/>
                <w:color w:val="auto"/>
              </w:rPr>
              <w:t>Prepaid expenses</w:t>
            </w:r>
          </w:p>
        </w:tc>
        <w:tc>
          <w:tcPr>
            <w:tcW w:w="30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4,389</w:t>
            </w:r>
          </w:p>
        </w:tc>
        <w:tc>
          <w:tcPr>
            <w:tcW w:w="2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5,715</w:t>
            </w:r>
          </w:p>
        </w:tc>
        <w:tc>
          <w:tcPr>
            <w:tcW w:w="100" w:type="dxa"/>
            <w:vAlign w:val="bottom"/>
          </w:tcPr>
          <w:p>
            <w:pPr>
              <w:spacing w:after="0"/>
              <w:rPr>
                <w:sz w:val="19"/>
                <w:szCs w:val="19"/>
                <w:color w:val="auto"/>
              </w:rPr>
            </w:pPr>
          </w:p>
        </w:tc>
      </w:tr>
      <w:tr>
        <w:trPr>
          <w:trHeight w:val="229"/>
        </w:trPr>
        <w:tc>
          <w:tcPr>
            <w:tcW w:w="7720" w:type="dxa"/>
            <w:vAlign w:val="bottom"/>
            <w:shd w:val="clear" w:color="auto" w:fill="CFF0FC"/>
          </w:tcPr>
          <w:p>
            <w:pPr>
              <w:ind w:left="20"/>
              <w:spacing w:after="0"/>
              <w:rPr>
                <w:sz w:val="20"/>
                <w:szCs w:val="20"/>
                <w:color w:val="auto"/>
              </w:rPr>
            </w:pPr>
            <w:r>
              <w:rPr>
                <w:rFonts w:ascii="Arial" w:cs="Arial" w:eastAsia="Arial" w:hAnsi="Arial"/>
                <w:sz w:val="16"/>
                <w:szCs w:val="16"/>
                <w:color w:val="auto"/>
              </w:rPr>
              <w:t>Total current assets</w:t>
            </w:r>
          </w:p>
        </w:tc>
        <w:tc>
          <w:tcPr>
            <w:tcW w:w="30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325,526</w:t>
            </w:r>
          </w:p>
        </w:tc>
        <w:tc>
          <w:tcPr>
            <w:tcW w:w="2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353,979</w:t>
            </w:r>
          </w:p>
        </w:tc>
        <w:tc>
          <w:tcPr>
            <w:tcW w:w="100" w:type="dxa"/>
            <w:vAlign w:val="bottom"/>
            <w:shd w:val="clear" w:color="auto" w:fill="CFF0FC"/>
          </w:tcPr>
          <w:p>
            <w:pPr>
              <w:spacing w:after="0"/>
              <w:rPr>
                <w:sz w:val="19"/>
                <w:szCs w:val="19"/>
                <w:color w:val="auto"/>
              </w:rPr>
            </w:pPr>
          </w:p>
        </w:tc>
      </w:tr>
      <w:tr>
        <w:trPr>
          <w:trHeight w:val="220"/>
        </w:trPr>
        <w:tc>
          <w:tcPr>
            <w:tcW w:w="7720" w:type="dxa"/>
            <w:vAlign w:val="bottom"/>
          </w:tcPr>
          <w:p>
            <w:pPr>
              <w:ind w:left="20"/>
              <w:spacing w:after="0"/>
              <w:rPr>
                <w:sz w:val="20"/>
                <w:szCs w:val="20"/>
                <w:color w:val="auto"/>
              </w:rPr>
            </w:pPr>
            <w:r>
              <w:rPr>
                <w:rFonts w:ascii="Arial" w:cs="Arial" w:eastAsia="Arial" w:hAnsi="Arial"/>
                <w:sz w:val="16"/>
                <w:szCs w:val="16"/>
                <w:color w:val="auto"/>
              </w:rPr>
              <w:t>Property and equipment, net</w:t>
            </w:r>
          </w:p>
        </w:tc>
        <w:tc>
          <w:tcPr>
            <w:tcW w:w="3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5,396</w:t>
            </w: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4,228</w:t>
            </w:r>
          </w:p>
        </w:tc>
        <w:tc>
          <w:tcPr>
            <w:tcW w:w="100" w:type="dxa"/>
            <w:vAlign w:val="bottom"/>
          </w:tcPr>
          <w:p>
            <w:pPr>
              <w:spacing w:after="0"/>
              <w:rPr>
                <w:sz w:val="19"/>
                <w:szCs w:val="19"/>
                <w:color w:val="auto"/>
              </w:rPr>
            </w:pPr>
          </w:p>
        </w:tc>
      </w:tr>
      <w:tr>
        <w:trPr>
          <w:trHeight w:val="239"/>
        </w:trPr>
        <w:tc>
          <w:tcPr>
            <w:tcW w:w="7720" w:type="dxa"/>
            <w:vAlign w:val="bottom"/>
            <w:shd w:val="clear" w:color="auto" w:fill="CFF0FC"/>
          </w:tcPr>
          <w:p>
            <w:pPr>
              <w:ind w:left="20"/>
              <w:spacing w:after="0"/>
              <w:rPr>
                <w:sz w:val="20"/>
                <w:szCs w:val="20"/>
                <w:color w:val="auto"/>
              </w:rPr>
            </w:pPr>
            <w:r>
              <w:rPr>
                <w:rFonts w:ascii="Arial" w:cs="Arial" w:eastAsia="Arial" w:hAnsi="Arial"/>
                <w:sz w:val="16"/>
                <w:szCs w:val="16"/>
                <w:color w:val="auto"/>
              </w:rPr>
              <w:t>Operating lease right-of-use assets</w:t>
            </w:r>
          </w:p>
        </w:tc>
        <w:tc>
          <w:tcPr>
            <w:tcW w:w="300" w:type="dxa"/>
            <w:vAlign w:val="bottom"/>
            <w:shd w:val="clear" w:color="auto" w:fill="CFF0FC"/>
          </w:tcPr>
          <w:p>
            <w:pPr>
              <w:spacing w:after="0"/>
              <w:rPr>
                <w:sz w:val="20"/>
                <w:szCs w:val="20"/>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4,976</w:t>
            </w:r>
          </w:p>
        </w:tc>
        <w:tc>
          <w:tcPr>
            <w:tcW w:w="28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5,371</w:t>
            </w:r>
          </w:p>
        </w:tc>
        <w:tc>
          <w:tcPr>
            <w:tcW w:w="100" w:type="dxa"/>
            <w:vAlign w:val="bottom"/>
            <w:shd w:val="clear" w:color="auto" w:fill="CFF0FC"/>
          </w:tcPr>
          <w:p>
            <w:pPr>
              <w:spacing w:after="0"/>
              <w:rPr>
                <w:sz w:val="20"/>
                <w:szCs w:val="20"/>
                <w:color w:val="auto"/>
              </w:rPr>
            </w:pPr>
          </w:p>
        </w:tc>
      </w:tr>
      <w:tr>
        <w:trPr>
          <w:trHeight w:val="223"/>
        </w:trPr>
        <w:tc>
          <w:tcPr>
            <w:tcW w:w="7720" w:type="dxa"/>
            <w:vAlign w:val="bottom"/>
            <w:tcBorders>
              <w:bottom w:val="single" w:sz="8" w:color="CFF0FC"/>
            </w:tcBorders>
          </w:tcPr>
          <w:p>
            <w:pPr>
              <w:ind w:left="20"/>
              <w:spacing w:after="0"/>
              <w:rPr>
                <w:sz w:val="20"/>
                <w:szCs w:val="20"/>
                <w:color w:val="auto"/>
              </w:rPr>
            </w:pPr>
            <w:r>
              <w:rPr>
                <w:rFonts w:ascii="Arial" w:cs="Arial" w:eastAsia="Arial" w:hAnsi="Arial"/>
                <w:sz w:val="16"/>
                <w:szCs w:val="16"/>
                <w:color w:val="auto"/>
              </w:rPr>
              <w:t>Other assets</w:t>
            </w:r>
          </w:p>
        </w:tc>
        <w:tc>
          <w:tcPr>
            <w:tcW w:w="30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408</w:t>
            </w:r>
          </w:p>
        </w:tc>
        <w:tc>
          <w:tcPr>
            <w:tcW w:w="28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497</w:t>
            </w:r>
          </w:p>
        </w:tc>
        <w:tc>
          <w:tcPr>
            <w:tcW w:w="100" w:type="dxa"/>
            <w:vAlign w:val="bottom"/>
            <w:tcBorders>
              <w:bottom w:val="single" w:sz="8" w:color="CFF0FC"/>
            </w:tcBorders>
          </w:tcPr>
          <w:p>
            <w:pPr>
              <w:spacing w:after="0"/>
              <w:rPr>
                <w:sz w:val="19"/>
                <w:szCs w:val="19"/>
                <w:color w:val="auto"/>
              </w:rPr>
            </w:pPr>
          </w:p>
        </w:tc>
      </w:tr>
      <w:tr>
        <w:trPr>
          <w:trHeight w:val="263"/>
        </w:trPr>
        <w:tc>
          <w:tcPr>
            <w:tcW w:w="772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6"/>
                <w:szCs w:val="16"/>
                <w:b w:val="1"/>
                <w:bCs w:val="1"/>
                <w:color w:val="auto"/>
              </w:rPr>
              <w:t>TOTAL ASSETS</w:t>
            </w:r>
          </w:p>
        </w:tc>
        <w:tc>
          <w:tcPr>
            <w:tcW w:w="300" w:type="dxa"/>
            <w:vAlign w:val="bottom"/>
            <w:tcBorders>
              <w:bottom w:val="single" w:sz="8" w:color="auto"/>
            </w:tcBorders>
            <w:shd w:val="clear" w:color="auto" w:fill="CFF0FC"/>
          </w:tcPr>
          <w:p>
            <w:pPr>
              <w:jc w:val="right"/>
              <w:ind w:right="119"/>
              <w:spacing w:after="0"/>
              <w:rPr>
                <w:sz w:val="20"/>
                <w:szCs w:val="20"/>
                <w:color w:val="auto"/>
              </w:rPr>
            </w:pPr>
            <w:r>
              <w:rPr>
                <w:rFonts w:ascii="Arial" w:cs="Arial" w:eastAsia="Arial" w:hAnsi="Arial"/>
                <w:sz w:val="16"/>
                <w:szCs w:val="16"/>
                <w:color w:val="auto"/>
                <w:w w:val="89"/>
              </w:rPr>
              <w:t>$</w:t>
            </w:r>
          </w:p>
        </w:tc>
        <w:tc>
          <w:tcPr>
            <w:tcW w:w="12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336,306</w:t>
            </w:r>
          </w:p>
        </w:tc>
        <w:tc>
          <w:tcPr>
            <w:tcW w:w="280" w:type="dxa"/>
            <w:vAlign w:val="bottom"/>
            <w:tcBorders>
              <w:bottom w:val="single" w:sz="8" w:color="CFF0FC"/>
            </w:tcBorders>
            <w:shd w:val="clear" w:color="auto" w:fill="CFF0FC"/>
          </w:tcPr>
          <w:p>
            <w:pPr>
              <w:spacing w:after="0"/>
              <w:rPr>
                <w:sz w:val="22"/>
                <w:szCs w:val="22"/>
                <w:color w:val="auto"/>
              </w:rPr>
            </w:pPr>
          </w:p>
        </w:tc>
        <w:tc>
          <w:tcPr>
            <w:tcW w:w="240" w:type="dxa"/>
            <w:vAlign w:val="bottom"/>
            <w:tcBorders>
              <w:bottom w:val="single" w:sz="8" w:color="auto"/>
            </w:tcBorders>
            <w:shd w:val="clear" w:color="auto" w:fill="CFF0FC"/>
          </w:tcPr>
          <w:p>
            <w:pPr>
              <w:jc w:val="right"/>
              <w:ind w:right="59"/>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364,075</w:t>
            </w:r>
          </w:p>
        </w:tc>
        <w:tc>
          <w:tcPr>
            <w:tcW w:w="100" w:type="dxa"/>
            <w:vAlign w:val="bottom"/>
            <w:tcBorders>
              <w:bottom w:val="single" w:sz="8" w:color="CFF0FC"/>
            </w:tcBorders>
            <w:shd w:val="clear" w:color="auto" w:fill="CFF0FC"/>
          </w:tcPr>
          <w:p>
            <w:pPr>
              <w:spacing w:after="0"/>
              <w:rPr>
                <w:sz w:val="22"/>
                <w:szCs w:val="22"/>
                <w:color w:val="auto"/>
              </w:rPr>
            </w:pPr>
          </w:p>
        </w:tc>
      </w:tr>
      <w:tr>
        <w:trPr>
          <w:trHeight w:val="207"/>
        </w:trPr>
        <w:tc>
          <w:tcPr>
            <w:tcW w:w="7720" w:type="dxa"/>
            <w:vAlign w:val="bottom"/>
          </w:tcPr>
          <w:p>
            <w:pPr>
              <w:ind w:left="20"/>
              <w:spacing w:after="0"/>
              <w:rPr>
                <w:sz w:val="20"/>
                <w:szCs w:val="20"/>
                <w:color w:val="auto"/>
              </w:rPr>
            </w:pPr>
            <w:r>
              <w:rPr>
                <w:rFonts w:ascii="Arial" w:cs="Arial" w:eastAsia="Arial" w:hAnsi="Arial"/>
                <w:sz w:val="16"/>
                <w:szCs w:val="16"/>
                <w:b w:val="1"/>
                <w:bCs w:val="1"/>
                <w:color w:val="auto"/>
              </w:rPr>
              <w:t>LIABILITIES AND SHAREHOLDERS’ EQUITY</w:t>
            </w:r>
          </w:p>
        </w:tc>
        <w:tc>
          <w:tcPr>
            <w:tcW w:w="3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9"/>
        </w:trPr>
        <w:tc>
          <w:tcPr>
            <w:tcW w:w="7720" w:type="dxa"/>
            <w:vAlign w:val="bottom"/>
            <w:shd w:val="clear" w:color="auto" w:fill="CFF0FC"/>
          </w:tcPr>
          <w:p>
            <w:pPr>
              <w:ind w:left="20"/>
              <w:spacing w:after="0"/>
              <w:rPr>
                <w:sz w:val="20"/>
                <w:szCs w:val="20"/>
                <w:color w:val="auto"/>
              </w:rPr>
            </w:pPr>
            <w:r>
              <w:rPr>
                <w:rFonts w:ascii="Arial" w:cs="Arial" w:eastAsia="Arial" w:hAnsi="Arial"/>
                <w:sz w:val="16"/>
                <w:szCs w:val="16"/>
                <w:color w:val="auto"/>
              </w:rPr>
              <w:t>CURRENT LIABILITIES:</w:t>
            </w:r>
          </w:p>
        </w:tc>
        <w:tc>
          <w:tcPr>
            <w:tcW w:w="300" w:type="dxa"/>
            <w:vAlign w:val="bottom"/>
            <w:shd w:val="clear" w:color="auto" w:fill="CFF0FC"/>
          </w:tcPr>
          <w:p>
            <w:pPr>
              <w:spacing w:after="0"/>
              <w:rPr>
                <w:sz w:val="20"/>
                <w:szCs w:val="20"/>
                <w:color w:val="auto"/>
              </w:rPr>
            </w:pPr>
          </w:p>
        </w:tc>
        <w:tc>
          <w:tcPr>
            <w:tcW w:w="1280" w:type="dxa"/>
            <w:vAlign w:val="bottom"/>
            <w:shd w:val="clear" w:color="auto" w:fill="CFF0FC"/>
          </w:tcPr>
          <w:p>
            <w:pPr>
              <w:spacing w:after="0"/>
              <w:rPr>
                <w:sz w:val="20"/>
                <w:szCs w:val="20"/>
                <w:color w:val="auto"/>
              </w:rPr>
            </w:pPr>
          </w:p>
        </w:tc>
        <w:tc>
          <w:tcPr>
            <w:tcW w:w="28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132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r>
      <w:tr>
        <w:trPr>
          <w:trHeight w:val="220"/>
        </w:trPr>
        <w:tc>
          <w:tcPr>
            <w:tcW w:w="7720" w:type="dxa"/>
            <w:vAlign w:val="bottom"/>
          </w:tcPr>
          <w:p>
            <w:pPr>
              <w:ind w:left="200"/>
              <w:spacing w:after="0"/>
              <w:rPr>
                <w:sz w:val="20"/>
                <w:szCs w:val="20"/>
                <w:color w:val="auto"/>
              </w:rPr>
            </w:pPr>
            <w:r>
              <w:rPr>
                <w:rFonts w:ascii="Arial" w:cs="Arial" w:eastAsia="Arial" w:hAnsi="Arial"/>
                <w:sz w:val="16"/>
                <w:szCs w:val="16"/>
                <w:color w:val="auto"/>
              </w:rPr>
              <w:t>Accounts payable</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280" w:type="dxa"/>
            <w:vAlign w:val="bottom"/>
          </w:tcPr>
          <w:p>
            <w:pPr>
              <w:jc w:val="right"/>
              <w:spacing w:after="0"/>
              <w:rPr>
                <w:sz w:val="20"/>
                <w:szCs w:val="20"/>
                <w:color w:val="auto"/>
              </w:rPr>
            </w:pPr>
            <w:r>
              <w:rPr>
                <w:rFonts w:ascii="Arial" w:cs="Arial" w:eastAsia="Arial" w:hAnsi="Arial"/>
                <w:sz w:val="16"/>
                <w:szCs w:val="16"/>
                <w:color w:val="auto"/>
              </w:rPr>
              <w:t>3,620</w:t>
            </w:r>
          </w:p>
        </w:tc>
        <w:tc>
          <w:tcPr>
            <w:tcW w:w="280" w:type="dxa"/>
            <w:vAlign w:val="bottom"/>
          </w:tcPr>
          <w:p>
            <w:pPr>
              <w:spacing w:after="0"/>
              <w:rPr>
                <w:sz w:val="19"/>
                <w:szCs w:val="19"/>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461</w:t>
            </w:r>
          </w:p>
        </w:tc>
        <w:tc>
          <w:tcPr>
            <w:tcW w:w="100" w:type="dxa"/>
            <w:vAlign w:val="bottom"/>
          </w:tcPr>
          <w:p>
            <w:pPr>
              <w:spacing w:after="0"/>
              <w:rPr>
                <w:sz w:val="19"/>
                <w:szCs w:val="19"/>
                <w:color w:val="auto"/>
              </w:rPr>
            </w:pPr>
          </w:p>
        </w:tc>
      </w:tr>
      <w:tr>
        <w:trPr>
          <w:trHeight w:val="239"/>
        </w:trPr>
        <w:tc>
          <w:tcPr>
            <w:tcW w:w="7720" w:type="dxa"/>
            <w:vAlign w:val="bottom"/>
            <w:shd w:val="clear" w:color="auto" w:fill="CFF0FC"/>
          </w:tcPr>
          <w:p>
            <w:pPr>
              <w:ind w:left="200"/>
              <w:spacing w:after="0"/>
              <w:rPr>
                <w:sz w:val="20"/>
                <w:szCs w:val="20"/>
                <w:color w:val="auto"/>
              </w:rPr>
            </w:pPr>
            <w:r>
              <w:rPr>
                <w:rFonts w:ascii="Arial" w:cs="Arial" w:eastAsia="Arial" w:hAnsi="Arial"/>
                <w:sz w:val="16"/>
                <w:szCs w:val="16"/>
                <w:color w:val="auto"/>
              </w:rPr>
              <w:t>Accrued expenses and other current liabilities</w:t>
            </w:r>
          </w:p>
        </w:tc>
        <w:tc>
          <w:tcPr>
            <w:tcW w:w="300" w:type="dxa"/>
            <w:vAlign w:val="bottom"/>
            <w:shd w:val="clear" w:color="auto" w:fill="CFF0FC"/>
          </w:tcPr>
          <w:p>
            <w:pPr>
              <w:spacing w:after="0"/>
              <w:rPr>
                <w:sz w:val="20"/>
                <w:szCs w:val="20"/>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17,442</w:t>
            </w:r>
          </w:p>
        </w:tc>
        <w:tc>
          <w:tcPr>
            <w:tcW w:w="28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21,645</w:t>
            </w:r>
          </w:p>
        </w:tc>
        <w:tc>
          <w:tcPr>
            <w:tcW w:w="100" w:type="dxa"/>
            <w:vAlign w:val="bottom"/>
            <w:shd w:val="clear" w:color="auto" w:fill="CFF0FC"/>
          </w:tcPr>
          <w:p>
            <w:pPr>
              <w:spacing w:after="0"/>
              <w:rPr>
                <w:sz w:val="20"/>
                <w:szCs w:val="20"/>
                <w:color w:val="auto"/>
              </w:rPr>
            </w:pPr>
          </w:p>
        </w:tc>
      </w:tr>
      <w:tr>
        <w:trPr>
          <w:trHeight w:val="220"/>
        </w:trPr>
        <w:tc>
          <w:tcPr>
            <w:tcW w:w="7720" w:type="dxa"/>
            <w:vAlign w:val="bottom"/>
          </w:tcPr>
          <w:p>
            <w:pPr>
              <w:ind w:left="200"/>
              <w:spacing w:after="0"/>
              <w:rPr>
                <w:sz w:val="20"/>
                <w:szCs w:val="20"/>
                <w:color w:val="auto"/>
              </w:rPr>
            </w:pPr>
            <w:r>
              <w:rPr>
                <w:rFonts w:ascii="Arial" w:cs="Arial" w:eastAsia="Arial" w:hAnsi="Arial"/>
                <w:sz w:val="16"/>
                <w:szCs w:val="16"/>
                <w:color w:val="auto"/>
              </w:rPr>
              <w:t>Operating lease liability, current portion</w:t>
            </w:r>
          </w:p>
        </w:tc>
        <w:tc>
          <w:tcPr>
            <w:tcW w:w="3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2,257</w:t>
            </w: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2,171</w:t>
            </w:r>
          </w:p>
        </w:tc>
        <w:tc>
          <w:tcPr>
            <w:tcW w:w="100" w:type="dxa"/>
            <w:vAlign w:val="bottom"/>
          </w:tcPr>
          <w:p>
            <w:pPr>
              <w:spacing w:after="0"/>
              <w:rPr>
                <w:sz w:val="19"/>
                <w:szCs w:val="19"/>
                <w:color w:val="auto"/>
              </w:rPr>
            </w:pPr>
          </w:p>
        </w:tc>
      </w:tr>
      <w:tr>
        <w:trPr>
          <w:trHeight w:val="239"/>
        </w:trPr>
        <w:tc>
          <w:tcPr>
            <w:tcW w:w="7720" w:type="dxa"/>
            <w:vAlign w:val="bottom"/>
            <w:shd w:val="clear" w:color="auto" w:fill="CFF0FC"/>
          </w:tcPr>
          <w:p>
            <w:pPr>
              <w:ind w:left="200"/>
              <w:spacing w:after="0"/>
              <w:rPr>
                <w:sz w:val="20"/>
                <w:szCs w:val="20"/>
                <w:color w:val="auto"/>
              </w:rPr>
            </w:pPr>
            <w:r>
              <w:rPr>
                <w:rFonts w:ascii="Arial" w:cs="Arial" w:eastAsia="Arial" w:hAnsi="Arial"/>
                <w:sz w:val="16"/>
                <w:szCs w:val="16"/>
                <w:color w:val="auto"/>
              </w:rPr>
              <w:t>Deferred revenue, current portion</w:t>
            </w:r>
          </w:p>
        </w:tc>
        <w:tc>
          <w:tcPr>
            <w:tcW w:w="300" w:type="dxa"/>
            <w:vAlign w:val="bottom"/>
            <w:shd w:val="clear" w:color="auto" w:fill="CFF0FC"/>
          </w:tcPr>
          <w:p>
            <w:pPr>
              <w:spacing w:after="0"/>
              <w:rPr>
                <w:sz w:val="20"/>
                <w:szCs w:val="20"/>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52,760</w:t>
            </w:r>
          </w:p>
        </w:tc>
        <w:tc>
          <w:tcPr>
            <w:tcW w:w="28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53,102</w:t>
            </w:r>
          </w:p>
        </w:tc>
        <w:tc>
          <w:tcPr>
            <w:tcW w:w="100" w:type="dxa"/>
            <w:vAlign w:val="bottom"/>
            <w:shd w:val="clear" w:color="auto" w:fill="CFF0FC"/>
          </w:tcPr>
          <w:p>
            <w:pPr>
              <w:spacing w:after="0"/>
              <w:rPr>
                <w:sz w:val="20"/>
                <w:szCs w:val="20"/>
                <w:color w:val="auto"/>
              </w:rPr>
            </w:pPr>
          </w:p>
        </w:tc>
      </w:tr>
      <w:tr>
        <w:trPr>
          <w:trHeight w:val="223"/>
        </w:trPr>
        <w:tc>
          <w:tcPr>
            <w:tcW w:w="7720" w:type="dxa"/>
            <w:vAlign w:val="bottom"/>
          </w:tcPr>
          <w:p>
            <w:pPr>
              <w:ind w:left="200"/>
              <w:spacing w:after="0"/>
              <w:rPr>
                <w:sz w:val="20"/>
                <w:szCs w:val="20"/>
                <w:color w:val="auto"/>
              </w:rPr>
            </w:pPr>
            <w:r>
              <w:rPr>
                <w:rFonts w:ascii="Arial" w:cs="Arial" w:eastAsia="Arial" w:hAnsi="Arial"/>
                <w:sz w:val="16"/>
                <w:szCs w:val="16"/>
                <w:color w:val="auto"/>
              </w:rPr>
              <w:t>Income tax payable</w:t>
            </w:r>
          </w:p>
        </w:tc>
        <w:tc>
          <w:tcPr>
            <w:tcW w:w="30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4,856</w:t>
            </w:r>
          </w:p>
        </w:tc>
        <w:tc>
          <w:tcPr>
            <w:tcW w:w="2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1,240</w:t>
            </w:r>
          </w:p>
        </w:tc>
        <w:tc>
          <w:tcPr>
            <w:tcW w:w="100" w:type="dxa"/>
            <w:vAlign w:val="bottom"/>
          </w:tcPr>
          <w:p>
            <w:pPr>
              <w:spacing w:after="0"/>
              <w:rPr>
                <w:sz w:val="19"/>
                <w:szCs w:val="19"/>
                <w:color w:val="auto"/>
              </w:rPr>
            </w:pPr>
          </w:p>
        </w:tc>
      </w:tr>
      <w:tr>
        <w:trPr>
          <w:trHeight w:val="230"/>
        </w:trPr>
        <w:tc>
          <w:tcPr>
            <w:tcW w:w="7720" w:type="dxa"/>
            <w:vAlign w:val="bottom"/>
            <w:shd w:val="clear" w:color="auto" w:fill="CFF0FC"/>
          </w:tcPr>
          <w:p>
            <w:pPr>
              <w:ind w:left="20"/>
              <w:spacing w:after="0"/>
              <w:rPr>
                <w:sz w:val="20"/>
                <w:szCs w:val="20"/>
                <w:color w:val="auto"/>
              </w:rPr>
            </w:pPr>
            <w:r>
              <w:rPr>
                <w:rFonts w:ascii="Arial" w:cs="Arial" w:eastAsia="Arial" w:hAnsi="Arial"/>
                <w:sz w:val="16"/>
                <w:szCs w:val="16"/>
                <w:color w:val="auto"/>
              </w:rPr>
              <w:t>Total current liabilities</w:t>
            </w:r>
          </w:p>
        </w:tc>
        <w:tc>
          <w:tcPr>
            <w:tcW w:w="30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80,935</w:t>
            </w:r>
          </w:p>
        </w:tc>
        <w:tc>
          <w:tcPr>
            <w:tcW w:w="2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78,619</w:t>
            </w:r>
          </w:p>
        </w:tc>
        <w:tc>
          <w:tcPr>
            <w:tcW w:w="100" w:type="dxa"/>
            <w:vAlign w:val="bottom"/>
            <w:shd w:val="clear" w:color="auto" w:fill="CFF0FC"/>
          </w:tcPr>
          <w:p>
            <w:pPr>
              <w:spacing w:after="0"/>
              <w:rPr>
                <w:sz w:val="19"/>
                <w:szCs w:val="19"/>
                <w:color w:val="auto"/>
              </w:rPr>
            </w:pPr>
          </w:p>
        </w:tc>
      </w:tr>
      <w:tr>
        <w:trPr>
          <w:trHeight w:val="220"/>
        </w:trPr>
        <w:tc>
          <w:tcPr>
            <w:tcW w:w="7720" w:type="dxa"/>
            <w:vAlign w:val="bottom"/>
          </w:tcPr>
          <w:p>
            <w:pPr>
              <w:ind w:left="20"/>
              <w:spacing w:after="0"/>
              <w:rPr>
                <w:sz w:val="20"/>
                <w:szCs w:val="20"/>
                <w:color w:val="auto"/>
              </w:rPr>
            </w:pPr>
            <w:r>
              <w:rPr>
                <w:rFonts w:ascii="Arial" w:cs="Arial" w:eastAsia="Arial" w:hAnsi="Arial"/>
                <w:sz w:val="16"/>
                <w:szCs w:val="16"/>
                <w:color w:val="auto"/>
              </w:rPr>
              <w:t>Operating lease liability, net of current portion</w:t>
            </w:r>
          </w:p>
        </w:tc>
        <w:tc>
          <w:tcPr>
            <w:tcW w:w="3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2,780</w:t>
            </w: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3,257</w:t>
            </w:r>
          </w:p>
        </w:tc>
        <w:tc>
          <w:tcPr>
            <w:tcW w:w="100" w:type="dxa"/>
            <w:vAlign w:val="bottom"/>
          </w:tcPr>
          <w:p>
            <w:pPr>
              <w:spacing w:after="0"/>
              <w:rPr>
                <w:sz w:val="19"/>
                <w:szCs w:val="19"/>
                <w:color w:val="auto"/>
              </w:rPr>
            </w:pPr>
          </w:p>
        </w:tc>
      </w:tr>
      <w:tr>
        <w:trPr>
          <w:trHeight w:val="233"/>
        </w:trPr>
        <w:tc>
          <w:tcPr>
            <w:tcW w:w="772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6"/>
                <w:szCs w:val="16"/>
                <w:color w:val="auto"/>
              </w:rPr>
              <w:t>Deferred revenue, net of current portion</w:t>
            </w:r>
          </w:p>
        </w:tc>
        <w:tc>
          <w:tcPr>
            <w:tcW w:w="300" w:type="dxa"/>
            <w:vAlign w:val="bottom"/>
            <w:tcBorders>
              <w:bottom w:val="single" w:sz="8" w:color="auto"/>
            </w:tcBorders>
            <w:shd w:val="clear" w:color="auto" w:fill="CFF0FC"/>
          </w:tcPr>
          <w:p>
            <w:pPr>
              <w:spacing w:after="0"/>
              <w:rPr>
                <w:sz w:val="20"/>
                <w:szCs w:val="20"/>
                <w:color w:val="auto"/>
              </w:rPr>
            </w:pPr>
          </w:p>
        </w:tc>
        <w:tc>
          <w:tcPr>
            <w:tcW w:w="12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1,347</w:t>
            </w:r>
          </w:p>
        </w:tc>
        <w:tc>
          <w:tcPr>
            <w:tcW w:w="280" w:type="dxa"/>
            <w:vAlign w:val="bottom"/>
            <w:tcBorders>
              <w:bottom w:val="single" w:sz="8" w:color="CFF0FC"/>
            </w:tcBorders>
            <w:shd w:val="clear" w:color="auto" w:fill="CFF0FC"/>
          </w:tcPr>
          <w:p>
            <w:pPr>
              <w:spacing w:after="0"/>
              <w:rPr>
                <w:sz w:val="20"/>
                <w:szCs w:val="20"/>
                <w:color w:val="auto"/>
              </w:rPr>
            </w:pPr>
          </w:p>
        </w:tc>
        <w:tc>
          <w:tcPr>
            <w:tcW w:w="240" w:type="dxa"/>
            <w:vAlign w:val="bottom"/>
            <w:tcBorders>
              <w:bottom w:val="single" w:sz="8" w:color="auto"/>
            </w:tcBorders>
            <w:shd w:val="clear" w:color="auto" w:fill="CFF0FC"/>
          </w:tcPr>
          <w:p>
            <w:pPr>
              <w:spacing w:after="0"/>
              <w:rPr>
                <w:sz w:val="20"/>
                <w:szCs w:val="20"/>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2,682</w:t>
            </w:r>
          </w:p>
        </w:tc>
        <w:tc>
          <w:tcPr>
            <w:tcW w:w="100" w:type="dxa"/>
            <w:vAlign w:val="bottom"/>
            <w:tcBorders>
              <w:bottom w:val="single" w:sz="8" w:color="CFF0FC"/>
            </w:tcBorders>
            <w:shd w:val="clear" w:color="auto" w:fill="CFF0FC"/>
          </w:tcPr>
          <w:p>
            <w:pPr>
              <w:spacing w:after="0"/>
              <w:rPr>
                <w:sz w:val="20"/>
                <w:szCs w:val="20"/>
                <w:color w:val="auto"/>
              </w:rPr>
            </w:pPr>
          </w:p>
        </w:tc>
      </w:tr>
      <w:tr>
        <w:trPr>
          <w:trHeight w:val="223"/>
        </w:trPr>
        <w:tc>
          <w:tcPr>
            <w:tcW w:w="7720" w:type="dxa"/>
            <w:vAlign w:val="bottom"/>
          </w:tcPr>
          <w:p>
            <w:pPr>
              <w:ind w:left="20"/>
              <w:spacing w:after="0"/>
              <w:rPr>
                <w:sz w:val="20"/>
                <w:szCs w:val="20"/>
                <w:color w:val="auto"/>
              </w:rPr>
            </w:pPr>
            <w:r>
              <w:rPr>
                <w:rFonts w:ascii="Arial" w:cs="Arial" w:eastAsia="Arial" w:hAnsi="Arial"/>
                <w:sz w:val="16"/>
                <w:szCs w:val="16"/>
                <w:b w:val="1"/>
                <w:bCs w:val="1"/>
                <w:color w:val="auto"/>
              </w:rPr>
              <w:t>TOTAL LIABILITIES</w:t>
            </w:r>
          </w:p>
        </w:tc>
        <w:tc>
          <w:tcPr>
            <w:tcW w:w="30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85,062</w:t>
            </w:r>
          </w:p>
        </w:tc>
        <w:tc>
          <w:tcPr>
            <w:tcW w:w="2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84,558</w:t>
            </w:r>
          </w:p>
        </w:tc>
        <w:tc>
          <w:tcPr>
            <w:tcW w:w="100" w:type="dxa"/>
            <w:vAlign w:val="bottom"/>
          </w:tcPr>
          <w:p>
            <w:pPr>
              <w:spacing w:after="0"/>
              <w:rPr>
                <w:sz w:val="19"/>
                <w:szCs w:val="19"/>
                <w:color w:val="auto"/>
              </w:rPr>
            </w:pPr>
          </w:p>
        </w:tc>
      </w:tr>
      <w:tr>
        <w:trPr>
          <w:trHeight w:val="230"/>
        </w:trPr>
        <w:tc>
          <w:tcPr>
            <w:tcW w:w="7720" w:type="dxa"/>
            <w:vAlign w:val="bottom"/>
            <w:shd w:val="clear" w:color="auto" w:fill="CFF0FC"/>
          </w:tcPr>
          <w:p>
            <w:pPr>
              <w:ind w:left="20"/>
              <w:spacing w:after="0"/>
              <w:rPr>
                <w:sz w:val="20"/>
                <w:szCs w:val="20"/>
                <w:color w:val="auto"/>
              </w:rPr>
            </w:pPr>
            <w:r>
              <w:rPr>
                <w:rFonts w:ascii="Arial" w:cs="Arial" w:eastAsia="Arial" w:hAnsi="Arial"/>
                <w:sz w:val="16"/>
                <w:szCs w:val="16"/>
                <w:b w:val="1"/>
                <w:bCs w:val="1"/>
                <w:color w:val="auto"/>
              </w:rPr>
              <w:t>SHAREHOLDERS’ EQUITY</w:t>
            </w:r>
          </w:p>
        </w:tc>
        <w:tc>
          <w:tcPr>
            <w:tcW w:w="300" w:type="dxa"/>
            <w:vAlign w:val="bottom"/>
            <w:shd w:val="clear" w:color="auto" w:fill="CFF0FC"/>
          </w:tcPr>
          <w:p>
            <w:pPr>
              <w:spacing w:after="0"/>
              <w:rPr>
                <w:sz w:val="19"/>
                <w:szCs w:val="19"/>
                <w:color w:val="auto"/>
              </w:rPr>
            </w:pPr>
          </w:p>
        </w:tc>
        <w:tc>
          <w:tcPr>
            <w:tcW w:w="128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3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r>
      <w:tr>
        <w:trPr>
          <w:trHeight w:val="206"/>
        </w:trPr>
        <w:tc>
          <w:tcPr>
            <w:tcW w:w="7720" w:type="dxa"/>
            <w:vAlign w:val="bottom"/>
          </w:tcPr>
          <w:p>
            <w:pPr>
              <w:ind w:left="200"/>
              <w:spacing w:after="0"/>
              <w:rPr>
                <w:sz w:val="20"/>
                <w:szCs w:val="20"/>
                <w:color w:val="auto"/>
              </w:rPr>
            </w:pPr>
            <w:r>
              <w:rPr>
                <w:rFonts w:ascii="Arial" w:cs="Arial" w:eastAsia="Arial" w:hAnsi="Arial"/>
                <w:sz w:val="16"/>
                <w:szCs w:val="16"/>
                <w:color w:val="auto"/>
              </w:rPr>
              <w:t>Preferred shares, no par value per share; unlimited shares authorized</w:t>
            </w:r>
          </w:p>
        </w:tc>
        <w:tc>
          <w:tcPr>
            <w:tcW w:w="3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3"/>
        </w:trPr>
        <w:tc>
          <w:tcPr>
            <w:tcW w:w="7720" w:type="dxa"/>
            <w:vAlign w:val="bottom"/>
          </w:tcPr>
          <w:p>
            <w:pPr>
              <w:ind w:left="320"/>
              <w:spacing w:after="0"/>
              <w:rPr>
                <w:sz w:val="20"/>
                <w:szCs w:val="20"/>
                <w:color w:val="auto"/>
              </w:rPr>
            </w:pPr>
            <w:r>
              <w:rPr>
                <w:rFonts w:ascii="Arial" w:cs="Arial" w:eastAsia="Arial" w:hAnsi="Arial"/>
                <w:sz w:val="16"/>
                <w:szCs w:val="16"/>
                <w:color w:val="auto"/>
              </w:rPr>
              <w:t>as of March 31, 2023 and December 31, 2022, respectively; 0 shares issued</w:t>
            </w:r>
          </w:p>
        </w:tc>
        <w:tc>
          <w:tcPr>
            <w:tcW w:w="300" w:type="dxa"/>
            <w:vAlign w:val="bottom"/>
          </w:tcPr>
          <w:p>
            <w:pPr>
              <w:spacing w:after="0"/>
              <w:rPr>
                <w:sz w:val="17"/>
                <w:szCs w:val="17"/>
                <w:color w:val="auto"/>
              </w:rPr>
            </w:pPr>
          </w:p>
        </w:tc>
        <w:tc>
          <w:tcPr>
            <w:tcW w:w="12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7720" w:type="dxa"/>
            <w:vAlign w:val="bottom"/>
          </w:tcPr>
          <w:p>
            <w:pPr>
              <w:ind w:left="320"/>
              <w:spacing w:after="0"/>
              <w:rPr>
                <w:sz w:val="20"/>
                <w:szCs w:val="20"/>
                <w:color w:val="auto"/>
              </w:rPr>
            </w:pPr>
            <w:r>
              <w:rPr>
                <w:rFonts w:ascii="Arial" w:cs="Arial" w:eastAsia="Arial" w:hAnsi="Arial"/>
                <w:sz w:val="16"/>
                <w:szCs w:val="16"/>
                <w:color w:val="auto"/>
              </w:rPr>
              <w:t>and outstanding as of March 31, 2023, and December 31, 2022, respectively</w:t>
            </w:r>
          </w:p>
        </w:tc>
        <w:tc>
          <w:tcPr>
            <w:tcW w:w="300" w:type="dxa"/>
            <w:vAlign w:val="bottom"/>
          </w:tcPr>
          <w:p>
            <w:pPr>
              <w:spacing w:after="0"/>
              <w:rPr>
                <w:sz w:val="18"/>
                <w:szCs w:val="18"/>
                <w:color w:val="auto"/>
              </w:rPr>
            </w:pPr>
          </w:p>
        </w:tc>
        <w:tc>
          <w:tcPr>
            <w:tcW w:w="156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42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r>
      <w:tr>
        <w:trPr>
          <w:trHeight w:val="216"/>
        </w:trPr>
        <w:tc>
          <w:tcPr>
            <w:tcW w:w="7720" w:type="dxa"/>
            <w:vAlign w:val="bottom"/>
            <w:shd w:val="clear" w:color="auto" w:fill="CFF0FC"/>
          </w:tcPr>
          <w:p>
            <w:pPr>
              <w:ind w:left="200"/>
              <w:spacing w:after="0"/>
              <w:rPr>
                <w:sz w:val="20"/>
                <w:szCs w:val="20"/>
                <w:color w:val="auto"/>
              </w:rPr>
            </w:pPr>
            <w:r>
              <w:rPr>
                <w:rFonts w:ascii="Arial" w:cs="Arial" w:eastAsia="Arial" w:hAnsi="Arial"/>
                <w:sz w:val="16"/>
                <w:szCs w:val="16"/>
                <w:color w:val="auto"/>
              </w:rPr>
              <w:t>Common shares, no par value per share; unlimited shares authorized as of</w:t>
            </w:r>
          </w:p>
        </w:tc>
        <w:tc>
          <w:tcPr>
            <w:tcW w:w="300" w:type="dxa"/>
            <w:vAlign w:val="bottom"/>
            <w:shd w:val="clear" w:color="auto" w:fill="CFF0FC"/>
          </w:tcPr>
          <w:p>
            <w:pPr>
              <w:spacing w:after="0"/>
              <w:rPr>
                <w:sz w:val="18"/>
                <w:szCs w:val="18"/>
                <w:color w:val="auto"/>
              </w:rPr>
            </w:pPr>
          </w:p>
        </w:tc>
        <w:tc>
          <w:tcPr>
            <w:tcW w:w="1280" w:type="dxa"/>
            <w:vAlign w:val="bottom"/>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320" w:type="dxa"/>
            <w:vAlign w:val="bottom"/>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r>
      <w:tr>
        <w:trPr>
          <w:trHeight w:val="203"/>
        </w:trPr>
        <w:tc>
          <w:tcPr>
            <w:tcW w:w="7720" w:type="dxa"/>
            <w:vAlign w:val="bottom"/>
            <w:shd w:val="clear" w:color="auto" w:fill="CFF0FC"/>
          </w:tcPr>
          <w:p>
            <w:pPr>
              <w:ind w:left="320"/>
              <w:spacing w:after="0"/>
              <w:rPr>
                <w:sz w:val="20"/>
                <w:szCs w:val="20"/>
                <w:color w:val="auto"/>
              </w:rPr>
            </w:pPr>
            <w:r>
              <w:rPr>
                <w:rFonts w:ascii="Arial" w:cs="Arial" w:eastAsia="Arial" w:hAnsi="Arial"/>
                <w:sz w:val="16"/>
                <w:szCs w:val="16"/>
                <w:color w:val="auto"/>
              </w:rPr>
              <w:t>March 31, 2023 and December 31, 2022; 42,079,896 and 42,036,193 shares</w:t>
            </w:r>
          </w:p>
        </w:tc>
        <w:tc>
          <w:tcPr>
            <w:tcW w:w="300" w:type="dxa"/>
            <w:vAlign w:val="bottom"/>
            <w:shd w:val="clear" w:color="auto" w:fill="CFF0FC"/>
          </w:tcPr>
          <w:p>
            <w:pPr>
              <w:spacing w:after="0"/>
              <w:rPr>
                <w:sz w:val="17"/>
                <w:szCs w:val="17"/>
                <w:color w:val="auto"/>
              </w:rPr>
            </w:pPr>
          </w:p>
        </w:tc>
        <w:tc>
          <w:tcPr>
            <w:tcW w:w="128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32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26"/>
        </w:trPr>
        <w:tc>
          <w:tcPr>
            <w:tcW w:w="7720" w:type="dxa"/>
            <w:vAlign w:val="bottom"/>
            <w:shd w:val="clear" w:color="auto" w:fill="CFF0FC"/>
          </w:tcPr>
          <w:p>
            <w:pPr>
              <w:ind w:left="320"/>
              <w:spacing w:after="0"/>
              <w:rPr>
                <w:sz w:val="20"/>
                <w:szCs w:val="20"/>
                <w:color w:val="auto"/>
              </w:rPr>
            </w:pPr>
            <w:r>
              <w:rPr>
                <w:rFonts w:ascii="Arial" w:cs="Arial" w:eastAsia="Arial" w:hAnsi="Arial"/>
                <w:sz w:val="16"/>
                <w:szCs w:val="16"/>
                <w:color w:val="auto"/>
              </w:rPr>
              <w:t>issued and outstanding as of March 31, 2023 and December 31, 2022, respectively</w:t>
            </w:r>
          </w:p>
        </w:tc>
        <w:tc>
          <w:tcPr>
            <w:tcW w:w="300" w:type="dxa"/>
            <w:vAlign w:val="bottom"/>
            <w:shd w:val="clear" w:color="auto" w:fill="CFF0FC"/>
          </w:tcPr>
          <w:p>
            <w:pPr>
              <w:spacing w:after="0"/>
              <w:rPr>
                <w:sz w:val="19"/>
                <w:szCs w:val="19"/>
                <w:color w:val="auto"/>
              </w:rPr>
            </w:pPr>
          </w:p>
        </w:tc>
        <w:tc>
          <w:tcPr>
            <w:tcW w:w="128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482,677</w:t>
            </w:r>
          </w:p>
        </w:tc>
        <w:tc>
          <w:tcPr>
            <w:tcW w:w="2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320" w:type="dxa"/>
            <w:vAlign w:val="bottom"/>
            <w:shd w:val="clear" w:color="auto" w:fill="CFF0FC"/>
          </w:tcPr>
          <w:p>
            <w:pPr>
              <w:jc w:val="right"/>
              <w:spacing w:after="0"/>
              <w:rPr>
                <w:sz w:val="20"/>
                <w:szCs w:val="20"/>
                <w:color w:val="auto"/>
              </w:rPr>
            </w:pPr>
            <w:r>
              <w:rPr>
                <w:rFonts w:ascii="Arial" w:cs="Arial" w:eastAsia="Arial" w:hAnsi="Arial"/>
                <w:sz w:val="16"/>
                <w:szCs w:val="16"/>
                <w:color w:val="auto"/>
              </w:rPr>
              <w:t>482,032</w:t>
            </w:r>
          </w:p>
        </w:tc>
        <w:tc>
          <w:tcPr>
            <w:tcW w:w="100" w:type="dxa"/>
            <w:vAlign w:val="bottom"/>
            <w:shd w:val="clear" w:color="auto" w:fill="CFF0FC"/>
          </w:tcPr>
          <w:p>
            <w:pPr>
              <w:spacing w:after="0"/>
              <w:rPr>
                <w:sz w:val="19"/>
                <w:szCs w:val="19"/>
                <w:color w:val="auto"/>
              </w:rPr>
            </w:pPr>
          </w:p>
        </w:tc>
      </w:tr>
      <w:tr>
        <w:trPr>
          <w:trHeight w:val="220"/>
        </w:trPr>
        <w:tc>
          <w:tcPr>
            <w:tcW w:w="7720" w:type="dxa"/>
            <w:vAlign w:val="bottom"/>
          </w:tcPr>
          <w:p>
            <w:pPr>
              <w:ind w:left="20"/>
              <w:spacing w:after="0"/>
              <w:rPr>
                <w:sz w:val="20"/>
                <w:szCs w:val="20"/>
                <w:color w:val="auto"/>
              </w:rPr>
            </w:pPr>
            <w:r>
              <w:rPr>
                <w:rFonts w:ascii="Arial" w:cs="Arial" w:eastAsia="Arial" w:hAnsi="Arial"/>
                <w:sz w:val="16"/>
                <w:szCs w:val="16"/>
                <w:color w:val="auto"/>
              </w:rPr>
              <w:t>Additional paid-in capital</w:t>
            </w:r>
          </w:p>
        </w:tc>
        <w:tc>
          <w:tcPr>
            <w:tcW w:w="30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43,056</w:t>
            </w:r>
          </w:p>
        </w:tc>
        <w:tc>
          <w:tcPr>
            <w:tcW w:w="2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37,226</w:t>
            </w:r>
          </w:p>
        </w:tc>
        <w:tc>
          <w:tcPr>
            <w:tcW w:w="100" w:type="dxa"/>
            <w:vAlign w:val="bottom"/>
          </w:tcPr>
          <w:p>
            <w:pPr>
              <w:spacing w:after="0"/>
              <w:rPr>
                <w:sz w:val="19"/>
                <w:szCs w:val="19"/>
                <w:color w:val="auto"/>
              </w:rPr>
            </w:pPr>
          </w:p>
        </w:tc>
      </w:tr>
      <w:tr>
        <w:trPr>
          <w:trHeight w:val="239"/>
        </w:trPr>
        <w:tc>
          <w:tcPr>
            <w:tcW w:w="7720" w:type="dxa"/>
            <w:vAlign w:val="bottom"/>
            <w:shd w:val="clear" w:color="auto" w:fill="CFF0FC"/>
          </w:tcPr>
          <w:p>
            <w:pPr>
              <w:ind w:left="20"/>
              <w:spacing w:after="0"/>
              <w:rPr>
                <w:sz w:val="20"/>
                <w:szCs w:val="20"/>
                <w:color w:val="auto"/>
              </w:rPr>
            </w:pPr>
            <w:r>
              <w:rPr>
                <w:rFonts w:ascii="Arial" w:cs="Arial" w:eastAsia="Arial" w:hAnsi="Arial"/>
                <w:sz w:val="16"/>
                <w:szCs w:val="16"/>
                <w:color w:val="auto"/>
              </w:rPr>
              <w:t>Accumulated other comprehensive loss</w:t>
            </w:r>
          </w:p>
        </w:tc>
        <w:tc>
          <w:tcPr>
            <w:tcW w:w="300" w:type="dxa"/>
            <w:vAlign w:val="bottom"/>
            <w:shd w:val="clear" w:color="auto" w:fill="CFF0FC"/>
          </w:tcPr>
          <w:p>
            <w:pPr>
              <w:spacing w:after="0"/>
              <w:rPr>
                <w:sz w:val="20"/>
                <w:szCs w:val="20"/>
                <w:color w:val="auto"/>
              </w:rPr>
            </w:pPr>
          </w:p>
        </w:tc>
        <w:tc>
          <w:tcPr>
            <w:tcW w:w="1560" w:type="dxa"/>
            <w:vAlign w:val="bottom"/>
            <w:gridSpan w:val="2"/>
            <w:shd w:val="clear" w:color="auto" w:fill="CFF0FC"/>
          </w:tcPr>
          <w:p>
            <w:pPr>
              <w:jc w:val="right"/>
              <w:ind w:right="220"/>
              <w:spacing w:after="0"/>
              <w:rPr>
                <w:sz w:val="20"/>
                <w:szCs w:val="20"/>
                <w:color w:val="auto"/>
              </w:rPr>
            </w:pPr>
            <w:r>
              <w:rPr>
                <w:rFonts w:ascii="Arial" w:cs="Arial" w:eastAsia="Arial" w:hAnsi="Arial"/>
                <w:sz w:val="16"/>
                <w:szCs w:val="16"/>
                <w:color w:val="auto"/>
              </w:rPr>
              <w:t>(235 )</w:t>
            </w:r>
          </w:p>
        </w:tc>
        <w:tc>
          <w:tcPr>
            <w:tcW w:w="240" w:type="dxa"/>
            <w:vAlign w:val="bottom"/>
            <w:shd w:val="clear" w:color="auto" w:fill="CFF0FC"/>
          </w:tcPr>
          <w:p>
            <w:pPr>
              <w:spacing w:after="0"/>
              <w:rPr>
                <w:sz w:val="20"/>
                <w:szCs w:val="20"/>
                <w:color w:val="auto"/>
              </w:rPr>
            </w:pPr>
          </w:p>
        </w:tc>
        <w:tc>
          <w:tcPr>
            <w:tcW w:w="1420" w:type="dxa"/>
            <w:vAlign w:val="bottom"/>
            <w:gridSpan w:val="2"/>
            <w:shd w:val="clear" w:color="auto" w:fill="CFF0FC"/>
          </w:tcPr>
          <w:p>
            <w:pPr>
              <w:jc w:val="right"/>
              <w:ind w:right="40"/>
              <w:spacing w:after="0"/>
              <w:rPr>
                <w:sz w:val="20"/>
                <w:szCs w:val="20"/>
                <w:color w:val="auto"/>
              </w:rPr>
            </w:pPr>
            <w:r>
              <w:rPr>
                <w:rFonts w:ascii="Arial" w:cs="Arial" w:eastAsia="Arial" w:hAnsi="Arial"/>
                <w:sz w:val="16"/>
                <w:szCs w:val="16"/>
                <w:color w:val="auto"/>
              </w:rPr>
              <w:t>(428 )</w:t>
            </w:r>
          </w:p>
        </w:tc>
      </w:tr>
      <w:tr>
        <w:trPr>
          <w:trHeight w:val="223"/>
        </w:trPr>
        <w:tc>
          <w:tcPr>
            <w:tcW w:w="7720" w:type="dxa"/>
            <w:vAlign w:val="bottom"/>
          </w:tcPr>
          <w:p>
            <w:pPr>
              <w:ind w:left="20"/>
              <w:spacing w:after="0"/>
              <w:rPr>
                <w:sz w:val="20"/>
                <w:szCs w:val="20"/>
                <w:color w:val="auto"/>
              </w:rPr>
            </w:pPr>
            <w:r>
              <w:rPr>
                <w:rFonts w:ascii="Arial" w:cs="Arial" w:eastAsia="Arial" w:hAnsi="Arial"/>
                <w:sz w:val="16"/>
                <w:szCs w:val="16"/>
                <w:color w:val="auto"/>
              </w:rPr>
              <w:t>Accumulated deficit</w:t>
            </w:r>
          </w:p>
        </w:tc>
        <w:tc>
          <w:tcPr>
            <w:tcW w:w="300" w:type="dxa"/>
            <w:vAlign w:val="bottom"/>
          </w:tcPr>
          <w:p>
            <w:pPr>
              <w:spacing w:after="0"/>
              <w:rPr>
                <w:sz w:val="19"/>
                <w:szCs w:val="19"/>
                <w:color w:val="auto"/>
              </w:rPr>
            </w:pPr>
          </w:p>
        </w:tc>
        <w:tc>
          <w:tcPr>
            <w:tcW w:w="1560" w:type="dxa"/>
            <w:vAlign w:val="bottom"/>
            <w:gridSpan w:val="2"/>
          </w:tcPr>
          <w:p>
            <w:pPr>
              <w:jc w:val="right"/>
              <w:ind w:right="220"/>
              <w:spacing w:after="0"/>
              <w:rPr>
                <w:sz w:val="20"/>
                <w:szCs w:val="20"/>
                <w:color w:val="auto"/>
              </w:rPr>
            </w:pPr>
            <w:r>
              <w:rPr>
                <w:rFonts w:ascii="Arial" w:cs="Arial" w:eastAsia="Arial" w:hAnsi="Arial"/>
                <w:sz w:val="16"/>
                <w:szCs w:val="16"/>
                <w:color w:val="auto"/>
              </w:rPr>
              <w:t>(274,254 )</w:t>
            </w:r>
          </w:p>
        </w:tc>
        <w:tc>
          <w:tcPr>
            <w:tcW w:w="240" w:type="dxa"/>
            <w:vAlign w:val="bottom"/>
          </w:tcPr>
          <w:p>
            <w:pPr>
              <w:spacing w:after="0"/>
              <w:rPr>
                <w:sz w:val="19"/>
                <w:szCs w:val="19"/>
                <w:color w:val="auto"/>
              </w:rPr>
            </w:pPr>
          </w:p>
        </w:tc>
        <w:tc>
          <w:tcPr>
            <w:tcW w:w="1420" w:type="dxa"/>
            <w:vAlign w:val="bottom"/>
            <w:gridSpan w:val="2"/>
          </w:tcPr>
          <w:p>
            <w:pPr>
              <w:jc w:val="right"/>
              <w:ind w:right="40"/>
              <w:spacing w:after="0"/>
              <w:rPr>
                <w:sz w:val="20"/>
                <w:szCs w:val="20"/>
                <w:color w:val="auto"/>
              </w:rPr>
            </w:pPr>
            <w:r>
              <w:rPr>
                <w:rFonts w:ascii="Arial" w:cs="Arial" w:eastAsia="Arial" w:hAnsi="Arial"/>
                <w:sz w:val="16"/>
                <w:szCs w:val="16"/>
                <w:color w:val="auto"/>
              </w:rPr>
              <w:t>(239,313 )</w:t>
            </w:r>
          </w:p>
        </w:tc>
      </w:tr>
      <w:tr>
        <w:trPr>
          <w:trHeight w:val="223"/>
        </w:trPr>
        <w:tc>
          <w:tcPr>
            <w:tcW w:w="772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6"/>
                <w:szCs w:val="16"/>
                <w:color w:val="auto"/>
              </w:rPr>
              <w:t>Total shareholders’ equity</w:t>
            </w:r>
          </w:p>
        </w:tc>
        <w:tc>
          <w:tcPr>
            <w:tcW w:w="300" w:type="dxa"/>
            <w:vAlign w:val="bottom"/>
            <w:tcBorders>
              <w:top w:val="single" w:sz="8" w:color="auto"/>
              <w:bottom w:val="single" w:sz="8" w:color="auto"/>
            </w:tcBorders>
            <w:shd w:val="clear" w:color="auto" w:fill="CFF0FC"/>
          </w:tcPr>
          <w:p>
            <w:pPr>
              <w:spacing w:after="0"/>
              <w:rPr>
                <w:sz w:val="19"/>
                <w:szCs w:val="19"/>
                <w:color w:val="auto"/>
              </w:rPr>
            </w:pPr>
          </w:p>
        </w:tc>
        <w:tc>
          <w:tcPr>
            <w:tcW w:w="12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251,244</w:t>
            </w:r>
          </w:p>
        </w:tc>
        <w:tc>
          <w:tcPr>
            <w:tcW w:w="280" w:type="dxa"/>
            <w:vAlign w:val="bottom"/>
            <w:tcBorders>
              <w:bottom w:val="single" w:sz="8" w:color="CFF0FC"/>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FF0FC"/>
          </w:tcPr>
          <w:p>
            <w:pPr>
              <w:spacing w:after="0"/>
              <w:rPr>
                <w:sz w:val="19"/>
                <w:szCs w:val="19"/>
                <w:color w:val="auto"/>
              </w:rPr>
            </w:pPr>
          </w:p>
        </w:tc>
        <w:tc>
          <w:tcPr>
            <w:tcW w:w="13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6"/>
                <w:szCs w:val="16"/>
                <w:color w:val="auto"/>
              </w:rPr>
              <w:t>279,517</w:t>
            </w:r>
          </w:p>
        </w:tc>
        <w:tc>
          <w:tcPr>
            <w:tcW w:w="100" w:type="dxa"/>
            <w:vAlign w:val="bottom"/>
            <w:tcBorders>
              <w:bottom w:val="single" w:sz="8" w:color="CFF0FC"/>
            </w:tcBorders>
            <w:shd w:val="clear" w:color="auto" w:fill="CFF0FC"/>
          </w:tcPr>
          <w:p>
            <w:pPr>
              <w:spacing w:after="0"/>
              <w:rPr>
                <w:sz w:val="19"/>
                <w:szCs w:val="19"/>
                <w:color w:val="auto"/>
              </w:rPr>
            </w:pPr>
          </w:p>
        </w:tc>
      </w:tr>
      <w:tr>
        <w:trPr>
          <w:trHeight w:val="223"/>
        </w:trPr>
        <w:tc>
          <w:tcPr>
            <w:tcW w:w="7720" w:type="dxa"/>
            <w:vAlign w:val="bottom"/>
          </w:tcPr>
          <w:p>
            <w:pPr>
              <w:ind w:left="20"/>
              <w:spacing w:after="0"/>
              <w:rPr>
                <w:sz w:val="20"/>
                <w:szCs w:val="20"/>
                <w:color w:val="auto"/>
              </w:rPr>
            </w:pPr>
            <w:r>
              <w:rPr>
                <w:rFonts w:ascii="Arial" w:cs="Arial" w:eastAsia="Arial" w:hAnsi="Arial"/>
                <w:sz w:val="16"/>
                <w:szCs w:val="16"/>
                <w:b w:val="1"/>
                <w:bCs w:val="1"/>
                <w:color w:val="auto"/>
              </w:rPr>
              <w:t>TOTAL LIABILITIES AND SHAREHOLDERS’ EQUITY</w:t>
            </w:r>
          </w:p>
        </w:tc>
        <w:tc>
          <w:tcPr>
            <w:tcW w:w="3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336,306</w:t>
            </w:r>
          </w:p>
        </w:tc>
        <w:tc>
          <w:tcPr>
            <w:tcW w:w="280" w:type="dxa"/>
            <w:vAlign w:val="bottom"/>
          </w:tcPr>
          <w:p>
            <w:pPr>
              <w:spacing w:after="0"/>
              <w:rPr>
                <w:sz w:val="19"/>
                <w:szCs w:val="19"/>
                <w:color w:val="auto"/>
              </w:rPr>
            </w:pP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364,075</w:t>
            </w:r>
          </w:p>
        </w:tc>
        <w:tc>
          <w:tcPr>
            <w:tcW w:w="100" w:type="dxa"/>
            <w:vAlign w:val="bottom"/>
          </w:tcPr>
          <w:p>
            <w:pPr>
              <w:spacing w:after="0"/>
              <w:rPr>
                <w:sz w:val="19"/>
                <w:szCs w:val="19"/>
                <w:color w:val="auto"/>
              </w:rPr>
            </w:pPr>
          </w:p>
        </w:tc>
      </w:tr>
      <w:tr>
        <w:trPr>
          <w:trHeight w:val="20"/>
        </w:trPr>
        <w:tc>
          <w:tcPr>
            <w:tcW w:w="77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534"/>
        </w:trPr>
        <w:tc>
          <w:tcPr>
            <w:tcW w:w="7720" w:type="dxa"/>
            <w:vAlign w:val="bottom"/>
            <w:tcBorders>
              <w:bottom w:val="single" w:sz="8" w:color="9A9A9A"/>
            </w:tcBorders>
          </w:tcPr>
          <w:p>
            <w:pPr>
              <w:spacing w:after="0"/>
              <w:rPr>
                <w:sz w:val="24"/>
                <w:szCs w:val="24"/>
                <w:color w:val="auto"/>
              </w:rPr>
            </w:pPr>
          </w:p>
        </w:tc>
        <w:tc>
          <w:tcPr>
            <w:tcW w:w="300" w:type="dxa"/>
            <w:vAlign w:val="bottom"/>
            <w:tcBorders>
              <w:bottom w:val="single" w:sz="8" w:color="9A9A9A"/>
            </w:tcBorders>
          </w:tcPr>
          <w:p>
            <w:pPr>
              <w:spacing w:after="0"/>
              <w:rPr>
                <w:sz w:val="24"/>
                <w:szCs w:val="24"/>
                <w:color w:val="auto"/>
              </w:rPr>
            </w:pPr>
          </w:p>
        </w:tc>
        <w:tc>
          <w:tcPr>
            <w:tcW w:w="128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132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5902960</wp:posOffset>
            </wp:positionH>
            <wp:positionV relativeFrom="paragraph">
              <wp:posOffset>-3891280</wp:posOffset>
            </wp:positionV>
            <wp:extent cx="1234440" cy="3257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234440" cy="325755"/>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-2245360</wp:posOffset>
            </wp:positionV>
            <wp:extent cx="68580" cy="1625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68580" cy="16256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-2245360</wp:posOffset>
            </wp:positionV>
            <wp:extent cx="68580" cy="1625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68580" cy="162560"/>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-539115</wp:posOffset>
            </wp:positionV>
            <wp:extent cx="68580" cy="1797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68580" cy="17970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-539115</wp:posOffset>
            </wp:positionV>
            <wp:extent cx="68580" cy="1797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8580" cy="17970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t>Repare Therapeutics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 and Comprehensive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(Amounts in thousands of U.S. dollars, except share and per share data)</w:t>
      </w:r>
    </w:p>
    <w:p>
      <w:pPr>
        <w:spacing w:after="0" w:line="216" w:lineRule="exact"/>
        <w:rPr>
          <w:sz w:val="20"/>
          <w:szCs w:val="20"/>
          <w:color w:val="auto"/>
        </w:rPr>
      </w:pPr>
    </w:p>
    <w:p>
      <w:pPr>
        <w:jc w:val="center"/>
        <w:ind w:left="7620"/>
        <w:spacing w:after="0"/>
        <w:rPr>
          <w:sz w:val="20"/>
          <w:szCs w:val="20"/>
          <w:color w:val="auto"/>
        </w:rPr>
      </w:pPr>
      <w:r>
        <w:rPr>
          <w:rFonts w:ascii="Arial" w:cs="Arial" w:eastAsia="Arial" w:hAnsi="Arial"/>
          <w:sz w:val="14"/>
          <w:szCs w:val="14"/>
          <w:b w:val="1"/>
          <w:bCs w:val="1"/>
          <w:color w:val="auto"/>
        </w:rPr>
        <w:t>Three Months Ended</w:t>
      </w:r>
    </w:p>
    <w:p>
      <w:pPr>
        <w:spacing w:after="0" w:line="4" w:lineRule="exact"/>
        <w:rPr>
          <w:sz w:val="20"/>
          <w:szCs w:val="20"/>
          <w:color w:val="auto"/>
        </w:rPr>
      </w:pPr>
    </w:p>
    <w:p>
      <w:pPr>
        <w:jc w:val="center"/>
        <w:ind w:left="7620"/>
        <w:spacing w:after="0"/>
        <w:rPr>
          <w:sz w:val="20"/>
          <w:szCs w:val="20"/>
          <w:color w:val="auto"/>
        </w:rPr>
      </w:pPr>
      <w:r>
        <w:rPr>
          <w:rFonts w:ascii="Arial" w:cs="Arial" w:eastAsia="Arial" w:hAnsi="Arial"/>
          <w:sz w:val="14"/>
          <w:szCs w:val="14"/>
          <w:b w:val="1"/>
          <w:bCs w:val="1"/>
          <w:color w:val="auto"/>
        </w:rPr>
        <w:t>March 31,</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7740" w:type="dxa"/>
            <w:vAlign w:val="bottom"/>
          </w:tcPr>
          <w:p>
            <w:pPr>
              <w:spacing w:after="0"/>
              <w:rPr>
                <w:sz w:val="14"/>
                <w:szCs w:val="14"/>
                <w:color w:val="auto"/>
              </w:rPr>
            </w:pPr>
          </w:p>
        </w:tc>
        <w:tc>
          <w:tcPr>
            <w:tcW w:w="380" w:type="dxa"/>
            <w:vAlign w:val="bottom"/>
            <w:tcBorders>
              <w:top w:val="single" w:sz="8" w:color="auto"/>
              <w:bottom w:val="single" w:sz="8" w:color="auto"/>
            </w:tcBorders>
          </w:tcPr>
          <w:p>
            <w:pPr>
              <w:spacing w:after="0"/>
              <w:rPr>
                <w:sz w:val="14"/>
                <w:szCs w:val="14"/>
                <w:color w:val="auto"/>
              </w:rPr>
            </w:pPr>
          </w:p>
        </w:tc>
        <w:tc>
          <w:tcPr>
            <w:tcW w:w="1180" w:type="dxa"/>
            <w:vAlign w:val="bottom"/>
            <w:tcBorders>
              <w:top w:val="single" w:sz="8" w:color="auto"/>
              <w:bottom w:val="single" w:sz="8" w:color="auto"/>
            </w:tcBorders>
          </w:tcPr>
          <w:p>
            <w:pPr>
              <w:jc w:val="right"/>
              <w:ind w:right="551"/>
              <w:spacing w:after="0"/>
              <w:rPr>
                <w:sz w:val="20"/>
                <w:szCs w:val="20"/>
                <w:color w:val="auto"/>
              </w:rPr>
            </w:pPr>
            <w:r>
              <w:rPr>
                <w:rFonts w:ascii="Arial" w:cs="Arial" w:eastAsia="Arial" w:hAnsi="Arial"/>
                <w:sz w:val="13"/>
                <w:szCs w:val="13"/>
                <w:b w:val="1"/>
                <w:bCs w:val="1"/>
                <w:color w:val="auto"/>
              </w:rPr>
              <w:t>2023</w:t>
            </w:r>
          </w:p>
        </w:tc>
        <w:tc>
          <w:tcPr>
            <w:tcW w:w="300" w:type="dxa"/>
            <w:vAlign w:val="bottom"/>
            <w:tcBorders>
              <w:top w:val="single" w:sz="8" w:color="auto"/>
            </w:tcBorders>
          </w:tcPr>
          <w:p>
            <w:pPr>
              <w:spacing w:after="0"/>
              <w:rPr>
                <w:sz w:val="14"/>
                <w:szCs w:val="14"/>
                <w:color w:val="auto"/>
              </w:rPr>
            </w:pPr>
          </w:p>
        </w:tc>
        <w:tc>
          <w:tcPr>
            <w:tcW w:w="360" w:type="dxa"/>
            <w:vAlign w:val="bottom"/>
            <w:tcBorders>
              <w:top w:val="single" w:sz="8" w:color="auto"/>
              <w:bottom w:val="single" w:sz="8" w:color="auto"/>
            </w:tcBorders>
          </w:tcPr>
          <w:p>
            <w:pPr>
              <w:spacing w:after="0"/>
              <w:rPr>
                <w:sz w:val="14"/>
                <w:szCs w:val="14"/>
                <w:color w:val="auto"/>
              </w:rPr>
            </w:pPr>
          </w:p>
        </w:tc>
        <w:tc>
          <w:tcPr>
            <w:tcW w:w="1180" w:type="dxa"/>
            <w:vAlign w:val="bottom"/>
            <w:tcBorders>
              <w:top w:val="single" w:sz="8" w:color="auto"/>
              <w:bottom w:val="single" w:sz="8" w:color="auto"/>
            </w:tcBorders>
          </w:tcPr>
          <w:p>
            <w:pPr>
              <w:jc w:val="right"/>
              <w:ind w:right="551"/>
              <w:spacing w:after="0"/>
              <w:rPr>
                <w:sz w:val="20"/>
                <w:szCs w:val="20"/>
                <w:color w:val="auto"/>
              </w:rPr>
            </w:pPr>
            <w:r>
              <w:rPr>
                <w:rFonts w:ascii="Arial" w:cs="Arial" w:eastAsia="Arial" w:hAnsi="Arial"/>
                <w:sz w:val="13"/>
                <w:szCs w:val="13"/>
                <w:b w:val="1"/>
                <w:bCs w:val="1"/>
                <w:color w:val="auto"/>
              </w:rPr>
              <w:t>2022</w:t>
            </w:r>
          </w:p>
        </w:tc>
        <w:tc>
          <w:tcPr>
            <w:tcW w:w="100" w:type="dxa"/>
            <w:vAlign w:val="bottom"/>
          </w:tcPr>
          <w:p>
            <w:pPr>
              <w:spacing w:after="0"/>
              <w:rPr>
                <w:sz w:val="14"/>
                <w:szCs w:val="14"/>
                <w:color w:val="auto"/>
              </w:rPr>
            </w:pPr>
          </w:p>
        </w:tc>
      </w:tr>
      <w:tr>
        <w:trPr>
          <w:trHeight w:val="237"/>
        </w:trPr>
        <w:tc>
          <w:tcPr>
            <w:tcW w:w="774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Revenue:</w:t>
            </w:r>
          </w:p>
        </w:tc>
        <w:tc>
          <w:tcPr>
            <w:tcW w:w="380" w:type="dxa"/>
            <w:vAlign w:val="bottom"/>
            <w:shd w:val="clear" w:color="auto" w:fill="CFF0FC"/>
          </w:tcPr>
          <w:p>
            <w:pPr>
              <w:spacing w:after="0"/>
              <w:rPr>
                <w:sz w:val="20"/>
                <w:szCs w:val="20"/>
                <w:color w:val="auto"/>
              </w:rPr>
            </w:pPr>
          </w:p>
        </w:tc>
        <w:tc>
          <w:tcPr>
            <w:tcW w:w="1180" w:type="dxa"/>
            <w:vAlign w:val="bottom"/>
            <w:shd w:val="clear" w:color="auto" w:fill="CFF0FC"/>
          </w:tcPr>
          <w:p>
            <w:pPr>
              <w:spacing w:after="0"/>
              <w:rPr>
                <w:sz w:val="20"/>
                <w:szCs w:val="20"/>
                <w:color w:val="auto"/>
              </w:rPr>
            </w:pPr>
          </w:p>
        </w:tc>
        <w:tc>
          <w:tcPr>
            <w:tcW w:w="300" w:type="dxa"/>
            <w:vAlign w:val="bottom"/>
            <w:shd w:val="clear" w:color="auto" w:fill="CFF0FC"/>
          </w:tcPr>
          <w:p>
            <w:pPr>
              <w:spacing w:after="0"/>
              <w:rPr>
                <w:sz w:val="20"/>
                <w:szCs w:val="20"/>
                <w:color w:val="auto"/>
              </w:rPr>
            </w:pPr>
          </w:p>
        </w:tc>
        <w:tc>
          <w:tcPr>
            <w:tcW w:w="360" w:type="dxa"/>
            <w:vAlign w:val="bottom"/>
            <w:shd w:val="clear" w:color="auto" w:fill="CFF0FC"/>
          </w:tcPr>
          <w:p>
            <w:pPr>
              <w:spacing w:after="0"/>
              <w:rPr>
                <w:sz w:val="20"/>
                <w:szCs w:val="20"/>
                <w:color w:val="auto"/>
              </w:rPr>
            </w:pPr>
          </w:p>
        </w:tc>
        <w:tc>
          <w:tcPr>
            <w:tcW w:w="118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r>
      <w:tr>
        <w:trPr>
          <w:trHeight w:val="237"/>
        </w:trPr>
        <w:tc>
          <w:tcPr>
            <w:tcW w:w="7740" w:type="dxa"/>
            <w:vAlign w:val="bottom"/>
          </w:tcPr>
          <w:p>
            <w:pPr>
              <w:ind w:left="200"/>
              <w:spacing w:after="0"/>
              <w:rPr>
                <w:sz w:val="20"/>
                <w:szCs w:val="20"/>
                <w:color w:val="auto"/>
              </w:rPr>
            </w:pPr>
            <w:r>
              <w:rPr>
                <w:rFonts w:ascii="Arial" w:cs="Arial" w:eastAsia="Arial" w:hAnsi="Arial"/>
                <w:sz w:val="18"/>
                <w:szCs w:val="18"/>
                <w:color w:val="auto"/>
              </w:rPr>
              <w:t>Collaboration agreements</w:t>
            </w:r>
          </w:p>
        </w:tc>
        <w:tc>
          <w:tcPr>
            <w:tcW w:w="380" w:type="dxa"/>
            <w:vAlign w:val="bottom"/>
          </w:tcPr>
          <w:p>
            <w:pPr>
              <w:jc w:val="right"/>
              <w:ind w:right="190"/>
              <w:spacing w:after="0"/>
              <w:rPr>
                <w:sz w:val="20"/>
                <w:szCs w:val="20"/>
                <w:color w:val="auto"/>
              </w:rPr>
            </w:pPr>
            <w:r>
              <w:rPr>
                <w:rFonts w:ascii="Arial" w:cs="Arial" w:eastAsia="Arial" w:hAnsi="Arial"/>
                <w:sz w:val="18"/>
                <w:szCs w:val="18"/>
                <w:color w:val="auto"/>
                <w:w w:val="79"/>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5,678</w:t>
            </w:r>
          </w:p>
        </w:tc>
        <w:tc>
          <w:tcPr>
            <w:tcW w:w="300" w:type="dxa"/>
            <w:vAlign w:val="bottom"/>
          </w:tcPr>
          <w:p>
            <w:pPr>
              <w:spacing w:after="0"/>
              <w:rPr>
                <w:sz w:val="20"/>
                <w:szCs w:val="20"/>
                <w:color w:val="auto"/>
              </w:rPr>
            </w:pP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408</w:t>
            </w:r>
          </w:p>
        </w:tc>
        <w:tc>
          <w:tcPr>
            <w:tcW w:w="100" w:type="dxa"/>
            <w:vAlign w:val="bottom"/>
          </w:tcPr>
          <w:p>
            <w:pPr>
              <w:spacing w:after="0"/>
              <w:rPr>
                <w:sz w:val="20"/>
                <w:szCs w:val="20"/>
                <w:color w:val="auto"/>
              </w:rPr>
            </w:pPr>
          </w:p>
        </w:tc>
      </w:tr>
      <w:tr>
        <w:trPr>
          <w:trHeight w:val="249"/>
        </w:trPr>
        <w:tc>
          <w:tcPr>
            <w:tcW w:w="7740" w:type="dxa"/>
            <w:vAlign w:val="bottom"/>
            <w:shd w:val="clear" w:color="auto" w:fill="CFF0FC"/>
          </w:tcPr>
          <w:p>
            <w:pPr>
              <w:ind w:left="20"/>
              <w:spacing w:after="0"/>
              <w:rPr>
                <w:sz w:val="20"/>
                <w:szCs w:val="20"/>
                <w:color w:val="auto"/>
              </w:rPr>
            </w:pPr>
            <w:r>
              <w:rPr>
                <w:rFonts w:ascii="Arial" w:cs="Arial" w:eastAsia="Arial" w:hAnsi="Arial"/>
                <w:sz w:val="18"/>
                <w:szCs w:val="18"/>
                <w:b w:val="1"/>
                <w:bCs w:val="1"/>
                <w:color w:val="auto"/>
              </w:rPr>
              <w:t>Operating expenses:</w:t>
            </w:r>
          </w:p>
        </w:tc>
        <w:tc>
          <w:tcPr>
            <w:tcW w:w="380" w:type="dxa"/>
            <w:vAlign w:val="bottom"/>
            <w:shd w:val="clear" w:color="auto" w:fill="CFF0FC"/>
          </w:tcPr>
          <w:p>
            <w:pPr>
              <w:spacing w:after="0"/>
              <w:rPr>
                <w:sz w:val="21"/>
                <w:szCs w:val="21"/>
                <w:color w:val="auto"/>
              </w:rPr>
            </w:pPr>
          </w:p>
        </w:tc>
        <w:tc>
          <w:tcPr>
            <w:tcW w:w="1180" w:type="dxa"/>
            <w:vAlign w:val="bottom"/>
            <w:shd w:val="clear" w:color="auto" w:fill="CFF0FC"/>
          </w:tcPr>
          <w:p>
            <w:pPr>
              <w:spacing w:after="0"/>
              <w:rPr>
                <w:sz w:val="21"/>
                <w:szCs w:val="21"/>
                <w:color w:val="auto"/>
              </w:rPr>
            </w:pPr>
          </w:p>
        </w:tc>
        <w:tc>
          <w:tcPr>
            <w:tcW w:w="300" w:type="dxa"/>
            <w:vAlign w:val="bottom"/>
            <w:shd w:val="clear" w:color="auto" w:fill="CFF0FC"/>
          </w:tcPr>
          <w:p>
            <w:pPr>
              <w:spacing w:after="0"/>
              <w:rPr>
                <w:sz w:val="21"/>
                <w:szCs w:val="21"/>
                <w:color w:val="auto"/>
              </w:rPr>
            </w:pPr>
          </w:p>
        </w:tc>
        <w:tc>
          <w:tcPr>
            <w:tcW w:w="360" w:type="dxa"/>
            <w:vAlign w:val="bottom"/>
            <w:shd w:val="clear" w:color="auto" w:fill="CFF0FC"/>
          </w:tcPr>
          <w:p>
            <w:pPr>
              <w:spacing w:after="0"/>
              <w:rPr>
                <w:sz w:val="21"/>
                <w:szCs w:val="21"/>
                <w:color w:val="auto"/>
              </w:rPr>
            </w:pPr>
          </w:p>
        </w:tc>
        <w:tc>
          <w:tcPr>
            <w:tcW w:w="118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r>
      <w:tr>
        <w:trPr>
          <w:trHeight w:val="237"/>
        </w:trPr>
        <w:tc>
          <w:tcPr>
            <w:tcW w:w="7740" w:type="dxa"/>
            <w:vAlign w:val="bottom"/>
          </w:tcPr>
          <w:p>
            <w:pPr>
              <w:ind w:left="200"/>
              <w:spacing w:after="0"/>
              <w:rPr>
                <w:sz w:val="20"/>
                <w:szCs w:val="20"/>
                <w:color w:val="auto"/>
              </w:rPr>
            </w:pPr>
            <w:r>
              <w:rPr>
                <w:rFonts w:ascii="Arial" w:cs="Arial" w:eastAsia="Arial" w:hAnsi="Arial"/>
                <w:sz w:val="18"/>
                <w:szCs w:val="18"/>
                <w:color w:val="auto"/>
              </w:rPr>
              <w:t>Research and development, net of tax credits</w:t>
            </w:r>
          </w:p>
        </w:tc>
        <w:tc>
          <w:tcPr>
            <w:tcW w:w="38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31,830</w:t>
            </w:r>
          </w:p>
        </w:tc>
        <w:tc>
          <w:tcPr>
            <w:tcW w:w="3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26,458</w:t>
            </w:r>
          </w:p>
        </w:tc>
        <w:tc>
          <w:tcPr>
            <w:tcW w:w="100" w:type="dxa"/>
            <w:vAlign w:val="bottom"/>
          </w:tcPr>
          <w:p>
            <w:pPr>
              <w:spacing w:after="0"/>
              <w:rPr>
                <w:sz w:val="20"/>
                <w:szCs w:val="20"/>
                <w:color w:val="auto"/>
              </w:rPr>
            </w:pPr>
          </w:p>
        </w:tc>
      </w:tr>
      <w:tr>
        <w:trPr>
          <w:trHeight w:val="243"/>
        </w:trPr>
        <w:tc>
          <w:tcPr>
            <w:tcW w:w="7740" w:type="dxa"/>
            <w:vAlign w:val="bottom"/>
            <w:tcBorders>
              <w:bottom w:val="single" w:sz="8" w:color="CFF0FC"/>
            </w:tcBorders>
            <w:shd w:val="clear" w:color="auto" w:fill="CFF0FC"/>
          </w:tcPr>
          <w:p>
            <w:pPr>
              <w:ind w:left="200"/>
              <w:spacing w:after="0"/>
              <w:rPr>
                <w:sz w:val="20"/>
                <w:szCs w:val="20"/>
                <w:color w:val="auto"/>
              </w:rPr>
            </w:pPr>
            <w:r>
              <w:rPr>
                <w:rFonts w:ascii="Arial" w:cs="Arial" w:eastAsia="Arial" w:hAnsi="Arial"/>
                <w:sz w:val="18"/>
                <w:szCs w:val="18"/>
                <w:color w:val="auto"/>
              </w:rPr>
              <w:t>General and administrative</w:t>
            </w:r>
          </w:p>
        </w:tc>
        <w:tc>
          <w:tcPr>
            <w:tcW w:w="380" w:type="dxa"/>
            <w:vAlign w:val="bottom"/>
            <w:tcBorders>
              <w:bottom w:val="single" w:sz="8" w:color="auto"/>
            </w:tcBorders>
            <w:shd w:val="clear" w:color="auto" w:fill="CFF0FC"/>
          </w:tcPr>
          <w:p>
            <w:pPr>
              <w:spacing w:after="0"/>
              <w:rPr>
                <w:sz w:val="21"/>
                <w:szCs w:val="21"/>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8,529</w:t>
            </w:r>
          </w:p>
        </w:tc>
        <w:tc>
          <w:tcPr>
            <w:tcW w:w="300" w:type="dxa"/>
            <w:vAlign w:val="bottom"/>
            <w:tcBorders>
              <w:bottom w:val="single" w:sz="8" w:color="CFF0FC"/>
            </w:tcBorders>
            <w:shd w:val="clear" w:color="auto" w:fill="CFF0FC"/>
          </w:tcPr>
          <w:p>
            <w:pPr>
              <w:spacing w:after="0"/>
              <w:rPr>
                <w:sz w:val="21"/>
                <w:szCs w:val="21"/>
                <w:color w:val="auto"/>
              </w:rPr>
            </w:pPr>
          </w:p>
        </w:tc>
        <w:tc>
          <w:tcPr>
            <w:tcW w:w="360" w:type="dxa"/>
            <w:vAlign w:val="bottom"/>
            <w:tcBorders>
              <w:bottom w:val="single" w:sz="8" w:color="auto"/>
            </w:tcBorders>
            <w:shd w:val="clear" w:color="auto" w:fill="CFF0FC"/>
          </w:tcPr>
          <w:p>
            <w:pPr>
              <w:spacing w:after="0"/>
              <w:rPr>
                <w:sz w:val="21"/>
                <w:szCs w:val="21"/>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8,779</w:t>
            </w:r>
          </w:p>
        </w:tc>
        <w:tc>
          <w:tcPr>
            <w:tcW w:w="100" w:type="dxa"/>
            <w:vAlign w:val="bottom"/>
            <w:tcBorders>
              <w:bottom w:val="single" w:sz="8" w:color="CFF0FC"/>
            </w:tcBorders>
            <w:shd w:val="clear" w:color="auto" w:fill="CFF0FC"/>
          </w:tcPr>
          <w:p>
            <w:pPr>
              <w:spacing w:after="0"/>
              <w:rPr>
                <w:sz w:val="21"/>
                <w:szCs w:val="21"/>
                <w:color w:val="auto"/>
              </w:rPr>
            </w:pPr>
          </w:p>
        </w:tc>
      </w:tr>
      <w:tr>
        <w:trPr>
          <w:trHeight w:val="237"/>
        </w:trPr>
        <w:tc>
          <w:tcPr>
            <w:tcW w:w="7740" w:type="dxa"/>
            <w:vAlign w:val="bottom"/>
          </w:tcPr>
          <w:p>
            <w:pPr>
              <w:ind w:left="20"/>
              <w:spacing w:after="0"/>
              <w:rPr>
                <w:sz w:val="20"/>
                <w:szCs w:val="20"/>
                <w:color w:val="auto"/>
              </w:rPr>
            </w:pPr>
            <w:r>
              <w:rPr>
                <w:rFonts w:ascii="Arial" w:cs="Arial" w:eastAsia="Arial" w:hAnsi="Arial"/>
                <w:sz w:val="18"/>
                <w:szCs w:val="18"/>
                <w:color w:val="auto"/>
              </w:rPr>
              <w:t>Total operating expenses</w:t>
            </w:r>
          </w:p>
        </w:tc>
        <w:tc>
          <w:tcPr>
            <w:tcW w:w="38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40,359</w:t>
            </w:r>
          </w:p>
        </w:tc>
        <w:tc>
          <w:tcPr>
            <w:tcW w:w="30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35,237</w:t>
            </w:r>
          </w:p>
        </w:tc>
        <w:tc>
          <w:tcPr>
            <w:tcW w:w="100" w:type="dxa"/>
            <w:vAlign w:val="bottom"/>
          </w:tcPr>
          <w:p>
            <w:pPr>
              <w:spacing w:after="0"/>
              <w:rPr>
                <w:sz w:val="20"/>
                <w:szCs w:val="20"/>
                <w:color w:val="auto"/>
              </w:rPr>
            </w:pPr>
          </w:p>
        </w:tc>
      </w:tr>
      <w:tr>
        <w:trPr>
          <w:trHeight w:val="237"/>
        </w:trPr>
        <w:tc>
          <w:tcPr>
            <w:tcW w:w="774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color w:val="auto"/>
              </w:rPr>
              <w:t>Loss from operations</w:t>
            </w:r>
          </w:p>
        </w:tc>
        <w:tc>
          <w:tcPr>
            <w:tcW w:w="380" w:type="dxa"/>
            <w:vAlign w:val="bottom"/>
            <w:tcBorders>
              <w:bottom w:val="single" w:sz="8" w:color="auto"/>
            </w:tcBorders>
            <w:shd w:val="clear" w:color="auto" w:fill="CFF0FC"/>
          </w:tcPr>
          <w:p>
            <w:pPr>
              <w:spacing w:after="0"/>
              <w:rPr>
                <w:sz w:val="20"/>
                <w:szCs w:val="20"/>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(34,681</w:t>
            </w:r>
          </w:p>
        </w:tc>
        <w:tc>
          <w:tcPr>
            <w:tcW w:w="30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360" w:type="dxa"/>
            <w:vAlign w:val="bottom"/>
            <w:tcBorders>
              <w:bottom w:val="single" w:sz="8" w:color="auto"/>
            </w:tcBorders>
            <w:shd w:val="clear" w:color="auto" w:fill="CFF0FC"/>
          </w:tcPr>
          <w:p>
            <w:pPr>
              <w:spacing w:after="0"/>
              <w:rPr>
                <w:sz w:val="20"/>
                <w:szCs w:val="20"/>
                <w:color w:val="auto"/>
              </w:rPr>
            </w:pP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(34,829</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w w:val="74"/>
              </w:rPr>
              <w:t>)</w:t>
            </w:r>
          </w:p>
        </w:tc>
      </w:tr>
      <w:tr>
        <w:trPr>
          <w:trHeight w:val="237"/>
        </w:trPr>
        <w:tc>
          <w:tcPr>
            <w:tcW w:w="7740" w:type="dxa"/>
            <w:vAlign w:val="bottom"/>
          </w:tcPr>
          <w:p>
            <w:pPr>
              <w:ind w:left="20"/>
              <w:spacing w:after="0"/>
              <w:rPr>
                <w:sz w:val="20"/>
                <w:szCs w:val="20"/>
                <w:color w:val="auto"/>
              </w:rPr>
            </w:pPr>
            <w:r>
              <w:rPr>
                <w:rFonts w:ascii="Arial" w:cs="Arial" w:eastAsia="Arial" w:hAnsi="Arial"/>
                <w:sz w:val="18"/>
                <w:szCs w:val="18"/>
                <w:color w:val="auto"/>
              </w:rPr>
              <w:t>Other income (expense), net</w:t>
            </w:r>
          </w:p>
        </w:tc>
        <w:tc>
          <w:tcPr>
            <w:tcW w:w="3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249"/>
        </w:trPr>
        <w:tc>
          <w:tcPr>
            <w:tcW w:w="7740" w:type="dxa"/>
            <w:vAlign w:val="bottom"/>
            <w:shd w:val="clear" w:color="auto" w:fill="CFF0FC"/>
          </w:tcPr>
          <w:p>
            <w:pPr>
              <w:ind w:left="200"/>
              <w:spacing w:after="0"/>
              <w:rPr>
                <w:sz w:val="20"/>
                <w:szCs w:val="20"/>
                <w:color w:val="auto"/>
              </w:rPr>
            </w:pPr>
            <w:r>
              <w:rPr>
                <w:rFonts w:ascii="Arial" w:cs="Arial" w:eastAsia="Arial" w:hAnsi="Arial"/>
                <w:sz w:val="18"/>
                <w:szCs w:val="18"/>
                <w:color w:val="auto"/>
              </w:rPr>
              <w:t>Realized and unrealized loss on foreign exchange</w:t>
            </w:r>
          </w:p>
        </w:tc>
        <w:tc>
          <w:tcPr>
            <w:tcW w:w="380" w:type="dxa"/>
            <w:vAlign w:val="bottom"/>
            <w:shd w:val="clear" w:color="auto" w:fill="CFF0FC"/>
          </w:tcPr>
          <w:p>
            <w:pPr>
              <w:spacing w:after="0"/>
              <w:rPr>
                <w:sz w:val="21"/>
                <w:szCs w:val="21"/>
                <w:color w:val="auto"/>
              </w:rPr>
            </w:pPr>
          </w:p>
        </w:tc>
        <w:tc>
          <w:tcPr>
            <w:tcW w:w="1480" w:type="dxa"/>
            <w:vAlign w:val="bottom"/>
            <w:gridSpan w:val="2"/>
            <w:shd w:val="clear" w:color="auto" w:fill="CFF0FC"/>
          </w:tcPr>
          <w:p>
            <w:pPr>
              <w:jc w:val="right"/>
              <w:ind w:right="130"/>
              <w:spacing w:after="0"/>
              <w:rPr>
                <w:sz w:val="20"/>
                <w:szCs w:val="20"/>
                <w:color w:val="auto"/>
              </w:rPr>
            </w:pPr>
            <w:r>
              <w:rPr>
                <w:rFonts w:ascii="Arial" w:cs="Arial" w:eastAsia="Arial" w:hAnsi="Arial"/>
                <w:sz w:val="18"/>
                <w:szCs w:val="18"/>
                <w:color w:val="auto"/>
              </w:rPr>
              <w:t>(56 )</w:t>
            </w:r>
          </w:p>
        </w:tc>
        <w:tc>
          <w:tcPr>
            <w:tcW w:w="360" w:type="dxa"/>
            <w:vAlign w:val="bottom"/>
            <w:shd w:val="clear" w:color="auto" w:fill="CFF0FC"/>
          </w:tcPr>
          <w:p>
            <w:pPr>
              <w:spacing w:after="0"/>
              <w:rPr>
                <w:sz w:val="21"/>
                <w:szCs w:val="21"/>
                <w:color w:val="auto"/>
              </w:rPr>
            </w:pPr>
          </w:p>
        </w:tc>
        <w:tc>
          <w:tcPr>
            <w:tcW w:w="12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(17 )</w:t>
            </w:r>
          </w:p>
        </w:tc>
      </w:tr>
      <w:tr>
        <w:trPr>
          <w:trHeight w:val="237"/>
        </w:trPr>
        <w:tc>
          <w:tcPr>
            <w:tcW w:w="7740" w:type="dxa"/>
            <w:vAlign w:val="bottom"/>
          </w:tcPr>
          <w:p>
            <w:pPr>
              <w:ind w:left="200"/>
              <w:spacing w:after="0"/>
              <w:rPr>
                <w:sz w:val="20"/>
                <w:szCs w:val="20"/>
                <w:color w:val="auto"/>
              </w:rPr>
            </w:pPr>
            <w:r>
              <w:rPr>
                <w:rFonts w:ascii="Arial" w:cs="Arial" w:eastAsia="Arial" w:hAnsi="Arial"/>
                <w:sz w:val="18"/>
                <w:szCs w:val="18"/>
                <w:color w:val="auto"/>
              </w:rPr>
              <w:t>Interest income</w:t>
            </w:r>
          </w:p>
        </w:tc>
        <w:tc>
          <w:tcPr>
            <w:tcW w:w="38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3,427</w:t>
            </w:r>
          </w:p>
        </w:tc>
        <w:tc>
          <w:tcPr>
            <w:tcW w:w="3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129</w:t>
            </w:r>
          </w:p>
        </w:tc>
        <w:tc>
          <w:tcPr>
            <w:tcW w:w="100" w:type="dxa"/>
            <w:vAlign w:val="bottom"/>
          </w:tcPr>
          <w:p>
            <w:pPr>
              <w:spacing w:after="0"/>
              <w:rPr>
                <w:sz w:val="20"/>
                <w:szCs w:val="20"/>
                <w:color w:val="auto"/>
              </w:rPr>
            </w:pPr>
          </w:p>
        </w:tc>
      </w:tr>
      <w:tr>
        <w:trPr>
          <w:trHeight w:val="243"/>
        </w:trPr>
        <w:tc>
          <w:tcPr>
            <w:tcW w:w="7740" w:type="dxa"/>
            <w:vAlign w:val="bottom"/>
            <w:shd w:val="clear" w:color="auto" w:fill="CFF0FC"/>
          </w:tcPr>
          <w:p>
            <w:pPr>
              <w:ind w:left="200"/>
              <w:spacing w:after="0"/>
              <w:rPr>
                <w:sz w:val="20"/>
                <w:szCs w:val="20"/>
                <w:color w:val="auto"/>
              </w:rPr>
            </w:pPr>
            <w:r>
              <w:rPr>
                <w:rFonts w:ascii="Arial" w:cs="Arial" w:eastAsia="Arial" w:hAnsi="Arial"/>
                <w:sz w:val="18"/>
                <w:szCs w:val="18"/>
                <w:color w:val="auto"/>
              </w:rPr>
              <w:t>Other expense</w:t>
            </w:r>
          </w:p>
        </w:tc>
        <w:tc>
          <w:tcPr>
            <w:tcW w:w="380" w:type="dxa"/>
            <w:vAlign w:val="bottom"/>
            <w:shd w:val="clear" w:color="auto" w:fill="CFF0FC"/>
          </w:tcPr>
          <w:p>
            <w:pPr>
              <w:spacing w:after="0"/>
              <w:rPr>
                <w:sz w:val="21"/>
                <w:szCs w:val="21"/>
                <w:color w:val="auto"/>
              </w:rPr>
            </w:pPr>
          </w:p>
        </w:tc>
        <w:tc>
          <w:tcPr>
            <w:tcW w:w="1480" w:type="dxa"/>
            <w:vAlign w:val="bottom"/>
            <w:gridSpan w:val="2"/>
            <w:shd w:val="clear" w:color="auto" w:fill="CFF0FC"/>
          </w:tcPr>
          <w:p>
            <w:pPr>
              <w:jc w:val="right"/>
              <w:ind w:right="130"/>
              <w:spacing w:after="0"/>
              <w:rPr>
                <w:sz w:val="20"/>
                <w:szCs w:val="20"/>
                <w:color w:val="auto"/>
              </w:rPr>
            </w:pPr>
            <w:r>
              <w:rPr>
                <w:rFonts w:ascii="Arial" w:cs="Arial" w:eastAsia="Arial" w:hAnsi="Arial"/>
                <w:sz w:val="18"/>
                <w:szCs w:val="18"/>
                <w:color w:val="auto"/>
              </w:rPr>
              <w:t>(15 )</w:t>
            </w:r>
          </w:p>
        </w:tc>
        <w:tc>
          <w:tcPr>
            <w:tcW w:w="360" w:type="dxa"/>
            <w:vAlign w:val="bottom"/>
            <w:shd w:val="clear" w:color="auto" w:fill="CFF0FC"/>
          </w:tcPr>
          <w:p>
            <w:pPr>
              <w:spacing w:after="0"/>
              <w:rPr>
                <w:sz w:val="21"/>
                <w:szCs w:val="21"/>
                <w:color w:val="auto"/>
              </w:rPr>
            </w:pPr>
          </w:p>
        </w:tc>
        <w:tc>
          <w:tcPr>
            <w:tcW w:w="128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(8 )</w:t>
            </w:r>
          </w:p>
        </w:tc>
      </w:tr>
      <w:tr>
        <w:trPr>
          <w:trHeight w:val="236"/>
        </w:trPr>
        <w:tc>
          <w:tcPr>
            <w:tcW w:w="7740" w:type="dxa"/>
            <w:vAlign w:val="bottom"/>
            <w:tcBorders>
              <w:top w:val="single" w:sz="8" w:color="CFF0FC"/>
            </w:tcBorders>
          </w:tcPr>
          <w:p>
            <w:pPr>
              <w:ind w:left="20"/>
              <w:spacing w:after="0"/>
              <w:rPr>
                <w:sz w:val="20"/>
                <w:szCs w:val="20"/>
                <w:color w:val="auto"/>
              </w:rPr>
            </w:pPr>
            <w:r>
              <w:rPr>
                <w:rFonts w:ascii="Arial" w:cs="Arial" w:eastAsia="Arial" w:hAnsi="Arial"/>
                <w:sz w:val="18"/>
                <w:szCs w:val="18"/>
                <w:color w:val="auto"/>
              </w:rPr>
              <w:t>Total other income, net</w:t>
            </w:r>
          </w:p>
        </w:tc>
        <w:tc>
          <w:tcPr>
            <w:tcW w:w="380" w:type="dxa"/>
            <w:vAlign w:val="bottom"/>
            <w:tcBorders>
              <w:top w:val="single" w:sz="8" w:color="auto"/>
              <w:bottom w:val="single" w:sz="8" w:color="auto"/>
            </w:tcBorders>
          </w:tcPr>
          <w:p>
            <w:pPr>
              <w:spacing w:after="0"/>
              <w:rPr>
                <w:sz w:val="20"/>
                <w:szCs w:val="20"/>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3,356</w:t>
            </w:r>
          </w:p>
        </w:tc>
        <w:tc>
          <w:tcPr>
            <w:tcW w:w="300" w:type="dxa"/>
            <w:vAlign w:val="bottom"/>
            <w:tcBorders>
              <w:top w:val="single" w:sz="8" w:color="CFF0FC"/>
            </w:tcBorders>
          </w:tcPr>
          <w:p>
            <w:pPr>
              <w:spacing w:after="0"/>
              <w:rPr>
                <w:sz w:val="20"/>
                <w:szCs w:val="20"/>
                <w:color w:val="auto"/>
              </w:rPr>
            </w:pPr>
          </w:p>
        </w:tc>
        <w:tc>
          <w:tcPr>
            <w:tcW w:w="360" w:type="dxa"/>
            <w:vAlign w:val="bottom"/>
            <w:tcBorders>
              <w:top w:val="single" w:sz="8" w:color="auto"/>
              <w:bottom w:val="single" w:sz="8" w:color="auto"/>
            </w:tcBorders>
          </w:tcPr>
          <w:p>
            <w:pPr>
              <w:spacing w:after="0"/>
              <w:rPr>
                <w:sz w:val="20"/>
                <w:szCs w:val="20"/>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104</w:t>
            </w:r>
          </w:p>
        </w:tc>
        <w:tc>
          <w:tcPr>
            <w:tcW w:w="100" w:type="dxa"/>
            <w:vAlign w:val="bottom"/>
            <w:tcBorders>
              <w:top w:val="single" w:sz="8" w:color="CFF0FC"/>
            </w:tcBorders>
          </w:tcPr>
          <w:p>
            <w:pPr>
              <w:spacing w:after="0"/>
              <w:rPr>
                <w:sz w:val="20"/>
                <w:szCs w:val="20"/>
                <w:color w:val="auto"/>
              </w:rPr>
            </w:pPr>
          </w:p>
        </w:tc>
      </w:tr>
      <w:tr>
        <w:trPr>
          <w:trHeight w:val="243"/>
        </w:trPr>
        <w:tc>
          <w:tcPr>
            <w:tcW w:w="7740" w:type="dxa"/>
            <w:vAlign w:val="bottom"/>
            <w:shd w:val="clear" w:color="auto" w:fill="CFF0FC"/>
          </w:tcPr>
          <w:p>
            <w:pPr>
              <w:ind w:left="20"/>
              <w:spacing w:after="0"/>
              <w:rPr>
                <w:sz w:val="20"/>
                <w:szCs w:val="20"/>
                <w:color w:val="auto"/>
              </w:rPr>
            </w:pPr>
            <w:r>
              <w:rPr>
                <w:rFonts w:ascii="Arial" w:cs="Arial" w:eastAsia="Arial" w:hAnsi="Arial"/>
                <w:sz w:val="18"/>
                <w:szCs w:val="18"/>
                <w:color w:val="auto"/>
              </w:rPr>
              <w:t>Loss before income taxes</w:t>
            </w:r>
          </w:p>
        </w:tc>
        <w:tc>
          <w:tcPr>
            <w:tcW w:w="380" w:type="dxa"/>
            <w:vAlign w:val="bottom"/>
            <w:shd w:val="clear" w:color="auto" w:fill="CFF0FC"/>
          </w:tcPr>
          <w:p>
            <w:pPr>
              <w:spacing w:after="0"/>
              <w:rPr>
                <w:sz w:val="21"/>
                <w:szCs w:val="21"/>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(31,325</w:t>
            </w:r>
          </w:p>
        </w:tc>
        <w:tc>
          <w:tcPr>
            <w:tcW w:w="300" w:type="dxa"/>
            <w:vAlign w:val="bottom"/>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360" w:type="dxa"/>
            <w:vAlign w:val="bottom"/>
            <w:shd w:val="clear" w:color="auto" w:fill="CFF0FC"/>
          </w:tcPr>
          <w:p>
            <w:pPr>
              <w:spacing w:after="0"/>
              <w:rPr>
                <w:sz w:val="21"/>
                <w:szCs w:val="21"/>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(34,725</w:t>
            </w:r>
          </w:p>
        </w:tc>
        <w:tc>
          <w:tcPr>
            <w:tcW w:w="100" w:type="dxa"/>
            <w:vAlign w:val="bottom"/>
            <w:shd w:val="clear" w:color="auto" w:fill="CFF0FC"/>
          </w:tcPr>
          <w:p>
            <w:pPr>
              <w:jc w:val="right"/>
              <w:spacing w:after="0"/>
              <w:rPr>
                <w:sz w:val="20"/>
                <w:szCs w:val="20"/>
                <w:color w:val="auto"/>
              </w:rPr>
            </w:pPr>
            <w:r>
              <w:rPr>
                <w:rFonts w:ascii="Arial" w:cs="Arial" w:eastAsia="Arial" w:hAnsi="Arial"/>
                <w:sz w:val="16"/>
                <w:szCs w:val="16"/>
                <w:color w:val="auto"/>
                <w:w w:val="74"/>
              </w:rPr>
              <w:t>)</w:t>
            </w:r>
          </w:p>
        </w:tc>
      </w:tr>
      <w:tr>
        <w:trPr>
          <w:trHeight w:val="237"/>
        </w:trPr>
        <w:tc>
          <w:tcPr>
            <w:tcW w:w="7740" w:type="dxa"/>
            <w:vAlign w:val="bottom"/>
          </w:tcPr>
          <w:p>
            <w:pPr>
              <w:ind w:left="200"/>
              <w:spacing w:after="0"/>
              <w:rPr>
                <w:sz w:val="20"/>
                <w:szCs w:val="20"/>
                <w:color w:val="auto"/>
              </w:rPr>
            </w:pPr>
            <w:r>
              <w:rPr>
                <w:rFonts w:ascii="Arial" w:cs="Arial" w:eastAsia="Arial" w:hAnsi="Arial"/>
                <w:sz w:val="18"/>
                <w:szCs w:val="18"/>
                <w:color w:val="auto"/>
              </w:rPr>
              <w:t>Income tax expense</w:t>
            </w:r>
          </w:p>
        </w:tc>
        <w:tc>
          <w:tcPr>
            <w:tcW w:w="380" w:type="dxa"/>
            <w:vAlign w:val="bottom"/>
          </w:tcPr>
          <w:p>
            <w:pPr>
              <w:spacing w:after="0"/>
              <w:rPr>
                <w:sz w:val="20"/>
                <w:szCs w:val="20"/>
                <w:color w:val="auto"/>
              </w:rPr>
            </w:pPr>
          </w:p>
        </w:tc>
        <w:tc>
          <w:tcPr>
            <w:tcW w:w="1480" w:type="dxa"/>
            <w:vAlign w:val="bottom"/>
            <w:gridSpan w:val="2"/>
          </w:tcPr>
          <w:p>
            <w:pPr>
              <w:jc w:val="right"/>
              <w:ind w:right="130"/>
              <w:spacing w:after="0"/>
              <w:rPr>
                <w:sz w:val="20"/>
                <w:szCs w:val="20"/>
                <w:color w:val="auto"/>
              </w:rPr>
            </w:pPr>
            <w:r>
              <w:rPr>
                <w:rFonts w:ascii="Arial" w:cs="Arial" w:eastAsia="Arial" w:hAnsi="Arial"/>
                <w:sz w:val="18"/>
                <w:szCs w:val="18"/>
                <w:color w:val="auto"/>
              </w:rPr>
              <w:t>(3,616 )</w:t>
            </w:r>
          </w:p>
        </w:tc>
        <w:tc>
          <w:tcPr>
            <w:tcW w:w="360" w:type="dxa"/>
            <w:vAlign w:val="bottom"/>
          </w:tcPr>
          <w:p>
            <w:pPr>
              <w:spacing w:after="0"/>
              <w:rPr>
                <w:sz w:val="20"/>
                <w:szCs w:val="20"/>
                <w:color w:val="auto"/>
              </w:rPr>
            </w:pP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(32 )</w:t>
            </w:r>
          </w:p>
        </w:tc>
      </w:tr>
      <w:tr>
        <w:trPr>
          <w:trHeight w:val="279"/>
        </w:trPr>
        <w:tc>
          <w:tcPr>
            <w:tcW w:w="774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b w:val="1"/>
                <w:bCs w:val="1"/>
                <w:color w:val="auto"/>
              </w:rPr>
              <w:t>Net loss</w:t>
            </w:r>
          </w:p>
        </w:tc>
        <w:tc>
          <w:tcPr>
            <w:tcW w:w="380" w:type="dxa"/>
            <w:vAlign w:val="bottom"/>
            <w:tcBorders>
              <w:top w:val="single" w:sz="8" w:color="auto"/>
              <w:bottom w:val="single" w:sz="8" w:color="auto"/>
            </w:tcBorders>
            <w:shd w:val="clear" w:color="auto" w:fill="CFF0FC"/>
          </w:tcPr>
          <w:p>
            <w:pPr>
              <w:jc w:val="right"/>
              <w:ind w:right="190"/>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(34,941</w:t>
            </w:r>
          </w:p>
        </w:tc>
        <w:tc>
          <w:tcPr>
            <w:tcW w:w="30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360" w:type="dxa"/>
            <w:vAlign w:val="bottom"/>
            <w:tcBorders>
              <w:top w:val="single" w:sz="8" w:color="auto"/>
              <w:bottom w:val="single" w:sz="8" w:color="auto"/>
            </w:tcBorders>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(34,757</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w w:val="74"/>
              </w:rPr>
              <w:t>)</w:t>
            </w:r>
          </w:p>
        </w:tc>
      </w:tr>
      <w:tr>
        <w:trPr>
          <w:trHeight w:val="223"/>
        </w:trPr>
        <w:tc>
          <w:tcPr>
            <w:tcW w:w="7740" w:type="dxa"/>
            <w:vAlign w:val="bottom"/>
          </w:tcPr>
          <w:p>
            <w:pPr>
              <w:ind w:left="20"/>
              <w:spacing w:after="0"/>
              <w:rPr>
                <w:sz w:val="20"/>
                <w:szCs w:val="20"/>
                <w:color w:val="auto"/>
              </w:rPr>
            </w:pPr>
            <w:r>
              <w:rPr>
                <w:rFonts w:ascii="Arial" w:cs="Arial" w:eastAsia="Arial" w:hAnsi="Arial"/>
                <w:sz w:val="18"/>
                <w:szCs w:val="18"/>
                <w:b w:val="1"/>
                <w:bCs w:val="1"/>
                <w:color w:val="auto"/>
              </w:rPr>
              <w:t>Other comprehensive gain:</w:t>
            </w:r>
          </w:p>
        </w:tc>
        <w:tc>
          <w:tcPr>
            <w:tcW w:w="3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241"/>
        </w:trPr>
        <w:tc>
          <w:tcPr>
            <w:tcW w:w="7740" w:type="dxa"/>
            <w:vAlign w:val="bottom"/>
            <w:tcBorders>
              <w:bottom w:val="single" w:sz="8" w:color="CFF0FC"/>
            </w:tcBorders>
            <w:shd w:val="clear" w:color="auto" w:fill="CFF0FC"/>
          </w:tcPr>
          <w:p>
            <w:pPr>
              <w:ind w:left="200"/>
              <w:spacing w:after="0"/>
              <w:rPr>
                <w:sz w:val="20"/>
                <w:szCs w:val="20"/>
                <w:color w:val="auto"/>
              </w:rPr>
            </w:pPr>
            <w:r>
              <w:rPr>
                <w:rFonts w:ascii="Arial" w:cs="Arial" w:eastAsia="Arial" w:hAnsi="Arial"/>
                <w:sz w:val="18"/>
                <w:szCs w:val="18"/>
                <w:color w:val="auto"/>
              </w:rPr>
              <w:t>Unrealized gain on available-for-sale marketable securities</w:t>
            </w:r>
          </w:p>
        </w:tc>
        <w:tc>
          <w:tcPr>
            <w:tcW w:w="380" w:type="dxa"/>
            <w:vAlign w:val="bottom"/>
            <w:tcBorders>
              <w:bottom w:val="single" w:sz="8" w:color="auto"/>
            </w:tcBorders>
            <w:shd w:val="clear" w:color="auto" w:fill="CFF0FC"/>
          </w:tcPr>
          <w:p>
            <w:pPr>
              <w:jc w:val="right"/>
              <w:ind w:right="19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193</w:t>
            </w:r>
          </w:p>
        </w:tc>
        <w:tc>
          <w:tcPr>
            <w:tcW w:w="300" w:type="dxa"/>
            <w:vAlign w:val="bottom"/>
            <w:tcBorders>
              <w:bottom w:val="single" w:sz="8" w:color="CFF0FC"/>
            </w:tcBorders>
            <w:shd w:val="clear" w:color="auto" w:fill="CFF0FC"/>
          </w:tcPr>
          <w:p>
            <w:pPr>
              <w:spacing w:after="0"/>
              <w:rPr>
                <w:sz w:val="20"/>
                <w:szCs w:val="20"/>
                <w:color w:val="auto"/>
              </w:rPr>
            </w:pPr>
          </w:p>
        </w:tc>
        <w:tc>
          <w:tcPr>
            <w:tcW w:w="360" w:type="dxa"/>
            <w:vAlign w:val="bottom"/>
            <w:tcBorders>
              <w:bottom w:val="single" w:sz="8" w:color="auto"/>
            </w:tcBorders>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FF0FC"/>
            </w:tcBorders>
            <w:shd w:val="clear" w:color="auto" w:fill="CFF0FC"/>
          </w:tcPr>
          <w:p>
            <w:pPr>
              <w:spacing w:after="0"/>
              <w:rPr>
                <w:sz w:val="20"/>
                <w:szCs w:val="20"/>
                <w:color w:val="auto"/>
              </w:rPr>
            </w:pPr>
          </w:p>
        </w:tc>
      </w:tr>
      <w:tr>
        <w:trPr>
          <w:trHeight w:val="237"/>
        </w:trPr>
        <w:tc>
          <w:tcPr>
            <w:tcW w:w="7740" w:type="dxa"/>
            <w:vAlign w:val="bottom"/>
          </w:tcPr>
          <w:p>
            <w:pPr>
              <w:ind w:left="20"/>
              <w:spacing w:after="0"/>
              <w:rPr>
                <w:sz w:val="20"/>
                <w:szCs w:val="20"/>
                <w:color w:val="auto"/>
              </w:rPr>
            </w:pPr>
            <w:r>
              <w:rPr>
                <w:rFonts w:ascii="Arial" w:cs="Arial" w:eastAsia="Arial" w:hAnsi="Arial"/>
                <w:sz w:val="18"/>
                <w:szCs w:val="18"/>
                <w:color w:val="auto"/>
              </w:rPr>
              <w:t>Total other comprehensive gain</w:t>
            </w:r>
          </w:p>
        </w:tc>
        <w:tc>
          <w:tcPr>
            <w:tcW w:w="38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193</w:t>
            </w:r>
          </w:p>
        </w:tc>
        <w:tc>
          <w:tcPr>
            <w:tcW w:w="3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80" w:type="dxa"/>
            <w:vAlign w:val="bottom"/>
            <w:gridSpan w:val="2"/>
          </w:tcPr>
          <w:p>
            <w:pPr>
              <w:jc w:val="right"/>
              <w:ind w:right="41"/>
              <w:spacing w:after="0"/>
              <w:rPr>
                <w:sz w:val="20"/>
                <w:szCs w:val="20"/>
                <w:color w:val="auto"/>
              </w:rPr>
            </w:pPr>
            <w:r>
              <w:rPr>
                <w:rFonts w:ascii="Arial" w:cs="Arial" w:eastAsia="Arial" w:hAnsi="Arial"/>
                <w:sz w:val="18"/>
                <w:szCs w:val="18"/>
                <w:color w:val="auto"/>
              </w:rPr>
              <w:t>—</w:t>
            </w:r>
          </w:p>
        </w:tc>
      </w:tr>
      <w:tr>
        <w:trPr>
          <w:trHeight w:val="278"/>
        </w:trPr>
        <w:tc>
          <w:tcPr>
            <w:tcW w:w="7740" w:type="dxa"/>
            <w:vAlign w:val="bottom"/>
            <w:tcBorders>
              <w:bottom w:val="single" w:sz="8" w:color="CFF0FC"/>
            </w:tcBorders>
            <w:shd w:val="clear" w:color="auto" w:fill="CFF0FC"/>
          </w:tcPr>
          <w:p>
            <w:pPr>
              <w:ind w:left="20"/>
              <w:spacing w:after="0"/>
              <w:rPr>
                <w:sz w:val="20"/>
                <w:szCs w:val="20"/>
                <w:color w:val="auto"/>
              </w:rPr>
            </w:pPr>
            <w:r>
              <w:rPr>
                <w:rFonts w:ascii="Arial" w:cs="Arial" w:eastAsia="Arial" w:hAnsi="Arial"/>
                <w:sz w:val="18"/>
                <w:szCs w:val="18"/>
                <w:b w:val="1"/>
                <w:bCs w:val="1"/>
                <w:color w:val="auto"/>
              </w:rPr>
              <w:t>Comprehensive loss</w:t>
            </w:r>
          </w:p>
        </w:tc>
        <w:tc>
          <w:tcPr>
            <w:tcW w:w="380" w:type="dxa"/>
            <w:vAlign w:val="bottom"/>
            <w:tcBorders>
              <w:top w:val="single" w:sz="8" w:color="auto"/>
              <w:bottom w:val="single" w:sz="8" w:color="auto"/>
            </w:tcBorders>
            <w:shd w:val="clear" w:color="auto" w:fill="CFF0FC"/>
          </w:tcPr>
          <w:p>
            <w:pPr>
              <w:jc w:val="right"/>
              <w:ind w:right="190"/>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(34,748</w:t>
            </w:r>
          </w:p>
        </w:tc>
        <w:tc>
          <w:tcPr>
            <w:tcW w:w="300" w:type="dxa"/>
            <w:vAlign w:val="bottom"/>
            <w:tcBorders>
              <w:bottom w:val="single" w:sz="8" w:color="CFF0FC"/>
            </w:tcBorders>
            <w:shd w:val="clear" w:color="auto" w:fill="CFF0FC"/>
          </w:tcPr>
          <w:p>
            <w:pPr>
              <w:jc w:val="right"/>
              <w:ind w:right="130"/>
              <w:spacing w:after="0"/>
              <w:rPr>
                <w:sz w:val="20"/>
                <w:szCs w:val="20"/>
                <w:color w:val="auto"/>
              </w:rPr>
            </w:pPr>
            <w:r>
              <w:rPr>
                <w:rFonts w:ascii="Arial" w:cs="Arial" w:eastAsia="Arial" w:hAnsi="Arial"/>
                <w:sz w:val="18"/>
                <w:szCs w:val="18"/>
                <w:color w:val="auto"/>
                <w:w w:val="99"/>
              </w:rPr>
              <w:t>)</w:t>
            </w:r>
          </w:p>
        </w:tc>
        <w:tc>
          <w:tcPr>
            <w:tcW w:w="360" w:type="dxa"/>
            <w:vAlign w:val="bottom"/>
            <w:tcBorders>
              <w:top w:val="single" w:sz="8" w:color="auto"/>
              <w:bottom w:val="single" w:sz="8" w:color="auto"/>
            </w:tcBorders>
            <w:shd w:val="clear" w:color="auto" w:fill="CFF0FC"/>
          </w:tcPr>
          <w:p>
            <w:pPr>
              <w:jc w:val="right"/>
              <w:ind w:right="170"/>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(34,757</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w w:val="74"/>
              </w:rPr>
              <w:t>)</w:t>
            </w:r>
          </w:p>
        </w:tc>
      </w:tr>
      <w:tr>
        <w:trPr>
          <w:trHeight w:val="221"/>
        </w:trPr>
        <w:tc>
          <w:tcPr>
            <w:tcW w:w="7740" w:type="dxa"/>
            <w:vAlign w:val="bottom"/>
          </w:tcPr>
          <w:p>
            <w:pPr>
              <w:ind w:left="20"/>
              <w:spacing w:after="0"/>
              <w:rPr>
                <w:sz w:val="20"/>
                <w:szCs w:val="20"/>
                <w:color w:val="auto"/>
              </w:rPr>
            </w:pPr>
            <w:r>
              <w:rPr>
                <w:rFonts w:ascii="Arial" w:cs="Arial" w:eastAsia="Arial" w:hAnsi="Arial"/>
                <w:sz w:val="18"/>
                <w:szCs w:val="18"/>
                <w:color w:val="auto"/>
              </w:rPr>
              <w:t>Net loss per share attributable to common shareholders - basic and diluted</w:t>
            </w:r>
          </w:p>
        </w:tc>
        <w:tc>
          <w:tcPr>
            <w:tcW w:w="380" w:type="dxa"/>
            <w:vAlign w:val="bottom"/>
          </w:tcPr>
          <w:p>
            <w:pPr>
              <w:jc w:val="right"/>
              <w:ind w:right="190"/>
              <w:spacing w:after="0"/>
              <w:rPr>
                <w:sz w:val="20"/>
                <w:szCs w:val="20"/>
                <w:color w:val="auto"/>
              </w:rPr>
            </w:pPr>
            <w:r>
              <w:rPr>
                <w:rFonts w:ascii="Arial" w:cs="Arial" w:eastAsia="Arial" w:hAnsi="Arial"/>
                <w:sz w:val="18"/>
                <w:szCs w:val="18"/>
                <w:color w:val="auto"/>
                <w:w w:val="79"/>
              </w:rPr>
              <w:t>$</w:t>
            </w:r>
          </w:p>
        </w:tc>
        <w:tc>
          <w:tcPr>
            <w:tcW w:w="1480" w:type="dxa"/>
            <w:vAlign w:val="bottom"/>
            <w:gridSpan w:val="2"/>
          </w:tcPr>
          <w:p>
            <w:pPr>
              <w:jc w:val="right"/>
              <w:ind w:right="130"/>
              <w:spacing w:after="0"/>
              <w:rPr>
                <w:sz w:val="20"/>
                <w:szCs w:val="20"/>
                <w:color w:val="auto"/>
              </w:rPr>
            </w:pPr>
            <w:r>
              <w:rPr>
                <w:rFonts w:ascii="Arial" w:cs="Arial" w:eastAsia="Arial" w:hAnsi="Arial"/>
                <w:sz w:val="18"/>
                <w:szCs w:val="18"/>
                <w:color w:val="auto"/>
              </w:rPr>
              <w:t>(0.83 )</w:t>
            </w:r>
          </w:p>
        </w:tc>
        <w:tc>
          <w:tcPr>
            <w:tcW w:w="360" w:type="dxa"/>
            <w:vAlign w:val="bottom"/>
          </w:tcPr>
          <w:p>
            <w:pPr>
              <w:jc w:val="right"/>
              <w:ind w:right="170"/>
              <w:spacing w:after="0"/>
              <w:rPr>
                <w:sz w:val="20"/>
                <w:szCs w:val="20"/>
                <w:color w:val="auto"/>
              </w:rPr>
            </w:pPr>
            <w:r>
              <w:rPr>
                <w:rFonts w:ascii="Arial" w:cs="Arial" w:eastAsia="Arial" w:hAnsi="Arial"/>
                <w:sz w:val="18"/>
                <w:szCs w:val="18"/>
                <w:color w:val="auto"/>
                <w:w w:val="79"/>
              </w:rPr>
              <w:t>$</w:t>
            </w:r>
          </w:p>
        </w:tc>
        <w:tc>
          <w:tcPr>
            <w:tcW w:w="1280" w:type="dxa"/>
            <w:vAlign w:val="bottom"/>
            <w:gridSpan w:val="2"/>
          </w:tcPr>
          <w:p>
            <w:pPr>
              <w:jc w:val="right"/>
              <w:spacing w:after="0"/>
              <w:rPr>
                <w:sz w:val="20"/>
                <w:szCs w:val="20"/>
                <w:color w:val="auto"/>
              </w:rPr>
            </w:pPr>
            <w:r>
              <w:rPr>
                <w:rFonts w:ascii="Arial" w:cs="Arial" w:eastAsia="Arial" w:hAnsi="Arial"/>
                <w:sz w:val="18"/>
                <w:szCs w:val="18"/>
                <w:color w:val="auto"/>
              </w:rPr>
              <w:t>(0.83 )</w:t>
            </w:r>
          </w:p>
        </w:tc>
      </w:tr>
      <w:tr>
        <w:trPr>
          <w:trHeight w:val="249"/>
        </w:trPr>
        <w:tc>
          <w:tcPr>
            <w:tcW w:w="7740" w:type="dxa"/>
            <w:vAlign w:val="bottom"/>
            <w:shd w:val="clear" w:color="auto" w:fill="CFF0FC"/>
          </w:tcPr>
          <w:p>
            <w:pPr>
              <w:ind w:left="20"/>
              <w:spacing w:after="0"/>
              <w:rPr>
                <w:sz w:val="20"/>
                <w:szCs w:val="20"/>
                <w:color w:val="auto"/>
              </w:rPr>
            </w:pPr>
            <w:r>
              <w:rPr>
                <w:rFonts w:ascii="Arial" w:cs="Arial" w:eastAsia="Arial" w:hAnsi="Arial"/>
                <w:sz w:val="18"/>
                <w:szCs w:val="18"/>
                <w:color w:val="auto"/>
              </w:rPr>
              <w:t>Weighted-average common shares outstanding - basic and diluted</w:t>
            </w:r>
          </w:p>
        </w:tc>
        <w:tc>
          <w:tcPr>
            <w:tcW w:w="380" w:type="dxa"/>
            <w:vAlign w:val="bottom"/>
            <w:shd w:val="clear" w:color="auto" w:fill="CFF0FC"/>
          </w:tcPr>
          <w:p>
            <w:pPr>
              <w:spacing w:after="0"/>
              <w:rPr>
                <w:sz w:val="21"/>
                <w:szCs w:val="21"/>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42,040,674</w:t>
            </w:r>
          </w:p>
        </w:tc>
        <w:tc>
          <w:tcPr>
            <w:tcW w:w="300" w:type="dxa"/>
            <w:vAlign w:val="bottom"/>
            <w:shd w:val="clear" w:color="auto" w:fill="CFF0FC"/>
          </w:tcPr>
          <w:p>
            <w:pPr>
              <w:spacing w:after="0"/>
              <w:rPr>
                <w:sz w:val="21"/>
                <w:szCs w:val="21"/>
                <w:color w:val="auto"/>
              </w:rPr>
            </w:pPr>
          </w:p>
        </w:tc>
        <w:tc>
          <w:tcPr>
            <w:tcW w:w="360" w:type="dxa"/>
            <w:vAlign w:val="bottom"/>
            <w:shd w:val="clear" w:color="auto" w:fill="CFF0FC"/>
          </w:tcPr>
          <w:p>
            <w:pPr>
              <w:spacing w:after="0"/>
              <w:rPr>
                <w:sz w:val="21"/>
                <w:szCs w:val="21"/>
                <w:color w:val="auto"/>
              </w:rPr>
            </w:pPr>
          </w:p>
        </w:tc>
        <w:tc>
          <w:tcPr>
            <w:tcW w:w="11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41,861,613</w:t>
            </w:r>
          </w:p>
        </w:tc>
        <w:tc>
          <w:tcPr>
            <w:tcW w:w="100" w:type="dxa"/>
            <w:vAlign w:val="bottom"/>
            <w:shd w:val="clear" w:color="auto" w:fill="CFF0FC"/>
          </w:tcPr>
          <w:p>
            <w:pPr>
              <w:spacing w:after="0"/>
              <w:rPr>
                <w:sz w:val="21"/>
                <w:szCs w:val="21"/>
                <w:color w:val="auto"/>
              </w:rPr>
            </w:pPr>
          </w:p>
        </w:tc>
      </w:tr>
      <w:tr>
        <w:trPr>
          <w:trHeight w:val="790"/>
        </w:trPr>
        <w:tc>
          <w:tcPr>
            <w:tcW w:w="774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1180" w:type="dxa"/>
            <w:vAlign w:val="bottom"/>
            <w:tcBorders>
              <w:bottom w:val="single" w:sz="8" w:color="9A9A9A"/>
            </w:tcBorders>
          </w:tcPr>
          <w:p>
            <w:pPr>
              <w:spacing w:after="0"/>
              <w:rPr>
                <w:sz w:val="24"/>
                <w:szCs w:val="24"/>
                <w:color w:val="auto"/>
              </w:rPr>
            </w:pPr>
          </w:p>
        </w:tc>
        <w:tc>
          <w:tcPr>
            <w:tcW w:w="300" w:type="dxa"/>
            <w:vAlign w:val="bottom"/>
            <w:tcBorders>
              <w:bottom w:val="single" w:sz="8" w:color="9A9A9A"/>
            </w:tcBorders>
          </w:tcPr>
          <w:p>
            <w:pPr>
              <w:spacing w:after="0"/>
              <w:rPr>
                <w:sz w:val="24"/>
                <w:szCs w:val="24"/>
                <w:color w:val="auto"/>
              </w:rPr>
            </w:pPr>
          </w:p>
        </w:tc>
        <w:tc>
          <w:tcPr>
            <w:tcW w:w="360" w:type="dxa"/>
            <w:vAlign w:val="bottom"/>
            <w:tcBorders>
              <w:bottom w:val="single" w:sz="8" w:color="9A9A9A"/>
            </w:tcBorders>
          </w:tcPr>
          <w:p>
            <w:pPr>
              <w:spacing w:after="0"/>
              <w:rPr>
                <w:sz w:val="24"/>
                <w:szCs w:val="24"/>
                <w:color w:val="auto"/>
              </w:rPr>
            </w:pPr>
          </w:p>
        </w:tc>
        <w:tc>
          <w:tcPr>
            <w:tcW w:w="118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5911215</wp:posOffset>
            </wp:positionH>
            <wp:positionV relativeFrom="paragraph">
              <wp:posOffset>-3102610</wp:posOffset>
            </wp:positionV>
            <wp:extent cx="68580" cy="1714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-3102610</wp:posOffset>
            </wp:positionV>
            <wp:extent cx="68580" cy="1714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5911215</wp:posOffset>
            </wp:positionH>
            <wp:positionV relativeFrom="paragraph">
              <wp:posOffset>-2776855</wp:posOffset>
            </wp:positionV>
            <wp:extent cx="68580" cy="16319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68580" cy="163195"/>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-2776855</wp:posOffset>
            </wp:positionV>
            <wp:extent cx="68580" cy="16319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8580" cy="163195"/>
                    </a:xfrm>
                    <a:prstGeom prst="rect">
                      <a:avLst/>
                    </a:prstGeom>
                    <a:noFill/>
                  </pic:spPr>
                </pic:pic>
              </a:graphicData>
            </a:graphic>
          </wp:anchor>
        </w:drawing>
        <w:drawing>
          <wp:anchor simplePos="0" relativeHeight="251657728" behindDoc="1" locked="0" layoutInCell="0" allowOverlap="1">
            <wp:simplePos x="0" y="0"/>
            <wp:positionH relativeFrom="column">
              <wp:posOffset>5911215</wp:posOffset>
            </wp:positionH>
            <wp:positionV relativeFrom="paragraph">
              <wp:posOffset>-2150745</wp:posOffset>
            </wp:positionV>
            <wp:extent cx="68580" cy="1714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-2150745</wp:posOffset>
            </wp:positionV>
            <wp:extent cx="68580" cy="1714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5911215</wp:posOffset>
            </wp:positionH>
            <wp:positionV relativeFrom="paragraph">
              <wp:posOffset>-1508125</wp:posOffset>
            </wp:positionV>
            <wp:extent cx="1225550" cy="1797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25550" cy="179705"/>
                    </a:xfrm>
                    <a:prstGeom prst="rect">
                      <a:avLst/>
                    </a:prstGeom>
                    <a:noFill/>
                  </pic:spPr>
                </pic:pic>
              </a:graphicData>
            </a:graphic>
          </wp:anchor>
        </w:drawing>
        <w:drawing>
          <wp:anchor simplePos="0" relativeHeight="251657728" behindDoc="1" locked="0" layoutInCell="0" allowOverlap="1">
            <wp:simplePos x="0" y="0"/>
            <wp:positionH relativeFrom="column">
              <wp:posOffset>5911215</wp:posOffset>
            </wp:positionH>
            <wp:positionV relativeFrom="paragraph">
              <wp:posOffset>-1173480</wp:posOffset>
            </wp:positionV>
            <wp:extent cx="68580" cy="1714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7068820</wp:posOffset>
            </wp:positionH>
            <wp:positionV relativeFrom="paragraph">
              <wp:posOffset>-1173480</wp:posOffset>
            </wp:positionV>
            <wp:extent cx="68580" cy="1714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68580" cy="171450"/>
                    </a:xfrm>
                    <a:prstGeom prst="rect">
                      <a:avLst/>
                    </a:prstGeom>
                    <a:noFill/>
                  </pic:spPr>
                </pic:pic>
              </a:graphicData>
            </a:graphic>
          </wp:anchor>
        </w:drawing>
        <w:drawing>
          <wp:anchor simplePos="0" relativeHeight="251657728" behindDoc="1" locked="0" layoutInCell="0" allowOverlap="1">
            <wp:simplePos x="0" y="0"/>
            <wp:positionH relativeFrom="column">
              <wp:posOffset>5911215</wp:posOffset>
            </wp:positionH>
            <wp:positionV relativeFrom="paragraph">
              <wp:posOffset>-847725</wp:posOffset>
            </wp:positionV>
            <wp:extent cx="1225550" cy="1797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225550" cy="17970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37" w:right="339" w:bottom="1440" w:gutter="0" w:footer="0" w:header="0"/>
        </w:sectPr>
      </w:pPr>
    </w:p>
    <w:bookmarkStart w:id="9" w:name="page10"/>
    <w:bookmarkEnd w:id="9"/>
    <w:p>
      <w:pPr>
        <w:spacing w:after="0"/>
        <w:rPr>
          <w:sz w:val="20"/>
          <w:szCs w:val="20"/>
          <w:color w:val="auto"/>
        </w:rPr>
      </w:pPr>
      <w:r>
        <w:rPr>
          <w:rFonts w:ascii="Arial" w:cs="Arial" w:eastAsia="Arial" w:hAnsi="Arial"/>
          <w:sz w:val="22"/>
          <w:szCs w:val="22"/>
          <w:b w:val="1"/>
          <w:bCs w:val="1"/>
          <w:color w:val="auto"/>
        </w:rPr>
        <w:t>Repare Contact:</w:t>
      </w:r>
    </w:p>
    <w:p>
      <w:pPr>
        <w:spacing w:after="0" w:line="114" w:lineRule="exact"/>
        <w:rPr>
          <w:sz w:val="20"/>
          <w:szCs w:val="20"/>
          <w:color w:val="auto"/>
        </w:rPr>
      </w:pPr>
    </w:p>
    <w:p>
      <w:pPr>
        <w:spacing w:after="0"/>
        <w:rPr>
          <w:sz w:val="20"/>
          <w:szCs w:val="20"/>
          <w:color w:val="auto"/>
        </w:rPr>
      </w:pPr>
      <w:r>
        <w:rPr>
          <w:rFonts w:ascii="Arial" w:cs="Arial" w:eastAsia="Arial" w:hAnsi="Arial"/>
          <w:sz w:val="22"/>
          <w:szCs w:val="22"/>
          <w:color w:val="auto"/>
        </w:rPr>
        <w:t>Robin Garner</w:t>
      </w:r>
    </w:p>
    <w:p>
      <w:pPr>
        <w:spacing w:after="0"/>
        <w:rPr>
          <w:sz w:val="20"/>
          <w:szCs w:val="20"/>
          <w:color w:val="auto"/>
        </w:rPr>
      </w:pPr>
      <w:r>
        <w:rPr>
          <w:rFonts w:ascii="Arial" w:cs="Arial" w:eastAsia="Arial" w:hAnsi="Arial"/>
          <w:sz w:val="21"/>
          <w:szCs w:val="21"/>
          <w:color w:val="auto"/>
        </w:rPr>
        <w:t>Executive Director and Head of Investor Relations</w:t>
      </w:r>
    </w:p>
    <w:p>
      <w:pPr>
        <w:spacing w:after="0" w:line="231" w:lineRule="auto"/>
        <w:rPr>
          <w:sz w:val="20"/>
          <w:szCs w:val="20"/>
          <w:color w:val="auto"/>
        </w:rPr>
      </w:pPr>
      <w:r>
        <w:rPr>
          <w:rFonts w:ascii="Arial" w:cs="Arial" w:eastAsia="Arial" w:hAnsi="Arial"/>
          <w:sz w:val="22"/>
          <w:szCs w:val="22"/>
          <w:color w:val="auto"/>
        </w:rPr>
        <w:t>Repare Therapeutics Inc.</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investor@reparerx.com</w:t>
      </w:r>
    </w:p>
    <w:p>
      <w:pPr>
        <w:spacing w:after="0" w:line="28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Investors:</w:t>
      </w:r>
    </w:p>
    <w:p>
      <w:pPr>
        <w:spacing w:after="0" w:line="114" w:lineRule="exact"/>
        <w:rPr>
          <w:sz w:val="20"/>
          <w:szCs w:val="20"/>
          <w:color w:val="auto"/>
        </w:rPr>
      </w:pPr>
    </w:p>
    <w:p>
      <w:pPr>
        <w:spacing w:after="0"/>
        <w:rPr>
          <w:sz w:val="20"/>
          <w:szCs w:val="20"/>
          <w:color w:val="auto"/>
        </w:rPr>
      </w:pPr>
      <w:r>
        <w:rPr>
          <w:rFonts w:ascii="Arial" w:cs="Arial" w:eastAsia="Arial" w:hAnsi="Arial"/>
          <w:sz w:val="22"/>
          <w:szCs w:val="22"/>
          <w:color w:val="auto"/>
        </w:rPr>
        <w:t>Matthew DeYoung</w:t>
      </w:r>
    </w:p>
    <w:p>
      <w:pPr>
        <w:spacing w:after="0" w:line="230" w:lineRule="auto"/>
        <w:rPr>
          <w:sz w:val="20"/>
          <w:szCs w:val="20"/>
          <w:color w:val="auto"/>
        </w:rPr>
      </w:pPr>
      <w:r>
        <w:rPr>
          <w:rFonts w:ascii="Arial" w:cs="Arial" w:eastAsia="Arial" w:hAnsi="Arial"/>
          <w:sz w:val="22"/>
          <w:szCs w:val="22"/>
          <w:color w:val="auto"/>
        </w:rPr>
        <w:t>Argot Partners</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repare@argotpartners.com</w:t>
      </w:r>
    </w:p>
    <w:p>
      <w:pPr>
        <w:spacing w:after="0" w:line="28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Media:</w:t>
      </w:r>
    </w:p>
    <w:p>
      <w:pPr>
        <w:spacing w:after="0" w:line="114" w:lineRule="exact"/>
        <w:rPr>
          <w:sz w:val="20"/>
          <w:szCs w:val="20"/>
          <w:color w:val="auto"/>
        </w:rPr>
      </w:pPr>
    </w:p>
    <w:p>
      <w:pPr>
        <w:spacing w:after="0"/>
        <w:rPr>
          <w:sz w:val="20"/>
          <w:szCs w:val="20"/>
          <w:color w:val="auto"/>
        </w:rPr>
      </w:pPr>
      <w:r>
        <w:rPr>
          <w:rFonts w:ascii="Arial" w:cs="Arial" w:eastAsia="Arial" w:hAnsi="Arial"/>
          <w:sz w:val="22"/>
          <w:szCs w:val="22"/>
          <w:color w:val="auto"/>
        </w:rPr>
        <w:t>David Rosen</w:t>
      </w:r>
    </w:p>
    <w:p>
      <w:pPr>
        <w:spacing w:after="0" w:line="230" w:lineRule="auto"/>
        <w:rPr>
          <w:sz w:val="20"/>
          <w:szCs w:val="20"/>
          <w:color w:val="auto"/>
        </w:rPr>
      </w:pPr>
      <w:r>
        <w:rPr>
          <w:rFonts w:ascii="Arial" w:cs="Arial" w:eastAsia="Arial" w:hAnsi="Arial"/>
          <w:sz w:val="22"/>
          <w:szCs w:val="22"/>
          <w:color w:val="auto"/>
        </w:rPr>
        <w:t>Argot Partners</w:t>
      </w:r>
    </w:p>
    <w:p>
      <w:pPr>
        <w:spacing w:after="0" w:line="231" w:lineRule="auto"/>
        <w:rPr>
          <w:sz w:val="20"/>
          <w:szCs w:val="20"/>
          <w:color w:val="auto"/>
        </w:rPr>
      </w:pPr>
      <w:r>
        <w:rPr>
          <w:rFonts w:ascii="Arial" w:cs="Arial" w:eastAsia="Arial" w:hAnsi="Arial"/>
          <w:sz w:val="22"/>
          <w:szCs w:val="22"/>
          <w:color w:val="auto"/>
        </w:rPr>
        <w:t>david.rosen@argotpartners.com</w:t>
      </w:r>
    </w:p>
    <w:p>
      <w:pPr>
        <w:spacing w:after="0"/>
        <w:rPr>
          <w:sz w:val="20"/>
          <w:szCs w:val="20"/>
          <w:color w:val="auto"/>
        </w:rPr>
      </w:pPr>
      <w:r>
        <w:rPr>
          <w:rFonts w:ascii="Arial" w:cs="Arial" w:eastAsia="Arial" w:hAnsi="Arial"/>
          <w:sz w:val="22"/>
          <w:szCs w:val="22"/>
          <w:color w:val="auto"/>
        </w:rPr>
        <w:t>212-600-1902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191135</wp:posOffset>
            </wp:positionV>
            <wp:extent cx="715772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39"/>
          </w:cols>
          <w:pgMar w:left="320" w:top="647" w:right="1440" w:bottom="1440" w:gutter="0" w:footer="0" w:header="0"/>
        </w:sectPr>
      </w:pPr>
    </w:p>
    <w:bookmarkStart w:id="10" w:name="page11"/>
    <w:bookmarkEnd w:id="10"/>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1"/>
      <w:numFmt w:val="decimal"/>
      <w:start w:val="104"/>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lvl w:ilvl="1">
      <w:lvlJc w:val="left"/>
      <w:lvlText w:val="o"/>
      <w:numFmt w:val="bullet"/>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2023-05-09T15:42:11Z</dcterms:created>
  <dcterms:modified xsi:type="dcterms:W3CDTF">2023-05-09T15:42:11Z</dcterms:modified>
</cp:coreProperties>
</file>