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Segal Lloyd Mitchell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REPARE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7210 FREDERICK-BANTING,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Repare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RPTX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restart"/>
          </w:tcPr>
          <w:p>
            <w:pPr>
              <w:spacing w:after="0"/>
              <w:rPr>
                <w:sz w:val="20"/>
                <w:szCs w:val="20"/>
                <w:color w:val="auto"/>
              </w:rPr>
            </w:pPr>
            <w:r>
              <w:rPr>
                <w:rFonts w:ascii="Arial" w:cs="Arial" w:eastAsia="Arial" w:hAnsi="Arial"/>
                <w:sz w:val="17"/>
                <w:szCs w:val="17"/>
                <w:color w:val="0000FF"/>
              </w:rPr>
              <w:t>ST-LAURENT  A8</w:t>
            </w:r>
          </w:p>
        </w:tc>
        <w:tc>
          <w:tcPr>
            <w:tcW w:w="840" w:type="dxa"/>
            <w:vAlign w:val="bottom"/>
          </w:tcPr>
          <w:p>
            <w:pPr>
              <w:spacing w:after="0"/>
              <w:rPr>
                <w:sz w:val="11"/>
                <w:szCs w:val="11"/>
                <w:color w:val="auto"/>
              </w:rPr>
            </w:pPr>
          </w:p>
        </w:tc>
        <w:tc>
          <w:tcPr>
            <w:tcW w:w="1420" w:type="dxa"/>
            <w:vAlign w:val="bottom"/>
            <w:gridSpan w:val="3"/>
            <w:vMerge w:val="restart"/>
          </w:tcPr>
          <w:p>
            <w:pPr>
              <w:ind w:left="140"/>
              <w:spacing w:after="0"/>
              <w:rPr>
                <w:sz w:val="20"/>
                <w:szCs w:val="20"/>
                <w:color w:val="auto"/>
              </w:rPr>
            </w:pPr>
            <w:r>
              <w:rPr>
                <w:rFonts w:ascii="Arial" w:cs="Arial" w:eastAsia="Arial" w:hAnsi="Arial"/>
                <w:sz w:val="17"/>
                <w:szCs w:val="17"/>
                <w:color w:val="0000FF"/>
              </w:rPr>
              <w:t>H4S 2A1</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720" w:type="dxa"/>
            <w:vAlign w:val="bottom"/>
            <w:gridSpan w:val="4"/>
            <w:vMerge w:val="restart"/>
          </w:tcPr>
          <w:p>
            <w:pPr>
              <w:ind w:left="720"/>
              <w:spacing w:after="0"/>
              <w:rPr>
                <w:sz w:val="20"/>
                <w:szCs w:val="20"/>
                <w:color w:val="auto"/>
              </w:rPr>
            </w:pPr>
            <w:r>
              <w:rPr>
                <w:rFonts w:ascii="Arial" w:cs="Arial" w:eastAsia="Arial" w:hAnsi="Arial"/>
                <w:sz w:val="17"/>
                <w:szCs w:val="17"/>
                <w:color w:val="0000FF"/>
              </w:rPr>
              <w:t>04/15/2021</w:t>
            </w: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5,512</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700" w:type="dxa"/>
            <w:vAlign w:val="bottom"/>
            <w:gridSpan w:val="3"/>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35.01</w:t>
            </w:r>
            <w:r>
              <w:rPr>
                <w:rFonts w:ascii="Arial" w:cs="Arial" w:eastAsia="Arial" w:hAnsi="Arial"/>
                <w:sz w:val="22"/>
                <w:szCs w:val="22"/>
                <w:color w:val="008000"/>
                <w:w w:val="94"/>
                <w:vertAlign w:val="superscript"/>
              </w:rPr>
              <w:t>(2)</w:t>
            </w:r>
          </w:p>
        </w:tc>
        <w:tc>
          <w:tcPr>
            <w:tcW w:w="40" w:type="dxa"/>
            <w:vAlign w:val="bottom"/>
          </w:tcPr>
          <w:p>
            <w:pPr>
              <w:spacing w:after="0"/>
              <w:rPr>
                <w:sz w:val="22"/>
                <w:szCs w:val="22"/>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0000FF"/>
              </w:rPr>
              <w:t>142,954</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right"/>
              <w:ind w:right="380"/>
              <w:spacing w:after="0"/>
              <w:rPr>
                <w:sz w:val="20"/>
                <w:szCs w:val="20"/>
                <w:color w:val="auto"/>
              </w:rPr>
            </w:pPr>
            <w:r>
              <w:rPr>
                <w:rFonts w:ascii="Arial" w:cs="Arial" w:eastAsia="Arial" w:hAnsi="Arial"/>
                <w:sz w:val="17"/>
                <w:szCs w:val="17"/>
                <w:color w:val="0000FF"/>
              </w:rPr>
              <w:t>5,000</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December 31, 2020.</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$35.00 to $35.06,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registered in the name of Arvala Inc. (f/k/a 3996953 Canada Inc., the "Company"). The Reporting Person is the sole stockholder of the Company.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9"/>
              </w:rPr>
              <w:t>/s/ Steve Forte,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04/19/2021</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7123" TargetMode="External"/><Relationship Id="rId13"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2021-04-19T16:45:17Z</dcterms:created>
  <dcterms:modified xsi:type="dcterms:W3CDTF">2021-04-19T16:45:17Z</dcterms:modified>
</cp:coreProperties>
</file>