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011"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3820" w:type="dxa"/>
            <w:vAlign w:val="bottom"/>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2"/>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40" w:type="dxa"/>
            <w:vAlign w:val="bottom"/>
          </w:tcPr>
          <w:p>
            <w:pPr>
              <w:spacing w:after="0"/>
              <w:rPr>
                <w:sz w:val="9"/>
                <w:szCs w:val="9"/>
                <w:color w:val="auto"/>
              </w:rPr>
            </w:pPr>
          </w:p>
        </w:tc>
        <w:tc>
          <w:tcPr>
            <w:tcW w:w="1080" w:type="dxa"/>
            <w:vAlign w:val="bottom"/>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Jerel Davis</w:t>
              </w:r>
            </w:hyperlink>
          </w:p>
        </w:tc>
        <w:tc>
          <w:tcPr>
            <w:tcW w:w="920" w:type="dxa"/>
            <w:vAlign w:val="bottom"/>
          </w:tcPr>
          <w:p>
            <w:pPr>
              <w:spacing w:after="0"/>
              <w:rPr>
                <w:sz w:val="9"/>
                <w:szCs w:val="9"/>
                <w:color w:val="auto"/>
              </w:rPr>
            </w:pP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3820" w:type="dxa"/>
            <w:vAlign w:val="bottom"/>
          </w:tcPr>
          <w:p>
            <w:pPr>
              <w:ind w:left="80"/>
              <w:spacing w:after="0" w:line="107"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Repare Therapeutics Inc.</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RPTX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1700" w:type="dxa"/>
            <w:vAlign w:val="bottom"/>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6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40" w:type="dxa"/>
            <w:vAlign w:val="bottom"/>
          </w:tcPr>
          <w:p>
            <w:pPr>
              <w:spacing w:after="0"/>
              <w:rPr>
                <w:sz w:val="4"/>
                <w:szCs w:val="4"/>
                <w:color w:val="auto"/>
              </w:rPr>
            </w:pPr>
          </w:p>
        </w:tc>
        <w:tc>
          <w:tcPr>
            <w:tcW w:w="1080" w:type="dxa"/>
            <w:vAlign w:val="bottom"/>
            <w:vMerge w:val="continue"/>
          </w:tcPr>
          <w:p>
            <w:pPr>
              <w:spacing w:after="0"/>
              <w:rPr>
                <w:sz w:val="4"/>
                <w:szCs w:val="4"/>
                <w:color w:val="auto"/>
              </w:rPr>
            </w:pPr>
          </w:p>
        </w:tc>
        <w:tc>
          <w:tcPr>
            <w:tcW w:w="920" w:type="dxa"/>
            <w:vAlign w:val="bottom"/>
          </w:tcPr>
          <w:p>
            <w:pPr>
              <w:spacing w:after="0"/>
              <w:rPr>
                <w:sz w:val="4"/>
                <w:szCs w:val="4"/>
                <w:color w:val="auto"/>
              </w:rPr>
            </w:pPr>
          </w:p>
        </w:tc>
        <w:tc>
          <w:tcPr>
            <w:tcW w:w="1640" w:type="dxa"/>
            <w:vAlign w:val="bottom"/>
          </w:tcPr>
          <w:p>
            <w:pPr>
              <w:spacing w:after="0"/>
              <w:rPr>
                <w:sz w:val="4"/>
                <w:szCs w:val="4"/>
                <w:color w:val="auto"/>
              </w:rPr>
            </w:pPr>
          </w:p>
        </w:tc>
        <w:tc>
          <w:tcPr>
            <w:tcW w:w="80" w:type="dxa"/>
            <w:vAlign w:val="bottom"/>
          </w:tcPr>
          <w:p>
            <w:pPr>
              <w:spacing w:after="0"/>
              <w:rPr>
                <w:sz w:val="4"/>
                <w:szCs w:val="4"/>
                <w:color w:val="auto"/>
              </w:rPr>
            </w:pPr>
          </w:p>
        </w:tc>
        <w:tc>
          <w:tcPr>
            <w:tcW w:w="3820" w:type="dxa"/>
            <w:vAlign w:val="bottom"/>
          </w:tcPr>
          <w:p>
            <w:pPr>
              <w:spacing w:after="0"/>
              <w:rPr>
                <w:sz w:val="4"/>
                <w:szCs w:val="4"/>
                <w:color w:val="auto"/>
              </w:rPr>
            </w:pPr>
          </w:p>
        </w:tc>
        <w:tc>
          <w:tcPr>
            <w:tcW w:w="1700" w:type="dxa"/>
            <w:vAlign w:val="bottom"/>
            <w:vMerge w:val="continue"/>
          </w:tcPr>
          <w:p>
            <w:pPr>
              <w:spacing w:after="0"/>
              <w:rPr>
                <w:sz w:val="4"/>
                <w:szCs w:val="4"/>
                <w:color w:val="auto"/>
              </w:rPr>
            </w:pPr>
          </w:p>
        </w:tc>
        <w:tc>
          <w:tcPr>
            <w:tcW w:w="16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40" w:type="dxa"/>
            <w:vAlign w:val="bottom"/>
          </w:tcPr>
          <w:p>
            <w:pPr>
              <w:spacing w:after="0"/>
              <w:rPr>
                <w:sz w:val="13"/>
                <w:szCs w:val="13"/>
                <w:color w:val="auto"/>
              </w:rPr>
            </w:pPr>
          </w:p>
        </w:tc>
        <w:tc>
          <w:tcPr>
            <w:tcW w:w="1080" w:type="dxa"/>
            <w:vAlign w:val="bottom"/>
            <w:vMerge w:val="continue"/>
          </w:tcPr>
          <w:p>
            <w:pPr>
              <w:spacing w:after="0"/>
              <w:rPr>
                <w:sz w:val="13"/>
                <w:szCs w:val="13"/>
                <w:color w:val="auto"/>
              </w:rPr>
            </w:pPr>
          </w:p>
        </w:tc>
        <w:tc>
          <w:tcPr>
            <w:tcW w:w="92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20" w:type="dxa"/>
            <w:vAlign w:val="bottom"/>
          </w:tcPr>
          <w:p>
            <w:pPr>
              <w:spacing w:after="0"/>
              <w:rPr>
                <w:sz w:val="13"/>
                <w:szCs w:val="13"/>
                <w:color w:val="auto"/>
              </w:rPr>
            </w:pPr>
          </w:p>
        </w:tc>
        <w:tc>
          <w:tcPr>
            <w:tcW w:w="1700" w:type="dxa"/>
            <w:vAlign w:val="bottom"/>
            <w:vMerge w:val="restart"/>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1600" w:type="dxa"/>
            <w:vAlign w:val="bottom"/>
            <w:vMerge w:val="restart"/>
          </w:tcPr>
          <w:p>
            <w:pPr>
              <w:ind w:left="14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92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3820" w:type="dxa"/>
            <w:vAlign w:val="bottom"/>
          </w:tcPr>
          <w:p>
            <w:pPr>
              <w:spacing w:after="0"/>
              <w:rPr>
                <w:sz w:val="5"/>
                <w:szCs w:val="5"/>
                <w:color w:val="auto"/>
              </w:rPr>
            </w:pPr>
          </w:p>
        </w:tc>
        <w:tc>
          <w:tcPr>
            <w:tcW w:w="1700" w:type="dxa"/>
            <w:vAlign w:val="bottom"/>
            <w:vMerge w:val="continue"/>
          </w:tcPr>
          <w:p>
            <w:pPr>
              <w:spacing w:after="0"/>
              <w:rPr>
                <w:sz w:val="5"/>
                <w:szCs w:val="5"/>
                <w:color w:val="auto"/>
              </w:rPr>
            </w:pPr>
          </w:p>
        </w:tc>
        <w:tc>
          <w:tcPr>
            <w:tcW w:w="16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3"/>
        </w:trPr>
        <w:tc>
          <w:tcPr>
            <w:tcW w:w="40" w:type="dxa"/>
            <w:vAlign w:val="bottom"/>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920" w:type="dxa"/>
            <w:vAlign w:val="bottom"/>
            <w:tcBorders>
              <w:bottom w:val="single" w:sz="8" w:color="9A9A9A"/>
            </w:tcBorders>
          </w:tcPr>
          <w:p>
            <w:pPr>
              <w:spacing w:after="0"/>
              <w:rPr>
                <w:sz w:val="7"/>
                <w:szCs w:val="7"/>
                <w:color w:val="auto"/>
              </w:rPr>
            </w:pPr>
          </w:p>
        </w:tc>
        <w:tc>
          <w:tcPr>
            <w:tcW w:w="164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3820" w:type="dxa"/>
            <w:vAlign w:val="bottom"/>
          </w:tcPr>
          <w:p>
            <w:pPr>
              <w:spacing w:after="0"/>
              <w:rPr>
                <w:sz w:val="7"/>
                <w:szCs w:val="7"/>
                <w:color w:val="auto"/>
              </w:rPr>
            </w:pPr>
          </w:p>
        </w:tc>
        <w:tc>
          <w:tcPr>
            <w:tcW w:w="1700" w:type="dxa"/>
            <w:vAlign w:val="bottom"/>
            <w:vMerge w:val="restart"/>
          </w:tcPr>
          <w:p>
            <w:pPr>
              <w:ind w:left="600"/>
              <w:spacing w:after="0"/>
              <w:rPr>
                <w:sz w:val="20"/>
                <w:szCs w:val="20"/>
                <w:color w:val="auto"/>
              </w:rPr>
            </w:pPr>
            <w:r>
              <w:rPr>
                <w:rFonts w:ascii="Arial" w:cs="Arial" w:eastAsia="Arial" w:hAnsi="Arial"/>
                <w:sz w:val="13"/>
                <w:szCs w:val="13"/>
                <w:color w:val="auto"/>
              </w:rPr>
              <w:t>Officer (give title</w:t>
            </w:r>
          </w:p>
        </w:tc>
        <w:tc>
          <w:tcPr>
            <w:tcW w:w="1600" w:type="dxa"/>
            <w:vAlign w:val="bottom"/>
            <w:vMerge w:val="restart"/>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920" w:type="dxa"/>
            <w:vAlign w:val="bottom"/>
            <w:tcBorders>
              <w:top w:val="single" w:sz="8" w:color="EEEEEE"/>
            </w:tcBorders>
          </w:tcPr>
          <w:p>
            <w:pPr>
              <w:spacing w:after="0" w:line="20" w:lineRule="exact"/>
              <w:rPr>
                <w:sz w:val="1"/>
                <w:szCs w:val="1"/>
                <w:color w:val="auto"/>
              </w:rPr>
            </w:pPr>
          </w:p>
        </w:tc>
        <w:tc>
          <w:tcPr>
            <w:tcW w:w="164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20" w:type="dxa"/>
            <w:vAlign w:val="bottom"/>
            <w:tcBorders>
              <w:bottom w:val="single" w:sz="8" w:color="2C2C2C"/>
            </w:tcBorders>
          </w:tcPr>
          <w:p>
            <w:pPr>
              <w:spacing w:after="0" w:line="20" w:lineRule="exact"/>
              <w:rPr>
                <w:sz w:val="1"/>
                <w:szCs w:val="1"/>
                <w:color w:val="auto"/>
              </w:rPr>
            </w:pPr>
          </w:p>
        </w:tc>
        <w:tc>
          <w:tcPr>
            <w:tcW w:w="1700" w:type="dxa"/>
            <w:vAlign w:val="bottom"/>
            <w:vMerge w:val="continue"/>
          </w:tcPr>
          <w:p>
            <w:pPr>
              <w:spacing w:after="0" w:line="20" w:lineRule="exact"/>
              <w:rPr>
                <w:sz w:val="1"/>
                <w:szCs w:val="1"/>
                <w:color w:val="auto"/>
              </w:rPr>
            </w:pPr>
          </w:p>
        </w:tc>
        <w:tc>
          <w:tcPr>
            <w:tcW w:w="160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920" w:type="dxa"/>
            <w:vAlign w:val="bottom"/>
          </w:tcPr>
          <w:p>
            <w:pPr>
              <w:spacing w:after="0"/>
              <w:rPr>
                <w:sz w:val="4"/>
                <w:szCs w:val="4"/>
                <w:color w:val="auto"/>
              </w:rPr>
            </w:pPr>
          </w:p>
        </w:tc>
        <w:tc>
          <w:tcPr>
            <w:tcW w:w="1640" w:type="dxa"/>
            <w:vAlign w:val="bottom"/>
          </w:tcPr>
          <w:p>
            <w:pPr>
              <w:spacing w:after="0"/>
              <w:rPr>
                <w:sz w:val="4"/>
                <w:szCs w:val="4"/>
                <w:color w:val="auto"/>
              </w:rPr>
            </w:pPr>
          </w:p>
        </w:tc>
        <w:tc>
          <w:tcPr>
            <w:tcW w:w="80" w:type="dxa"/>
            <w:vAlign w:val="bottom"/>
          </w:tcPr>
          <w:p>
            <w:pPr>
              <w:spacing w:after="0"/>
              <w:rPr>
                <w:sz w:val="4"/>
                <w:szCs w:val="4"/>
                <w:color w:val="auto"/>
              </w:rPr>
            </w:pPr>
          </w:p>
        </w:tc>
        <w:tc>
          <w:tcPr>
            <w:tcW w:w="3820" w:type="dxa"/>
            <w:vAlign w:val="bottom"/>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1700" w:type="dxa"/>
            <w:vAlign w:val="bottom"/>
            <w:vMerge w:val="continue"/>
          </w:tcPr>
          <w:p>
            <w:pPr>
              <w:spacing w:after="0"/>
              <w:rPr>
                <w:sz w:val="4"/>
                <w:szCs w:val="4"/>
                <w:color w:val="auto"/>
              </w:rPr>
            </w:pPr>
          </w:p>
        </w:tc>
        <w:tc>
          <w:tcPr>
            <w:tcW w:w="16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40" w:type="dxa"/>
            <w:vAlign w:val="bottom"/>
          </w:tcPr>
          <w:p>
            <w:pPr>
              <w:spacing w:after="0"/>
              <w:rPr>
                <w:sz w:val="13"/>
                <w:szCs w:val="13"/>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(Last)</w:t>
            </w:r>
          </w:p>
        </w:tc>
        <w:tc>
          <w:tcPr>
            <w:tcW w:w="920" w:type="dxa"/>
            <w:vAlign w:val="bottom"/>
          </w:tcPr>
          <w:p>
            <w:pPr>
              <w:ind w:left="140"/>
              <w:spacing w:after="0"/>
              <w:rPr>
                <w:sz w:val="20"/>
                <w:szCs w:val="20"/>
                <w:color w:val="auto"/>
              </w:rPr>
            </w:pPr>
            <w:r>
              <w:rPr>
                <w:rFonts w:ascii="Arial" w:cs="Arial" w:eastAsia="Arial" w:hAnsi="Arial"/>
                <w:sz w:val="13"/>
                <w:szCs w:val="13"/>
                <w:color w:val="auto"/>
              </w:rPr>
              <w:t>(First)</w:t>
            </w:r>
          </w:p>
        </w:tc>
        <w:tc>
          <w:tcPr>
            <w:tcW w:w="1640" w:type="dxa"/>
            <w:vAlign w:val="bottom"/>
          </w:tcPr>
          <w:p>
            <w:pPr>
              <w:ind w:left="4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3"/>
                <w:szCs w:val="13"/>
                <w:color w:val="auto"/>
              </w:rPr>
            </w:pPr>
          </w:p>
        </w:tc>
        <w:tc>
          <w:tcPr>
            <w:tcW w:w="3820" w:type="dxa"/>
            <w:vAlign w:val="bottom"/>
            <w:vMerge w:val="continue"/>
          </w:tcPr>
          <w:p>
            <w:pPr>
              <w:spacing w:after="0"/>
              <w:rPr>
                <w:sz w:val="13"/>
                <w:szCs w:val="13"/>
                <w:color w:val="auto"/>
              </w:rPr>
            </w:pPr>
          </w:p>
        </w:tc>
        <w:tc>
          <w:tcPr>
            <w:tcW w:w="1700" w:type="dxa"/>
            <w:vAlign w:val="bottom"/>
          </w:tcPr>
          <w:p>
            <w:pPr>
              <w:ind w:left="600"/>
              <w:spacing w:after="0"/>
              <w:rPr>
                <w:sz w:val="20"/>
                <w:szCs w:val="20"/>
                <w:color w:val="auto"/>
              </w:rPr>
            </w:pPr>
            <w:r>
              <w:rPr>
                <w:rFonts w:ascii="Arial" w:cs="Arial" w:eastAsia="Arial" w:hAnsi="Arial"/>
                <w:sz w:val="13"/>
                <w:szCs w:val="13"/>
                <w:color w:val="auto"/>
              </w:rPr>
              <w:t>below)</w:t>
            </w:r>
          </w:p>
        </w:tc>
        <w:tc>
          <w:tcPr>
            <w:tcW w:w="1600" w:type="dxa"/>
            <w:vAlign w:val="bottom"/>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3640" w:type="dxa"/>
            <w:vAlign w:val="bottom"/>
            <w:gridSpan w:val="3"/>
            <w:vMerge w:val="restart"/>
          </w:tcPr>
          <w:p>
            <w:pPr>
              <w:spacing w:after="0"/>
              <w:rPr>
                <w:sz w:val="20"/>
                <w:szCs w:val="20"/>
                <w:color w:val="auto"/>
              </w:rPr>
            </w:pPr>
            <w:r>
              <w:rPr>
                <w:rFonts w:ascii="Arial" w:cs="Arial" w:eastAsia="Arial" w:hAnsi="Arial"/>
                <w:sz w:val="17"/>
                <w:szCs w:val="17"/>
                <w:color w:val="0000FF"/>
              </w:rPr>
              <w:t>C/O REPARE THERAPEUTICS INC.</w:t>
            </w:r>
          </w:p>
        </w:tc>
        <w:tc>
          <w:tcPr>
            <w:tcW w:w="3900" w:type="dxa"/>
            <w:vAlign w:val="bottom"/>
            <w:gridSpan w:val="2"/>
          </w:tcPr>
          <w:p>
            <w:pPr>
              <w:ind w:left="160"/>
              <w:spacing w:after="0"/>
              <w:rPr>
                <w:sz w:val="20"/>
                <w:szCs w:val="20"/>
                <w:color w:val="auto"/>
              </w:rPr>
            </w:pPr>
            <w:r>
              <w:rPr>
                <w:rFonts w:ascii="Arial" w:cs="Arial" w:eastAsia="Arial" w:hAnsi="Arial"/>
                <w:sz w:val="17"/>
                <w:szCs w:val="17"/>
                <w:color w:val="0000FF"/>
              </w:rPr>
              <w:t>02/16/2021</w:t>
            </w:r>
          </w:p>
        </w:tc>
        <w:tc>
          <w:tcPr>
            <w:tcW w:w="1700" w:type="dxa"/>
            <w:vAlign w:val="bottom"/>
          </w:tcPr>
          <w:p>
            <w:pPr>
              <w:spacing w:after="0"/>
              <w:rPr>
                <w:sz w:val="19"/>
                <w:szCs w:val="19"/>
                <w:color w:val="auto"/>
              </w:rPr>
            </w:pPr>
          </w:p>
        </w:tc>
        <w:tc>
          <w:tcPr>
            <w:tcW w:w="16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40" w:type="dxa"/>
            <w:vAlign w:val="bottom"/>
          </w:tcPr>
          <w:p>
            <w:pPr>
              <w:spacing w:after="0"/>
              <w:rPr>
                <w:sz w:val="8"/>
                <w:szCs w:val="8"/>
                <w:color w:val="auto"/>
              </w:rPr>
            </w:pPr>
          </w:p>
        </w:tc>
        <w:tc>
          <w:tcPr>
            <w:tcW w:w="3640" w:type="dxa"/>
            <w:vAlign w:val="bottom"/>
            <w:gridSpan w:val="3"/>
            <w:vMerge w:val="continue"/>
          </w:tcPr>
          <w:p>
            <w:pPr>
              <w:spacing w:after="0"/>
              <w:rPr>
                <w:sz w:val="8"/>
                <w:szCs w:val="8"/>
                <w:color w:val="auto"/>
              </w:rPr>
            </w:pPr>
          </w:p>
        </w:tc>
        <w:tc>
          <w:tcPr>
            <w:tcW w:w="80" w:type="dxa"/>
            <w:vAlign w:val="bottom"/>
          </w:tcPr>
          <w:p>
            <w:pPr>
              <w:spacing w:after="0"/>
              <w:rPr>
                <w:sz w:val="8"/>
                <w:szCs w:val="8"/>
                <w:color w:val="auto"/>
              </w:rPr>
            </w:pPr>
          </w:p>
        </w:tc>
        <w:tc>
          <w:tcPr>
            <w:tcW w:w="3820" w:type="dxa"/>
            <w:vAlign w:val="bottom"/>
          </w:tcPr>
          <w:p>
            <w:pPr>
              <w:spacing w:after="0"/>
              <w:rPr>
                <w:sz w:val="8"/>
                <w:szCs w:val="8"/>
                <w:color w:val="auto"/>
              </w:rPr>
            </w:pPr>
          </w:p>
        </w:tc>
        <w:tc>
          <w:tcPr>
            <w:tcW w:w="1700" w:type="dxa"/>
            <w:vAlign w:val="bottom"/>
          </w:tcPr>
          <w:p>
            <w:pPr>
              <w:spacing w:after="0"/>
              <w:rPr>
                <w:sz w:val="8"/>
                <w:szCs w:val="8"/>
                <w:color w:val="auto"/>
              </w:rPr>
            </w:pPr>
          </w:p>
        </w:tc>
        <w:tc>
          <w:tcPr>
            <w:tcW w:w="16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40" w:type="dxa"/>
            <w:vAlign w:val="bottom"/>
          </w:tcPr>
          <w:p>
            <w:pPr>
              <w:spacing w:after="0"/>
              <w:rPr>
                <w:sz w:val="12"/>
                <w:szCs w:val="12"/>
                <w:color w:val="auto"/>
              </w:rPr>
            </w:pPr>
          </w:p>
        </w:tc>
        <w:tc>
          <w:tcPr>
            <w:tcW w:w="3640" w:type="dxa"/>
            <w:vAlign w:val="bottom"/>
            <w:gridSpan w:val="3"/>
            <w:vMerge w:val="restart"/>
          </w:tcPr>
          <w:p>
            <w:pPr>
              <w:spacing w:after="0"/>
              <w:rPr>
                <w:sz w:val="20"/>
                <w:szCs w:val="20"/>
                <w:color w:val="auto"/>
              </w:rPr>
            </w:pPr>
            <w:r>
              <w:rPr>
                <w:rFonts w:ascii="Arial" w:cs="Arial" w:eastAsia="Arial" w:hAnsi="Arial"/>
                <w:sz w:val="17"/>
                <w:szCs w:val="17"/>
                <w:color w:val="0000FF"/>
              </w:rPr>
              <w:t>7210 FREDERICK-BANTING, SUITE 100</w:t>
            </w:r>
          </w:p>
        </w:tc>
        <w:tc>
          <w:tcPr>
            <w:tcW w:w="80" w:type="dxa"/>
            <w:vAlign w:val="bottom"/>
          </w:tcPr>
          <w:p>
            <w:pPr>
              <w:spacing w:after="0"/>
              <w:rPr>
                <w:sz w:val="12"/>
                <w:szCs w:val="12"/>
                <w:color w:val="auto"/>
              </w:rPr>
            </w:pPr>
          </w:p>
        </w:tc>
        <w:tc>
          <w:tcPr>
            <w:tcW w:w="3820" w:type="dxa"/>
            <w:vAlign w:val="bottom"/>
            <w:tcBorders>
              <w:bottom w:val="single" w:sz="8" w:color="2C2C2C"/>
            </w:tcBorders>
          </w:tcPr>
          <w:p>
            <w:pPr>
              <w:spacing w:after="0"/>
              <w:rPr>
                <w:sz w:val="12"/>
                <w:szCs w:val="12"/>
                <w:color w:val="auto"/>
              </w:rPr>
            </w:pPr>
          </w:p>
        </w:tc>
        <w:tc>
          <w:tcPr>
            <w:tcW w:w="1700" w:type="dxa"/>
            <w:vAlign w:val="bottom"/>
            <w:tcBorders>
              <w:bottom w:val="single" w:sz="8" w:color="2C2C2C"/>
            </w:tcBorders>
          </w:tcPr>
          <w:p>
            <w:pPr>
              <w:spacing w:after="0"/>
              <w:rPr>
                <w:sz w:val="12"/>
                <w:szCs w:val="12"/>
                <w:color w:val="auto"/>
              </w:rPr>
            </w:pPr>
          </w:p>
        </w:tc>
        <w:tc>
          <w:tcPr>
            <w:tcW w:w="1600" w:type="dxa"/>
            <w:vAlign w:val="bottom"/>
            <w:tcBorders>
              <w:bottom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40" w:type="dxa"/>
            <w:vAlign w:val="bottom"/>
          </w:tcPr>
          <w:p>
            <w:pPr>
              <w:spacing w:after="0"/>
              <w:rPr>
                <w:sz w:val="9"/>
                <w:szCs w:val="9"/>
                <w:color w:val="auto"/>
              </w:rPr>
            </w:pPr>
          </w:p>
        </w:tc>
        <w:tc>
          <w:tcPr>
            <w:tcW w:w="3640" w:type="dxa"/>
            <w:vAlign w:val="bottom"/>
            <w:gridSpan w:val="3"/>
            <w:vMerge w:val="continue"/>
          </w:tcPr>
          <w:p>
            <w:pPr>
              <w:spacing w:after="0"/>
              <w:rPr>
                <w:sz w:val="9"/>
                <w:szCs w:val="9"/>
                <w:color w:val="auto"/>
              </w:rPr>
            </w:pPr>
          </w:p>
        </w:tc>
        <w:tc>
          <w:tcPr>
            <w:tcW w:w="80" w:type="dxa"/>
            <w:vAlign w:val="bottom"/>
          </w:tcPr>
          <w:p>
            <w:pPr>
              <w:spacing w:after="0"/>
              <w:rPr>
                <w:sz w:val="9"/>
                <w:szCs w:val="9"/>
                <w:color w:val="auto"/>
              </w:rPr>
            </w:pPr>
          </w:p>
        </w:tc>
        <w:tc>
          <w:tcPr>
            <w:tcW w:w="3820" w:type="dxa"/>
            <w:vAlign w:val="bottom"/>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3300" w:type="dxa"/>
            <w:vAlign w:val="bottom"/>
            <w:gridSpan w:val="2"/>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920" w:type="dxa"/>
            <w:vAlign w:val="bottom"/>
          </w:tcPr>
          <w:p>
            <w:pPr>
              <w:spacing w:after="0"/>
              <w:rPr>
                <w:sz w:val="8"/>
                <w:szCs w:val="8"/>
                <w:color w:val="auto"/>
              </w:rPr>
            </w:pPr>
          </w:p>
        </w:tc>
        <w:tc>
          <w:tcPr>
            <w:tcW w:w="1640" w:type="dxa"/>
            <w:vAlign w:val="bottom"/>
          </w:tcPr>
          <w:p>
            <w:pPr>
              <w:spacing w:after="0"/>
              <w:rPr>
                <w:sz w:val="8"/>
                <w:szCs w:val="8"/>
                <w:color w:val="auto"/>
              </w:rPr>
            </w:pPr>
          </w:p>
        </w:tc>
        <w:tc>
          <w:tcPr>
            <w:tcW w:w="80" w:type="dxa"/>
            <w:vAlign w:val="bottom"/>
          </w:tcPr>
          <w:p>
            <w:pPr>
              <w:spacing w:after="0"/>
              <w:rPr>
                <w:sz w:val="8"/>
                <w:szCs w:val="8"/>
                <w:color w:val="auto"/>
              </w:rPr>
            </w:pPr>
          </w:p>
        </w:tc>
        <w:tc>
          <w:tcPr>
            <w:tcW w:w="3820" w:type="dxa"/>
            <w:vAlign w:val="bottom"/>
            <w:vMerge w:val="continue"/>
          </w:tcPr>
          <w:p>
            <w:pPr>
              <w:spacing w:after="0"/>
              <w:rPr>
                <w:sz w:val="8"/>
                <w:szCs w:val="8"/>
                <w:color w:val="auto"/>
              </w:rPr>
            </w:pPr>
          </w:p>
        </w:tc>
        <w:tc>
          <w:tcPr>
            <w:tcW w:w="3300" w:type="dxa"/>
            <w:vAlign w:val="bottom"/>
            <w:gridSpan w:val="2"/>
            <w:vMerge w:val="continue"/>
          </w:tcPr>
          <w:p>
            <w:pPr>
              <w:spacing w:after="0"/>
              <w:rPr>
                <w:sz w:val="8"/>
                <w:szCs w:val="8"/>
                <w:color w:val="auto"/>
              </w:rPr>
            </w:pPr>
          </w:p>
        </w:tc>
        <w:tc>
          <w:tcPr>
            <w:tcW w:w="0" w:type="dxa"/>
            <w:vAlign w:val="bottom"/>
          </w:tcPr>
          <w:p>
            <w:pPr>
              <w:spacing w:after="0"/>
              <w:rPr>
                <w:sz w:val="1"/>
                <w:szCs w:val="1"/>
                <w:color w:val="auto"/>
              </w:rPr>
            </w:pPr>
          </w:p>
        </w:tc>
      </w:tr>
    </w:tbl>
    <w:p>
      <w:pPr>
        <w:ind w:left="7740"/>
        <w:spacing w:after="0"/>
        <w:rPr>
          <w:sz w:val="20"/>
          <w:szCs w:val="20"/>
          <w:color w:val="auto"/>
        </w:rPr>
      </w:pPr>
      <w:r>
        <w:rPr>
          <w:rFonts w:ascii="Arial" w:cs="Arial" w:eastAsia="Arial" w:hAnsi="Arial"/>
          <w:sz w:val="13"/>
          <w:szCs w:val="13"/>
          <w:color w:val="auto"/>
        </w:rPr>
        <w:t>Line)</w:t>
      </w:r>
    </w:p>
    <w:p>
      <w:pPr>
        <w:sectPr>
          <w:pgSz w:w="11900" w:h="16838" w:orient="portrait"/>
          <w:cols w:equalWidth="0" w:num="1">
            <w:col w:w="11080"/>
          </w:cols>
          <w:pgMar w:left="460" w:top="225" w:right="359" w:bottom="1011" w:gutter="0" w:footer="0" w:header="0"/>
          <w:type w:val="continuous"/>
        </w:sectPr>
      </w:pPr>
    </w:p>
    <w:p>
      <w:pPr>
        <w:spacing w:after="0" w:line="37" w:lineRule="exact"/>
        <w:rPr>
          <w:sz w:val="20"/>
          <w:szCs w:val="20"/>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9" w:lineRule="exact"/>
        <w:rPr>
          <w:sz w:val="20"/>
          <w:szCs w:val="20"/>
          <w:color w:val="auto"/>
        </w:rPr>
      </w:pPr>
    </w:p>
    <w:p>
      <w:pPr>
        <w:ind w:left="120"/>
        <w:spacing w:after="0"/>
        <w:tabs>
          <w:tab w:leader="none" w:pos="1320" w:val="left"/>
        </w:tabs>
        <w:rPr>
          <w:sz w:val="20"/>
          <w:szCs w:val="20"/>
          <w:color w:val="auto"/>
        </w:rPr>
      </w:pPr>
      <w:r>
        <w:rPr>
          <w:rFonts w:ascii="Arial" w:cs="Arial" w:eastAsia="Arial" w:hAnsi="Arial"/>
          <w:sz w:val="17"/>
          <w:szCs w:val="17"/>
          <w:color w:val="0000FF"/>
        </w:rPr>
        <w:t>ST-LAURENT</w:t>
        <w:tab/>
        <w:t>A8</w:t>
      </w:r>
    </w:p>
    <w:p>
      <w:pPr>
        <w:spacing w:after="0" w:line="345" w:lineRule="exact"/>
        <w:rPr>
          <w:sz w:val="20"/>
          <w:szCs w:val="20"/>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0"/>
          <w:szCs w:val="20"/>
          <w:color w:val="auto"/>
        </w:rPr>
      </w:pPr>
      <w:r>
        <w:rPr>
          <w:sz w:val="20"/>
          <w:szCs w:val="20"/>
          <w:color w:val="auto"/>
        </w:rPr>
        <w:br w:type="column"/>
      </w:r>
    </w:p>
    <w:p>
      <w:pPr>
        <w:spacing w:after="0" w:line="9" w:lineRule="exact"/>
        <w:rPr>
          <w:sz w:val="20"/>
          <w:szCs w:val="20"/>
          <w:color w:val="auto"/>
        </w:rPr>
      </w:pPr>
    </w:p>
    <w:p>
      <w:pPr>
        <w:ind w:left="327" w:hanging="327"/>
        <w:spacing w:after="0"/>
        <w:tabs>
          <w:tab w:leader="none" w:pos="327" w:val="left"/>
        </w:tabs>
        <w:numPr>
          <w:ilvl w:val="0"/>
          <w:numId w:val="1"/>
        </w:numPr>
        <w:rPr>
          <w:rFonts w:ascii="Arial" w:cs="Arial" w:eastAsia="Arial" w:hAnsi="Arial"/>
          <w:sz w:val="17"/>
          <w:szCs w:val="17"/>
          <w:color w:val="0000FF"/>
        </w:rPr>
      </w:pPr>
      <w:r>
        <w:rPr>
          <w:rFonts w:ascii="Arial" w:cs="Arial" w:eastAsia="Arial" w:hAnsi="Arial"/>
          <w:sz w:val="13"/>
          <w:szCs w:val="13"/>
          <w:color w:val="auto"/>
        </w:rPr>
        <w:t>Form filed by One Reporting Person</w:t>
      </w:r>
    </w:p>
    <w:p>
      <w:pPr>
        <w:spacing w:after="0" w:line="79" w:lineRule="exact"/>
        <w:rPr>
          <w:rFonts w:ascii="Arial" w:cs="Arial" w:eastAsia="Arial" w:hAnsi="Arial"/>
          <w:sz w:val="17"/>
          <w:szCs w:val="17"/>
          <w:color w:val="0000FF"/>
        </w:rPr>
      </w:pPr>
    </w:p>
    <w:p>
      <w:pPr>
        <w:ind w:left="327" w:right="500"/>
        <w:spacing w:after="0" w:line="253" w:lineRule="auto"/>
        <w:rPr>
          <w:rFonts w:ascii="Arial" w:cs="Arial" w:eastAsia="Arial" w:hAnsi="Arial"/>
          <w:sz w:val="17"/>
          <w:szCs w:val="17"/>
          <w:color w:val="0000FF"/>
        </w:rPr>
      </w:pPr>
      <w:r>
        <w:rPr>
          <w:rFonts w:ascii="Arial" w:cs="Arial" w:eastAsia="Arial" w:hAnsi="Arial"/>
          <w:sz w:val="13"/>
          <w:szCs w:val="13"/>
          <w:color w:val="auto"/>
        </w:rPr>
        <w:t>Form filed by More than One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-5032375</wp:posOffset>
            </wp:positionH>
            <wp:positionV relativeFrom="paragraph">
              <wp:posOffset>257175</wp:posOffset>
            </wp:positionV>
            <wp:extent cx="6964045" cy="63207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6320790"/>
                    </a:xfrm>
                    <a:prstGeom prst="rect">
                      <a:avLst/>
                    </a:prstGeom>
                    <a:noFill/>
                  </pic:spPr>
                </pic:pic>
              </a:graphicData>
            </a:graphic>
          </wp:anchor>
        </w:drawing>
      </w:r>
    </w:p>
    <w:p>
      <w:pPr>
        <w:spacing w:after="0" w:line="466" w:lineRule="exact"/>
        <w:rPr>
          <w:sz w:val="20"/>
          <w:szCs w:val="20"/>
          <w:color w:val="auto"/>
        </w:rPr>
      </w:pPr>
    </w:p>
    <w:p>
      <w:pPr>
        <w:sectPr>
          <w:pgSz w:w="11900" w:h="16838" w:orient="portrait"/>
          <w:cols w:equalWidth="0" w:num="2">
            <w:col w:w="7213" w:space="720"/>
            <w:col w:w="3147"/>
          </w:cols>
          <w:pgMar w:left="460" w:top="225" w:right="359" w:bottom="1011"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40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680" w:type="dxa"/>
            <w:vAlign w:val="bottom"/>
          </w:tcPr>
          <w:p>
            <w:pPr>
              <w:ind w:left="6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60"/>
              <w:spacing w:after="0"/>
              <w:rPr>
                <w:sz w:val="20"/>
                <w:szCs w:val="20"/>
                <w:color w:val="auto"/>
              </w:rPr>
            </w:pPr>
            <w:r>
              <w:rPr>
                <w:rFonts w:ascii="Arial" w:cs="Arial" w:eastAsia="Arial" w:hAnsi="Arial"/>
                <w:sz w:val="12"/>
                <w:szCs w:val="12"/>
                <w:b w:val="1"/>
                <w:bCs w:val="1"/>
                <w:color w:val="auto"/>
              </w:rPr>
              <w:t>6. Ownership</w:t>
            </w:r>
          </w:p>
        </w:tc>
        <w:tc>
          <w:tcPr>
            <w:tcW w:w="940" w:type="dxa"/>
            <w:vAlign w:val="bottom"/>
          </w:tcPr>
          <w:p>
            <w:pPr>
              <w:ind w:left="60"/>
              <w:spacing w:after="0"/>
              <w:rPr>
                <w:sz w:val="20"/>
                <w:szCs w:val="20"/>
                <w:color w:val="auto"/>
              </w:rPr>
            </w:pPr>
            <w:r>
              <w:rPr>
                <w:rFonts w:ascii="Arial" w:cs="Arial" w:eastAsia="Arial" w:hAnsi="Arial"/>
                <w:sz w:val="12"/>
                <w:szCs w:val="12"/>
                <w:b w:val="1"/>
                <w:bCs w:val="1"/>
                <w:color w:val="auto"/>
              </w:rPr>
              <w:t>7. Nature of</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2400" w:type="dxa"/>
            <w:vAlign w:val="bottom"/>
          </w:tcPr>
          <w:p>
            <w:pPr>
              <w:spacing w:after="0"/>
              <w:rPr>
                <w:sz w:val="11"/>
                <w:szCs w:val="11"/>
                <w:color w:val="auto"/>
              </w:rPr>
            </w:pPr>
          </w:p>
        </w:tc>
        <w:tc>
          <w:tcPr>
            <w:tcW w:w="1680" w:type="dxa"/>
            <w:vAlign w:val="bottom"/>
          </w:tcPr>
          <w:p>
            <w:pPr>
              <w:ind w:left="640"/>
              <w:spacing w:after="0" w:line="131"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20" w:type="dxa"/>
            <w:vAlign w:val="bottom"/>
            <w:gridSpan w:val="3"/>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14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Form: Direct</w:t>
            </w:r>
          </w:p>
        </w:tc>
        <w:tc>
          <w:tcPr>
            <w:tcW w:w="94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400" w:type="dxa"/>
            <w:vAlign w:val="bottom"/>
          </w:tcPr>
          <w:p>
            <w:pPr>
              <w:spacing w:after="0"/>
              <w:rPr>
                <w:sz w:val="11"/>
                <w:szCs w:val="11"/>
                <w:color w:val="auto"/>
              </w:rPr>
            </w:pPr>
          </w:p>
        </w:tc>
        <w:tc>
          <w:tcPr>
            <w:tcW w:w="1680" w:type="dxa"/>
            <w:vAlign w:val="bottom"/>
          </w:tcPr>
          <w:p>
            <w:pPr>
              <w:jc w:val="center"/>
              <w:ind w:left="499"/>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5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 or Indirect</w:t>
            </w:r>
          </w:p>
        </w:tc>
        <w:tc>
          <w:tcPr>
            <w:tcW w:w="9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40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 (Instr. 4)</w:t>
            </w:r>
          </w:p>
        </w:tc>
        <w:tc>
          <w:tcPr>
            <w:tcW w:w="9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2400" w:type="dxa"/>
            <w:vAlign w:val="bottom"/>
          </w:tcPr>
          <w:p>
            <w:pPr>
              <w:spacing w:after="0"/>
              <w:rPr>
                <w:sz w:val="6"/>
                <w:szCs w:val="6"/>
                <w:color w:val="auto"/>
              </w:rPr>
            </w:pPr>
          </w:p>
        </w:tc>
        <w:tc>
          <w:tcPr>
            <w:tcW w:w="16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4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94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2400" w:type="dxa"/>
            <w:vAlign w:val="bottom"/>
          </w:tcPr>
          <w:p>
            <w:pPr>
              <w:spacing w:after="0"/>
              <w:rPr>
                <w:sz w:val="3"/>
                <w:szCs w:val="3"/>
                <w:color w:val="auto"/>
              </w:rPr>
            </w:pPr>
          </w:p>
        </w:tc>
        <w:tc>
          <w:tcPr>
            <w:tcW w:w="16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80" w:type="dxa"/>
            <w:vAlign w:val="bottom"/>
          </w:tcPr>
          <w:p>
            <w:pPr>
              <w:spacing w:after="0"/>
              <w:rPr>
                <w:sz w:val="3"/>
                <w:szCs w:val="3"/>
                <w:color w:val="auto"/>
              </w:rPr>
            </w:pPr>
          </w:p>
        </w:tc>
        <w:tc>
          <w:tcPr>
            <w:tcW w:w="5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40" w:type="dxa"/>
            <w:vAlign w:val="bottom"/>
            <w:vMerge w:val="continue"/>
          </w:tcPr>
          <w:p>
            <w:pPr>
              <w:spacing w:after="0"/>
              <w:rPr>
                <w:sz w:val="3"/>
                <w:szCs w:val="3"/>
                <w:color w:val="auto"/>
              </w:rPr>
            </w:pPr>
          </w:p>
        </w:tc>
        <w:tc>
          <w:tcPr>
            <w:tcW w:w="920" w:type="dxa"/>
            <w:vAlign w:val="bottom"/>
          </w:tcPr>
          <w:p>
            <w:pPr>
              <w:spacing w:after="0"/>
              <w:rPr>
                <w:sz w:val="3"/>
                <w:szCs w:val="3"/>
                <w:color w:val="auto"/>
              </w:rPr>
            </w:pPr>
          </w:p>
        </w:tc>
        <w:tc>
          <w:tcPr>
            <w:tcW w:w="94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240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jc w:val="center"/>
              <w:spacing w:after="0" w:line="133" w:lineRule="exact"/>
              <w:rPr>
                <w:sz w:val="20"/>
                <w:szCs w:val="20"/>
                <w:color w:val="auto"/>
              </w:rPr>
            </w:pPr>
            <w:r>
              <w:rPr>
                <w:rFonts w:ascii="Arial" w:cs="Arial" w:eastAsia="Arial" w:hAnsi="Arial"/>
                <w:sz w:val="12"/>
                <w:szCs w:val="12"/>
                <w:b w:val="1"/>
                <w:bCs w:val="1"/>
                <w:color w:val="auto"/>
                <w:w w:val="99"/>
              </w:rPr>
              <w:t>(A) or</w:t>
            </w:r>
          </w:p>
        </w:tc>
        <w:tc>
          <w:tcPr>
            <w:tcW w:w="640" w:type="dxa"/>
            <w:vAlign w:val="bottom"/>
            <w:vMerge w:val="restart"/>
          </w:tcPr>
          <w:p>
            <w:pPr>
              <w:jc w:val="right"/>
              <w:ind w:right="175"/>
              <w:spacing w:after="0"/>
              <w:rPr>
                <w:sz w:val="20"/>
                <w:szCs w:val="20"/>
                <w:color w:val="auto"/>
              </w:rPr>
            </w:pPr>
            <w:r>
              <w:rPr>
                <w:rFonts w:ascii="Arial" w:cs="Arial" w:eastAsia="Arial" w:hAnsi="Arial"/>
                <w:sz w:val="12"/>
                <w:szCs w:val="12"/>
                <w:b w:val="1"/>
                <w:bCs w:val="1"/>
                <w:color w:val="auto"/>
              </w:rPr>
              <w:t>Price</w:t>
            </w:r>
          </w:p>
        </w:tc>
        <w:tc>
          <w:tcPr>
            <w:tcW w:w="11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400" w:type="dxa"/>
            <w:vAlign w:val="bottom"/>
          </w:tcPr>
          <w:p>
            <w:pPr>
              <w:spacing w:after="0"/>
              <w:rPr>
                <w:sz w:val="7"/>
                <w:szCs w:val="7"/>
                <w:color w:val="auto"/>
              </w:rPr>
            </w:pPr>
          </w:p>
        </w:tc>
        <w:tc>
          <w:tcPr>
            <w:tcW w:w="16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640" w:type="dxa"/>
            <w:vAlign w:val="bottom"/>
            <w:vMerge w:val="continue"/>
          </w:tcPr>
          <w:p>
            <w:pPr>
              <w:spacing w:after="0"/>
              <w:rPr>
                <w:sz w:val="7"/>
                <w:szCs w:val="7"/>
                <w:color w:val="auto"/>
              </w:rPr>
            </w:pPr>
          </w:p>
        </w:tc>
        <w:tc>
          <w:tcPr>
            <w:tcW w:w="11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94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400" w:type="dxa"/>
            <w:vAlign w:val="bottom"/>
          </w:tcPr>
          <w:p>
            <w:pPr>
              <w:spacing w:after="0"/>
              <w:rPr>
                <w:sz w:val="5"/>
                <w:szCs w:val="5"/>
                <w:color w:val="auto"/>
              </w:rPr>
            </w:pPr>
          </w:p>
        </w:tc>
        <w:tc>
          <w:tcPr>
            <w:tcW w:w="16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8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140" w:type="dxa"/>
            <w:vAlign w:val="bottom"/>
            <w:vMerge w:val="continue"/>
          </w:tcPr>
          <w:p>
            <w:pPr>
              <w:spacing w:after="0"/>
              <w:rPr>
                <w:sz w:val="5"/>
                <w:szCs w:val="5"/>
                <w:color w:val="auto"/>
              </w:rPr>
            </w:pPr>
          </w:p>
        </w:tc>
        <w:tc>
          <w:tcPr>
            <w:tcW w:w="920" w:type="dxa"/>
            <w:vAlign w:val="bottom"/>
          </w:tcPr>
          <w:p>
            <w:pPr>
              <w:spacing w:after="0"/>
              <w:rPr>
                <w:sz w:val="5"/>
                <w:szCs w:val="5"/>
                <w:color w:val="auto"/>
              </w:rPr>
            </w:pPr>
          </w:p>
        </w:tc>
        <w:tc>
          <w:tcPr>
            <w:tcW w:w="9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4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vMerge w:val="restart"/>
          </w:tcPr>
          <w:p>
            <w:pPr>
              <w:jc w:val="center"/>
              <w:ind w:left="499"/>
              <w:spacing w:after="0"/>
              <w:rPr>
                <w:sz w:val="20"/>
                <w:szCs w:val="20"/>
                <w:color w:val="auto"/>
              </w:rPr>
            </w:pPr>
            <w:r>
              <w:rPr>
                <w:rFonts w:ascii="Arial" w:cs="Arial" w:eastAsia="Arial" w:hAnsi="Arial"/>
                <w:sz w:val="17"/>
                <w:szCs w:val="17"/>
                <w:color w:val="0000FF"/>
                <w:w w:val="91"/>
              </w:rPr>
              <w:t>02/16/2021</w:t>
            </w:r>
          </w:p>
        </w:tc>
        <w:tc>
          <w:tcPr>
            <w:tcW w:w="1140" w:type="dxa"/>
            <w:vAlign w:val="bottom"/>
          </w:tcPr>
          <w:p>
            <w:pPr>
              <w:spacing w:after="0"/>
              <w:rPr>
                <w:sz w:val="22"/>
                <w:szCs w:val="22"/>
                <w:color w:val="auto"/>
              </w:rPr>
            </w:pPr>
          </w:p>
        </w:tc>
        <w:tc>
          <w:tcPr>
            <w:tcW w:w="800" w:type="dxa"/>
            <w:vAlign w:val="bottom"/>
            <w:vMerge w:val="restart"/>
          </w:tcPr>
          <w:p>
            <w:pPr>
              <w:jc w:val="center"/>
              <w:ind w:right="323"/>
              <w:spacing w:after="0"/>
              <w:rPr>
                <w:sz w:val="20"/>
                <w:szCs w:val="20"/>
                <w:color w:val="auto"/>
              </w:rPr>
            </w:pPr>
            <w:r>
              <w:rPr>
                <w:rFonts w:ascii="Arial" w:cs="Arial" w:eastAsia="Arial" w:hAnsi="Arial"/>
                <w:sz w:val="26"/>
                <w:szCs w:val="26"/>
                <w:color w:val="0000FF"/>
                <w:w w:val="81"/>
                <w:vertAlign w:val="subscript"/>
              </w:rPr>
              <w:t>J</w:t>
            </w:r>
            <w:r>
              <w:rPr>
                <w:rFonts w:ascii="Arial" w:cs="Arial" w:eastAsia="Arial" w:hAnsi="Arial"/>
                <w:sz w:val="11"/>
                <w:szCs w:val="11"/>
                <w:color w:val="008000"/>
                <w:w w:val="81"/>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91"/>
              </w:rPr>
              <w:t>300,000</w:t>
            </w:r>
          </w:p>
        </w:tc>
        <w:tc>
          <w:tcPr>
            <w:tcW w:w="50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640" w:type="dxa"/>
            <w:vAlign w:val="bottom"/>
            <w:vMerge w:val="restart"/>
          </w:tcPr>
          <w:p>
            <w:pPr>
              <w:jc w:val="right"/>
              <w:ind w:right="35"/>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w w:val="92"/>
              </w:rPr>
              <w:t>2,594,451</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(2)</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vMerge w:val="restart"/>
          </w:tcPr>
          <w:p>
            <w:pPr>
              <w:jc w:val="center"/>
              <w:ind w:left="499"/>
              <w:spacing w:after="0"/>
              <w:rPr>
                <w:sz w:val="20"/>
                <w:szCs w:val="20"/>
                <w:color w:val="auto"/>
              </w:rPr>
            </w:pPr>
            <w:r>
              <w:rPr>
                <w:rFonts w:ascii="Arial" w:cs="Arial" w:eastAsia="Arial" w:hAnsi="Arial"/>
                <w:sz w:val="17"/>
                <w:szCs w:val="17"/>
                <w:color w:val="0000FF"/>
                <w:w w:val="91"/>
              </w:rPr>
              <w:t>02/16/2021</w:t>
            </w:r>
          </w:p>
        </w:tc>
        <w:tc>
          <w:tcPr>
            <w:tcW w:w="1140" w:type="dxa"/>
            <w:vAlign w:val="bottom"/>
          </w:tcPr>
          <w:p>
            <w:pPr>
              <w:spacing w:after="0"/>
              <w:rPr>
                <w:sz w:val="22"/>
                <w:szCs w:val="22"/>
                <w:color w:val="auto"/>
              </w:rPr>
            </w:pPr>
          </w:p>
        </w:tc>
        <w:tc>
          <w:tcPr>
            <w:tcW w:w="800" w:type="dxa"/>
            <w:vAlign w:val="bottom"/>
            <w:vMerge w:val="restart"/>
          </w:tcPr>
          <w:p>
            <w:pPr>
              <w:jc w:val="center"/>
              <w:ind w:right="323"/>
              <w:spacing w:after="0"/>
              <w:rPr>
                <w:sz w:val="20"/>
                <w:szCs w:val="20"/>
                <w:color w:val="auto"/>
              </w:rPr>
            </w:pPr>
            <w:r>
              <w:rPr>
                <w:rFonts w:ascii="Arial" w:cs="Arial" w:eastAsia="Arial" w:hAnsi="Arial"/>
                <w:sz w:val="26"/>
                <w:szCs w:val="26"/>
                <w:color w:val="0000FF"/>
                <w:w w:val="81"/>
                <w:vertAlign w:val="subscript"/>
              </w:rPr>
              <w:t>J</w:t>
            </w:r>
            <w:r>
              <w:rPr>
                <w:rFonts w:ascii="Arial" w:cs="Arial" w:eastAsia="Arial" w:hAnsi="Arial"/>
                <w:sz w:val="11"/>
                <w:szCs w:val="11"/>
                <w:color w:val="008000"/>
                <w:w w:val="81"/>
              </w:rPr>
              <w:t>(3)</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93"/>
              </w:rPr>
              <w:t>6,000</w:t>
            </w:r>
          </w:p>
        </w:tc>
        <w:tc>
          <w:tcPr>
            <w:tcW w:w="50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640" w:type="dxa"/>
            <w:vAlign w:val="bottom"/>
            <w:vMerge w:val="restart"/>
          </w:tcPr>
          <w:p>
            <w:pPr>
              <w:jc w:val="right"/>
              <w:ind w:right="35"/>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w w:val="89"/>
              </w:rPr>
              <w:t>6,000</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(4)</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vMerge w:val="restart"/>
          </w:tcPr>
          <w:p>
            <w:pPr>
              <w:jc w:val="center"/>
              <w:ind w:left="499"/>
              <w:spacing w:after="0"/>
              <w:rPr>
                <w:sz w:val="20"/>
                <w:szCs w:val="20"/>
                <w:color w:val="auto"/>
              </w:rPr>
            </w:pPr>
            <w:r>
              <w:rPr>
                <w:rFonts w:ascii="Arial" w:cs="Arial" w:eastAsia="Arial" w:hAnsi="Arial"/>
                <w:sz w:val="17"/>
                <w:szCs w:val="17"/>
                <w:color w:val="0000FF"/>
                <w:w w:val="91"/>
              </w:rPr>
              <w:t>02/16/2021</w:t>
            </w:r>
          </w:p>
        </w:tc>
        <w:tc>
          <w:tcPr>
            <w:tcW w:w="1140" w:type="dxa"/>
            <w:vAlign w:val="bottom"/>
          </w:tcPr>
          <w:p>
            <w:pPr>
              <w:spacing w:after="0"/>
              <w:rPr>
                <w:sz w:val="22"/>
                <w:szCs w:val="22"/>
                <w:color w:val="auto"/>
              </w:rPr>
            </w:pPr>
          </w:p>
        </w:tc>
        <w:tc>
          <w:tcPr>
            <w:tcW w:w="800" w:type="dxa"/>
            <w:vAlign w:val="bottom"/>
            <w:vMerge w:val="restart"/>
          </w:tcPr>
          <w:p>
            <w:pPr>
              <w:jc w:val="center"/>
              <w:ind w:right="323"/>
              <w:spacing w:after="0"/>
              <w:rPr>
                <w:sz w:val="20"/>
                <w:szCs w:val="20"/>
                <w:color w:val="auto"/>
              </w:rPr>
            </w:pPr>
            <w:r>
              <w:rPr>
                <w:rFonts w:ascii="Arial" w:cs="Arial" w:eastAsia="Arial" w:hAnsi="Arial"/>
                <w:sz w:val="26"/>
                <w:szCs w:val="26"/>
                <w:color w:val="0000FF"/>
                <w:w w:val="81"/>
                <w:vertAlign w:val="subscript"/>
              </w:rPr>
              <w:t>J</w:t>
            </w:r>
            <w:r>
              <w:rPr>
                <w:rFonts w:ascii="Arial" w:cs="Arial" w:eastAsia="Arial" w:hAnsi="Arial"/>
                <w:sz w:val="11"/>
                <w:szCs w:val="11"/>
                <w:color w:val="008000"/>
                <w:w w:val="81"/>
              </w:rPr>
              <w:t>(5)</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93"/>
              </w:rPr>
              <w:t>6,000</w:t>
            </w:r>
          </w:p>
        </w:tc>
        <w:tc>
          <w:tcPr>
            <w:tcW w:w="50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640" w:type="dxa"/>
            <w:vAlign w:val="bottom"/>
            <w:vMerge w:val="restart"/>
          </w:tcPr>
          <w:p>
            <w:pPr>
              <w:jc w:val="right"/>
              <w:ind w:right="35"/>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rPr>
              <w:t>0</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(4)</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tcBorders>
              <w:bottom w:val="single" w:sz="8" w:color="2C2C2C"/>
            </w:tcBorders>
          </w:tcPr>
          <w:p>
            <w:pPr>
              <w:jc w:val="center"/>
              <w:ind w:left="499"/>
              <w:spacing w:after="0"/>
              <w:rPr>
                <w:sz w:val="20"/>
                <w:szCs w:val="20"/>
                <w:color w:val="auto"/>
              </w:rPr>
            </w:pPr>
            <w:r>
              <w:rPr>
                <w:rFonts w:ascii="Arial" w:cs="Arial" w:eastAsia="Arial" w:hAnsi="Arial"/>
                <w:sz w:val="17"/>
                <w:szCs w:val="17"/>
                <w:color w:val="0000FF"/>
                <w:w w:val="91"/>
              </w:rPr>
              <w:t>02/16/2021</w:t>
            </w:r>
          </w:p>
        </w:tc>
        <w:tc>
          <w:tcPr>
            <w:tcW w:w="11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jc w:val="center"/>
              <w:ind w:right="323"/>
              <w:spacing w:after="0"/>
              <w:rPr>
                <w:sz w:val="20"/>
                <w:szCs w:val="20"/>
                <w:color w:val="auto"/>
              </w:rPr>
            </w:pPr>
            <w:r>
              <w:rPr>
                <w:rFonts w:ascii="Arial" w:cs="Arial" w:eastAsia="Arial" w:hAnsi="Arial"/>
                <w:sz w:val="26"/>
                <w:szCs w:val="26"/>
                <w:color w:val="0000FF"/>
                <w:w w:val="81"/>
                <w:vertAlign w:val="subscript"/>
              </w:rPr>
              <w:t>J</w:t>
            </w:r>
            <w:r>
              <w:rPr>
                <w:rFonts w:ascii="Arial" w:cs="Arial" w:eastAsia="Arial" w:hAnsi="Arial"/>
                <w:sz w:val="11"/>
                <w:szCs w:val="11"/>
                <w:color w:val="008000"/>
                <w:w w:val="81"/>
              </w:rPr>
              <w:t>(6)</w:t>
            </w:r>
          </w:p>
        </w:tc>
        <w:tc>
          <w:tcPr>
            <w:tcW w:w="78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1"/>
              </w:rPr>
              <w:t>824</w:t>
            </w:r>
          </w:p>
        </w:tc>
        <w:tc>
          <w:tcPr>
            <w:tcW w:w="5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tcPr>
          <w:p>
            <w:pPr>
              <w:jc w:val="right"/>
              <w:ind w:right="35"/>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1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8,900</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9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vMerge w:val="restart"/>
          </w:tcPr>
          <w:p>
            <w:pPr>
              <w:jc w:val="center"/>
              <w:ind w:left="499"/>
              <w:spacing w:after="0"/>
              <w:rPr>
                <w:sz w:val="20"/>
                <w:szCs w:val="20"/>
                <w:color w:val="auto"/>
              </w:rPr>
            </w:pPr>
            <w:r>
              <w:rPr>
                <w:rFonts w:ascii="Arial" w:cs="Arial" w:eastAsia="Arial" w:hAnsi="Arial"/>
                <w:sz w:val="17"/>
                <w:szCs w:val="17"/>
                <w:color w:val="0000FF"/>
                <w:w w:val="91"/>
              </w:rPr>
              <w:t>02/16/2021</w:t>
            </w:r>
          </w:p>
        </w:tc>
        <w:tc>
          <w:tcPr>
            <w:tcW w:w="1140" w:type="dxa"/>
            <w:vAlign w:val="bottom"/>
          </w:tcPr>
          <w:p>
            <w:pPr>
              <w:spacing w:after="0"/>
              <w:rPr>
                <w:sz w:val="22"/>
                <w:szCs w:val="22"/>
                <w:color w:val="auto"/>
              </w:rPr>
            </w:pPr>
          </w:p>
        </w:tc>
        <w:tc>
          <w:tcPr>
            <w:tcW w:w="800" w:type="dxa"/>
            <w:vAlign w:val="bottom"/>
            <w:vMerge w:val="restart"/>
          </w:tcPr>
          <w:p>
            <w:pPr>
              <w:jc w:val="center"/>
              <w:ind w:right="323"/>
              <w:spacing w:after="0"/>
              <w:rPr>
                <w:sz w:val="20"/>
                <w:szCs w:val="20"/>
                <w:color w:val="auto"/>
              </w:rPr>
            </w:pPr>
            <w:r>
              <w:rPr>
                <w:rFonts w:ascii="Arial" w:cs="Arial" w:eastAsia="Arial" w:hAnsi="Arial"/>
                <w:sz w:val="26"/>
                <w:szCs w:val="26"/>
                <w:color w:val="0000FF"/>
                <w:w w:val="81"/>
                <w:vertAlign w:val="subscript"/>
              </w:rPr>
              <w:t>J</w:t>
            </w:r>
            <w:r>
              <w:rPr>
                <w:rFonts w:ascii="Arial" w:cs="Arial" w:eastAsia="Arial" w:hAnsi="Arial"/>
                <w:sz w:val="11"/>
                <w:szCs w:val="11"/>
                <w:color w:val="008000"/>
                <w:w w:val="81"/>
              </w:rPr>
              <w:t>(7)</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93"/>
              </w:rPr>
              <w:t>5,176</w:t>
            </w:r>
          </w:p>
        </w:tc>
        <w:tc>
          <w:tcPr>
            <w:tcW w:w="50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640" w:type="dxa"/>
            <w:vAlign w:val="bottom"/>
            <w:vMerge w:val="restart"/>
          </w:tcPr>
          <w:p>
            <w:pPr>
              <w:jc w:val="right"/>
              <w:ind w:right="35"/>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w w:val="89"/>
              </w:rPr>
              <w:t>5,176</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(8)</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vMerge w:val="restart"/>
          </w:tcPr>
          <w:p>
            <w:pPr>
              <w:jc w:val="center"/>
              <w:ind w:left="499"/>
              <w:spacing w:after="0"/>
              <w:rPr>
                <w:sz w:val="20"/>
                <w:szCs w:val="20"/>
                <w:color w:val="auto"/>
              </w:rPr>
            </w:pPr>
            <w:r>
              <w:rPr>
                <w:rFonts w:ascii="Arial" w:cs="Arial" w:eastAsia="Arial" w:hAnsi="Arial"/>
                <w:sz w:val="17"/>
                <w:szCs w:val="17"/>
                <w:color w:val="0000FF"/>
                <w:w w:val="91"/>
              </w:rPr>
              <w:t>02/16/2021</w:t>
            </w:r>
          </w:p>
        </w:tc>
        <w:tc>
          <w:tcPr>
            <w:tcW w:w="1140" w:type="dxa"/>
            <w:vAlign w:val="bottom"/>
          </w:tcPr>
          <w:p>
            <w:pPr>
              <w:spacing w:after="0"/>
              <w:rPr>
                <w:sz w:val="22"/>
                <w:szCs w:val="22"/>
                <w:color w:val="auto"/>
              </w:rPr>
            </w:pPr>
          </w:p>
        </w:tc>
        <w:tc>
          <w:tcPr>
            <w:tcW w:w="800" w:type="dxa"/>
            <w:vAlign w:val="bottom"/>
            <w:vMerge w:val="restart"/>
          </w:tcPr>
          <w:p>
            <w:pPr>
              <w:jc w:val="center"/>
              <w:ind w:right="323"/>
              <w:spacing w:after="0"/>
              <w:rPr>
                <w:sz w:val="20"/>
                <w:szCs w:val="20"/>
                <w:color w:val="auto"/>
              </w:rPr>
            </w:pPr>
            <w:r>
              <w:rPr>
                <w:rFonts w:ascii="Arial" w:cs="Arial" w:eastAsia="Arial" w:hAnsi="Arial"/>
                <w:sz w:val="26"/>
                <w:szCs w:val="26"/>
                <w:color w:val="0000FF"/>
                <w:w w:val="81"/>
                <w:vertAlign w:val="subscript"/>
              </w:rPr>
              <w:t>J</w:t>
            </w:r>
            <w:r>
              <w:rPr>
                <w:rFonts w:ascii="Arial" w:cs="Arial" w:eastAsia="Arial" w:hAnsi="Arial"/>
                <w:sz w:val="11"/>
                <w:szCs w:val="11"/>
                <w:color w:val="008000"/>
                <w:w w:val="81"/>
              </w:rPr>
              <w:t>(9)</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93"/>
              </w:rPr>
              <w:t>5,176</w:t>
            </w:r>
          </w:p>
        </w:tc>
        <w:tc>
          <w:tcPr>
            <w:tcW w:w="50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640" w:type="dxa"/>
            <w:vAlign w:val="bottom"/>
            <w:vMerge w:val="restart"/>
          </w:tcPr>
          <w:p>
            <w:pPr>
              <w:jc w:val="right"/>
              <w:ind w:right="35"/>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rPr>
              <w:t>0</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(8)</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vMerge w:val="restart"/>
          </w:tcPr>
          <w:p>
            <w:pPr>
              <w:jc w:val="center"/>
              <w:ind w:left="499"/>
              <w:spacing w:after="0"/>
              <w:rPr>
                <w:sz w:val="20"/>
                <w:szCs w:val="20"/>
                <w:color w:val="auto"/>
              </w:rPr>
            </w:pPr>
            <w:r>
              <w:rPr>
                <w:rFonts w:ascii="Arial" w:cs="Arial" w:eastAsia="Arial" w:hAnsi="Arial"/>
                <w:sz w:val="17"/>
                <w:szCs w:val="17"/>
                <w:color w:val="0000FF"/>
                <w:w w:val="91"/>
              </w:rPr>
              <w:t>02/16/2021</w:t>
            </w:r>
          </w:p>
        </w:tc>
        <w:tc>
          <w:tcPr>
            <w:tcW w:w="1140" w:type="dxa"/>
            <w:vAlign w:val="bottom"/>
          </w:tcPr>
          <w:p>
            <w:pPr>
              <w:spacing w:after="0"/>
              <w:rPr>
                <w:sz w:val="22"/>
                <w:szCs w:val="22"/>
                <w:color w:val="auto"/>
              </w:rPr>
            </w:pPr>
          </w:p>
        </w:tc>
        <w:tc>
          <w:tcPr>
            <w:tcW w:w="800" w:type="dxa"/>
            <w:vAlign w:val="bottom"/>
            <w:vMerge w:val="restart"/>
          </w:tcPr>
          <w:p>
            <w:pPr>
              <w:jc w:val="center"/>
              <w:ind w:right="303"/>
              <w:spacing w:after="0"/>
              <w:rPr>
                <w:sz w:val="20"/>
                <w:szCs w:val="20"/>
                <w:color w:val="auto"/>
              </w:rPr>
            </w:pPr>
            <w:r>
              <w:rPr>
                <w:rFonts w:ascii="Arial" w:cs="Arial" w:eastAsia="Arial" w:hAnsi="Arial"/>
                <w:sz w:val="26"/>
                <w:szCs w:val="26"/>
                <w:color w:val="0000FF"/>
                <w:w w:val="84"/>
                <w:vertAlign w:val="subscript"/>
              </w:rPr>
              <w:t>J</w:t>
            </w:r>
            <w:r>
              <w:rPr>
                <w:rFonts w:ascii="Arial" w:cs="Arial" w:eastAsia="Arial" w:hAnsi="Arial"/>
                <w:sz w:val="11"/>
                <w:szCs w:val="11"/>
                <w:color w:val="008000"/>
                <w:w w:val="84"/>
              </w:rPr>
              <w:t>(10)</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92"/>
              </w:rPr>
              <w:t>50,000</w:t>
            </w:r>
          </w:p>
        </w:tc>
        <w:tc>
          <w:tcPr>
            <w:tcW w:w="50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640" w:type="dxa"/>
            <w:vAlign w:val="bottom"/>
            <w:vMerge w:val="restart"/>
          </w:tcPr>
          <w:p>
            <w:pPr>
              <w:jc w:val="right"/>
              <w:ind w:right="35"/>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w w:val="91"/>
              </w:rPr>
              <w:t>458,282</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w w:val="92"/>
              </w:rPr>
              <w:t>Footnote</w:t>
            </w:r>
            <w:r>
              <w:rPr>
                <w:rFonts w:ascii="Arial" w:cs="Arial" w:eastAsia="Arial" w:hAnsi="Arial"/>
                <w:sz w:val="22"/>
                <w:szCs w:val="22"/>
                <w:color w:val="008000"/>
                <w:w w:val="92"/>
                <w:vertAlign w:val="superscript"/>
              </w:rPr>
              <w:t>(11)</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vMerge w:val="restart"/>
          </w:tcPr>
          <w:p>
            <w:pPr>
              <w:jc w:val="center"/>
              <w:ind w:left="499"/>
              <w:spacing w:after="0"/>
              <w:rPr>
                <w:sz w:val="20"/>
                <w:szCs w:val="20"/>
                <w:color w:val="auto"/>
              </w:rPr>
            </w:pPr>
            <w:r>
              <w:rPr>
                <w:rFonts w:ascii="Arial" w:cs="Arial" w:eastAsia="Arial" w:hAnsi="Arial"/>
                <w:sz w:val="17"/>
                <w:szCs w:val="17"/>
                <w:color w:val="0000FF"/>
                <w:w w:val="91"/>
              </w:rPr>
              <w:t>02/16/2021</w:t>
            </w:r>
          </w:p>
        </w:tc>
        <w:tc>
          <w:tcPr>
            <w:tcW w:w="1140" w:type="dxa"/>
            <w:vAlign w:val="bottom"/>
          </w:tcPr>
          <w:p>
            <w:pPr>
              <w:spacing w:after="0"/>
              <w:rPr>
                <w:sz w:val="22"/>
                <w:szCs w:val="22"/>
                <w:color w:val="auto"/>
              </w:rPr>
            </w:pPr>
          </w:p>
        </w:tc>
        <w:tc>
          <w:tcPr>
            <w:tcW w:w="800" w:type="dxa"/>
            <w:vAlign w:val="bottom"/>
            <w:vMerge w:val="restart"/>
          </w:tcPr>
          <w:p>
            <w:pPr>
              <w:jc w:val="center"/>
              <w:ind w:right="303"/>
              <w:spacing w:after="0"/>
              <w:rPr>
                <w:sz w:val="20"/>
                <w:szCs w:val="20"/>
                <w:color w:val="auto"/>
              </w:rPr>
            </w:pPr>
            <w:r>
              <w:rPr>
                <w:rFonts w:ascii="Arial" w:cs="Arial" w:eastAsia="Arial" w:hAnsi="Arial"/>
                <w:sz w:val="26"/>
                <w:szCs w:val="26"/>
                <w:color w:val="0000FF"/>
                <w:w w:val="84"/>
                <w:vertAlign w:val="subscript"/>
              </w:rPr>
              <w:t>J</w:t>
            </w:r>
            <w:r>
              <w:rPr>
                <w:rFonts w:ascii="Arial" w:cs="Arial" w:eastAsia="Arial" w:hAnsi="Arial"/>
                <w:sz w:val="11"/>
                <w:szCs w:val="11"/>
                <w:color w:val="008000"/>
                <w:w w:val="84"/>
              </w:rPr>
              <w:t>(12)</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91"/>
              </w:rPr>
              <w:t>751</w:t>
            </w:r>
          </w:p>
        </w:tc>
        <w:tc>
          <w:tcPr>
            <w:tcW w:w="50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640" w:type="dxa"/>
            <w:vAlign w:val="bottom"/>
            <w:vMerge w:val="restart"/>
          </w:tcPr>
          <w:p>
            <w:pPr>
              <w:jc w:val="right"/>
              <w:ind w:right="35"/>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w w:val="91"/>
              </w:rPr>
              <w:t>751</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w w:val="92"/>
              </w:rPr>
              <w:t>Footnote</w:t>
            </w:r>
            <w:r>
              <w:rPr>
                <w:rFonts w:ascii="Arial" w:cs="Arial" w:eastAsia="Arial" w:hAnsi="Arial"/>
                <w:sz w:val="22"/>
                <w:szCs w:val="22"/>
                <w:color w:val="008000"/>
                <w:w w:val="92"/>
                <w:vertAlign w:val="superscript"/>
              </w:rPr>
              <w:t>(13)</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vMerge w:val="restart"/>
          </w:tcPr>
          <w:p>
            <w:pPr>
              <w:jc w:val="center"/>
              <w:ind w:left="499"/>
              <w:spacing w:after="0"/>
              <w:rPr>
                <w:sz w:val="20"/>
                <w:szCs w:val="20"/>
                <w:color w:val="auto"/>
              </w:rPr>
            </w:pPr>
            <w:r>
              <w:rPr>
                <w:rFonts w:ascii="Arial" w:cs="Arial" w:eastAsia="Arial" w:hAnsi="Arial"/>
                <w:sz w:val="17"/>
                <w:szCs w:val="17"/>
                <w:color w:val="0000FF"/>
                <w:w w:val="91"/>
              </w:rPr>
              <w:t>02/16/2021</w:t>
            </w:r>
          </w:p>
        </w:tc>
        <w:tc>
          <w:tcPr>
            <w:tcW w:w="1140" w:type="dxa"/>
            <w:vAlign w:val="bottom"/>
          </w:tcPr>
          <w:p>
            <w:pPr>
              <w:spacing w:after="0"/>
              <w:rPr>
                <w:sz w:val="22"/>
                <w:szCs w:val="22"/>
                <w:color w:val="auto"/>
              </w:rPr>
            </w:pPr>
          </w:p>
        </w:tc>
        <w:tc>
          <w:tcPr>
            <w:tcW w:w="800" w:type="dxa"/>
            <w:vAlign w:val="bottom"/>
            <w:vMerge w:val="restart"/>
          </w:tcPr>
          <w:p>
            <w:pPr>
              <w:jc w:val="center"/>
              <w:ind w:right="303"/>
              <w:spacing w:after="0"/>
              <w:rPr>
                <w:sz w:val="20"/>
                <w:szCs w:val="20"/>
                <w:color w:val="auto"/>
              </w:rPr>
            </w:pPr>
            <w:r>
              <w:rPr>
                <w:rFonts w:ascii="Arial" w:cs="Arial" w:eastAsia="Arial" w:hAnsi="Arial"/>
                <w:sz w:val="26"/>
                <w:szCs w:val="26"/>
                <w:color w:val="0000FF"/>
                <w:w w:val="84"/>
                <w:vertAlign w:val="subscript"/>
              </w:rPr>
              <w:t>J</w:t>
            </w:r>
            <w:r>
              <w:rPr>
                <w:rFonts w:ascii="Arial" w:cs="Arial" w:eastAsia="Arial" w:hAnsi="Arial"/>
                <w:sz w:val="11"/>
                <w:szCs w:val="11"/>
                <w:color w:val="008000"/>
                <w:w w:val="84"/>
              </w:rPr>
              <w:t>(14)</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91"/>
              </w:rPr>
              <w:t>751</w:t>
            </w:r>
          </w:p>
        </w:tc>
        <w:tc>
          <w:tcPr>
            <w:tcW w:w="50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640" w:type="dxa"/>
            <w:vAlign w:val="bottom"/>
            <w:vMerge w:val="restart"/>
          </w:tcPr>
          <w:p>
            <w:pPr>
              <w:jc w:val="right"/>
              <w:ind w:right="35"/>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rPr>
              <w:t>0</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w w:val="92"/>
              </w:rPr>
              <w:t>Footnote</w:t>
            </w:r>
            <w:r>
              <w:rPr>
                <w:rFonts w:ascii="Arial" w:cs="Arial" w:eastAsia="Arial" w:hAnsi="Arial"/>
                <w:sz w:val="22"/>
                <w:szCs w:val="22"/>
                <w:color w:val="008000"/>
                <w:w w:val="92"/>
                <w:vertAlign w:val="superscript"/>
              </w:rPr>
              <w:t>(13)</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tcBorders>
              <w:bottom w:val="single" w:sz="8" w:color="2C2C2C"/>
            </w:tcBorders>
          </w:tcPr>
          <w:p>
            <w:pPr>
              <w:jc w:val="center"/>
              <w:ind w:left="499"/>
              <w:spacing w:after="0"/>
              <w:rPr>
                <w:sz w:val="20"/>
                <w:szCs w:val="20"/>
                <w:color w:val="auto"/>
              </w:rPr>
            </w:pPr>
            <w:r>
              <w:rPr>
                <w:rFonts w:ascii="Arial" w:cs="Arial" w:eastAsia="Arial" w:hAnsi="Arial"/>
                <w:sz w:val="17"/>
                <w:szCs w:val="17"/>
                <w:color w:val="0000FF"/>
                <w:w w:val="91"/>
              </w:rPr>
              <w:t>02/16/2021</w:t>
            </w:r>
          </w:p>
        </w:tc>
        <w:tc>
          <w:tcPr>
            <w:tcW w:w="11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jc w:val="center"/>
              <w:ind w:right="303"/>
              <w:spacing w:after="0"/>
              <w:rPr>
                <w:sz w:val="20"/>
                <w:szCs w:val="20"/>
                <w:color w:val="auto"/>
              </w:rPr>
            </w:pPr>
            <w:r>
              <w:rPr>
                <w:rFonts w:ascii="Arial" w:cs="Arial" w:eastAsia="Arial" w:hAnsi="Arial"/>
                <w:sz w:val="26"/>
                <w:szCs w:val="26"/>
                <w:color w:val="0000FF"/>
                <w:w w:val="84"/>
                <w:vertAlign w:val="subscript"/>
              </w:rPr>
              <w:t>J</w:t>
            </w:r>
            <w:r>
              <w:rPr>
                <w:rFonts w:ascii="Arial" w:cs="Arial" w:eastAsia="Arial" w:hAnsi="Arial"/>
                <w:sz w:val="11"/>
                <w:szCs w:val="11"/>
                <w:color w:val="008000"/>
                <w:w w:val="84"/>
              </w:rPr>
              <w:t>(15)</w:t>
            </w:r>
          </w:p>
        </w:tc>
        <w:tc>
          <w:tcPr>
            <w:tcW w:w="78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4"/>
              </w:rPr>
              <w:t>6</w:t>
            </w:r>
          </w:p>
        </w:tc>
        <w:tc>
          <w:tcPr>
            <w:tcW w:w="50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rPr>
              <w:t>A</w:t>
            </w:r>
          </w:p>
        </w:tc>
        <w:tc>
          <w:tcPr>
            <w:tcW w:w="640" w:type="dxa"/>
            <w:vAlign w:val="bottom"/>
            <w:tcBorders>
              <w:bottom w:val="single" w:sz="8" w:color="2C2C2C"/>
            </w:tcBorders>
          </w:tcPr>
          <w:p>
            <w:pPr>
              <w:jc w:val="right"/>
              <w:ind w:right="35"/>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14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89"/>
              </w:rPr>
              <w:t>8,906</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7"/>
                <w:szCs w:val="17"/>
                <w:color w:val="0000FF"/>
                <w:w w:val="97"/>
              </w:rPr>
              <w:t>D</w:t>
            </w:r>
          </w:p>
        </w:tc>
        <w:tc>
          <w:tcPr>
            <w:tcW w:w="9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vMerge w:val="restart"/>
          </w:tcPr>
          <w:p>
            <w:pPr>
              <w:jc w:val="center"/>
              <w:ind w:left="499"/>
              <w:spacing w:after="0"/>
              <w:rPr>
                <w:sz w:val="20"/>
                <w:szCs w:val="20"/>
                <w:color w:val="auto"/>
              </w:rPr>
            </w:pPr>
            <w:r>
              <w:rPr>
                <w:rFonts w:ascii="Arial" w:cs="Arial" w:eastAsia="Arial" w:hAnsi="Arial"/>
                <w:sz w:val="17"/>
                <w:szCs w:val="17"/>
                <w:color w:val="0000FF"/>
                <w:w w:val="91"/>
              </w:rPr>
              <w:t>02/16/2021</w:t>
            </w:r>
          </w:p>
        </w:tc>
        <w:tc>
          <w:tcPr>
            <w:tcW w:w="1140" w:type="dxa"/>
            <w:vAlign w:val="bottom"/>
          </w:tcPr>
          <w:p>
            <w:pPr>
              <w:spacing w:after="0"/>
              <w:rPr>
                <w:sz w:val="22"/>
                <w:szCs w:val="22"/>
                <w:color w:val="auto"/>
              </w:rPr>
            </w:pPr>
          </w:p>
        </w:tc>
        <w:tc>
          <w:tcPr>
            <w:tcW w:w="800" w:type="dxa"/>
            <w:vAlign w:val="bottom"/>
            <w:vMerge w:val="restart"/>
          </w:tcPr>
          <w:p>
            <w:pPr>
              <w:jc w:val="center"/>
              <w:ind w:right="303"/>
              <w:spacing w:after="0"/>
              <w:rPr>
                <w:sz w:val="20"/>
                <w:szCs w:val="20"/>
                <w:color w:val="auto"/>
              </w:rPr>
            </w:pPr>
            <w:r>
              <w:rPr>
                <w:rFonts w:ascii="Arial" w:cs="Arial" w:eastAsia="Arial" w:hAnsi="Arial"/>
                <w:sz w:val="26"/>
                <w:szCs w:val="26"/>
                <w:color w:val="0000FF"/>
                <w:w w:val="84"/>
                <w:vertAlign w:val="subscript"/>
              </w:rPr>
              <w:t>J</w:t>
            </w:r>
            <w:r>
              <w:rPr>
                <w:rFonts w:ascii="Arial" w:cs="Arial" w:eastAsia="Arial" w:hAnsi="Arial"/>
                <w:sz w:val="11"/>
                <w:szCs w:val="11"/>
                <w:color w:val="008000"/>
                <w:w w:val="84"/>
              </w:rPr>
              <w:t>(16)</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91"/>
              </w:rPr>
              <w:t>745</w:t>
            </w:r>
          </w:p>
        </w:tc>
        <w:tc>
          <w:tcPr>
            <w:tcW w:w="50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640" w:type="dxa"/>
            <w:vAlign w:val="bottom"/>
            <w:vMerge w:val="restart"/>
          </w:tcPr>
          <w:p>
            <w:pPr>
              <w:jc w:val="right"/>
              <w:ind w:right="35"/>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w w:val="91"/>
              </w:rPr>
              <w:t>745</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w w:val="92"/>
              </w:rPr>
              <w:t>Footnote</w:t>
            </w:r>
            <w:r>
              <w:rPr>
                <w:rFonts w:ascii="Arial" w:cs="Arial" w:eastAsia="Arial" w:hAnsi="Arial"/>
                <w:sz w:val="22"/>
                <w:szCs w:val="22"/>
                <w:color w:val="008000"/>
                <w:w w:val="92"/>
                <w:vertAlign w:val="superscript"/>
              </w:rPr>
              <w:t>(17)</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vMerge w:val="restart"/>
          </w:tcPr>
          <w:p>
            <w:pPr>
              <w:jc w:val="center"/>
              <w:ind w:left="499"/>
              <w:spacing w:after="0"/>
              <w:rPr>
                <w:sz w:val="20"/>
                <w:szCs w:val="20"/>
                <w:color w:val="auto"/>
              </w:rPr>
            </w:pPr>
            <w:r>
              <w:rPr>
                <w:rFonts w:ascii="Arial" w:cs="Arial" w:eastAsia="Arial" w:hAnsi="Arial"/>
                <w:sz w:val="17"/>
                <w:szCs w:val="17"/>
                <w:color w:val="0000FF"/>
                <w:w w:val="91"/>
              </w:rPr>
              <w:t>02/16/2021</w:t>
            </w:r>
          </w:p>
        </w:tc>
        <w:tc>
          <w:tcPr>
            <w:tcW w:w="1140" w:type="dxa"/>
            <w:vAlign w:val="bottom"/>
          </w:tcPr>
          <w:p>
            <w:pPr>
              <w:spacing w:after="0"/>
              <w:rPr>
                <w:sz w:val="22"/>
                <w:szCs w:val="22"/>
                <w:color w:val="auto"/>
              </w:rPr>
            </w:pPr>
          </w:p>
        </w:tc>
        <w:tc>
          <w:tcPr>
            <w:tcW w:w="800" w:type="dxa"/>
            <w:vAlign w:val="bottom"/>
            <w:vMerge w:val="restart"/>
          </w:tcPr>
          <w:p>
            <w:pPr>
              <w:jc w:val="center"/>
              <w:ind w:right="303"/>
              <w:spacing w:after="0"/>
              <w:rPr>
                <w:sz w:val="20"/>
                <w:szCs w:val="20"/>
                <w:color w:val="auto"/>
              </w:rPr>
            </w:pPr>
            <w:r>
              <w:rPr>
                <w:rFonts w:ascii="Arial" w:cs="Arial" w:eastAsia="Arial" w:hAnsi="Arial"/>
                <w:sz w:val="26"/>
                <w:szCs w:val="26"/>
                <w:color w:val="0000FF"/>
                <w:w w:val="84"/>
                <w:vertAlign w:val="subscript"/>
              </w:rPr>
              <w:t>J</w:t>
            </w:r>
            <w:r>
              <w:rPr>
                <w:rFonts w:ascii="Arial" w:cs="Arial" w:eastAsia="Arial" w:hAnsi="Arial"/>
                <w:sz w:val="11"/>
                <w:szCs w:val="11"/>
                <w:color w:val="008000"/>
                <w:w w:val="84"/>
              </w:rPr>
              <w:t>(18)</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91"/>
              </w:rPr>
              <w:t>745</w:t>
            </w:r>
          </w:p>
        </w:tc>
        <w:tc>
          <w:tcPr>
            <w:tcW w:w="50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640" w:type="dxa"/>
            <w:vAlign w:val="bottom"/>
            <w:vMerge w:val="restart"/>
          </w:tcPr>
          <w:p>
            <w:pPr>
              <w:jc w:val="right"/>
              <w:ind w:right="35"/>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rPr>
              <w:t>0</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vMerge w:val="continue"/>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780" w:type="dxa"/>
            <w:vAlign w:val="bottom"/>
            <w:vMerge w:val="continue"/>
          </w:tcPr>
          <w:p>
            <w:pPr>
              <w:spacing w:after="0"/>
              <w:rPr>
                <w:sz w:val="9"/>
                <w:szCs w:val="9"/>
                <w:color w:val="auto"/>
              </w:rPr>
            </w:pPr>
          </w:p>
        </w:tc>
        <w:tc>
          <w:tcPr>
            <w:tcW w:w="500" w:type="dxa"/>
            <w:vAlign w:val="bottom"/>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w w:val="92"/>
              </w:rPr>
              <w:t>Footnote</w:t>
            </w:r>
            <w:r>
              <w:rPr>
                <w:rFonts w:ascii="Arial" w:cs="Arial" w:eastAsia="Arial" w:hAnsi="Arial"/>
                <w:sz w:val="22"/>
                <w:szCs w:val="22"/>
                <w:color w:val="008000"/>
                <w:w w:val="92"/>
                <w:vertAlign w:val="superscript"/>
              </w:rPr>
              <w:t>(17)</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w w:val="92"/>
              </w:rPr>
              <w:t>2,114,947</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80" w:type="dxa"/>
            <w:vAlign w:val="bottom"/>
          </w:tcPr>
          <w:p>
            <w:pPr>
              <w:spacing w:after="0"/>
              <w:rPr>
                <w:sz w:val="9"/>
                <w:szCs w:val="9"/>
                <w:color w:val="auto"/>
              </w:rPr>
            </w:pPr>
          </w:p>
        </w:tc>
        <w:tc>
          <w:tcPr>
            <w:tcW w:w="500" w:type="dxa"/>
            <w:vAlign w:val="bottom"/>
          </w:tcPr>
          <w:p>
            <w:pPr>
              <w:spacing w:after="0"/>
              <w:rPr>
                <w:sz w:val="9"/>
                <w:szCs w:val="9"/>
                <w:color w:val="auto"/>
              </w:rPr>
            </w:pPr>
          </w:p>
        </w:tc>
        <w:tc>
          <w:tcPr>
            <w:tcW w:w="640" w:type="dxa"/>
            <w:vAlign w:val="bottom"/>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w w:val="92"/>
              </w:rPr>
              <w:t>Footnote</w:t>
            </w:r>
            <w:r>
              <w:rPr>
                <w:rFonts w:ascii="Arial" w:cs="Arial" w:eastAsia="Arial" w:hAnsi="Arial"/>
                <w:sz w:val="22"/>
                <w:szCs w:val="22"/>
                <w:color w:val="008000"/>
                <w:w w:val="92"/>
                <w:vertAlign w:val="superscript"/>
              </w:rPr>
              <w:t>(19)</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w w:val="88"/>
              </w:rPr>
              <w:t>63,619</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80" w:type="dxa"/>
            <w:vAlign w:val="bottom"/>
          </w:tcPr>
          <w:p>
            <w:pPr>
              <w:spacing w:after="0"/>
              <w:rPr>
                <w:sz w:val="9"/>
                <w:szCs w:val="9"/>
                <w:color w:val="auto"/>
              </w:rPr>
            </w:pPr>
          </w:p>
        </w:tc>
        <w:tc>
          <w:tcPr>
            <w:tcW w:w="500" w:type="dxa"/>
            <w:vAlign w:val="bottom"/>
          </w:tcPr>
          <w:p>
            <w:pPr>
              <w:spacing w:after="0"/>
              <w:rPr>
                <w:sz w:val="9"/>
                <w:szCs w:val="9"/>
                <w:color w:val="auto"/>
              </w:rPr>
            </w:pPr>
          </w:p>
        </w:tc>
        <w:tc>
          <w:tcPr>
            <w:tcW w:w="640" w:type="dxa"/>
            <w:vAlign w:val="bottom"/>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w w:val="92"/>
              </w:rPr>
              <w:t>Footnote</w:t>
            </w:r>
            <w:r>
              <w:rPr>
                <w:rFonts w:ascii="Arial" w:cs="Arial" w:eastAsia="Arial" w:hAnsi="Arial"/>
                <w:sz w:val="22"/>
                <w:szCs w:val="22"/>
                <w:color w:val="008000"/>
                <w:w w:val="92"/>
                <w:vertAlign w:val="superscript"/>
              </w:rPr>
              <w:t>(20)</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w w:val="88"/>
              </w:rPr>
              <w:t>70,422</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80" w:type="dxa"/>
            <w:vAlign w:val="bottom"/>
          </w:tcPr>
          <w:p>
            <w:pPr>
              <w:spacing w:after="0"/>
              <w:rPr>
                <w:sz w:val="9"/>
                <w:szCs w:val="9"/>
                <w:color w:val="auto"/>
              </w:rPr>
            </w:pPr>
          </w:p>
        </w:tc>
        <w:tc>
          <w:tcPr>
            <w:tcW w:w="500" w:type="dxa"/>
            <w:vAlign w:val="bottom"/>
          </w:tcPr>
          <w:p>
            <w:pPr>
              <w:spacing w:after="0"/>
              <w:rPr>
                <w:sz w:val="9"/>
                <w:szCs w:val="9"/>
                <w:color w:val="auto"/>
              </w:rPr>
            </w:pPr>
          </w:p>
        </w:tc>
        <w:tc>
          <w:tcPr>
            <w:tcW w:w="640" w:type="dxa"/>
            <w:vAlign w:val="bottom"/>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w w:val="92"/>
              </w:rPr>
              <w:t>Footnote</w:t>
            </w:r>
            <w:r>
              <w:rPr>
                <w:rFonts w:ascii="Arial" w:cs="Arial" w:eastAsia="Arial" w:hAnsi="Arial"/>
                <w:sz w:val="22"/>
                <w:szCs w:val="22"/>
                <w:color w:val="008000"/>
                <w:w w:val="92"/>
                <w:vertAlign w:val="superscript"/>
              </w:rPr>
              <w:t>(21)</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400" w:type="dxa"/>
            <w:vAlign w:val="bottom"/>
            <w:tcBorders>
              <w:bottom w:val="single" w:sz="8" w:color="2C2C2C"/>
            </w:tcBorders>
          </w:tcPr>
          <w:p>
            <w:pPr>
              <w:spacing w:after="0"/>
              <w:rPr>
                <w:sz w:val="14"/>
                <w:szCs w:val="14"/>
                <w:color w:val="auto"/>
              </w:rPr>
            </w:pPr>
          </w:p>
        </w:tc>
        <w:tc>
          <w:tcPr>
            <w:tcW w:w="168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8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920" w:type="dxa"/>
            <w:vAlign w:val="bottom"/>
            <w:tcBorders>
              <w:bottom w:val="single" w:sz="8" w:color="2C2C2C"/>
            </w:tcBorders>
          </w:tcPr>
          <w:p>
            <w:pPr>
              <w:spacing w:after="0"/>
              <w:rPr>
                <w:sz w:val="14"/>
                <w:szCs w:val="14"/>
                <w:color w:val="auto"/>
              </w:rPr>
            </w:pPr>
          </w:p>
        </w:tc>
        <w:tc>
          <w:tcPr>
            <w:tcW w:w="940" w:type="dxa"/>
            <w:vAlign w:val="bottom"/>
            <w:tcBorders>
              <w:bottom w:val="single" w:sz="8" w:color="2C2C2C"/>
            </w:tcBorders>
            <w:vMerge w:val="continue"/>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400" w:type="dxa"/>
            <w:vAlign w:val="bottom"/>
            <w:vMerge w:val="restart"/>
          </w:tcPr>
          <w:p>
            <w:pPr>
              <w:ind w:left="60"/>
              <w:spacing w:after="0"/>
              <w:rPr>
                <w:sz w:val="20"/>
                <w:szCs w:val="20"/>
                <w:color w:val="auto"/>
              </w:rPr>
            </w:pPr>
            <w:r>
              <w:rPr>
                <w:rFonts w:ascii="Arial" w:cs="Arial" w:eastAsia="Arial" w:hAnsi="Arial"/>
                <w:sz w:val="17"/>
                <w:szCs w:val="17"/>
                <w:color w:val="0000FF"/>
              </w:rPr>
              <w:t>Common Shares</w:t>
            </w:r>
          </w:p>
        </w:tc>
        <w:tc>
          <w:tcPr>
            <w:tcW w:w="16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140" w:type="dxa"/>
            <w:vAlign w:val="bottom"/>
            <w:vMerge w:val="restart"/>
          </w:tcPr>
          <w:p>
            <w:pPr>
              <w:jc w:val="center"/>
              <w:spacing w:after="0"/>
              <w:rPr>
                <w:sz w:val="20"/>
                <w:szCs w:val="20"/>
                <w:color w:val="auto"/>
              </w:rPr>
            </w:pPr>
            <w:r>
              <w:rPr>
                <w:rFonts w:ascii="Arial" w:cs="Arial" w:eastAsia="Arial" w:hAnsi="Arial"/>
                <w:sz w:val="17"/>
                <w:szCs w:val="17"/>
                <w:color w:val="0000FF"/>
                <w:w w:val="91"/>
              </w:rPr>
              <w:t>160,958</w:t>
            </w:r>
          </w:p>
        </w:tc>
        <w:tc>
          <w:tcPr>
            <w:tcW w:w="920" w:type="dxa"/>
            <w:vAlign w:val="bottom"/>
            <w:vMerge w:val="restart"/>
          </w:tcPr>
          <w:p>
            <w:pPr>
              <w:jc w:val="center"/>
              <w:spacing w:after="0"/>
              <w:rPr>
                <w:sz w:val="20"/>
                <w:szCs w:val="20"/>
                <w:color w:val="auto"/>
              </w:rPr>
            </w:pPr>
            <w:r>
              <w:rPr>
                <w:rFonts w:ascii="Arial" w:cs="Arial" w:eastAsia="Arial" w:hAnsi="Arial"/>
                <w:sz w:val="17"/>
                <w:szCs w:val="17"/>
                <w:color w:val="0000FF"/>
              </w:rPr>
              <w:t>I</w:t>
            </w:r>
          </w:p>
        </w:tc>
        <w:tc>
          <w:tcPr>
            <w:tcW w:w="940" w:type="dxa"/>
            <w:vAlign w:val="bottom"/>
          </w:tcPr>
          <w:p>
            <w:pPr>
              <w:ind w:left="60"/>
              <w:spacing w:after="0"/>
              <w:rPr>
                <w:sz w:val="20"/>
                <w:szCs w:val="20"/>
                <w:color w:val="auto"/>
              </w:rPr>
            </w:pPr>
            <w:r>
              <w:rPr>
                <w:rFonts w:ascii="Arial" w:cs="Arial" w:eastAsia="Arial" w:hAnsi="Arial"/>
                <w:sz w:val="17"/>
                <w:szCs w:val="17"/>
                <w:color w:val="0000FF"/>
              </w:rPr>
              <w:t>See</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2400" w:type="dxa"/>
            <w:vAlign w:val="bottom"/>
            <w:vMerge w:val="continue"/>
          </w:tcPr>
          <w:p>
            <w:pPr>
              <w:spacing w:after="0"/>
              <w:rPr>
                <w:sz w:val="9"/>
                <w:szCs w:val="9"/>
                <w:color w:val="auto"/>
              </w:rPr>
            </w:pPr>
          </w:p>
        </w:tc>
        <w:tc>
          <w:tcPr>
            <w:tcW w:w="16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80" w:type="dxa"/>
            <w:vAlign w:val="bottom"/>
          </w:tcPr>
          <w:p>
            <w:pPr>
              <w:spacing w:after="0"/>
              <w:rPr>
                <w:sz w:val="9"/>
                <w:szCs w:val="9"/>
                <w:color w:val="auto"/>
              </w:rPr>
            </w:pPr>
          </w:p>
        </w:tc>
        <w:tc>
          <w:tcPr>
            <w:tcW w:w="500" w:type="dxa"/>
            <w:vAlign w:val="bottom"/>
          </w:tcPr>
          <w:p>
            <w:pPr>
              <w:spacing w:after="0"/>
              <w:rPr>
                <w:sz w:val="9"/>
                <w:szCs w:val="9"/>
                <w:color w:val="auto"/>
              </w:rPr>
            </w:pPr>
          </w:p>
        </w:tc>
        <w:tc>
          <w:tcPr>
            <w:tcW w:w="640" w:type="dxa"/>
            <w:vAlign w:val="bottom"/>
          </w:tcPr>
          <w:p>
            <w:pPr>
              <w:spacing w:after="0"/>
              <w:rPr>
                <w:sz w:val="9"/>
                <w:szCs w:val="9"/>
                <w:color w:val="auto"/>
              </w:rPr>
            </w:pPr>
          </w:p>
        </w:tc>
        <w:tc>
          <w:tcPr>
            <w:tcW w:w="1140" w:type="dxa"/>
            <w:vAlign w:val="bottom"/>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940" w:type="dxa"/>
            <w:vAlign w:val="bottom"/>
            <w:vMerge w:val="restart"/>
          </w:tcPr>
          <w:p>
            <w:pPr>
              <w:ind w:left="60"/>
              <w:spacing w:after="0"/>
              <w:rPr>
                <w:sz w:val="20"/>
                <w:szCs w:val="20"/>
                <w:color w:val="auto"/>
              </w:rPr>
            </w:pPr>
            <w:r>
              <w:rPr>
                <w:rFonts w:ascii="Arial" w:cs="Arial" w:eastAsia="Arial" w:hAnsi="Arial"/>
                <w:sz w:val="17"/>
                <w:szCs w:val="17"/>
                <w:color w:val="0000FF"/>
                <w:w w:val="92"/>
              </w:rPr>
              <w:t>Footnote</w:t>
            </w:r>
            <w:r>
              <w:rPr>
                <w:rFonts w:ascii="Arial" w:cs="Arial" w:eastAsia="Arial" w:hAnsi="Arial"/>
                <w:sz w:val="22"/>
                <w:szCs w:val="22"/>
                <w:color w:val="008000"/>
                <w:w w:val="92"/>
                <w:vertAlign w:val="superscript"/>
              </w:rPr>
              <w:t>(22)</w:t>
            </w: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88"/>
        </w:trPr>
        <w:tc>
          <w:tcPr>
            <w:tcW w:w="20" w:type="dxa"/>
            <w:vAlign w:val="bottom"/>
            <w:tcBorders>
              <w:bottom w:val="single" w:sz="8" w:color="2C2C2C"/>
            </w:tcBorders>
          </w:tcPr>
          <w:p>
            <w:pPr>
              <w:spacing w:after="0"/>
              <w:rPr>
                <w:sz w:val="16"/>
                <w:szCs w:val="16"/>
                <w:color w:val="auto"/>
              </w:rPr>
            </w:pPr>
          </w:p>
        </w:tc>
        <w:tc>
          <w:tcPr>
            <w:tcW w:w="2400" w:type="dxa"/>
            <w:vAlign w:val="bottom"/>
            <w:tcBorders>
              <w:bottom w:val="single" w:sz="8" w:color="2C2C2C"/>
            </w:tcBorders>
          </w:tcPr>
          <w:p>
            <w:pPr>
              <w:spacing w:after="0"/>
              <w:rPr>
                <w:sz w:val="16"/>
                <w:szCs w:val="16"/>
                <w:color w:val="auto"/>
              </w:rPr>
            </w:pPr>
          </w:p>
        </w:tc>
        <w:tc>
          <w:tcPr>
            <w:tcW w:w="1680" w:type="dxa"/>
            <w:vAlign w:val="bottom"/>
            <w:tcBorders>
              <w:bottom w:val="single" w:sz="8" w:color="2C2C2C"/>
            </w:tcBorders>
          </w:tcPr>
          <w:p>
            <w:pPr>
              <w:spacing w:after="0"/>
              <w:rPr>
                <w:sz w:val="16"/>
                <w:szCs w:val="16"/>
                <w:color w:val="auto"/>
              </w:rPr>
            </w:pPr>
          </w:p>
        </w:tc>
        <w:tc>
          <w:tcPr>
            <w:tcW w:w="1140" w:type="dxa"/>
            <w:vAlign w:val="bottom"/>
            <w:tcBorders>
              <w:bottom w:val="single" w:sz="8" w:color="2C2C2C"/>
            </w:tcBorders>
          </w:tcPr>
          <w:p>
            <w:pPr>
              <w:spacing w:after="0"/>
              <w:rPr>
                <w:sz w:val="16"/>
                <w:szCs w:val="16"/>
                <w:color w:val="auto"/>
              </w:rPr>
            </w:pPr>
          </w:p>
        </w:tc>
        <w:tc>
          <w:tcPr>
            <w:tcW w:w="800" w:type="dxa"/>
            <w:vAlign w:val="bottom"/>
            <w:tcBorders>
              <w:bottom w:val="single" w:sz="8" w:color="2C2C2C"/>
            </w:tcBorders>
          </w:tcPr>
          <w:p>
            <w:pPr>
              <w:spacing w:after="0"/>
              <w:rPr>
                <w:sz w:val="16"/>
                <w:szCs w:val="16"/>
                <w:color w:val="auto"/>
              </w:rPr>
            </w:pPr>
          </w:p>
        </w:tc>
        <w:tc>
          <w:tcPr>
            <w:tcW w:w="780" w:type="dxa"/>
            <w:vAlign w:val="bottom"/>
            <w:tcBorders>
              <w:bottom w:val="single" w:sz="8" w:color="2C2C2C"/>
            </w:tcBorders>
          </w:tcPr>
          <w:p>
            <w:pPr>
              <w:spacing w:after="0"/>
              <w:rPr>
                <w:sz w:val="16"/>
                <w:szCs w:val="16"/>
                <w:color w:val="auto"/>
              </w:rPr>
            </w:pPr>
          </w:p>
        </w:tc>
        <w:tc>
          <w:tcPr>
            <w:tcW w:w="500" w:type="dxa"/>
            <w:vAlign w:val="bottom"/>
            <w:tcBorders>
              <w:bottom w:val="single" w:sz="8" w:color="2C2C2C"/>
            </w:tcBorders>
          </w:tcPr>
          <w:p>
            <w:pPr>
              <w:spacing w:after="0"/>
              <w:rPr>
                <w:sz w:val="16"/>
                <w:szCs w:val="16"/>
                <w:color w:val="auto"/>
              </w:rPr>
            </w:pPr>
          </w:p>
        </w:tc>
        <w:tc>
          <w:tcPr>
            <w:tcW w:w="640" w:type="dxa"/>
            <w:vAlign w:val="bottom"/>
            <w:tcBorders>
              <w:bottom w:val="single" w:sz="8" w:color="2C2C2C"/>
            </w:tcBorders>
          </w:tcPr>
          <w:p>
            <w:pPr>
              <w:spacing w:after="0"/>
              <w:rPr>
                <w:sz w:val="16"/>
                <w:szCs w:val="16"/>
                <w:color w:val="auto"/>
              </w:rPr>
            </w:pPr>
          </w:p>
        </w:tc>
        <w:tc>
          <w:tcPr>
            <w:tcW w:w="1140" w:type="dxa"/>
            <w:vAlign w:val="bottom"/>
            <w:tcBorders>
              <w:bottom w:val="single" w:sz="8" w:color="2C2C2C"/>
            </w:tcBorders>
          </w:tcPr>
          <w:p>
            <w:pPr>
              <w:spacing w:after="0"/>
              <w:rPr>
                <w:sz w:val="16"/>
                <w:szCs w:val="16"/>
                <w:color w:val="auto"/>
              </w:rPr>
            </w:pPr>
          </w:p>
        </w:tc>
        <w:tc>
          <w:tcPr>
            <w:tcW w:w="920" w:type="dxa"/>
            <w:vAlign w:val="bottom"/>
            <w:tcBorders>
              <w:bottom w:val="single" w:sz="8" w:color="2C2C2C"/>
            </w:tcBorders>
          </w:tcPr>
          <w:p>
            <w:pPr>
              <w:spacing w:after="0"/>
              <w:rPr>
                <w:sz w:val="16"/>
                <w:szCs w:val="16"/>
                <w:color w:val="auto"/>
              </w:rPr>
            </w:pPr>
          </w:p>
        </w:tc>
        <w:tc>
          <w:tcPr>
            <w:tcW w:w="940" w:type="dxa"/>
            <w:vAlign w:val="bottom"/>
            <w:tcBorders>
              <w:bottom w:val="single" w:sz="8" w:color="2C2C2C"/>
            </w:tcBorders>
            <w:vMerge w:val="continue"/>
          </w:tcPr>
          <w:p>
            <w:pPr>
              <w:spacing w:after="0"/>
              <w:rPr>
                <w:sz w:val="16"/>
                <w:szCs w:val="16"/>
                <w:color w:val="auto"/>
              </w:rPr>
            </w:pPr>
          </w:p>
        </w:tc>
        <w:tc>
          <w:tcPr>
            <w:tcW w:w="20" w:type="dxa"/>
            <w:vAlign w:val="bottom"/>
            <w:tcBorders>
              <w:bottom w:val="single" w:sz="8" w:color="2C2C2C"/>
            </w:tcBorders>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400" w:type="dxa"/>
            <w:vAlign w:val="bottom"/>
            <w:tcBorders>
              <w:top w:val="single" w:sz="8" w:color="808080"/>
            </w:tcBorders>
            <w:shd w:val="clear" w:color="auto" w:fill="2C2C2C"/>
          </w:tcPr>
          <w:p>
            <w:pPr>
              <w:spacing w:after="0" w:line="20" w:lineRule="exact"/>
              <w:rPr>
                <w:sz w:val="1"/>
                <w:szCs w:val="1"/>
                <w:color w:val="auto"/>
              </w:rPr>
            </w:pPr>
          </w:p>
        </w:tc>
        <w:tc>
          <w:tcPr>
            <w:tcW w:w="168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780" w:type="dxa"/>
            <w:vAlign w:val="bottom"/>
            <w:tcBorders>
              <w:top w:val="single" w:sz="8" w:color="808080"/>
            </w:tcBorders>
            <w:shd w:val="clear" w:color="auto" w:fill="2C2C2C"/>
          </w:tcPr>
          <w:p>
            <w:pPr>
              <w:spacing w:after="0" w:line="20" w:lineRule="exact"/>
              <w:rPr>
                <w:sz w:val="1"/>
                <w:szCs w:val="1"/>
                <w:color w:val="auto"/>
              </w:rPr>
            </w:pPr>
          </w:p>
        </w:tc>
        <w:tc>
          <w:tcPr>
            <w:tcW w:w="500" w:type="dxa"/>
            <w:vAlign w:val="bottom"/>
            <w:tcBorders>
              <w:top w:val="single" w:sz="8" w:color="808080"/>
            </w:tcBorders>
            <w:shd w:val="clear" w:color="auto" w:fill="2C2C2C"/>
          </w:tcPr>
          <w:p>
            <w:pPr>
              <w:spacing w:after="0" w:line="20" w:lineRule="exact"/>
              <w:rPr>
                <w:sz w:val="1"/>
                <w:szCs w:val="1"/>
                <w:color w:val="auto"/>
              </w:rPr>
            </w:pPr>
          </w:p>
        </w:tc>
        <w:tc>
          <w:tcPr>
            <w:tcW w:w="64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920" w:type="dxa"/>
            <w:vAlign w:val="bottom"/>
            <w:tcBorders>
              <w:top w:val="single" w:sz="8" w:color="808080"/>
            </w:tcBorders>
            <w:shd w:val="clear" w:color="auto" w:fill="2C2C2C"/>
          </w:tcPr>
          <w:p>
            <w:pPr>
              <w:spacing w:after="0" w:line="20" w:lineRule="exact"/>
              <w:rPr>
                <w:sz w:val="1"/>
                <w:szCs w:val="1"/>
                <w:color w:val="auto"/>
              </w:rPr>
            </w:pPr>
          </w:p>
        </w:tc>
        <w:tc>
          <w:tcPr>
            <w:tcW w:w="94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-16510</wp:posOffset>
            </wp:positionV>
            <wp:extent cx="7031355" cy="12268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226820"/>
                    </a:xfrm>
                    <a:prstGeom prst="rect">
                      <a:avLst/>
                    </a:prstGeom>
                    <a:noFill/>
                  </pic:spPr>
                </pic:pic>
              </a:graphicData>
            </a:graphic>
          </wp:anchor>
        </w:drawing>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ectPr>
          <w:pgSz w:w="11900" w:h="16838" w:orient="portrait"/>
          <w:cols w:equalWidth="0" w:num="1">
            <w:col w:w="11080"/>
          </w:cols>
          <w:pgMar w:left="460" w:top="225" w:right="359" w:bottom="1011" w:gutter="0" w:footer="0" w:header="0"/>
          <w:type w:val="continuous"/>
        </w:sectPr>
      </w:pPr>
    </w:p>
    <w:bookmarkStart w:id="1" w:name="page2"/>
    <w:bookmarkEnd w:id="1"/>
    <w:tbl>
      <w:tblPr>
        <w:tblLayout w:type="fixed"/>
        <w:tblInd w:w="40" w:type="dxa"/>
        <w:tblCellMar>
          <w:top w:w="0" w:type="dxa"/>
          <w:left w:w="0" w:type="dxa"/>
          <w:bottom w:w="0" w:type="dxa"/>
          <w:right w:w="0" w:type="dxa"/>
        </w:tblCellMar>
      </w:tblPr>
      <w:tr>
        <w:trPr>
          <w:trHeight w:val="138"/>
        </w:trPr>
        <w:tc>
          <w:tcPr>
            <w:tcW w:w="660" w:type="dxa"/>
            <w:vAlign w:val="bottom"/>
          </w:tcPr>
          <w:p>
            <w:pPr>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r>
      <w:tr>
        <w:trPr>
          <w:trHeight w:val="133"/>
        </w:trPr>
        <w:tc>
          <w:tcPr>
            <w:tcW w:w="660" w:type="dxa"/>
            <w:vAlign w:val="bottom"/>
          </w:tcPr>
          <w:p>
            <w:pPr>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6"/>
              </w:rPr>
              <w:t>Ownership</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r>
      <w:tr>
        <w:trPr>
          <w:trHeight w:val="133"/>
        </w:trPr>
        <w:tc>
          <w:tcPr>
            <w:tcW w:w="66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r>
        <w:trPr>
          <w:trHeight w:val="51"/>
        </w:trPr>
        <w:tc>
          <w:tcPr>
            <w:tcW w:w="66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00" w:type="dxa"/>
            <w:vAlign w:val="bottom"/>
          </w:tcPr>
          <w:p>
            <w:pPr>
              <w:spacing w:after="0"/>
              <w:rPr>
                <w:sz w:val="4"/>
                <w:szCs w:val="4"/>
                <w:color w:val="auto"/>
              </w:rPr>
            </w:pPr>
          </w:p>
        </w:tc>
      </w:tr>
      <w:tr>
        <w:trPr>
          <w:trHeight w:val="171"/>
        </w:trPr>
        <w:tc>
          <w:tcPr>
            <w:tcW w:w="6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80" w:type="dxa"/>
            <w:vAlign w:val="bottom"/>
          </w:tcPr>
          <w:p>
            <w:pPr>
              <w:ind w:left="46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33"/>
        </w:trPr>
        <w:tc>
          <w:tcPr>
            <w:tcW w:w="6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Expiration</w:t>
            </w:r>
          </w:p>
        </w:tc>
        <w:tc>
          <w:tcPr>
            <w:tcW w:w="98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tcPr>
          <w:p>
            <w:pPr>
              <w:spacing w:after="0"/>
              <w:rPr>
                <w:sz w:val="11"/>
                <w:szCs w:val="11"/>
                <w:color w:val="auto"/>
              </w:rPr>
            </w:pPr>
          </w:p>
        </w:tc>
      </w:tr>
      <w:tr>
        <w:trPr>
          <w:trHeight w:val="159"/>
        </w:trPr>
        <w:tc>
          <w:tcPr>
            <w:tcW w:w="6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980" w:type="dxa"/>
            <w:vAlign w:val="bottom"/>
          </w:tcPr>
          <w:p>
            <w:pPr>
              <w:ind w:left="60"/>
              <w:spacing w:after="0"/>
              <w:rPr>
                <w:sz w:val="20"/>
                <w:szCs w:val="20"/>
                <w:color w:val="auto"/>
              </w:rPr>
            </w:pPr>
            <w:r>
              <w:rPr>
                <w:rFonts w:ascii="Arial" w:cs="Arial" w:eastAsia="Arial" w:hAnsi="Arial"/>
                <w:sz w:val="12"/>
                <w:szCs w:val="12"/>
                <w:b w:val="1"/>
                <w:bCs w:val="1"/>
                <w:color w:val="auto"/>
              </w:rPr>
              <w:t>Title  Shares</w:t>
            </w: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00" w:type="dxa"/>
            <w:vAlign w:val="bottom"/>
          </w:tcPr>
          <w:p>
            <w:pPr>
              <w:spacing w:after="0"/>
              <w:rPr>
                <w:sz w:val="13"/>
                <w:szCs w:val="13"/>
                <w:color w:val="auto"/>
              </w:rPr>
            </w:pPr>
          </w:p>
        </w:tc>
      </w:tr>
    </w:tbl>
    <w:p>
      <w:pPr>
        <w:spacing w:after="0" w:line="9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296545</wp:posOffset>
            </wp:positionH>
            <wp:positionV relativeFrom="page">
              <wp:posOffset>88900</wp:posOffset>
            </wp:positionV>
            <wp:extent cx="7031355" cy="14471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7031355" cy="1447165"/>
                    </a:xfrm>
                    <a:prstGeom prst="rect">
                      <a:avLst/>
                    </a:prstGeom>
                    <a:noFill/>
                  </pic:spPr>
                </pic:pic>
              </a:graphicData>
            </a:graphic>
          </wp:anchor>
        </w:drawing>
      </w:r>
    </w:p>
    <w:p>
      <w:pPr>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40" w:hanging="133"/>
        <w:spacing w:after="0"/>
        <w:tabs>
          <w:tab w:leader="none" w:pos="14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Represents a pro-rata distribution, and not a purchase or sale, without additional consideration by Versant Venture Capital VI, L.P. ("VVC VI"), to its partners, pursuant to a Rule 10b5-1 trading plan.</w:t>
      </w:r>
    </w:p>
    <w:p>
      <w:pPr>
        <w:spacing w:after="0" w:line="61" w:lineRule="exact"/>
        <w:rPr>
          <w:rFonts w:ascii="Arial" w:cs="Arial" w:eastAsia="Arial" w:hAnsi="Arial"/>
          <w:sz w:val="12"/>
          <w:szCs w:val="12"/>
          <w:color w:val="008000"/>
        </w:rPr>
      </w:pPr>
    </w:p>
    <w:p>
      <w:pPr>
        <w:ind w:right="80" w:firstLine="7"/>
        <w:spacing w:after="0" w:line="281" w:lineRule="auto"/>
        <w:tabs>
          <w:tab w:leader="none" w:pos="13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Shares held by VVC VI. Versant Ventures VI GP-GP, LLC ("VV VI GP") is the sole general partner of Versant Ventures VI GP, L.P. ("VV VI") and VV VI is the sole general partner of VVC VI. The Reporting Person, a member of the Issuer's board of directors, is a managing member of VV VI GP and may be deemed to share voting and dispositive power over the shares held by VVC VI. Each of VV VI GP, VV VI and the Reporting Person disclaims beneficial ownership of the shares held by VVC VI, except to the extent of their respective pecuniary interests therein.</w:t>
      </w:r>
    </w:p>
    <w:p>
      <w:pPr>
        <w:spacing w:after="0" w:line="8" w:lineRule="exact"/>
        <w:rPr>
          <w:rFonts w:ascii="Arial" w:cs="Arial" w:eastAsia="Arial" w:hAnsi="Arial"/>
          <w:sz w:val="12"/>
          <w:szCs w:val="12"/>
          <w:color w:val="008000"/>
        </w:rPr>
      </w:pPr>
    </w:p>
    <w:p>
      <w:pPr>
        <w:ind w:left="140" w:hanging="133"/>
        <w:spacing w:after="0"/>
        <w:tabs>
          <w:tab w:leader="none" w:pos="14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change in the form of ownership of VV VI by virtue of the receipt of shares in the pro-rata in-kind distribution of common shares of the Issuer for no consideration by VVC VI.</w:t>
      </w:r>
    </w:p>
    <w:p>
      <w:pPr>
        <w:spacing w:after="0" w:line="50" w:lineRule="exact"/>
        <w:rPr>
          <w:rFonts w:ascii="Arial" w:cs="Arial" w:eastAsia="Arial" w:hAnsi="Arial"/>
          <w:sz w:val="13"/>
          <w:szCs w:val="13"/>
          <w:color w:val="008000"/>
        </w:rPr>
      </w:pPr>
    </w:p>
    <w:p>
      <w:pPr>
        <w:jc w:val="both"/>
        <w:ind w:right="220" w:firstLine="7"/>
        <w:spacing w:after="0" w:line="250" w:lineRule="auto"/>
        <w:tabs>
          <w:tab w:leader="none" w:pos="13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VV VI. VV VI GP is the sole general partner of VV VI. The Reporting Person, a member of the Issuer's board of directors, is a managing member of VV VI GP and may be deemed to share voting and dispositive power over the shares held by VV VI. Each of VV VI GP and the Reporting Person disclaims beneficial ownership of the shares held by VV VI, except to the extent of their respective pecuniary interests therein.</w:t>
      </w:r>
    </w:p>
    <w:p>
      <w:pPr>
        <w:spacing w:after="0" w:line="25" w:lineRule="exact"/>
        <w:rPr>
          <w:rFonts w:ascii="Arial" w:cs="Arial" w:eastAsia="Arial" w:hAnsi="Arial"/>
          <w:sz w:val="13"/>
          <w:szCs w:val="13"/>
          <w:color w:val="008000"/>
        </w:rPr>
      </w:pPr>
    </w:p>
    <w:p>
      <w:pPr>
        <w:ind w:left="140" w:hanging="133"/>
        <w:spacing w:after="0"/>
        <w:tabs>
          <w:tab w:leader="none" w:pos="14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pro-rata distribution, and not a purchase or sale, without additional consideration by VV VI, to its partners.</w:t>
      </w:r>
    </w:p>
    <w:p>
      <w:pPr>
        <w:spacing w:after="0" w:line="50" w:lineRule="exact"/>
        <w:rPr>
          <w:rFonts w:ascii="Arial" w:cs="Arial" w:eastAsia="Arial" w:hAnsi="Arial"/>
          <w:sz w:val="13"/>
          <w:szCs w:val="13"/>
          <w:color w:val="008000"/>
        </w:rPr>
      </w:pPr>
    </w:p>
    <w:p>
      <w:pPr>
        <w:ind w:right="80" w:firstLine="7"/>
        <w:spacing w:after="0" w:line="266" w:lineRule="auto"/>
        <w:tabs>
          <w:tab w:leader="none" w:pos="13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change in the form of ownership of the Reporting Person by virtue of the receipt of shares as a result of the pro-rata in-kind distribution of common shares of the Issuer for no consideration by VV VI.</w:t>
      </w:r>
    </w:p>
    <w:p>
      <w:pPr>
        <w:spacing w:after="0" w:line="15" w:lineRule="exact"/>
        <w:rPr>
          <w:rFonts w:ascii="Arial" w:cs="Arial" w:eastAsia="Arial" w:hAnsi="Arial"/>
          <w:sz w:val="13"/>
          <w:szCs w:val="13"/>
          <w:color w:val="008000"/>
        </w:rPr>
      </w:pPr>
    </w:p>
    <w:p>
      <w:pPr>
        <w:ind w:left="140" w:hanging="133"/>
        <w:spacing w:after="0"/>
        <w:tabs>
          <w:tab w:leader="none" w:pos="14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Represents a change in the form of ownership of VV VI GP by virtue of the receipt of shares in the pro-rata in-kind distribution of common shares of the Issuer for no consideration by VV VI.</w:t>
      </w:r>
    </w:p>
    <w:p>
      <w:pPr>
        <w:spacing w:after="0" w:line="61" w:lineRule="exact"/>
        <w:rPr>
          <w:rFonts w:ascii="Arial" w:cs="Arial" w:eastAsia="Arial" w:hAnsi="Arial"/>
          <w:sz w:val="12"/>
          <w:szCs w:val="12"/>
          <w:color w:val="008000"/>
        </w:rPr>
      </w:pPr>
    </w:p>
    <w:p>
      <w:pPr>
        <w:ind w:right="260" w:firstLine="7"/>
        <w:spacing w:after="0" w:line="266" w:lineRule="auto"/>
        <w:tabs>
          <w:tab w:leader="none" w:pos="13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VV VI GP. The Reporting Person, a member of the Issuer's board of directors, is a managing member of VV VI GP and may be deemed to share voting and dispositive power over the shares held by VV VI GP; however, he disclaims beneficial ownership of such securities, except to the extent of his pecuniary interest therein.</w:t>
      </w:r>
    </w:p>
    <w:p>
      <w:pPr>
        <w:spacing w:after="0" w:line="15" w:lineRule="exact"/>
        <w:rPr>
          <w:rFonts w:ascii="Arial" w:cs="Arial" w:eastAsia="Arial" w:hAnsi="Arial"/>
          <w:sz w:val="13"/>
          <w:szCs w:val="13"/>
          <w:color w:val="008000"/>
        </w:rPr>
      </w:pPr>
    </w:p>
    <w:p>
      <w:pPr>
        <w:ind w:left="140" w:hanging="133"/>
        <w:spacing w:after="0"/>
        <w:tabs>
          <w:tab w:leader="none" w:pos="14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pro-rata distribution, and not a purchase or sale, without additional consideration by VV VI GP, to its members.</w:t>
      </w:r>
    </w:p>
    <w:p>
      <w:pPr>
        <w:spacing w:after="0" w:line="50" w:lineRule="exact"/>
        <w:rPr>
          <w:rFonts w:ascii="Arial" w:cs="Arial" w:eastAsia="Arial" w:hAnsi="Arial"/>
          <w:sz w:val="13"/>
          <w:szCs w:val="13"/>
          <w:color w:val="008000"/>
        </w:rPr>
      </w:pPr>
    </w:p>
    <w:p>
      <w:pPr>
        <w:ind w:left="200" w:hanging="193"/>
        <w:spacing w:after="0"/>
        <w:tabs>
          <w:tab w:leader="none" w:pos="20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pro-rata distribution, and not a purchase or sale, without additional consideration by Versant Vantage I, L.P. ("VV I"), to its partners, pursuant to a Rule 10b5-1 trading plan.</w:t>
      </w:r>
    </w:p>
    <w:p>
      <w:pPr>
        <w:spacing w:after="0" w:line="50" w:lineRule="exact"/>
        <w:rPr>
          <w:rFonts w:ascii="Arial" w:cs="Arial" w:eastAsia="Arial" w:hAnsi="Arial"/>
          <w:sz w:val="13"/>
          <w:szCs w:val="13"/>
          <w:color w:val="008000"/>
        </w:rPr>
      </w:pPr>
    </w:p>
    <w:p>
      <w:pPr>
        <w:ind w:right="60" w:firstLine="7"/>
        <w:spacing w:after="0" w:line="250" w:lineRule="auto"/>
        <w:tabs>
          <w:tab w:leader="none" w:pos="195"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VV I. Versant Vantage I GP-GP, LLC ("VV I GP-GP") is the sole general partner of Versant Vantage I GP, L.P. ("VV I GP") and VV I GP is the sole general partner of VV I. The Reporting Person, a member of the Issuer's board of directors, is a managing member of VV I GP-GP and may be deemed to share voting and dispositive power over the shares held by VV I. Each of VV I GP-GP, VV I GP and the Reporting Person disclaims beneficial ownership of the shares held by VV I, except to the extent of their respective pecuniary interests therein.</w:t>
      </w:r>
    </w:p>
    <w:p>
      <w:pPr>
        <w:spacing w:after="0" w:line="25" w:lineRule="exact"/>
        <w:rPr>
          <w:rFonts w:ascii="Arial" w:cs="Arial" w:eastAsia="Arial" w:hAnsi="Arial"/>
          <w:sz w:val="13"/>
          <w:szCs w:val="13"/>
          <w:color w:val="008000"/>
        </w:rPr>
      </w:pPr>
    </w:p>
    <w:p>
      <w:pPr>
        <w:ind w:left="200" w:hanging="193"/>
        <w:spacing w:after="0"/>
        <w:tabs>
          <w:tab w:leader="none" w:pos="20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change in the form of ownership of VV I GP by virtue of the receipt of shares in the pro-rata in-kind distribution of common shares of the Issuer for no consideration by VV I.</w:t>
      </w:r>
    </w:p>
    <w:p>
      <w:pPr>
        <w:spacing w:after="0" w:line="50" w:lineRule="exact"/>
        <w:rPr>
          <w:rFonts w:ascii="Arial" w:cs="Arial" w:eastAsia="Arial" w:hAnsi="Arial"/>
          <w:sz w:val="13"/>
          <w:szCs w:val="13"/>
          <w:color w:val="008000"/>
        </w:rPr>
      </w:pPr>
    </w:p>
    <w:p>
      <w:pPr>
        <w:ind w:left="200" w:hanging="193"/>
        <w:spacing w:after="0"/>
        <w:tabs>
          <w:tab w:leader="none" w:pos="20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Shares held by VV I GP. VV I GP-GP is the sole general partner of VV I GP. The Reporting Person, a member of the Issuer's board of directors, is a managing member of VV I GP-GP and may be</w:t>
      </w:r>
    </w:p>
    <w:p>
      <w:pPr>
        <w:spacing w:after="0" w:line="18" w:lineRule="exact"/>
        <w:rPr>
          <w:rFonts w:ascii="Arial" w:cs="Arial" w:eastAsia="Arial" w:hAnsi="Arial"/>
          <w:sz w:val="12"/>
          <w:szCs w:val="12"/>
          <w:color w:val="008000"/>
        </w:rPr>
      </w:pPr>
    </w:p>
    <w:p>
      <w:pPr>
        <w:ind w:right="120"/>
        <w:spacing w:after="0" w:line="250" w:lineRule="auto"/>
        <w:rPr>
          <w:rFonts w:ascii="Arial" w:cs="Arial" w:eastAsia="Arial" w:hAnsi="Arial"/>
          <w:sz w:val="12"/>
          <w:szCs w:val="12"/>
          <w:color w:val="008000"/>
        </w:rPr>
      </w:pPr>
      <w:r>
        <w:rPr>
          <w:rFonts w:ascii="Arial" w:cs="Arial" w:eastAsia="Arial" w:hAnsi="Arial"/>
          <w:sz w:val="13"/>
          <w:szCs w:val="13"/>
          <w:color w:val="008000"/>
        </w:rPr>
        <w:t>deemed to share voting and dispositive power over the shares held by VV I GP. Each of VV I GP-GP and the Reporting Person disclaims beneficial ownership of the shares held by VV I GP, except to the extent of their respective pecuniary interests therein.</w:t>
      </w:r>
    </w:p>
    <w:p>
      <w:pPr>
        <w:spacing w:after="0" w:line="25" w:lineRule="exact"/>
        <w:rPr>
          <w:rFonts w:ascii="Arial" w:cs="Arial" w:eastAsia="Arial" w:hAnsi="Arial"/>
          <w:sz w:val="12"/>
          <w:szCs w:val="12"/>
          <w:color w:val="008000"/>
        </w:rPr>
      </w:pPr>
    </w:p>
    <w:p>
      <w:pPr>
        <w:ind w:left="200" w:hanging="193"/>
        <w:spacing w:after="0"/>
        <w:tabs>
          <w:tab w:leader="none" w:pos="20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pro-rata distribution, and not a purchase or sale, without additional consideration by VV I GP, to its partners.</w:t>
      </w:r>
    </w:p>
    <w:p>
      <w:pPr>
        <w:spacing w:after="0" w:line="50" w:lineRule="exact"/>
        <w:rPr>
          <w:rFonts w:ascii="Arial" w:cs="Arial" w:eastAsia="Arial" w:hAnsi="Arial"/>
          <w:sz w:val="13"/>
          <w:szCs w:val="13"/>
          <w:color w:val="008000"/>
        </w:rPr>
      </w:pPr>
    </w:p>
    <w:p>
      <w:pPr>
        <w:ind w:right="760" w:firstLine="7"/>
        <w:spacing w:after="0" w:line="266" w:lineRule="auto"/>
        <w:tabs>
          <w:tab w:leader="none" w:pos="20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change in the form of ownership of the Reporting Person by virtue of the receipt of shares as a result of the pro-rata in-kind distribution of common shares of the Issuer for no consideration by VV I GP.</w:t>
      </w:r>
    </w:p>
    <w:p>
      <w:pPr>
        <w:spacing w:after="0" w:line="15" w:lineRule="exact"/>
        <w:rPr>
          <w:rFonts w:ascii="Arial" w:cs="Arial" w:eastAsia="Arial" w:hAnsi="Arial"/>
          <w:sz w:val="13"/>
          <w:szCs w:val="13"/>
          <w:color w:val="008000"/>
        </w:rPr>
      </w:pPr>
    </w:p>
    <w:p>
      <w:pPr>
        <w:ind w:left="200" w:hanging="193"/>
        <w:spacing w:after="0"/>
        <w:tabs>
          <w:tab w:leader="none" w:pos="20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Represents a change in the form of ownership of VV I GP-GP by virtue of the receipt of shares in the pro-rata in-kind distribution of common shares of the Issuer for no consideration by VV I GP.</w:t>
      </w:r>
    </w:p>
    <w:p>
      <w:pPr>
        <w:spacing w:after="0" w:line="61" w:lineRule="exact"/>
        <w:rPr>
          <w:rFonts w:ascii="Arial" w:cs="Arial" w:eastAsia="Arial" w:hAnsi="Arial"/>
          <w:sz w:val="12"/>
          <w:szCs w:val="12"/>
          <w:color w:val="008000"/>
        </w:rPr>
      </w:pPr>
    </w:p>
    <w:p>
      <w:pPr>
        <w:ind w:right="140" w:firstLine="7"/>
        <w:spacing w:after="0" w:line="266" w:lineRule="auto"/>
        <w:tabs>
          <w:tab w:leader="none" w:pos="20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VV I GP-GP. The Reporting Person, a member of the Issuer's board of directors, is a managing member of VV I GP-GP and may be deemed to share voting and dispositive power over the shares held by VV I GP-GP; however, he disclaims beneficial ownership of such securities, except to the extent of his pecuniary interest therein.</w:t>
      </w:r>
    </w:p>
    <w:p>
      <w:pPr>
        <w:spacing w:after="0" w:line="15" w:lineRule="exact"/>
        <w:rPr>
          <w:rFonts w:ascii="Arial" w:cs="Arial" w:eastAsia="Arial" w:hAnsi="Arial"/>
          <w:sz w:val="13"/>
          <w:szCs w:val="13"/>
          <w:color w:val="008000"/>
        </w:rPr>
      </w:pPr>
    </w:p>
    <w:p>
      <w:pPr>
        <w:ind w:left="200" w:hanging="193"/>
        <w:spacing w:after="0"/>
        <w:tabs>
          <w:tab w:leader="none" w:pos="20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a pro-rata distribution, and not a purchase or sale, without additional consideration by VV I GP-GP, to its members.</w:t>
      </w:r>
    </w:p>
    <w:p>
      <w:pPr>
        <w:spacing w:after="0" w:line="50" w:lineRule="exact"/>
        <w:rPr>
          <w:rFonts w:ascii="Arial" w:cs="Arial" w:eastAsia="Arial" w:hAnsi="Arial"/>
          <w:sz w:val="13"/>
          <w:szCs w:val="13"/>
          <w:color w:val="008000"/>
        </w:rPr>
      </w:pPr>
    </w:p>
    <w:p>
      <w:pPr>
        <w:ind w:right="100" w:firstLine="7"/>
        <w:spacing w:after="0" w:line="250" w:lineRule="auto"/>
        <w:tabs>
          <w:tab w:leader="none" w:pos="20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Versant Venture Capital V, L.P. ("VVC V"). Versant Ventures V, LLC ("VV V") is the sole general partner of VVC V. The Reporting Person, a member of the Issuer's board of directors, is a managing member of VV V and may be deemed to share voting and dispositive power over the shares held by VVC V. Each of VV V and the Reporting Person disclaims beneficial ownership of the shares held by VVC V, except to the extent of their respective pecuniary interests therein.</w:t>
      </w:r>
    </w:p>
    <w:p>
      <w:pPr>
        <w:spacing w:after="0" w:line="25" w:lineRule="exact"/>
        <w:rPr>
          <w:rFonts w:ascii="Arial" w:cs="Arial" w:eastAsia="Arial" w:hAnsi="Arial"/>
          <w:sz w:val="13"/>
          <w:szCs w:val="13"/>
          <w:color w:val="008000"/>
        </w:rPr>
      </w:pPr>
    </w:p>
    <w:p>
      <w:pPr>
        <w:ind w:right="100" w:firstLine="7"/>
        <w:spacing w:after="0" w:line="250" w:lineRule="auto"/>
        <w:tabs>
          <w:tab w:leader="none" w:pos="20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Versant Affiliates Fund V, L.P. ("VAF V"). VV V is the sole general partner of VAF V. The Reporting Person, a member of the Issuer's board of directors, is a managing member of VV V and may be deemed to share voting and dispositive power over the shares held by VAF V. Each of VV V and the Reporting Person disclaims beneficial ownership of the shares held by VAF V, except to the extent of their respective pecuniary interests therein.</w:t>
      </w:r>
    </w:p>
    <w:p>
      <w:pPr>
        <w:spacing w:after="0" w:line="25" w:lineRule="exact"/>
        <w:rPr>
          <w:rFonts w:ascii="Arial" w:cs="Arial" w:eastAsia="Arial" w:hAnsi="Arial"/>
          <w:sz w:val="13"/>
          <w:szCs w:val="13"/>
          <w:color w:val="008000"/>
        </w:rPr>
      </w:pPr>
    </w:p>
    <w:p>
      <w:pPr>
        <w:ind w:right="120" w:firstLine="7"/>
        <w:spacing w:after="0" w:line="250" w:lineRule="auto"/>
        <w:tabs>
          <w:tab w:leader="none" w:pos="20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Versant Ophthalmic Affiliates Fund I, L.P. ("VOAF I"). VV V is the sole general partner of VOAF I. The Reporting Person, a member of the Issuer's board of directors, is a managing member of VV V and may be deemed to share voting and dispositive power over the shares held by VOAF I. Each of VV V and the Reporting Person disclaims beneficial ownership of the shares held by VOAF I, except to the extent of their respective pecuniary interests therein.</w:t>
      </w:r>
    </w:p>
    <w:p>
      <w:pPr>
        <w:spacing w:after="0" w:line="25" w:lineRule="exact"/>
        <w:rPr>
          <w:rFonts w:ascii="Arial" w:cs="Arial" w:eastAsia="Arial" w:hAnsi="Arial"/>
          <w:sz w:val="13"/>
          <w:szCs w:val="13"/>
          <w:color w:val="008000"/>
        </w:rPr>
      </w:pPr>
    </w:p>
    <w:p>
      <w:pPr>
        <w:ind w:right="200" w:firstLine="7"/>
        <w:spacing w:after="0" w:line="245" w:lineRule="auto"/>
        <w:tabs>
          <w:tab w:leader="none" w:pos="20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held by Versant Venture Capital V (Canada) LP ("VVC V (Canada)"). Versant Ventures V (Canada) GP-GP, Inc. ("VV V (Canada) GP") is the sole general partner of Versant Ventures V (Canada), L.P. ("VV V (Canada)") and VV V (Canada) is the sole general partner of VVC V (Canada). The Reporting Person, a member of the Issuer's board of directors, is a director of VV V (Canada) GP and may be deemed to share voting and dispositive power over the shares held by VVC V (Canada). Each of VV V (Canada), VV V (Canada) GP and the Reporting Person disclaims beneficial ownership of the shares held by VVC V (Canada), except to the extent of their respective pecuniary interests therein.</w:t>
      </w:r>
    </w:p>
    <w:p>
      <w:pPr>
        <w:spacing w:after="0" w:line="1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0"/>
          <w:szCs w:val="20"/>
          <w:color w:val="auto"/>
        </w:rPr>
      </w:pPr>
    </w:p>
    <w:p>
      <w:pPr>
        <w:ind w:left="6540"/>
        <w:spacing w:after="0"/>
        <w:rPr>
          <w:sz w:val="20"/>
          <w:szCs w:val="20"/>
          <w:color w:val="auto"/>
        </w:rPr>
      </w:pPr>
      <w:r>
        <w:rPr>
          <w:rFonts w:ascii="Arial" w:cs="Arial" w:eastAsia="Arial" w:hAnsi="Arial"/>
          <w:sz w:val="17"/>
          <w:szCs w:val="17"/>
          <w:color w:val="0000FF"/>
        </w:rPr>
        <w:t>/s/ Robin L. Praeger,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-8255</wp:posOffset>
            </wp:positionV>
            <wp:extent cx="90868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908685" cy="8255"/>
                    </a:xfrm>
                    <a:prstGeom prst="rect">
                      <a:avLst/>
                    </a:prstGeom>
                    <a:noFill/>
                  </pic:spPr>
                </pic:pic>
              </a:graphicData>
            </a:graphic>
          </wp:anchor>
        </w:drawing>
      </w:r>
    </w:p>
    <w:p>
      <w:pPr>
        <w:spacing w:after="0" w:line="5" w:lineRule="exact"/>
        <w:rPr>
          <w:sz w:val="20"/>
          <w:szCs w:val="20"/>
          <w:color w:val="auto"/>
        </w:rPr>
      </w:pPr>
    </w:p>
    <w:p>
      <w:pPr>
        <w:ind w:left="6540"/>
        <w:spacing w:after="0"/>
        <w:tabs>
          <w:tab w:leader="none" w:pos="8720" w:val="left"/>
        </w:tabs>
        <w:rPr>
          <w:sz w:val="20"/>
          <w:szCs w:val="20"/>
          <w:color w:val="auto"/>
        </w:rPr>
      </w:pPr>
      <w:r>
        <w:rPr>
          <w:rFonts w:ascii="Arial" w:cs="Arial" w:eastAsia="Arial" w:hAnsi="Arial"/>
          <w:sz w:val="17"/>
          <w:szCs w:val="17"/>
          <w:color w:val="0000FF"/>
        </w:rPr>
        <w:t>Attorney-in-Fact for Jerel C.</w:t>
      </w:r>
      <w:r>
        <w:rPr>
          <w:sz w:val="20"/>
          <w:szCs w:val="20"/>
          <w:color w:val="auto"/>
        </w:rPr>
        <w:tab/>
      </w:r>
      <w:r>
        <w:rPr>
          <w:rFonts w:ascii="Arial" w:cs="Arial" w:eastAsia="Arial" w:hAnsi="Arial"/>
          <w:sz w:val="15"/>
          <w:szCs w:val="15"/>
          <w:color w:val="0000FF"/>
        </w:rPr>
        <w:t>02/18/2021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89738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897380" cy="8255"/>
                    </a:xfrm>
                    <a:prstGeom prst="rect">
                      <a:avLst/>
                    </a:prstGeom>
                    <a:noFill/>
                  </pic:spPr>
                </pic:pic>
              </a:graphicData>
            </a:graphic>
          </wp:anchor>
        </w:drawing>
      </w:r>
    </w:p>
    <w:p>
      <w:pPr>
        <w:ind w:left="6540"/>
        <w:spacing w:after="0"/>
        <w:rPr>
          <w:sz w:val="20"/>
          <w:szCs w:val="20"/>
          <w:color w:val="auto"/>
        </w:rPr>
      </w:pPr>
      <w:r>
        <w:rPr>
          <w:rFonts w:ascii="Arial" w:cs="Arial" w:eastAsia="Arial" w:hAnsi="Arial"/>
          <w:sz w:val="17"/>
          <w:szCs w:val="17"/>
          <w:color w:val="0000FF"/>
        </w:rPr>
        <w:t>Davis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25654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256540" cy="8255"/>
                    </a:xfrm>
                    <a:prstGeom prst="rect">
                      <a:avLst/>
                    </a:prstGeom>
                    <a:noFill/>
                  </pic:spPr>
                </pic:pic>
              </a:graphicData>
            </a:graphic>
          </wp:anchor>
        </w:drawing>
      </w:r>
    </w:p>
    <w:p>
      <w:pPr>
        <w:spacing w:after="0" w:line="52" w:lineRule="exact"/>
        <w:rPr>
          <w:sz w:val="20"/>
          <w:szCs w:val="20"/>
          <w:color w:val="auto"/>
        </w:rPr>
      </w:pPr>
    </w:p>
    <w:p>
      <w:pPr>
        <w:ind w:left="6540"/>
        <w:spacing w:after="0"/>
        <w:tabs>
          <w:tab w:leader="none" w:pos="87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3260" w:firstLine="7"/>
        <w:spacing w:after="0" w:line="319"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960"/>
      </w:cols>
      <w:pgMar w:left="500" w:top="185"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13" Type="http://schemas.openxmlformats.org/officeDocument/2006/relationships/hyperlink" Target="http://www.sec.gov/cgi-bin/browse-edgar?action=getcompany&amp;CIK=0001745958" TargetMode="External"/><Relationship Id="rId14"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2021-02-18T16:12:09Z</dcterms:created>
  <dcterms:modified xsi:type="dcterms:W3CDTF">2021-02-18T16:12:09Z</dcterms:modified>
</cp:coreProperties>
</file>