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BVF PARTNERS L P/IL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52" w:lineRule="auto"/>
        <w:rPr>
          <w:sz w:val="20"/>
          <w:szCs w:val="20"/>
          <w:color w:val="auto"/>
        </w:rPr>
      </w:pPr>
      <w:r>
        <w:rPr>
          <w:rFonts w:ascii="Times New Roman" w:cs="Times New Roman" w:eastAsia="Times New Roman" w:hAnsi="Times New Roman"/>
          <w:sz w:val="17"/>
          <w:szCs w:val="17"/>
          <w:color w:val="0000FF"/>
        </w:rPr>
        <w:t>44 MONTGOMERY STREET 40TH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1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Repare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RPTX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77"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3540" w:type="dxa"/>
            <w:vAlign w:val="bottom"/>
            <w:gridSpan w:val="10"/>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3540" w:type="dxa"/>
            <w:vAlign w:val="bottom"/>
            <w:gridSpan w:val="10"/>
            <w:vMerge w:val="continue"/>
          </w:tcPr>
          <w:p>
            <w:pPr>
              <w:spacing w:after="0"/>
              <w:rPr>
                <w:sz w:val="3"/>
                <w:szCs w:val="3"/>
                <w:color w:val="auto"/>
              </w:rPr>
            </w:pPr>
          </w:p>
        </w:tc>
        <w:tc>
          <w:tcPr>
            <w:tcW w:w="37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2"/>
                <w:szCs w:val="12"/>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gridSpan w:val="2"/>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19"/>
          </w:tcPr>
          <w:p>
            <w:pPr>
              <w:jc w:val="center"/>
              <w:ind w:left="71"/>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06/02/2022</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7"/>
              <w:spacing w:after="0"/>
              <w:rPr>
                <w:sz w:val="20"/>
                <w:szCs w:val="20"/>
                <w:color w:val="auto"/>
              </w:rPr>
            </w:pPr>
            <w:r>
              <w:rPr>
                <w:rFonts w:ascii="Times New Roman" w:cs="Times New Roman" w:eastAsia="Times New Roman" w:hAnsi="Times New Roman"/>
                <w:sz w:val="13"/>
                <w:szCs w:val="13"/>
                <w:color w:val="0000FF"/>
                <w:w w:val="82"/>
              </w:rPr>
              <w:t>P</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660,654</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11.6824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4,011,604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06/03/2022</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7"/>
              <w:spacing w:after="0"/>
              <w:rPr>
                <w:sz w:val="20"/>
                <w:szCs w:val="20"/>
                <w:color w:val="auto"/>
              </w:rPr>
            </w:pPr>
            <w:r>
              <w:rPr>
                <w:rFonts w:ascii="Times New Roman" w:cs="Times New Roman" w:eastAsia="Times New Roman" w:hAnsi="Times New Roman"/>
                <w:sz w:val="13"/>
                <w:szCs w:val="13"/>
                <w:color w:val="0000FF"/>
                <w:w w:val="82"/>
              </w:rPr>
              <w:t>P</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353,344</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12.286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4,364,948</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06/06/2022</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7"/>
              <w:spacing w:after="0"/>
              <w:rPr>
                <w:sz w:val="20"/>
                <w:szCs w:val="20"/>
                <w:color w:val="auto"/>
              </w:rPr>
            </w:pPr>
            <w:r>
              <w:rPr>
                <w:rFonts w:ascii="Times New Roman" w:cs="Times New Roman" w:eastAsia="Times New Roman" w:hAnsi="Times New Roman"/>
                <w:sz w:val="13"/>
                <w:szCs w:val="13"/>
                <w:color w:val="0000FF"/>
                <w:w w:val="82"/>
              </w:rPr>
              <w:t>P</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3,809</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13.2118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4,368,757</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06/02/2022</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7"/>
              <w:spacing w:after="0"/>
              <w:rPr>
                <w:sz w:val="20"/>
                <w:szCs w:val="20"/>
                <w:color w:val="auto"/>
              </w:rPr>
            </w:pPr>
            <w:r>
              <w:rPr>
                <w:rFonts w:ascii="Times New Roman" w:cs="Times New Roman" w:eastAsia="Times New Roman" w:hAnsi="Times New Roman"/>
                <w:sz w:val="13"/>
                <w:szCs w:val="13"/>
                <w:color w:val="0000FF"/>
                <w:w w:val="82"/>
              </w:rPr>
              <w:t>P</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464,235</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11.6824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2,969,742</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06/03/2022</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7"/>
              <w:spacing w:after="0"/>
              <w:rPr>
                <w:sz w:val="20"/>
                <w:szCs w:val="20"/>
                <w:color w:val="auto"/>
              </w:rPr>
            </w:pPr>
            <w:r>
              <w:rPr>
                <w:rFonts w:ascii="Times New Roman" w:cs="Times New Roman" w:eastAsia="Times New Roman" w:hAnsi="Times New Roman"/>
                <w:sz w:val="13"/>
                <w:szCs w:val="13"/>
                <w:color w:val="0000FF"/>
                <w:w w:val="82"/>
              </w:rPr>
              <w:t>P</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258,797</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12.286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3,228,539</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06/06/2022</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7"/>
              <w:spacing w:after="0"/>
              <w:rPr>
                <w:sz w:val="20"/>
                <w:szCs w:val="20"/>
                <w:color w:val="auto"/>
              </w:rPr>
            </w:pPr>
            <w:r>
              <w:rPr>
                <w:rFonts w:ascii="Times New Roman" w:cs="Times New Roman" w:eastAsia="Times New Roman" w:hAnsi="Times New Roman"/>
                <w:sz w:val="13"/>
                <w:szCs w:val="13"/>
                <w:color w:val="0000FF"/>
                <w:w w:val="82"/>
              </w:rPr>
              <w:t>P</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3,040</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13.2118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3,231,579</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06/02/2022</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7"/>
              <w:spacing w:after="0"/>
              <w:rPr>
                <w:sz w:val="20"/>
                <w:szCs w:val="20"/>
                <w:color w:val="auto"/>
              </w:rPr>
            </w:pPr>
            <w:r>
              <w:rPr>
                <w:rFonts w:ascii="Times New Roman" w:cs="Times New Roman" w:eastAsia="Times New Roman" w:hAnsi="Times New Roman"/>
                <w:sz w:val="13"/>
                <w:szCs w:val="13"/>
                <w:color w:val="0000FF"/>
                <w:w w:val="82"/>
              </w:rPr>
              <w:t>P</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61,156</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11.6824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374,513</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06/03/2022</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7"/>
              <w:spacing w:after="0"/>
              <w:rPr>
                <w:sz w:val="20"/>
                <w:szCs w:val="20"/>
                <w:color w:val="auto"/>
              </w:rPr>
            </w:pPr>
            <w:r>
              <w:rPr>
                <w:rFonts w:ascii="Times New Roman" w:cs="Times New Roman" w:eastAsia="Times New Roman" w:hAnsi="Times New Roman"/>
                <w:sz w:val="13"/>
                <w:szCs w:val="13"/>
                <w:color w:val="0000FF"/>
                <w:w w:val="82"/>
              </w:rPr>
              <w:t>P</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31,903</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12.286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406,416</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06/06/2022</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77"/>
              <w:spacing w:after="0"/>
              <w:rPr>
                <w:sz w:val="20"/>
                <w:szCs w:val="20"/>
                <w:color w:val="auto"/>
              </w:rPr>
            </w:pPr>
            <w:r>
              <w:rPr>
                <w:rFonts w:ascii="Times New Roman" w:cs="Times New Roman" w:eastAsia="Times New Roman" w:hAnsi="Times New Roman"/>
                <w:sz w:val="13"/>
                <w:szCs w:val="13"/>
                <w:color w:val="0000FF"/>
                <w:w w:val="82"/>
              </w:rPr>
              <w:t>P</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13.2118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406,436</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BVF PARTNERS L P/IL</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44 MONTGOMERY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40TH FLOOR</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94104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-3669030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BIOTECHNOLOGY VALUE FUND L 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44 MONTGOMERY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40TH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320" w:type="dxa"/>
            <w:vAlign w:val="bottom"/>
            <w:tcBorders>
              <w:bottom w:val="single" w:sz="8" w:color="0000EE"/>
            </w:tcBorders>
          </w:tcPr>
          <w:p>
            <w:pPr>
              <w:spacing w:after="0" w:line="227" w:lineRule="exact"/>
              <w:rPr>
                <w:rFonts w:ascii="Times New Roman" w:cs="Times New Roman" w:eastAsia="Times New Roman" w:hAnsi="Times New Roman"/>
                <w:sz w:val="21"/>
                <w:szCs w:val="21"/>
                <w:color w:val="0000EE"/>
                <w:w w:val="99"/>
              </w:rPr>
            </w:pPr>
            <w:hyperlink r:id="rId17">
              <w:r>
                <w:rPr>
                  <w:rFonts w:ascii="Times New Roman" w:cs="Times New Roman" w:eastAsia="Times New Roman" w:hAnsi="Times New Roman"/>
                  <w:sz w:val="21"/>
                  <w:szCs w:val="21"/>
                  <w:color w:val="0000EE"/>
                  <w:w w:val="99"/>
                </w:rPr>
                <w:t>BVF I GP LLC</w:t>
              </w:r>
            </w:hyperlink>
          </w:p>
        </w:tc>
        <w:tc>
          <w:tcPr>
            <w:tcW w:w="1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44 MONTGOMERY ST., 40TH FLOOR</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BIOTECHNOLOGY VALUE FUND II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 MONTGOMERY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40TH FLOOR</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BVF II GP LLC</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44 MONTGOMERY ST., 40TH FLOOR</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Biotechnology Value Trading Fund OS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3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 BOX 309 UGLAND HOUSE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1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E9</w:t>
            </w: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KY1-1104</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CAYMAN</w:t>
            </w:r>
          </w:p>
        </w:tc>
        <w:tc>
          <w:tcPr>
            <w:tcW w:w="1580" w:type="dxa"/>
            <w:vAlign w:val="bottom"/>
            <w:gridSpan w:val="2"/>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BVF Partners OS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3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 BOX 309 UGLAND HOUSE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1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E9</w:t>
            </w: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KY1-1104</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CAYMAN</w:t>
            </w:r>
          </w:p>
        </w:tc>
        <w:tc>
          <w:tcPr>
            <w:tcW w:w="1580" w:type="dxa"/>
            <w:vAlign w:val="bottom"/>
            <w:gridSpan w:val="2"/>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345"/>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15" w:orient="portrait"/>
          <w:cols w:equalWidth="0" w:num="1">
            <w:col w:w="9979"/>
          </w:cols>
          <w:pgMar w:left="480" w:top="125" w:right="1440" w:bottom="0" w:gutter="0" w:footer="0" w:header="0"/>
        </w:sectPr>
      </w:pPr>
    </w:p>
    <w:bookmarkStart w:id="2" w:name="page3"/>
    <w:bookmarkEnd w:id="2"/>
    <w:p>
      <w:pPr>
        <w:spacing w:after="0" w:line="6" w:lineRule="exact"/>
        <w:rPr>
          <w:sz w:val="20"/>
          <w:szCs w:val="20"/>
          <w:color w:val="auto"/>
        </w:rPr>
      </w:pP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BVF GP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5462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546227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44 MONTGOMERY ST., 40TH FLOOR</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260" w:type="dxa"/>
            <w:vAlign w:val="bottom"/>
            <w:gridSpan w:val="2"/>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BVF INC/IL</w:t>
              </w:r>
            </w:hyperlink>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44 MONTGOMERY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40TH FLOOR</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LAMPERT MARK N</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44 MONTGOMERY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40TH FLOOR</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Biotechnology Value Fund, L.P. ("BVF"), Biotechnology Value Fund II, L.P. ("BVF2"), Biotechnology Value Trading Fund OS LP ("Trading Fund OS"), BVF Partners OS Ltd. ("Partners OS"), BVF I GP LLC ("BVF GP"), BVF II GP LLC ("BVF2 GP"), BVF GP Holdings LLC ("BVF GPH"), BVF Partners L.P. ("Partners"), BVF Inc. and Mark N. Lampert (collectively, the "Reporting Persons"). Each of the Reporting Persons is a member of a Section 13(d) group that collectively beneficially owns over 10% of the Issuer's outstanding Common Shares. Each of the Reporting Persons disclaims beneficial ownership of the securities reported herein except to the extent of his or its pecuniary interest therein.</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BVF. As the general partner of BVF, BVF GP may be deemed to beneficially own the securities owned directly by BVF. As the sole member of BVF GP, BVF GPH may be deemed to beneficially the own securities owned directly by BVF. As the investment manager of BVF, Partners may be deemed to beneficially own the securities owned directly by BVF. As the investment adviser and general partner of Partners, BVF Inc. may be deemed to beneficially own the securities owned directly by BVF. As a director and officer of BVF Inc., Mr. Lampert may be deemed to beneficially own the securities owned directly by BVF.</w:t>
      </w:r>
    </w:p>
    <w:p>
      <w:pPr>
        <w:spacing w:after="0" w:line="24"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BVF2. As the general partner of BVF2, BVF2 GP may be deemed to beneficially own the securities owned directly by BVF2. As the sole member of BVF2 GP, BVF GPH may be deemed to beneficially own the securities owned directly by BVF2. As the investment manager of BVF2, Partners may be deemed to beneficially own the securities owned directly by BVF2. As the investment adviser and general partner of Partners, BVF Inc. may be deemed to beneficially own the securities owned directly by BVF2. As a director and officer of BVF Inc., Mr. Lampert may be deemed to beneficially own the securities owned directly by BVF2.</w:t>
      </w:r>
    </w:p>
    <w:p>
      <w:pPr>
        <w:spacing w:after="0" w:line="24" w:lineRule="exact"/>
        <w:rPr>
          <w:rFonts w:ascii="Times New Roman" w:cs="Times New Roman" w:eastAsia="Times New Roman" w:hAnsi="Times New Roman"/>
          <w:sz w:val="13"/>
          <w:szCs w:val="13"/>
          <w:color w:val="008000"/>
        </w:rPr>
      </w:pPr>
    </w:p>
    <w:p>
      <w:pPr>
        <w:jc w:val="both"/>
        <w:ind w:left="20" w:right="16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Trading Fund OS. As the general partner of Trading Fund OS, Partners OS may be deemed to beneficially own the securities owned directly by Trading Fund OS. As the investment manager of Trading Fund OS and the sole member of Partners OS, Partners may be deemed to beneficially own the securities owned directly by Trading Fund OS. As the investment adviser and general partner of Partners, BVF Inc. may be deemed to beneficially own the securities owned directly by Trading Fund OS. As a director and officer of BVF Inc., Mr. Lampert may be deemed to beneficially own the securities owned directly by Trading Fund OS.</w:t>
      </w:r>
    </w:p>
    <w:p>
      <w:pPr>
        <w:sectPr>
          <w:pgSz w:w="11900" w:h="16844" w:orient="portrait"/>
          <w:cols w:equalWidth="0" w:num="1">
            <w:col w:w="10900"/>
          </w:cols>
          <w:pgMar w:left="480" w:top="111" w:right="519" w:bottom="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BVF Partners L.P., By: BVF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56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8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Mark N. 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6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Biotechnology Value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71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BVF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99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BVF Inc.,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1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82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BVF I GP LLC, By: BVF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49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2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1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Lampert,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55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Biotechnology Value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BVF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7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99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BVF Inc.,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1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8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604" w:lineRule="exact"/>
        <w:rPr>
          <w:sz w:val="20"/>
          <w:szCs w:val="20"/>
          <w:color w:val="auto"/>
        </w:rPr>
      </w:pPr>
    </w:p>
    <w:p>
      <w:pPr>
        <w:sectPr>
          <w:pgSz w:w="11900" w:h="16844" w:orient="portrait"/>
          <w:cols w:equalWidth="0" w:num="2">
            <w:col w:w="8700" w:space="60"/>
            <w:col w:w="2140"/>
          </w:cols>
          <w:pgMar w:left="480" w:top="111" w:right="519" w:bottom="0" w:gutter="0" w:footer="0" w:header="0"/>
          <w:type w:val="continuous"/>
        </w:sectPr>
      </w:pPr>
    </w:p>
    <w:p>
      <w:pPr>
        <w:ind w:left="6560"/>
        <w:spacing w:after="0"/>
        <w:rPr>
          <w:sz w:val="20"/>
          <w:szCs w:val="20"/>
          <w:color w:val="auto"/>
        </w:rPr>
      </w:pPr>
      <w:r>
        <w:rPr>
          <w:rFonts w:ascii="Times New Roman" w:cs="Times New Roman" w:eastAsia="Times New Roman" w:hAnsi="Times New Roman"/>
          <w:sz w:val="17"/>
          <w:szCs w:val="17"/>
          <w:color w:val="0000FF"/>
        </w:rPr>
        <w:t>BVF II GP LLC, By: BVF GP 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8973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20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1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ectPr>
          <w:pgSz w:w="11900" w:h="16844" w:orient="portrait"/>
          <w:cols w:equalWidth="0" w:num="1">
            <w:col w:w="10900"/>
          </w:cols>
          <w:pgMar w:left="480" w:top="111" w:right="51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Lampert,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91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BVF Partners OS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BVF Partners L.P.,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By: BVF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5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93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 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Biotechnology Value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73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OS LP, By: BVF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931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L.P., its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BVF Inc.,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28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BVF GP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23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Mark N. Lampert,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8680" w:space="60"/>
            <w:col w:w="1440"/>
          </w:cols>
          <w:pgMar w:left="500" w:top="125" w:right="1219" w:bottom="1440" w:gutter="0" w:footer="0" w:header="0"/>
        </w:sectPr>
      </w:pPr>
    </w:p>
    <w:p>
      <w:pPr>
        <w:ind w:left="6540"/>
        <w:spacing w:after="0"/>
        <w:rPr>
          <w:sz w:val="20"/>
          <w:szCs w:val="20"/>
          <w:color w:val="auto"/>
        </w:rPr>
      </w:pPr>
      <w:r>
        <w:rPr>
          <w:rFonts w:ascii="Times New Roman" w:cs="Times New Roman" w:eastAsia="Times New Roman" w:hAnsi="Times New Roman"/>
          <w:sz w:val="17"/>
          <w:szCs w:val="17"/>
          <w:color w:val="0000FF"/>
        </w:rPr>
        <w:t>BVF Inc.,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550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04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480" w:space="260"/>
            <w:col w:w="1440"/>
          </w:cols>
          <w:pgMar w:left="500" w:top="125" w:right="12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12" Type="http://schemas.openxmlformats.org/officeDocument/2006/relationships/hyperlink" Target="http://www.sec.gov/cgi-bin/browse-edgar?action=getcompany&amp;CIK=0001055947" TargetMode="External"/><Relationship Id="rId13" Type="http://schemas.openxmlformats.org/officeDocument/2006/relationships/hyperlink" Target="http://www.sec.gov/cgi-bin/browse-edgar?action=getcompany&amp;CIK=0001808158" TargetMode="External"/><Relationship Id="rId15" Type="http://schemas.openxmlformats.org/officeDocument/2006/relationships/hyperlink" Target="http://www.sec.gov/cgi-bin/browse-edgar?action=getcompany&amp;CIK=0000918923" TargetMode="External"/><Relationship Id="rId17" Type="http://schemas.openxmlformats.org/officeDocument/2006/relationships/hyperlink" Target="http://www.sec.gov/cgi-bin/browse-edgar?action=getcompany&amp;CIK=0001803805" TargetMode="External"/><Relationship Id="rId18" Type="http://schemas.openxmlformats.org/officeDocument/2006/relationships/hyperlink" Target="http://www.sec.gov/cgi-bin/browse-edgar?action=getcompany&amp;CIK=0001102444" TargetMode="External"/><Relationship Id="rId19" Type="http://schemas.openxmlformats.org/officeDocument/2006/relationships/hyperlink" Target="http://www.sec.gov/cgi-bin/browse-edgar?action=getcompany&amp;CIK=0001803806" TargetMode="External"/><Relationship Id="rId20" Type="http://schemas.openxmlformats.org/officeDocument/2006/relationships/hyperlink" Target="http://www.sec.gov/cgi-bin/browse-edgar?action=getcompany&amp;CIK=0001660683" TargetMode="External"/><Relationship Id="rId21" Type="http://schemas.openxmlformats.org/officeDocument/2006/relationships/hyperlink" Target="http://www.sec.gov/cgi-bin/browse-edgar?action=getcompany&amp;CIK=0001660684" TargetMode="External"/><Relationship Id="rId22" Type="http://schemas.openxmlformats.org/officeDocument/2006/relationships/hyperlink" Target="http://www.sec.gov/cgi-bin/browse-edgar?action=getcompany&amp;CIK=0001803809" TargetMode="External"/><Relationship Id="rId24" Type="http://schemas.openxmlformats.org/officeDocument/2006/relationships/hyperlink" Target="http://www.sec.gov/cgi-bin/browse-edgar?action=getcompany&amp;CIK=0001056807" TargetMode="External"/><Relationship Id="rId25" Type="http://schemas.openxmlformats.org/officeDocument/2006/relationships/hyperlink" Target="http://www.sec.gov/cgi-bin/browse-edgar?action=getcompany&amp;CIK=0001233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2022-06-06T17:15:43Z</dcterms:created>
  <dcterms:modified xsi:type="dcterms:W3CDTF">2022-06-06T17:15:43Z</dcterms:modified>
</cp:coreProperties>
</file>