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779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7791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Segal Lloyd Mitchell</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900" w:type="dxa"/>
            <w:vAlign w:val="bottom"/>
          </w:tcPr>
          <w:p>
            <w:pPr>
              <w:ind w:left="8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REPARE THERAPEUTICS INC.</w:t>
            </w:r>
          </w:p>
        </w:tc>
      </w:tr>
      <w:tr>
        <w:trPr>
          <w:trHeight w:val="208"/>
        </w:trPr>
        <w:tc>
          <w:tcPr>
            <w:tcW w:w="40" w:type="dxa"/>
            <w:vAlign w:val="bottom"/>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ST-LAURENT</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A8</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H4S 1Z9</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Repare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RPTX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00" w:type="dxa"/>
            <w:vAlign w:val="bottom"/>
            <w:tcBorders>
              <w:bottom w:val="single" w:sz="8" w:color="0000EE"/>
            </w:tcBorders>
          </w:tcPr>
          <w:p>
            <w:pPr>
              <w:spacing w:after="0"/>
              <w:rPr>
                <w:sz w:val="3"/>
                <w:szCs w:val="3"/>
                <w:color w:val="auto"/>
              </w:rPr>
            </w:pPr>
          </w:p>
        </w:tc>
        <w:tc>
          <w:tcPr>
            <w:tcW w:w="162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0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220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03/28/2024</w:t>
            </w:r>
          </w:p>
        </w:tc>
        <w:tc>
          <w:tcPr>
            <w:tcW w:w="1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200" w:type="dxa"/>
            <w:vAlign w:val="bottom"/>
            <w:gridSpan w:val="3"/>
            <w:vMerge w:val="continue"/>
          </w:tcPr>
          <w:p>
            <w:pPr>
              <w:spacing w:after="0"/>
              <w:rPr>
                <w:sz w:val="11"/>
                <w:szCs w:val="11"/>
                <w:color w:val="auto"/>
              </w:rPr>
            </w:pPr>
          </w:p>
        </w:tc>
        <w:tc>
          <w:tcPr>
            <w:tcW w:w="1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PRESIDENT AND CEO</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0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Pr>
          <w:p>
            <w:pPr>
              <w:spacing w:after="0"/>
              <w:rPr>
                <w:sz w:val="21"/>
                <w:szCs w:val="21"/>
                <w:color w:val="auto"/>
              </w:rPr>
            </w:pPr>
          </w:p>
        </w:tc>
        <w:tc>
          <w:tcPr>
            <w:tcW w:w="15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03/28/2024</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2,650</w:t>
            </w: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gridSpan w:val="3"/>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4.62</w:t>
            </w:r>
            <w:r>
              <w:rPr>
                <w:rFonts w:ascii="Times New Roman" w:cs="Times New Roman" w:eastAsia="Times New Roman" w:hAnsi="Times New Roman"/>
                <w:sz w:val="22"/>
                <w:szCs w:val="22"/>
                <w:color w:val="008000"/>
                <w:vertAlign w:val="superscript"/>
              </w:rPr>
              <w:t>(2)</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110,049</w:t>
            </w:r>
            <w:r>
              <w:rPr>
                <w:rFonts w:ascii="Times New Roman" w:cs="Times New Roman" w:eastAsia="Times New Roman" w:hAnsi="Times New Roman"/>
                <w:sz w:val="22"/>
                <w:szCs w:val="22"/>
                <w:color w:val="008000"/>
                <w:w w:val="93"/>
                <w:vertAlign w:val="superscript"/>
              </w:rPr>
              <w:t>(3)</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Pr>
          <w:p>
            <w:pPr>
              <w:spacing w:after="0"/>
              <w:rPr>
                <w:sz w:val="21"/>
                <w:szCs w:val="21"/>
                <w:color w:val="auto"/>
              </w:rPr>
            </w:pPr>
          </w:p>
        </w:tc>
        <w:tc>
          <w:tcPr>
            <w:tcW w:w="15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04/01/2024</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2,491</w:t>
            </w: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gridSpan w:val="3"/>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4.63</w:t>
            </w:r>
            <w:r>
              <w:rPr>
                <w:rFonts w:ascii="Times New Roman" w:cs="Times New Roman" w:eastAsia="Times New Roman" w:hAnsi="Times New Roman"/>
                <w:sz w:val="22"/>
                <w:szCs w:val="22"/>
                <w:color w:val="008000"/>
                <w:vertAlign w:val="superscript"/>
              </w:rPr>
              <w:t>(5)</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107,558</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top w:val="single" w:sz="8" w:color="2C2C2C"/>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top w:val="single" w:sz="8" w:color="2C2C2C"/>
              <w:bottom w:val="single" w:sz="8" w:color="2C2C2C"/>
            </w:tcBorders>
          </w:tcPr>
          <w:p>
            <w:pPr>
              <w:spacing w:after="0"/>
              <w:rPr>
                <w:sz w:val="24"/>
                <w:szCs w:val="24"/>
                <w:color w:val="auto"/>
              </w:rPr>
            </w:pPr>
          </w:p>
        </w:tc>
        <w:tc>
          <w:tcPr>
            <w:tcW w:w="112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spacing w:after="0"/>
              <w:rPr>
                <w:sz w:val="24"/>
                <w:szCs w:val="24"/>
                <w:color w:val="auto"/>
              </w:rPr>
            </w:pPr>
          </w:p>
        </w:tc>
        <w:tc>
          <w:tcPr>
            <w:tcW w:w="68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1200" w:type="dxa"/>
            <w:vAlign w:val="bottom"/>
            <w:tcBorders>
              <w:top w:val="single" w:sz="8" w:color="2C2C2C"/>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1"/>
              </w:rPr>
              <w:t>102,678</w:t>
            </w:r>
            <w:r>
              <w:rPr>
                <w:rFonts w:ascii="Times New Roman" w:cs="Times New Roman" w:eastAsia="Times New Roman" w:hAnsi="Times New Roman"/>
                <w:sz w:val="22"/>
                <w:szCs w:val="22"/>
                <w:color w:val="008000"/>
                <w:w w:val="91"/>
                <w:vertAlign w:val="superscript"/>
              </w:rPr>
              <w:t>(3)(6)</w:t>
            </w:r>
          </w:p>
        </w:tc>
        <w:tc>
          <w:tcPr>
            <w:tcW w:w="28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made pursuant to a Rule 10b5-1 trading plan adopted by the holder on December 22, 2023. On January 30, 2023, the holder was granted 78,550 restricted stock units ("RSUs"), as previously reported on a Form 4 filed on February 1, 2023, of which 26,183 of these RSUs vested on January 30, 2024. Amounts reported herein represent shares sold by the holder solely to satisfy the holder's tax withholding obligation due in connection with the vesting and settlement of this tranche of the RSUs and do not represent a discretionary sale by the holder.</w:t>
      </w:r>
    </w:p>
    <w:p>
      <w:pPr>
        <w:spacing w:after="0" w:line="2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$4.47 to $4.84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change in the total shares prior to the transactions reported herein reflects a change in form of ownership from direct to indirect, which was exempt from reporting pursuant to Rule 16a-13.</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registered in the name of Arvala Inc. (f/k/a 3996953 Canada Inc., the "Company"). The Reporting Person is the sole stockholder of the Company.</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$4.58 to $4.65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1,217 shares, 967 shares and 2,000 shares acquired on February 15, 2023, August 15, 2023 and February 15, 2024, respectively, under the Issuer's employee stock purchase plan.</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Steve Forte, Attorney-in-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04/01/2024</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77123" TargetMode="External"/><Relationship Id="rId13" Type="http://schemas.openxmlformats.org/officeDocument/2006/relationships/hyperlink" Target="http://www.sec.gov/cgi-bin/browse-edgar?action=getcompany&amp;CIK=00018081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2024-04-01T20:43:43Z</dcterms:created>
  <dcterms:modified xsi:type="dcterms:W3CDTF">2024-04-01T20:43:43Z</dcterms:modified>
</cp:coreProperties>
</file>