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SCHEDULE 13G</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(Rule 13d-102)</w:t>
      </w:r>
    </w:p>
    <w:p>
      <w:pPr>
        <w:spacing w:after="0" w:line="207" w:lineRule="exact"/>
        <w:rPr>
          <w:sz w:val="24"/>
          <w:szCs w:val="24"/>
          <w:color w:val="auto"/>
        </w:rPr>
      </w:pPr>
    </w:p>
    <w:p>
      <w:pPr>
        <w:jc w:val="center"/>
        <w:ind w:left="340" w:right="2740"/>
        <w:spacing w:after="0" w:line="266" w:lineRule="auto"/>
        <w:rPr>
          <w:sz w:val="20"/>
          <w:szCs w:val="20"/>
          <w:color w:val="auto"/>
        </w:rPr>
      </w:pPr>
      <w:r>
        <w:rPr>
          <w:rFonts w:ascii="Times New Roman" w:cs="Times New Roman" w:eastAsia="Times New Roman" w:hAnsi="Times New Roman"/>
          <w:sz w:val="18"/>
          <w:szCs w:val="18"/>
          <w:color w:val="auto"/>
        </w:rPr>
        <w:t>INFORMATION TO BE INCLUDED IN STATEMENTS FILED PURSUANT TO RULES 13d-1(b), (c), AND (d) AND AMENDMENTS THERETO FILED PURSUANT TO RULE 13d-2(b)</w:t>
      </w:r>
    </w:p>
    <w:p>
      <w:pPr>
        <w:spacing w:after="0" w:line="17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(Amendment No. 4)</w:t>
      </w:r>
      <w:r>
        <w:rPr>
          <w:rFonts w:ascii="Times New Roman" w:cs="Times New Roman" w:eastAsia="Times New Roman" w:hAnsi="Times New Roman"/>
          <w:sz w:val="29"/>
          <w:szCs w:val="29"/>
          <w:color w:val="auto"/>
          <w:vertAlign w:val="superscript"/>
        </w:rPr>
        <w:t>1</w:t>
      </w:r>
    </w:p>
    <w:p>
      <w:pPr>
        <w:spacing w:after="0" w:line="200" w:lineRule="exact"/>
        <w:rPr>
          <w:sz w:val="24"/>
          <w:szCs w:val="24"/>
          <w:color w:val="auto"/>
        </w:rPr>
      </w:pPr>
    </w:p>
    <w:p>
      <w:pPr>
        <w:spacing w:after="0" w:line="394" w:lineRule="exact"/>
        <w:rPr>
          <w:sz w:val="24"/>
          <w:szCs w:val="24"/>
          <w:color w:val="auto"/>
        </w:rPr>
      </w:pPr>
    </w:p>
    <w:p>
      <w:pPr>
        <w:ind w:left="4720"/>
        <w:spacing w:after="0"/>
        <w:rPr>
          <w:sz w:val="20"/>
          <w:szCs w:val="20"/>
          <w:color w:val="auto"/>
        </w:rPr>
      </w:pPr>
      <w:r>
        <w:rPr>
          <w:rFonts w:ascii="Times New Roman" w:cs="Times New Roman" w:eastAsia="Times New Roman" w:hAnsi="Times New Roman"/>
          <w:sz w:val="18"/>
          <w:szCs w:val="18"/>
          <w:color w:val="auto"/>
        </w:rPr>
        <w:t>Repare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ind w:left="5040"/>
        <w:spacing w:after="0"/>
        <w:rPr>
          <w:sz w:val="20"/>
          <w:szCs w:val="20"/>
          <w:color w:val="auto"/>
        </w:rPr>
      </w:pPr>
      <w:r>
        <w:rPr>
          <w:rFonts w:ascii="Times New Roman" w:cs="Times New Roman" w:eastAsia="Times New Roman" w:hAnsi="Times New Roman"/>
          <w:sz w:val="18"/>
          <w:szCs w:val="18"/>
          <w:color w:val="auto"/>
        </w:rPr>
        <w:t>(Name of Issuer)</w:t>
      </w:r>
    </w:p>
    <w:p>
      <w:pPr>
        <w:spacing w:after="0" w:line="220" w:lineRule="exact"/>
        <w:rPr>
          <w:sz w:val="24"/>
          <w:szCs w:val="24"/>
          <w:color w:val="auto"/>
        </w:rPr>
      </w:pPr>
    </w:p>
    <w:p>
      <w:pPr>
        <w:jc w:val="right"/>
        <w:ind w:right="4500"/>
        <w:spacing w:after="0"/>
        <w:rPr>
          <w:sz w:val="20"/>
          <w:szCs w:val="20"/>
          <w:color w:val="auto"/>
        </w:rPr>
      </w:pPr>
      <w:r>
        <w:rPr>
          <w:rFonts w:ascii="Times New Roman" w:cs="Times New Roman" w:eastAsia="Times New Roman" w:hAnsi="Times New Roman"/>
          <w:sz w:val="18"/>
          <w:szCs w:val="18"/>
          <w:color w:val="auto"/>
        </w:rPr>
        <w:t>Common Shares, no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right"/>
        <w:ind w:right="4560"/>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20" w:lineRule="exact"/>
        <w:rPr>
          <w:sz w:val="24"/>
          <w:szCs w:val="24"/>
          <w:color w:val="auto"/>
        </w:rPr>
      </w:pPr>
    </w:p>
    <w:p>
      <w:pPr>
        <w:ind w:left="5220"/>
        <w:spacing w:after="0"/>
        <w:rPr>
          <w:sz w:val="20"/>
          <w:szCs w:val="20"/>
          <w:color w:val="auto"/>
        </w:rPr>
      </w:pPr>
      <w:r>
        <w:rPr>
          <w:rFonts w:ascii="Times New Roman" w:cs="Times New Roman" w:eastAsia="Times New Roman" w:hAnsi="Times New Roman"/>
          <w:sz w:val="18"/>
          <w:szCs w:val="18"/>
          <w:color w:val="auto"/>
        </w:rPr>
        <w:t>760273102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7" w:lineRule="exact"/>
        <w:rPr>
          <w:sz w:val="24"/>
          <w:szCs w:val="24"/>
          <w:color w:val="auto"/>
        </w:rPr>
      </w:pPr>
    </w:p>
    <w:p>
      <w:pPr>
        <w:ind w:left="5020"/>
        <w:spacing w:after="0"/>
        <w:rPr>
          <w:sz w:val="20"/>
          <w:szCs w:val="20"/>
          <w:color w:val="auto"/>
        </w:rPr>
      </w:pPr>
      <w:r>
        <w:rPr>
          <w:rFonts w:ascii="Times New Roman" w:cs="Times New Roman" w:eastAsia="Times New Roman" w:hAnsi="Times New Roman"/>
          <w:sz w:val="18"/>
          <w:szCs w:val="18"/>
          <w:color w:val="auto"/>
        </w:rPr>
        <w:t>(CUSIP Number)</w:t>
      </w:r>
    </w:p>
    <w:p>
      <w:pPr>
        <w:spacing w:after="0" w:line="22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June 2,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185" w:lineRule="exact"/>
        <w:rPr>
          <w:sz w:val="24"/>
          <w:szCs w:val="24"/>
          <w:color w:val="auto"/>
        </w:rPr>
      </w:pPr>
    </w:p>
    <w:p>
      <w:pPr>
        <w:ind w:left="960" w:hanging="340"/>
        <w:spacing w:after="0"/>
        <w:tabs>
          <w:tab w:leader="none" w:pos="9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13d-1(b)</w:t>
      </w:r>
    </w:p>
    <w:p>
      <w:pPr>
        <w:spacing w:after="0" w:line="225" w:lineRule="exact"/>
        <w:rPr>
          <w:sz w:val="24"/>
          <w:szCs w:val="24"/>
          <w:color w:val="auto"/>
        </w:rPr>
      </w:pPr>
    </w:p>
    <w:p>
      <w:pPr>
        <w:ind w:left="960" w:hanging="340"/>
        <w:spacing w:after="0"/>
        <w:tabs>
          <w:tab w:leader="none" w:pos="960"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13d-1(c)</w:t>
      </w:r>
    </w:p>
    <w:p>
      <w:pPr>
        <w:spacing w:after="0" w:line="225" w:lineRule="exact"/>
        <w:rPr>
          <w:sz w:val="24"/>
          <w:szCs w:val="24"/>
          <w:color w:val="auto"/>
        </w:rPr>
      </w:pPr>
    </w:p>
    <w:p>
      <w:pPr>
        <w:ind w:left="960" w:hanging="340"/>
        <w:spacing w:after="0"/>
        <w:tabs>
          <w:tab w:leader="none" w:pos="960" w:val="left"/>
        </w:tabs>
        <w:numPr>
          <w:ilvl w:val="0"/>
          <w:numId w:val="3"/>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737235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ind w:firstLine="8"/>
        <w:spacing w:after="0" w:line="244" w:lineRule="auto"/>
        <w:tabs>
          <w:tab w:leader="none" w:pos="815" w:val="left"/>
        </w:tabs>
        <w:numPr>
          <w:ilvl w:val="0"/>
          <w:numId w:val="4"/>
        </w:numPr>
        <w:rPr>
          <w:rFonts w:ascii="Times New Roman" w:cs="Times New Roman" w:eastAsia="Times New Roman" w:hAnsi="Times New Roman"/>
          <w:sz w:val="13"/>
          <w:szCs w:val="13"/>
          <w:color w:val="auto"/>
        </w:rPr>
      </w:pPr>
      <w:r>
        <w:rPr>
          <w:rFonts w:ascii="Times New Roman" w:cs="Times New Roman" w:eastAsia="Times New Roman" w:hAnsi="Times New Roman"/>
          <w:sz w:val="22"/>
          <w:szCs w:val="22"/>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42" w:lineRule="exact"/>
        <w:rPr>
          <w:sz w:val="24"/>
          <w:szCs w:val="24"/>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i w:val="1"/>
          <w:iCs w:val="1"/>
          <w:color w:val="auto"/>
        </w:rPr>
        <w:t>Notes</w:t>
      </w:r>
      <w:r>
        <w:rPr>
          <w:rFonts w:ascii="Times New Roman" w:cs="Times New Roman" w:eastAsia="Times New Roman" w:hAnsi="Times New Roman"/>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243205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216" w:right="35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Biotechnology Value Fund,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10.4%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PN</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Times New Roman" w:cs="Times New Roman" w:eastAsia="Times New Roman" w:hAnsi="Times New Roman"/>
                <w:sz w:val="18"/>
                <w:szCs w:val="18"/>
                <w:color w:val="auto"/>
              </w:rPr>
              <w:t>2</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w w:val="98"/>
              </w:rPr>
              <w:t>BVF I GP LLC</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4,368,757</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10.4%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OO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Times New Roman" w:cs="Times New Roman" w:eastAsia="Times New Roman" w:hAnsi="Times New Roman"/>
                <w:sz w:val="18"/>
                <w:szCs w:val="18"/>
                <w:color w:val="auto"/>
              </w:rPr>
              <w:t>3</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Biotechnology Value Fund II,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3,231,579</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3,231,579</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3,231,579</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7.7%</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PN</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Times New Roman" w:cs="Times New Roman" w:eastAsia="Times New Roman" w:hAnsi="Times New Roman"/>
                <w:sz w:val="18"/>
                <w:szCs w:val="18"/>
                <w:color w:val="auto"/>
              </w:rPr>
              <w:t>4</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BVF II GP LLC</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3"/>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6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04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3,231,579</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3,231,579</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3,231,579</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7.7%</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OO</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2100"/>
              <w:spacing w:after="0"/>
              <w:rPr>
                <w:sz w:val="20"/>
                <w:szCs w:val="20"/>
                <w:color w:val="auto"/>
              </w:rPr>
            </w:pPr>
            <w:r>
              <w:rPr>
                <w:rFonts w:ascii="Times New Roman" w:cs="Times New Roman" w:eastAsia="Times New Roman" w:hAnsi="Times New Roman"/>
                <w:sz w:val="18"/>
                <w:szCs w:val="18"/>
                <w:color w:val="auto"/>
              </w:rPr>
              <w:t>5</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233680</wp:posOffset>
            </wp:positionV>
            <wp:extent cx="3511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1155" cy="8890"/>
                    </a:xfrm>
                    <a:prstGeom prst="rect">
                      <a:avLst/>
                    </a:prstGeom>
                    <a:noFill/>
                  </pic:spPr>
                </pic:pic>
              </a:graphicData>
            </a:graphic>
          </wp:anchor>
        </w:drawing>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Pr>
          <w:p>
            <w:pPr>
              <w:spacing w:after="0"/>
              <w:rPr>
                <w:sz w:val="20"/>
                <w:szCs w:val="20"/>
                <w:color w:val="auto"/>
              </w:rPr>
            </w:pPr>
          </w:p>
        </w:tc>
      </w:tr>
      <w:tr>
        <w:trPr>
          <w:trHeight w:val="432"/>
        </w:trPr>
        <w:tc>
          <w:tcPr>
            <w:tcW w:w="1700" w:type="dxa"/>
            <w:vAlign w:val="bottom"/>
            <w:tcBorders>
              <w:bottom w:val="single" w:sz="8" w:color="auto"/>
            </w:tcBorders>
          </w:tcPr>
          <w:p>
            <w:pPr>
              <w:spacing w:after="0"/>
              <w:rPr>
                <w:sz w:val="24"/>
                <w:szCs w:val="24"/>
                <w:color w:val="auto"/>
              </w:rPr>
            </w:pPr>
          </w:p>
        </w:tc>
        <w:tc>
          <w:tcPr>
            <w:tcW w:w="7820" w:type="dxa"/>
            <w:vAlign w:val="bottom"/>
            <w:tcBorders>
              <w:bottom w:val="single" w:sz="8" w:color="auto"/>
            </w:tcBorders>
            <w:gridSpan w:val="3"/>
          </w:tcPr>
          <w:p>
            <w:pPr>
              <w:ind w:left="580"/>
              <w:spacing w:after="0"/>
              <w:rPr>
                <w:sz w:val="20"/>
                <w:szCs w:val="20"/>
                <w:color w:val="auto"/>
              </w:rPr>
            </w:pPr>
            <w:r>
              <w:rPr>
                <w:rFonts w:ascii="Times New Roman" w:cs="Times New Roman" w:eastAsia="Times New Roman" w:hAnsi="Times New Roman"/>
                <w:sz w:val="18"/>
                <w:szCs w:val="18"/>
                <w:color w:val="auto"/>
              </w:rPr>
              <w:t>Biotechnology Value Trading Fund OS LP</w:t>
            </w:r>
          </w:p>
        </w:tc>
        <w:tc>
          <w:tcPr>
            <w:tcW w:w="1720" w:type="dxa"/>
            <w:vAlign w:val="bottom"/>
            <w:tcBorders>
              <w:bottom w:val="single" w:sz="8" w:color="auto"/>
            </w:tcBorders>
          </w:tcPr>
          <w:p>
            <w:pPr>
              <w:spacing w:after="0"/>
              <w:rPr>
                <w:sz w:val="24"/>
                <w:szCs w:val="24"/>
                <w:color w:val="auto"/>
              </w:rPr>
            </w:pPr>
          </w:p>
        </w:tc>
      </w:tr>
      <w:tr>
        <w:trPr>
          <w:trHeight w:val="163"/>
        </w:trPr>
        <w:tc>
          <w:tcPr>
            <w:tcW w:w="1700" w:type="dxa"/>
            <w:vAlign w:val="bottom"/>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20" w:type="dxa"/>
            <w:vAlign w:val="bottom"/>
            <w:gridSpan w:val="3"/>
          </w:tcPr>
          <w:p>
            <w:pPr>
              <w:ind w:left="14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17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170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SEC USE ONLY</w:t>
            </w:r>
          </w:p>
        </w:tc>
        <w:tc>
          <w:tcPr>
            <w:tcW w:w="604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Times New Roman" w:cs="Times New Roman" w:eastAsia="Times New Roman" w:hAnsi="Times New Roman"/>
                <w:sz w:val="18"/>
                <w:szCs w:val="18"/>
                <w:color w:val="auto"/>
              </w:rPr>
              <w:t>Cayman Islands</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191"/>
        </w:trPr>
        <w:tc>
          <w:tcPr>
            <w:tcW w:w="1700" w:type="dxa"/>
            <w:vAlign w:val="bottom"/>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2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88"/>
              </w:rPr>
              <w:t>5</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234"/>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tcBorders>
          </w:tcPr>
          <w:p>
            <w:pPr>
              <w:spacing w:after="0"/>
              <w:rPr>
                <w:sz w:val="20"/>
                <w:szCs w:val="20"/>
                <w:color w:val="auto"/>
              </w:rPr>
            </w:pPr>
          </w:p>
        </w:tc>
      </w:tr>
      <w:tr>
        <w:trPr>
          <w:trHeight w:val="191"/>
        </w:trPr>
        <w:tc>
          <w:tcPr>
            <w:tcW w:w="1700" w:type="dxa"/>
            <w:vAlign w:val="bottom"/>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2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88"/>
              </w:rPr>
              <w:t>6</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234"/>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406,436</w:t>
            </w:r>
          </w:p>
        </w:tc>
        <w:tc>
          <w:tcPr>
            <w:tcW w:w="1720" w:type="dxa"/>
            <w:vAlign w:val="bottom"/>
            <w:tcBorders>
              <w:bottom w:val="single" w:sz="8" w:color="auto"/>
            </w:tcBorders>
          </w:tcPr>
          <w:p>
            <w:pPr>
              <w:spacing w:after="0"/>
              <w:rPr>
                <w:sz w:val="20"/>
                <w:szCs w:val="20"/>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Pr>
          <w:p>
            <w:pPr>
              <w:spacing w:after="0"/>
              <w:rPr>
                <w:sz w:val="19"/>
                <w:szCs w:val="19"/>
                <w:color w:val="auto"/>
              </w:rPr>
            </w:pPr>
          </w:p>
        </w:tc>
      </w:tr>
      <w:tr>
        <w:trPr>
          <w:trHeight w:val="414"/>
        </w:trPr>
        <w:tc>
          <w:tcPr>
            <w:tcW w:w="170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406,436</w:t>
            </w:r>
          </w:p>
        </w:tc>
        <w:tc>
          <w:tcPr>
            <w:tcW w:w="172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406,436</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77"/>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00" w:type="dxa"/>
            <w:vAlign w:val="bottom"/>
            <w:tcBorders>
              <w:bottom w:val="single" w:sz="8" w:color="auto"/>
            </w:tcBorders>
          </w:tcPr>
          <w:p>
            <w:pPr>
              <w:spacing w:after="0"/>
              <w:rPr>
                <w:sz w:val="24"/>
                <w:szCs w:val="24"/>
                <w:color w:val="auto"/>
              </w:rPr>
            </w:pPr>
          </w:p>
        </w:tc>
        <w:tc>
          <w:tcPr>
            <w:tcW w:w="782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-4357370</wp:posOffset>
            </wp:positionV>
            <wp:extent cx="3511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159"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18"/>
          <w:szCs w:val="18"/>
          <w:color w:val="auto"/>
        </w:rPr>
        <w:t>Less than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17145</wp:posOffset>
            </wp:positionV>
            <wp:extent cx="3511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7" w:lineRule="exact"/>
        <w:rPr>
          <w:sz w:val="20"/>
          <w:szCs w:val="20"/>
          <w:color w:val="auto"/>
        </w:rPr>
      </w:pPr>
    </w:p>
    <w:p>
      <w:pPr>
        <w:ind w:left="2280" w:right="6900" w:hanging="1512"/>
        <w:spacing w:after="0" w:line="527" w:lineRule="auto"/>
        <w:tabs>
          <w:tab w:leader="none" w:pos="1839"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 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-294005</wp:posOffset>
            </wp:positionV>
            <wp:extent cx="8890" cy="162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-294005</wp:posOffset>
            </wp:positionV>
            <wp:extent cx="8890" cy="1625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1085215</wp:posOffset>
            </wp:positionH>
            <wp:positionV relativeFrom="paragraph">
              <wp:posOffset>-294005</wp:posOffset>
            </wp:positionV>
            <wp:extent cx="8890" cy="1625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6785610</wp:posOffset>
            </wp:positionH>
            <wp:positionV relativeFrom="paragraph">
              <wp:posOffset>-294005</wp:posOffset>
            </wp:positionV>
            <wp:extent cx="351155" cy="1625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51155" cy="162560"/>
                    </a:xfrm>
                    <a:prstGeom prst="rect">
                      <a:avLst/>
                    </a:prstGeom>
                    <a:noFill/>
                  </pic:spPr>
                </pic:pic>
              </a:graphicData>
            </a:graphic>
          </wp:anchor>
        </w:drawing>
      </w: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ind w:left="560"/>
              <w:spacing w:after="0"/>
              <w:rPr>
                <w:sz w:val="20"/>
                <w:szCs w:val="20"/>
                <w:color w:val="auto"/>
              </w:rPr>
            </w:pPr>
            <w:r>
              <w:rPr>
                <w:rFonts w:ascii="Times New Roman" w:cs="Times New Roman" w:eastAsia="Times New Roman" w:hAnsi="Times New Roman"/>
                <w:sz w:val="18"/>
                <w:szCs w:val="18"/>
                <w:color w:val="auto"/>
              </w:rPr>
              <w:t>BVF Partners OS Ltd.</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3"/>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6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04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Cayman Islands</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0" w:type="dxa"/>
            <w:vAlign w:val="bottom"/>
          </w:tcPr>
          <w:p>
            <w:pPr>
              <w:spacing w:after="0"/>
              <w:rPr>
                <w:sz w:val="16"/>
                <w:szCs w:val="16"/>
                <w:color w:val="auto"/>
              </w:rPr>
            </w:pPr>
          </w:p>
        </w:tc>
        <w:tc>
          <w:tcPr>
            <w:tcW w:w="604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406,436</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color w:val="auto"/>
              </w:rPr>
              <w:t>406,436</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406,436</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Less than 1%</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CO</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2100"/>
              <w:spacing w:after="0"/>
              <w:rPr>
                <w:sz w:val="20"/>
                <w:szCs w:val="20"/>
                <w:color w:val="auto"/>
              </w:rPr>
            </w:pPr>
            <w:r>
              <w:rPr>
                <w:rFonts w:ascii="Times New Roman" w:cs="Times New Roman" w:eastAsia="Times New Roman" w:hAnsi="Times New Roman"/>
                <w:sz w:val="18"/>
                <w:szCs w:val="18"/>
                <w:color w:val="auto"/>
              </w:rPr>
              <w:t>7</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BVF GP Holdings LLC</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7,600,336</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7,600,336</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7,600,336</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18.1%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OO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Times New Roman" w:cs="Times New Roman" w:eastAsia="Times New Roman" w:hAnsi="Times New Roman"/>
                <w:sz w:val="18"/>
                <w:szCs w:val="18"/>
                <w:color w:val="auto"/>
              </w:rPr>
              <w:t>8</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BVF Partners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19.4%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PN, IA</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Times New Roman" w:cs="Times New Roman" w:eastAsia="Times New Roman" w:hAnsi="Times New Roman"/>
                <w:sz w:val="18"/>
                <w:szCs w:val="18"/>
                <w:color w:val="auto"/>
              </w:rPr>
              <w:t>9</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5"/>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BVF Inc.</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8"/>
                <w:szCs w:val="18"/>
                <w:color w:val="auto"/>
                <w:w w:val="88"/>
              </w:rPr>
              <w:t>2</w:t>
            </w:r>
          </w:p>
        </w:tc>
        <w:tc>
          <w:tcPr>
            <w:tcW w:w="7800" w:type="dxa"/>
            <w:vAlign w:val="bottom"/>
            <w:gridSpan w:val="2"/>
          </w:tcPr>
          <w:p>
            <w:pPr>
              <w:ind w:left="12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0"/>
                <w:szCs w:val="20"/>
                <w:color w:val="auto"/>
              </w:rPr>
            </w:pPr>
          </w:p>
        </w:tc>
      </w:tr>
      <w:tr>
        <w:trPr>
          <w:trHeight w:val="191"/>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00" w:type="dxa"/>
            <w:vAlign w:val="bottom"/>
            <w:tcBorders>
              <w:right w:val="single" w:sz="8" w:color="auto"/>
            </w:tcBorders>
          </w:tcPr>
          <w:p>
            <w:pPr>
              <w:ind w:left="80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0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4"/>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720" w:type="dxa"/>
            <w:vAlign w:val="bottom"/>
            <w:tcBorders>
              <w:bottom w:val="single" w:sz="8" w:color="auto"/>
              <w:right w:val="single" w:sz="8" w:color="auto"/>
            </w:tcBorders>
          </w:tcPr>
          <w:p>
            <w:pPr>
              <w:spacing w:after="0"/>
              <w:rPr>
                <w:sz w:val="20"/>
                <w:szCs w:val="20"/>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7</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8</w:t>
            </w:r>
          </w:p>
        </w:tc>
        <w:tc>
          <w:tcPr>
            <w:tcW w:w="61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19.4%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8"/>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78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4"/>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CO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20"/>
              <w:spacing w:after="0"/>
              <w:rPr>
                <w:sz w:val="20"/>
                <w:szCs w:val="20"/>
                <w:color w:val="auto"/>
              </w:rPr>
            </w:pPr>
            <w:r>
              <w:rPr>
                <w:rFonts w:ascii="Times New Roman" w:cs="Times New Roman" w:eastAsia="Times New Roman" w:hAnsi="Times New Roman"/>
                <w:sz w:val="18"/>
                <w:szCs w:val="18"/>
                <w:color w:val="auto"/>
              </w:rPr>
              <w:t>10</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0"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233680</wp:posOffset>
            </wp:positionV>
            <wp:extent cx="3511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1155" cy="8890"/>
                    </a:xfrm>
                    <a:prstGeom prst="rect">
                      <a:avLst/>
                    </a:prstGeom>
                    <a:noFill/>
                  </pic:spPr>
                </pic:pic>
              </a:graphicData>
            </a:graphic>
          </wp:anchor>
        </w:drawing>
      </w:r>
    </w:p>
    <w:p>
      <w:pPr>
        <w:spacing w:after="0" w:line="371" w:lineRule="exact"/>
        <w:rPr>
          <w:sz w:val="20"/>
          <w:szCs w:val="20"/>
          <w:color w:val="auto"/>
        </w:rPr>
      </w:pPr>
    </w:p>
    <w:p>
      <w:pPr>
        <w:ind w:left="1840" w:hanging="1026"/>
        <w:spacing w:after="0"/>
        <w:tabs>
          <w:tab w:leader="none" w:pos="18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-127635</wp:posOffset>
            </wp:positionV>
            <wp:extent cx="35115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60" w:type="dxa"/>
            <w:vAlign w:val="bottom"/>
            <w:tcBorders>
              <w:bottom w:val="single" w:sz="8" w:color="auto"/>
            </w:tcBorders>
          </w:tcPr>
          <w:p>
            <w:pPr>
              <w:spacing w:after="0"/>
              <w:rPr>
                <w:sz w:val="20"/>
                <w:szCs w:val="20"/>
                <w:color w:val="auto"/>
              </w:rPr>
            </w:pPr>
          </w:p>
        </w:tc>
        <w:tc>
          <w:tcPr>
            <w:tcW w:w="7120" w:type="dxa"/>
            <w:vAlign w:val="bottom"/>
            <w:tcBorders>
              <w:bottom w:val="single" w:sz="8" w:color="auto"/>
            </w:tcBorders>
          </w:tcPr>
          <w:p>
            <w:pPr>
              <w:ind w:left="920"/>
              <w:spacing w:after="0"/>
              <w:rPr>
                <w:sz w:val="20"/>
                <w:szCs w:val="20"/>
                <w:color w:val="auto"/>
              </w:rPr>
            </w:pPr>
            <w:r>
              <w:rPr>
                <w:rFonts w:ascii="Times New Roman" w:cs="Times New Roman" w:eastAsia="Times New Roman" w:hAnsi="Times New Roman"/>
                <w:sz w:val="18"/>
                <w:szCs w:val="18"/>
                <w:color w:val="auto"/>
              </w:rPr>
              <w:t>Mark N. Lampert</w:t>
            </w:r>
          </w:p>
        </w:tc>
        <w:tc>
          <w:tcPr>
            <w:tcW w:w="2760" w:type="dxa"/>
            <w:vAlign w:val="bottom"/>
            <w:tcBorders>
              <w:bottom w:val="single" w:sz="8" w:color="auto"/>
            </w:tcBorders>
          </w:tcPr>
          <w:p>
            <w:pPr>
              <w:spacing w:after="0"/>
              <w:rPr>
                <w:sz w:val="20"/>
                <w:szCs w:val="20"/>
                <w:color w:val="auto"/>
              </w:rPr>
            </w:pPr>
          </w:p>
        </w:tc>
      </w:tr>
      <w:tr>
        <w:trPr>
          <w:trHeight w:val="163"/>
        </w:trPr>
        <w:tc>
          <w:tcPr>
            <w:tcW w:w="1360" w:type="dxa"/>
            <w:vAlign w:val="bottom"/>
          </w:tcPr>
          <w:p>
            <w:pPr>
              <w:jc w:val="right"/>
              <w:ind w:right="370"/>
              <w:spacing w:after="0" w:line="163" w:lineRule="exact"/>
              <w:rPr>
                <w:sz w:val="20"/>
                <w:szCs w:val="20"/>
                <w:color w:val="auto"/>
              </w:rPr>
            </w:pPr>
            <w:r>
              <w:rPr>
                <w:rFonts w:ascii="Times New Roman" w:cs="Times New Roman" w:eastAsia="Times New Roman" w:hAnsi="Times New Roman"/>
                <w:sz w:val="18"/>
                <w:szCs w:val="18"/>
                <w:color w:val="auto"/>
              </w:rPr>
              <w:t>2</w:t>
            </w:r>
          </w:p>
        </w:tc>
        <w:tc>
          <w:tcPr>
            <w:tcW w:w="7120" w:type="dxa"/>
            <w:vAlign w:val="bottom"/>
          </w:tcPr>
          <w:p>
            <w:pPr>
              <w:ind w:left="480"/>
              <w:spacing w:after="0" w:line="163" w:lineRule="exact"/>
              <w:rPr>
                <w:sz w:val="20"/>
                <w:szCs w:val="20"/>
                <w:color w:val="auto"/>
              </w:rPr>
            </w:pPr>
            <w:r>
              <w:rPr>
                <w:rFonts w:ascii="Times New Roman" w:cs="Times New Roman" w:eastAsia="Times New Roman" w:hAnsi="Times New Roman"/>
                <w:sz w:val="18"/>
                <w:szCs w:val="18"/>
                <w:color w:val="auto"/>
              </w:rPr>
              <w:t>CHECK THE APPROPRIATE BOX IF A MEMBER OF A GROUP</w:t>
            </w:r>
          </w:p>
        </w:tc>
        <w:tc>
          <w:tcPr>
            <w:tcW w:w="2760" w:type="dxa"/>
            <w:vAlign w:val="bottom"/>
          </w:tcPr>
          <w:p>
            <w:pPr>
              <w:ind w:left="1660"/>
              <w:spacing w:after="0" w:line="163"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r>
      <w:tr>
        <w:trPr>
          <w:trHeight w:val="283"/>
        </w:trPr>
        <w:tc>
          <w:tcPr>
            <w:tcW w:w="1360" w:type="dxa"/>
            <w:vAlign w:val="bottom"/>
          </w:tcPr>
          <w:p>
            <w:pPr>
              <w:spacing w:after="0"/>
              <w:rPr>
                <w:sz w:val="24"/>
                <w:szCs w:val="24"/>
                <w:color w:val="auto"/>
              </w:rPr>
            </w:pPr>
          </w:p>
        </w:tc>
        <w:tc>
          <w:tcPr>
            <w:tcW w:w="7120" w:type="dxa"/>
            <w:vAlign w:val="bottom"/>
          </w:tcPr>
          <w:p>
            <w:pPr>
              <w:spacing w:after="0"/>
              <w:rPr>
                <w:sz w:val="24"/>
                <w:szCs w:val="24"/>
                <w:color w:val="auto"/>
              </w:rPr>
            </w:pPr>
          </w:p>
        </w:tc>
        <w:tc>
          <w:tcPr>
            <w:tcW w:w="2760" w:type="dxa"/>
            <w:vAlign w:val="bottom"/>
          </w:tcPr>
          <w:p>
            <w:pPr>
              <w:ind w:left="166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r>
    </w:tbl>
    <w:p>
      <w:pPr>
        <w:spacing w:after="0" w:line="191" w:lineRule="exact"/>
        <w:rPr>
          <w:sz w:val="20"/>
          <w:szCs w:val="20"/>
          <w:color w:val="auto"/>
        </w:rPr>
      </w:pPr>
    </w:p>
    <w:p>
      <w:pPr>
        <w:ind w:left="1840" w:hanging="1026"/>
        <w:spacing w:after="0"/>
        <w:tabs>
          <w:tab w:leader="none" w:pos="18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-127635</wp:posOffset>
            </wp:positionV>
            <wp:extent cx="35115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1840" w:hanging="1026"/>
        <w:spacing w:after="0"/>
        <w:tabs>
          <w:tab w:leader="none" w:pos="18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-127635</wp:posOffset>
            </wp:positionV>
            <wp:extent cx="3511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70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ind w:left="580"/>
              <w:spacing w:after="0"/>
              <w:rPr>
                <w:sz w:val="20"/>
                <w:szCs w:val="20"/>
                <w:color w:val="auto"/>
              </w:rPr>
            </w:pPr>
            <w:r>
              <w:rPr>
                <w:rFonts w:ascii="Times New Roman" w:cs="Times New Roman" w:eastAsia="Times New Roman" w:hAnsi="Times New Roman"/>
                <w:sz w:val="18"/>
                <w:szCs w:val="18"/>
                <w:color w:val="auto"/>
              </w:rPr>
              <w:t>United States</w:t>
            </w:r>
          </w:p>
        </w:tc>
        <w:tc>
          <w:tcPr>
            <w:tcW w:w="61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tcPr>
          <w:p>
            <w:pPr>
              <w:spacing w:after="0"/>
              <w:rPr>
                <w:sz w:val="20"/>
                <w:szCs w:val="20"/>
                <w:color w:val="auto"/>
              </w:rPr>
            </w:pPr>
          </w:p>
        </w:tc>
      </w:tr>
      <w:tr>
        <w:trPr>
          <w:trHeight w:val="191"/>
        </w:trPr>
        <w:tc>
          <w:tcPr>
            <w:tcW w:w="1700" w:type="dxa"/>
            <w:vAlign w:val="bottom"/>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NUMBER OF</w:t>
            </w:r>
          </w:p>
        </w:tc>
        <w:tc>
          <w:tcPr>
            <w:tcW w:w="1720" w:type="dxa"/>
            <w:vAlign w:val="bottom"/>
            <w:tcBorders>
              <w:right w:val="single" w:sz="8" w:color="auto"/>
            </w:tcBorders>
          </w:tcPr>
          <w:p>
            <w:pPr>
              <w:jc w:val="right"/>
              <w:ind w:right="730"/>
              <w:spacing w:after="0" w:line="191" w:lineRule="exact"/>
              <w:rPr>
                <w:sz w:val="20"/>
                <w:szCs w:val="20"/>
                <w:color w:val="auto"/>
              </w:rPr>
            </w:pPr>
            <w:r>
              <w:rPr>
                <w:rFonts w:ascii="Times New Roman" w:cs="Times New Roman" w:eastAsia="Times New Roman" w:hAnsi="Times New Roman"/>
                <w:sz w:val="18"/>
                <w:szCs w:val="18"/>
                <w:color w:val="auto"/>
              </w:rPr>
              <w:t>5</w:t>
            </w:r>
          </w:p>
        </w:tc>
        <w:tc>
          <w:tcPr>
            <w:tcW w:w="618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SOLE VOTING POWER</w:t>
            </w:r>
          </w:p>
        </w:tc>
        <w:tc>
          <w:tcPr>
            <w:tcW w:w="164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720" w:type="dxa"/>
            <w:vAlign w:val="bottom"/>
            <w:tcBorders>
              <w:right w:val="single" w:sz="8" w:color="auto"/>
            </w:tcBorders>
          </w:tcPr>
          <w:p>
            <w:pPr>
              <w:spacing w:after="0"/>
              <w:rPr>
                <w:sz w:val="18"/>
                <w:szCs w:val="18"/>
                <w:color w:val="auto"/>
              </w:rPr>
            </w:pPr>
          </w:p>
        </w:tc>
        <w:tc>
          <w:tcPr>
            <w:tcW w:w="61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34"/>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1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640" w:type="dxa"/>
            <w:vAlign w:val="bottom"/>
            <w:tcBorders>
              <w:bottom w:val="single" w:sz="8" w:color="auto"/>
            </w:tcBorders>
          </w:tcPr>
          <w:p>
            <w:pPr>
              <w:spacing w:after="0"/>
              <w:rPr>
                <w:sz w:val="20"/>
                <w:szCs w:val="20"/>
                <w:color w:val="auto"/>
              </w:rPr>
            </w:pPr>
          </w:p>
        </w:tc>
      </w:tr>
      <w:tr>
        <w:trPr>
          <w:trHeight w:val="191"/>
        </w:trPr>
        <w:tc>
          <w:tcPr>
            <w:tcW w:w="1700" w:type="dxa"/>
            <w:vAlign w:val="bottom"/>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OWNED BY</w:t>
            </w:r>
          </w:p>
        </w:tc>
        <w:tc>
          <w:tcPr>
            <w:tcW w:w="1720" w:type="dxa"/>
            <w:vAlign w:val="bottom"/>
            <w:tcBorders>
              <w:right w:val="single" w:sz="8" w:color="auto"/>
            </w:tcBorders>
          </w:tcPr>
          <w:p>
            <w:pPr>
              <w:jc w:val="right"/>
              <w:ind w:right="730"/>
              <w:spacing w:after="0" w:line="191" w:lineRule="exact"/>
              <w:rPr>
                <w:sz w:val="20"/>
                <w:szCs w:val="20"/>
                <w:color w:val="auto"/>
              </w:rPr>
            </w:pPr>
            <w:r>
              <w:rPr>
                <w:rFonts w:ascii="Times New Roman" w:cs="Times New Roman" w:eastAsia="Times New Roman" w:hAnsi="Times New Roman"/>
                <w:sz w:val="18"/>
                <w:szCs w:val="18"/>
                <w:color w:val="auto"/>
              </w:rPr>
              <w:t>6</w:t>
            </w:r>
          </w:p>
        </w:tc>
        <w:tc>
          <w:tcPr>
            <w:tcW w:w="618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SHARED VOTING POWER</w:t>
            </w:r>
          </w:p>
        </w:tc>
        <w:tc>
          <w:tcPr>
            <w:tcW w:w="164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1720" w:type="dxa"/>
            <w:vAlign w:val="bottom"/>
            <w:tcBorders>
              <w:right w:val="single" w:sz="8" w:color="auto"/>
            </w:tcBorders>
          </w:tcPr>
          <w:p>
            <w:pPr>
              <w:spacing w:after="0"/>
              <w:rPr>
                <w:sz w:val="18"/>
                <w:szCs w:val="18"/>
                <w:color w:val="auto"/>
              </w:rPr>
            </w:pPr>
          </w:p>
        </w:tc>
        <w:tc>
          <w:tcPr>
            <w:tcW w:w="61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34"/>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1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640" w:type="dxa"/>
            <w:vAlign w:val="bottom"/>
            <w:tcBorders>
              <w:bottom w:val="single" w:sz="8" w:color="auto"/>
            </w:tcBorders>
          </w:tcPr>
          <w:p>
            <w:pPr>
              <w:spacing w:after="0"/>
              <w:rPr>
                <w:sz w:val="20"/>
                <w:szCs w:val="20"/>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PERSON WITH</w:t>
            </w:r>
          </w:p>
        </w:tc>
        <w:tc>
          <w:tcPr>
            <w:tcW w:w="1720" w:type="dxa"/>
            <w:vAlign w:val="bottom"/>
            <w:tcBorders>
              <w:right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color w:val="auto"/>
              </w:rPr>
              <w:t>7</w:t>
            </w:r>
          </w:p>
        </w:tc>
        <w:tc>
          <w:tcPr>
            <w:tcW w:w="6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SOLE DISPOSITIVE POWER</w:t>
            </w:r>
          </w:p>
        </w:tc>
        <w:tc>
          <w:tcPr>
            <w:tcW w:w="1640" w:type="dxa"/>
            <w:vAlign w:val="bottom"/>
          </w:tcPr>
          <w:p>
            <w:pPr>
              <w:spacing w:after="0"/>
              <w:rPr>
                <w:sz w:val="19"/>
                <w:szCs w:val="19"/>
                <w:color w:val="auto"/>
              </w:rPr>
            </w:pPr>
          </w:p>
        </w:tc>
      </w:tr>
      <w:tr>
        <w:trPr>
          <w:trHeight w:val="414"/>
        </w:trPr>
        <w:tc>
          <w:tcPr>
            <w:tcW w:w="170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0</w:t>
            </w:r>
          </w:p>
        </w:tc>
        <w:tc>
          <w:tcPr>
            <w:tcW w:w="164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spacing w:after="0"/>
              <w:rPr>
                <w:sz w:val="19"/>
                <w:szCs w:val="19"/>
                <w:color w:val="auto"/>
              </w:rPr>
            </w:pPr>
          </w:p>
        </w:tc>
        <w:tc>
          <w:tcPr>
            <w:tcW w:w="1720" w:type="dxa"/>
            <w:vAlign w:val="bottom"/>
            <w:tcBorders>
              <w:right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color w:val="auto"/>
              </w:rPr>
              <w:t>8</w:t>
            </w:r>
          </w:p>
        </w:tc>
        <w:tc>
          <w:tcPr>
            <w:tcW w:w="6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64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8,141,988</w:t>
            </w:r>
          </w:p>
        </w:tc>
        <w:tc>
          <w:tcPr>
            <w:tcW w:w="164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7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640" w:type="dxa"/>
            <w:vAlign w:val="bottom"/>
          </w:tcPr>
          <w:p>
            <w:pPr>
              <w:spacing w:after="0"/>
              <w:rPr>
                <w:sz w:val="19"/>
                <w:szCs w:val="19"/>
                <w:color w:val="auto"/>
              </w:rPr>
            </w:pPr>
          </w:p>
        </w:tc>
      </w:tr>
      <w:tr>
        <w:trPr>
          <w:trHeight w:val="414"/>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Times New Roman" w:cs="Times New Roman" w:eastAsia="Times New Roman" w:hAnsi="Times New Roman"/>
                <w:sz w:val="18"/>
                <w:szCs w:val="18"/>
                <w:color w:val="auto"/>
              </w:rPr>
              <w:t>8,141,988</w:t>
            </w:r>
          </w:p>
        </w:tc>
        <w:tc>
          <w:tcPr>
            <w:tcW w:w="61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r>
      <w:tr>
        <w:trPr>
          <w:trHeight w:val="277"/>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tc>
        <w:tc>
          <w:tcPr>
            <w:tcW w:w="1640" w:type="dxa"/>
            <w:vAlign w:val="bottom"/>
          </w:tcPr>
          <w:p>
            <w:pPr>
              <w:ind w:left="72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0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gridSpan w:val="2"/>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r>
      <w:tr>
        <w:trPr>
          <w:trHeight w:val="228"/>
        </w:trPr>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11</w:t>
            </w:r>
          </w:p>
        </w:tc>
        <w:tc>
          <w:tcPr>
            <w:tcW w:w="7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tc>
        <w:tc>
          <w:tcPr>
            <w:tcW w:w="1640" w:type="dxa"/>
            <w:vAlign w:val="bottom"/>
          </w:tcPr>
          <w:p>
            <w:pPr>
              <w:spacing w:after="0"/>
              <w:rPr>
                <w:sz w:val="19"/>
                <w:szCs w:val="19"/>
                <w:color w:val="auto"/>
              </w:rPr>
            </w:pPr>
          </w:p>
        </w:tc>
      </w:tr>
    </w:tbl>
    <w:p>
      <w:pPr>
        <w:spacing w:after="0" w:line="179"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18"/>
          <w:szCs w:val="18"/>
          <w:color w:val="auto"/>
        </w:rPr>
        <w:t>19.4%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17145</wp:posOffset>
            </wp:positionV>
            <wp:extent cx="35115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7" w:lineRule="exact"/>
        <w:rPr>
          <w:sz w:val="20"/>
          <w:szCs w:val="20"/>
          <w:color w:val="auto"/>
        </w:rPr>
      </w:pPr>
    </w:p>
    <w:p>
      <w:pPr>
        <w:ind w:left="2280" w:right="6900" w:hanging="1512"/>
        <w:spacing w:after="0" w:line="527" w:lineRule="auto"/>
        <w:tabs>
          <w:tab w:leader="none" w:pos="1839"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-294005</wp:posOffset>
            </wp:positionV>
            <wp:extent cx="8890" cy="1631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-294005</wp:posOffset>
            </wp:positionV>
            <wp:extent cx="889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1085215</wp:posOffset>
            </wp:positionH>
            <wp:positionV relativeFrom="paragraph">
              <wp:posOffset>-294005</wp:posOffset>
            </wp:positionV>
            <wp:extent cx="889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6785610</wp:posOffset>
            </wp:positionH>
            <wp:positionV relativeFrom="paragraph">
              <wp:posOffset>-294005</wp:posOffset>
            </wp:positionV>
            <wp:extent cx="351155"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51155" cy="163195"/>
                    </a:xfrm>
                    <a:prstGeom prst="rect">
                      <a:avLst/>
                    </a:prstGeom>
                    <a:noFill/>
                  </pic:spPr>
                </pic:pic>
              </a:graphicData>
            </a:graphic>
          </wp:anchor>
        </w:drawing>
      </w: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1(a).</w:t>
            </w: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Name of Issuer:</w:t>
            </w:r>
          </w:p>
        </w:tc>
      </w:tr>
      <w:tr>
        <w:trPr>
          <w:trHeight w:val="432"/>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Repare Therapeutics Inc., a Canada corporation (the “Issuer”).</w:t>
            </w:r>
          </w:p>
        </w:tc>
      </w:tr>
      <w:tr>
        <w:trPr>
          <w:trHeight w:val="432"/>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1(b).</w:t>
            </w: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Address of Issuer’s Principal Executive Offices:</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7210 Frederick-Banting, Suite 100</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St-Laurent, Québec, Canada H4S 2A1</w:t>
            </w:r>
          </w:p>
        </w:tc>
      </w:tr>
      <w:tr>
        <w:trPr>
          <w:trHeight w:val="414"/>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2(a).</w:t>
            </w: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Name of Person Filing</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2(b).</w:t>
            </w: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Address of Principal Business Office or, if None, Residence</w:t>
            </w:r>
          </w:p>
        </w:tc>
      </w:tr>
      <w:tr>
        <w:trPr>
          <w:trHeight w:val="234"/>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2(c).</w:t>
            </w: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Biotechnology Value Fund, L.P. (“BVF”)</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BVF I GP LLC (“BVF GP”)</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Biotechnology Value Fund II, L.P. (“BVF2”)</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BVF II GP LLC (“BVF2 GP”)</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Biotechnology Value Trading Fund OS LP (“Trading Fund OS”)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PO Box 309 Ugland House</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Grand Cayman, KY1-1104</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Cayman Islands</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Cayman Islands</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BVF Partners OS Ltd. (“Partners OS”)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PO Box 309 Ugland House</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Grand Cayman, KY1-1104</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Cayman Islands</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Cayman Islands</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BVF GP Holdings LLC (“BVF GPH”)</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414"/>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BVF Partners L.P. (“Partners”)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San Francisco, California 94104</w:t>
            </w:r>
          </w:p>
        </w:tc>
      </w:tr>
      <w:tr>
        <w:trPr>
          <w:trHeight w:val="234"/>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Citizenship: Delaware</w:t>
            </w:r>
          </w:p>
        </w:tc>
      </w:tr>
      <w:tr>
        <w:trPr>
          <w:trHeight w:val="324"/>
        </w:trPr>
        <w:tc>
          <w:tcPr>
            <w:tcW w:w="1020" w:type="dxa"/>
            <w:vAlign w:val="bottom"/>
            <w:tcBorders>
              <w:bottom w:val="single" w:sz="8" w:color="auto"/>
            </w:tcBorders>
          </w:tcPr>
          <w:p>
            <w:pPr>
              <w:spacing w:after="0"/>
              <w:rPr>
                <w:sz w:val="24"/>
                <w:szCs w:val="24"/>
                <w:color w:val="auto"/>
              </w:rPr>
            </w:pPr>
          </w:p>
        </w:tc>
        <w:tc>
          <w:tcPr>
            <w:tcW w:w="10220" w:type="dxa"/>
            <w:vAlign w:val="bottom"/>
            <w:tcBorders>
              <w:bottom w:val="single" w:sz="8" w:color="auto"/>
            </w:tcBorders>
          </w:tcPr>
          <w:p>
            <w:pPr>
              <w:ind w:left="4520"/>
              <w:spacing w:after="0"/>
              <w:rPr>
                <w:sz w:val="20"/>
                <w:szCs w:val="20"/>
                <w:color w:val="auto"/>
              </w:rPr>
            </w:pPr>
            <w:r>
              <w:rPr>
                <w:rFonts w:ascii="Times New Roman" w:cs="Times New Roman" w:eastAsia="Times New Roman" w:hAnsi="Times New Roman"/>
                <w:sz w:val="18"/>
                <w:szCs w:val="18"/>
                <w:color w:val="auto"/>
              </w:rPr>
              <w:t>12</w:t>
            </w:r>
          </w:p>
        </w:tc>
      </w:tr>
    </w:tbl>
    <w:p>
      <w:pPr>
        <w:sectPr>
          <w:pgSz w:w="11900" w:h="16838" w:orient="portrait"/>
          <w:cols w:equalWidth="0" w:num="1">
            <w:col w:w="11240"/>
          </w:cols>
          <w:pgMar w:left="320" w:top="220"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23"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BVF Inc.</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44 Montgomery St., 40th Floor</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San Francisco, California 94104</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Citizenship: Delaware</w:t>
      </w:r>
    </w:p>
    <w:p>
      <w:pPr>
        <w:spacing w:after="0" w:line="20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Mark N. Lampert (“Mr. Lampert”)</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44 Montgomery St., 40th Floor</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San Francisco, California 94104</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Citizenship: United States</w:t>
      </w:r>
    </w:p>
    <w:p>
      <w:pPr>
        <w:spacing w:after="0" w:line="20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Each of the foregoing is referred to as a “Reporting Person” and collectively as the “Reporting Persons.”</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2(d).</w:t>
      </w:r>
      <w:r>
        <w:rPr>
          <w:sz w:val="20"/>
          <w:szCs w:val="20"/>
          <w:color w:val="auto"/>
        </w:rPr>
        <w:tab/>
      </w:r>
      <w:r>
        <w:rPr>
          <w:rFonts w:ascii="Times New Roman" w:cs="Times New Roman" w:eastAsia="Times New Roman" w:hAnsi="Times New Roman"/>
          <w:sz w:val="17"/>
          <w:szCs w:val="17"/>
          <w:color w:val="auto"/>
        </w:rPr>
        <w:t>Title of Class of Securities: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 w:type="dxa"/>
            <w:vAlign w:val="bottom"/>
          </w:tcPr>
          <w:p>
            <w:pPr>
              <w:spacing w:after="0"/>
              <w:rPr>
                <w:sz w:val="20"/>
                <w:szCs w:val="20"/>
                <w:color w:val="auto"/>
              </w:rPr>
            </w:pPr>
          </w:p>
        </w:tc>
        <w:tc>
          <w:tcPr>
            <w:tcW w:w="10220" w:type="dxa"/>
            <w:vAlign w:val="bottom"/>
            <w:gridSpan w:val="3"/>
          </w:tcPr>
          <w:p>
            <w:pPr>
              <w:ind w:left="280"/>
              <w:spacing w:after="0"/>
              <w:rPr>
                <w:sz w:val="20"/>
                <w:szCs w:val="20"/>
                <w:color w:val="auto"/>
              </w:rPr>
            </w:pPr>
            <w:r>
              <w:rPr>
                <w:rFonts w:ascii="Times New Roman" w:cs="Times New Roman" w:eastAsia="Times New Roman" w:hAnsi="Times New Roman"/>
                <w:sz w:val="18"/>
                <w:szCs w:val="18"/>
                <w:color w:val="auto"/>
              </w:rPr>
              <w:t>Common Shares, no par value (the “Shares”).</w:t>
            </w:r>
          </w:p>
        </w:tc>
      </w:tr>
      <w:tr>
        <w:trPr>
          <w:trHeight w:val="432"/>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2(e).</w:t>
            </w:r>
          </w:p>
        </w:tc>
        <w:tc>
          <w:tcPr>
            <w:tcW w:w="17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CUSIP Number:</w:t>
            </w:r>
          </w:p>
        </w:tc>
        <w:tc>
          <w:tcPr>
            <w:tcW w:w="8480" w:type="dxa"/>
            <w:vAlign w:val="bottom"/>
          </w:tcPr>
          <w:p>
            <w:pPr>
              <w:spacing w:after="0"/>
              <w:rPr>
                <w:sz w:val="24"/>
                <w:szCs w:val="24"/>
                <w:color w:val="auto"/>
              </w:rPr>
            </w:pPr>
          </w:p>
        </w:tc>
      </w:tr>
      <w:tr>
        <w:trPr>
          <w:trHeight w:val="432"/>
        </w:trPr>
        <w:tc>
          <w:tcPr>
            <w:tcW w:w="1020" w:type="dxa"/>
            <w:vAlign w:val="bottom"/>
          </w:tcPr>
          <w:p>
            <w:pPr>
              <w:spacing w:after="0"/>
              <w:rPr>
                <w:sz w:val="24"/>
                <w:szCs w:val="24"/>
                <w:color w:val="auto"/>
              </w:rPr>
            </w:pPr>
          </w:p>
        </w:tc>
        <w:tc>
          <w:tcPr>
            <w:tcW w:w="1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760273102</w:t>
            </w:r>
          </w:p>
        </w:tc>
        <w:tc>
          <w:tcPr>
            <w:tcW w:w="620" w:type="dxa"/>
            <w:vAlign w:val="bottom"/>
          </w:tcPr>
          <w:p>
            <w:pPr>
              <w:spacing w:after="0"/>
              <w:rPr>
                <w:sz w:val="24"/>
                <w:szCs w:val="24"/>
                <w:color w:val="auto"/>
              </w:rPr>
            </w:pPr>
          </w:p>
        </w:tc>
        <w:tc>
          <w:tcPr>
            <w:tcW w:w="8480" w:type="dxa"/>
            <w:vAlign w:val="bottom"/>
          </w:tcPr>
          <w:p>
            <w:pPr>
              <w:spacing w:after="0"/>
              <w:rPr>
                <w:sz w:val="24"/>
                <w:szCs w:val="24"/>
                <w:color w:val="auto"/>
              </w:rPr>
            </w:pPr>
          </w:p>
        </w:tc>
      </w:tr>
      <w:tr>
        <w:trPr>
          <w:trHeight w:val="432"/>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Item 3.</w:t>
            </w:r>
          </w:p>
        </w:tc>
        <w:tc>
          <w:tcPr>
            <w:tcW w:w="10220" w:type="dxa"/>
            <w:vAlign w:val="bottom"/>
            <w:gridSpan w:val="3"/>
          </w:tcPr>
          <w:p>
            <w:pPr>
              <w:ind w:left="280"/>
              <w:spacing w:after="0"/>
              <w:rPr>
                <w:sz w:val="20"/>
                <w:szCs w:val="20"/>
                <w:color w:val="auto"/>
              </w:rPr>
            </w:pPr>
            <w:r>
              <w:rPr>
                <w:rFonts w:ascii="Times New Roman" w:cs="Times New Roman" w:eastAsia="Times New Roman" w:hAnsi="Times New Roman"/>
                <w:sz w:val="18"/>
                <w:szCs w:val="18"/>
                <w:color w:val="auto"/>
              </w:rPr>
              <w:t>If This Statement is Filed Pursuant to Rule 13d-1(b), or 13d-2(b) or (c), Check Whether the Person Filing is a:</w:t>
            </w:r>
          </w:p>
        </w:tc>
      </w:tr>
      <w:tr>
        <w:trPr>
          <w:trHeight w:val="432"/>
        </w:trPr>
        <w:tc>
          <w:tcPr>
            <w:tcW w:w="10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/x/</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Not applicable.</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Broker or dealer registered under Section 15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(b)</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Bank as defined in Section 3(a)(6)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Insurance company as defined in Section 3(a)(19)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Investment company registered under Section 8 of the Investment Company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(e)</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An investment adviser in accordance with Rule 13d-1(b)(1)(ii)(E).</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(f)</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An employee benefit plan or endowment fund in accordance with Rule 13d-1(b)(1)(ii)(F).</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(g)</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 parent holding company or control person in accordance with Rule 13d-1(b)(1)(ii)(G).</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(h)</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 savings association as defined in Section 3(b) of the Federal Deposit Insurance Act.</w:t>
            </w:r>
          </w:p>
        </w:tc>
      </w:tr>
      <w:tr>
        <w:trPr>
          <w:trHeight w:val="414"/>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(i)</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 church plan that is excluded from the definition of an investment company under Section 3(c)(14) of the</w:t>
            </w:r>
          </w:p>
        </w:tc>
      </w:tr>
      <w:tr>
        <w:trPr>
          <w:trHeight w:val="234"/>
        </w:trPr>
        <w:tc>
          <w:tcPr>
            <w:tcW w:w="10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Investment Company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(j)</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Group, in accordance with Rule 13d-1(b)(1)(ii)(J).</w:t>
            </w:r>
          </w:p>
        </w:tc>
      </w:tr>
      <w:tr>
        <w:trPr>
          <w:trHeight w:val="414"/>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(k)</w:t>
            </w:r>
          </w:p>
        </w:tc>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w:t>
            </w: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Group, in accordance with Rule 240.13d-1(b)(1)(ii)(K). If filing as a non-U.S. institution in accordance with</w:t>
            </w:r>
          </w:p>
        </w:tc>
      </w:tr>
      <w:tr>
        <w:trPr>
          <w:trHeight w:val="234"/>
        </w:trPr>
        <w:tc>
          <w:tcPr>
            <w:tcW w:w="10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Rule 240.13d-1(b)(1)(ii)(J), please specify the type of institution: ____</w:t>
            </w:r>
          </w:p>
        </w:tc>
      </w:tr>
      <w:tr>
        <w:trPr>
          <w:trHeight w:val="324"/>
        </w:trPr>
        <w:tc>
          <w:tcPr>
            <w:tcW w:w="10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480" w:type="dxa"/>
            <w:vAlign w:val="bottom"/>
            <w:tcBorders>
              <w:bottom w:val="single" w:sz="8" w:color="auto"/>
            </w:tcBorders>
          </w:tcPr>
          <w:p>
            <w:pPr>
              <w:ind w:left="2780"/>
              <w:spacing w:after="0"/>
              <w:rPr>
                <w:sz w:val="20"/>
                <w:szCs w:val="20"/>
                <w:color w:val="auto"/>
              </w:rPr>
            </w:pPr>
            <w:r>
              <w:rPr>
                <w:rFonts w:ascii="Times New Roman" w:cs="Times New Roman" w:eastAsia="Times New Roman" w:hAnsi="Times New Roman"/>
                <w:sz w:val="18"/>
                <w:szCs w:val="18"/>
                <w:color w:val="auto"/>
              </w:rPr>
              <w:t>13</w:t>
            </w:r>
          </w:p>
        </w:tc>
      </w:tr>
    </w:tbl>
    <w:p>
      <w:pPr>
        <w:sectPr>
          <w:pgSz w:w="11900" w:h="16838" w:orient="portrait"/>
          <w:cols w:equalWidth="0" w:num="1">
            <w:col w:w="11240"/>
          </w:cols>
          <w:pgMar w:left="320" w:top="220"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23"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4.</w:t>
      </w:r>
      <w:r>
        <w:rPr>
          <w:sz w:val="20"/>
          <w:szCs w:val="20"/>
          <w:color w:val="auto"/>
        </w:rPr>
        <w:tab/>
      </w:r>
      <w:r>
        <w:rPr>
          <w:rFonts w:ascii="Times New Roman" w:cs="Times New Roman" w:eastAsia="Times New Roman" w:hAnsi="Times New Roman"/>
          <w:sz w:val="18"/>
          <w:szCs w:val="18"/>
          <w:color w:val="auto"/>
        </w:rPr>
        <w:t>Ownership</w:t>
      </w:r>
    </w:p>
    <w:p>
      <w:pPr>
        <w:spacing w:after="0" w:line="225" w:lineRule="exact"/>
        <w:rPr>
          <w:sz w:val="20"/>
          <w:szCs w:val="20"/>
          <w:color w:val="auto"/>
        </w:rPr>
      </w:pPr>
    </w:p>
    <w:p>
      <w:pPr>
        <w:ind w:left="1300" w:hanging="644"/>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 beneficially owned:</w:t>
      </w:r>
    </w:p>
    <w:p>
      <w:pPr>
        <w:spacing w:after="0" w:line="225" w:lineRule="exact"/>
        <w:rPr>
          <w:rFonts w:ascii="Times New Roman" w:cs="Times New Roman" w:eastAsia="Times New Roman" w:hAnsi="Times New Roman"/>
          <w:sz w:val="18"/>
          <w:szCs w:val="18"/>
          <w:color w:val="auto"/>
        </w:rPr>
      </w:pPr>
    </w:p>
    <w:p>
      <w:pPr>
        <w:ind w:left="13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of the close of business on June 6, 2022, (i) BVF beneficially owned 4,368,757 Shares, (ii) BVF2 beneficially owned 3,231,579 Shares and (iii) Trading Fund OS beneficially owned 406,436 Shares.</w:t>
      </w:r>
    </w:p>
    <w:p>
      <w:pPr>
        <w:spacing w:after="0" w:line="161" w:lineRule="exact"/>
        <w:rPr>
          <w:rFonts w:ascii="Times New Roman" w:cs="Times New Roman" w:eastAsia="Times New Roman" w:hAnsi="Times New Roman"/>
          <w:sz w:val="18"/>
          <w:szCs w:val="18"/>
          <w:color w:val="auto"/>
        </w:rPr>
      </w:pPr>
    </w:p>
    <w:p>
      <w:pPr>
        <w:ind w:left="1300" w:right="540"/>
        <w:spacing w:after="0" w:line="5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BVF GP, as the general partner of BVF, may be deemed to beneficially own the 4,368,757 Shares beneficially owned by BVF. BVF2 GP, as the general partner of BVF2, may be deemed to beneficially own the 3,231,579 Shares beneficially owned by BVF2.</w:t>
      </w:r>
    </w:p>
    <w:p>
      <w:pPr>
        <w:ind w:left="1300" w:right="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Partners OS, as the general partner of Trading Fund OS, may be deemed to beneficially own the 406,436 Shares beneficially owned by Trading Fund OS.</w:t>
      </w:r>
    </w:p>
    <w:p>
      <w:pPr>
        <w:spacing w:after="0" w:line="161" w:lineRule="exact"/>
        <w:rPr>
          <w:rFonts w:ascii="Times New Roman" w:cs="Times New Roman" w:eastAsia="Times New Roman" w:hAnsi="Times New Roman"/>
          <w:sz w:val="18"/>
          <w:szCs w:val="18"/>
          <w:color w:val="auto"/>
        </w:rPr>
      </w:pPr>
    </w:p>
    <w:p>
      <w:pPr>
        <w:ind w:left="13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BVF GPH, as the sole member of each of BVF GP and BVF2 GP, may be deemed to beneficially own the 7,600,336 Shares beneficially owned in the aggregate by BVF and BVF2.</w:t>
      </w:r>
    </w:p>
    <w:p>
      <w:pPr>
        <w:spacing w:after="0" w:line="161" w:lineRule="exact"/>
        <w:rPr>
          <w:rFonts w:ascii="Times New Roman" w:cs="Times New Roman" w:eastAsia="Times New Roman" w:hAnsi="Times New Roman"/>
          <w:sz w:val="18"/>
          <w:szCs w:val="18"/>
          <w:color w:val="auto"/>
        </w:rPr>
      </w:pPr>
    </w:p>
    <w:p>
      <w:pPr>
        <w:jc w:val="both"/>
        <w:ind w:left="130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Partners, as the investment manager of BVF, BVF2 and Trading Fund OS, and the sole member of Partners OS, may be deemed to beneficially own the 8,141,988 Shares beneficially owned in the aggregate by BVF, BVF2 and Trading Fund OS and held in a certain Partners managed account (the “Partners Managed Account”), including 135,216 Shares held in the Partners Managed Account.</w:t>
      </w:r>
    </w:p>
    <w:p>
      <w:pPr>
        <w:spacing w:after="0" w:line="175" w:lineRule="exact"/>
        <w:rPr>
          <w:rFonts w:ascii="Times New Roman" w:cs="Times New Roman" w:eastAsia="Times New Roman" w:hAnsi="Times New Roman"/>
          <w:sz w:val="18"/>
          <w:szCs w:val="18"/>
          <w:color w:val="auto"/>
        </w:rPr>
      </w:pPr>
    </w:p>
    <w:p>
      <w:pPr>
        <w:ind w:left="13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BVF Inc., as the general partner of Partners, may be deemed to beneficially own the 8,141,988 Shares beneficially owned by Partners.</w:t>
      </w:r>
    </w:p>
    <w:p>
      <w:pPr>
        <w:spacing w:after="0" w:line="225" w:lineRule="exact"/>
        <w:rPr>
          <w:rFonts w:ascii="Times New Roman" w:cs="Times New Roman" w:eastAsia="Times New Roman" w:hAnsi="Times New Roman"/>
          <w:sz w:val="18"/>
          <w:szCs w:val="18"/>
          <w:color w:val="auto"/>
        </w:rPr>
      </w:pPr>
    </w:p>
    <w:p>
      <w:pPr>
        <w:ind w:left="13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Mr. Lampert, as a director and officer of BVF Inc., may be deemed to beneficially own the 8,141,988 Shares beneficially owned by BVF Inc.</w:t>
      </w:r>
    </w:p>
    <w:p>
      <w:pPr>
        <w:spacing w:after="0" w:line="161" w:lineRule="exact"/>
        <w:rPr>
          <w:rFonts w:ascii="Times New Roman" w:cs="Times New Roman" w:eastAsia="Times New Roman" w:hAnsi="Times New Roman"/>
          <w:sz w:val="18"/>
          <w:szCs w:val="18"/>
          <w:color w:val="auto"/>
        </w:rPr>
      </w:pPr>
    </w:p>
    <w:p>
      <w:pPr>
        <w:jc w:val="both"/>
        <w:ind w:left="130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foregoing should not be construed in and of itself as an admission by any Reporting Person as to beneficial ownership of any Shares owned by another Reporting Person. BVF GP disclaims beneficial ownership of the Shares beneficially owned by BVF. BVF2 GP disclaims beneficial ownership of the Shares beneficially owned by BVF2. Partners OS disclaims beneficial ownership of the Shares beneficially owned by Trading Fund OS. BVF GPH disclaims beneficial ownership of the Shares beneficially owned by BVF and BVF2. Each of Partners, BVF Inc. and Mr. Lampert disclaims beneficial ownership of the Shares beneficially owned by BVF, BVF2 and Trading Fund OS and held in the Partners Managed Account, and the filing of this statement shall not be construed as an admission that any such person or entity is the beneficial owner of any such securities.</w:t>
      </w:r>
    </w:p>
    <w:p>
      <w:pPr>
        <w:spacing w:after="0" w:line="188"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w:t>
      </w:r>
    </w:p>
    <w:p>
      <w:pPr>
        <w:spacing w:after="0" w:line="225" w:lineRule="exact"/>
        <w:rPr>
          <w:sz w:val="20"/>
          <w:szCs w:val="20"/>
          <w:color w:val="auto"/>
        </w:rPr>
      </w:pPr>
    </w:p>
    <w:p>
      <w:pPr>
        <w:ind w:left="1300"/>
        <w:spacing w:after="0" w:line="282" w:lineRule="auto"/>
        <w:rPr>
          <w:sz w:val="20"/>
          <w:szCs w:val="20"/>
          <w:color w:val="auto"/>
        </w:rPr>
      </w:pPr>
      <w:r>
        <w:rPr>
          <w:rFonts w:ascii="Times New Roman" w:cs="Times New Roman" w:eastAsia="Times New Roman" w:hAnsi="Times New Roman"/>
          <w:sz w:val="18"/>
          <w:szCs w:val="18"/>
          <w:color w:val="auto"/>
        </w:rPr>
        <w:t>The following percentages are based on 41,894,235 Shares outstanding as of May 5, 2022, as disclosed in the Issuer’s Quarterly Report on Form 10-Q filed with the Securities and Exchange Commission on May 5, 2022.</w:t>
      </w:r>
    </w:p>
    <w:p>
      <w:pPr>
        <w:spacing w:after="0" w:line="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23" w:lineRule="exact"/>
        <w:rPr>
          <w:sz w:val="20"/>
          <w:szCs w:val="20"/>
          <w:color w:val="auto"/>
        </w:rPr>
      </w:pPr>
    </w:p>
    <w:p>
      <w:pPr>
        <w:jc w:val="both"/>
        <w:ind w:left="1300"/>
        <w:spacing w:after="0" w:line="255" w:lineRule="auto"/>
        <w:rPr>
          <w:sz w:val="20"/>
          <w:szCs w:val="20"/>
          <w:color w:val="auto"/>
        </w:rPr>
      </w:pPr>
      <w:r>
        <w:rPr>
          <w:rFonts w:ascii="Times New Roman" w:cs="Times New Roman" w:eastAsia="Times New Roman" w:hAnsi="Times New Roman"/>
          <w:sz w:val="18"/>
          <w:szCs w:val="18"/>
          <w:color w:val="auto"/>
        </w:rPr>
        <w:t>As of the close of business on June 6, 2022, (i) BVF beneficially owned approximately 10.4% of the outstanding Shares, (ii) BVF2 beneficially owned approximately 7.7% of the outstanding Shares, (iii) Trading Fund OS beneficially owned less than 1% of the outstanding Shares, (iv) BVF GP may be deemed to beneficially own approximately 10.4% of the outstanding Shares, (v) BVF2 GP may be deemed to beneficially own approximately 7.7% of the outstanding Shares, (vi) Partners OS may be deemed to beneficially own less than 1% of the outstanding Shares, (vii) BVF GPH may be deemed to beneficially own approximately 18.1% of the outstanding Shares, and (viii) each of Partners, BVF Inc. and Mr. Lampert may be deemed to beneficially own approximately 19.4% of the outstanding Shares (less than 1% of the outstanding Shares are held in the Partners Managed Account).</w:t>
      </w:r>
    </w:p>
    <w:p>
      <w:pPr>
        <w:spacing w:after="0" w:line="189" w:lineRule="exact"/>
        <w:rPr>
          <w:sz w:val="20"/>
          <w:szCs w:val="20"/>
          <w:color w:val="auto"/>
        </w:rPr>
      </w:pPr>
    </w:p>
    <w:p>
      <w:pPr>
        <w:ind w:left="1300" w:hanging="644"/>
        <w:spacing w:after="0"/>
        <w:tabs>
          <w:tab w:leader="none" w:pos="13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Number of shares as to which such person has:</w:t>
      </w:r>
    </w:p>
    <w:p>
      <w:pPr>
        <w:spacing w:after="0" w:line="225" w:lineRule="exact"/>
        <w:rPr>
          <w:sz w:val="20"/>
          <w:szCs w:val="20"/>
          <w:color w:val="auto"/>
        </w:rPr>
      </w:pPr>
    </w:p>
    <w:p>
      <w:pPr>
        <w:ind w:left="1300" w:right="7120" w:hanging="644"/>
        <w:spacing w:after="0" w:line="500" w:lineRule="auto"/>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vote or to direct the vote See Cover Pages Items 5-9.</w:t>
      </w:r>
    </w:p>
    <w:p>
      <w:pPr>
        <w:spacing w:after="0" w:line="1" w:lineRule="exact"/>
        <w:rPr>
          <w:rFonts w:ascii="Times New Roman" w:cs="Times New Roman" w:eastAsia="Times New Roman" w:hAnsi="Times New Roman"/>
          <w:sz w:val="18"/>
          <w:szCs w:val="18"/>
          <w:color w:val="auto"/>
        </w:rPr>
      </w:pPr>
    </w:p>
    <w:p>
      <w:pPr>
        <w:ind w:left="1300" w:right="6940" w:hanging="644"/>
        <w:spacing w:after="0" w:line="500" w:lineRule="auto"/>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vote or to direct the vote See Cover Pages Items 5-9.</w:t>
      </w:r>
    </w:p>
    <w:p>
      <w:pPr>
        <w:spacing w:after="0" w:line="1" w:lineRule="exact"/>
        <w:rPr>
          <w:rFonts w:ascii="Times New Roman" w:cs="Times New Roman" w:eastAsia="Times New Roman" w:hAnsi="Times New Roman"/>
          <w:sz w:val="18"/>
          <w:szCs w:val="18"/>
          <w:color w:val="auto"/>
        </w:rPr>
      </w:pPr>
    </w:p>
    <w:p>
      <w:pPr>
        <w:ind w:left="1300" w:right="6220" w:hanging="644"/>
        <w:spacing w:after="0" w:line="500" w:lineRule="auto"/>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 See Cover Pages Items 5-9.</w:t>
      </w:r>
    </w:p>
    <w:p>
      <w:pPr>
        <w:spacing w:after="0" w:line="1" w:lineRule="exact"/>
        <w:rPr>
          <w:rFonts w:ascii="Times New Roman" w:cs="Times New Roman" w:eastAsia="Times New Roman" w:hAnsi="Times New Roman"/>
          <w:sz w:val="18"/>
          <w:szCs w:val="18"/>
          <w:color w:val="auto"/>
        </w:rPr>
      </w:pPr>
    </w:p>
    <w:p>
      <w:pPr>
        <w:ind w:left="1300" w:right="6040" w:hanging="644"/>
        <w:spacing w:after="0" w:line="500" w:lineRule="auto"/>
        <w:tabs>
          <w:tab w:leader="none" w:pos="13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 See Cover Pages Items 5-9.</w:t>
      </w:r>
    </w:p>
    <w:p>
      <w:pPr>
        <w:spacing w:after="0" w:line="2"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5.</w:t>
      </w:r>
      <w:r>
        <w:rPr>
          <w:sz w:val="20"/>
          <w:szCs w:val="20"/>
          <w:color w:val="auto"/>
        </w:rPr>
        <w:tab/>
      </w:r>
      <w:r>
        <w:rPr>
          <w:rFonts w:ascii="Times New Roman" w:cs="Times New Roman" w:eastAsia="Times New Roman" w:hAnsi="Times New Roman"/>
          <w:sz w:val="17"/>
          <w:szCs w:val="17"/>
          <w:color w:val="auto"/>
        </w:rPr>
        <w:t>Ownership of Five Percent or Less of a Class.</w:t>
      </w:r>
    </w:p>
    <w:p>
      <w:pPr>
        <w:spacing w:after="0" w:line="22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6.</w:t>
      </w:r>
      <w:r>
        <w:rPr>
          <w:sz w:val="20"/>
          <w:szCs w:val="20"/>
          <w:color w:val="auto"/>
        </w:rPr>
        <w:tab/>
      </w:r>
      <w:r>
        <w:rPr>
          <w:rFonts w:ascii="Times New Roman" w:cs="Times New Roman" w:eastAsia="Times New Roman" w:hAnsi="Times New Roman"/>
          <w:sz w:val="17"/>
          <w:szCs w:val="17"/>
          <w:color w:val="auto"/>
        </w:rPr>
        <w:t>Ownership of More than Five Percent on Behalf of Another Person.</w:t>
      </w:r>
    </w:p>
    <w:p>
      <w:pPr>
        <w:spacing w:after="0" w:line="225" w:lineRule="exact"/>
        <w:rPr>
          <w:sz w:val="20"/>
          <w:szCs w:val="20"/>
          <w:color w:val="auto"/>
        </w:rPr>
      </w:pPr>
    </w:p>
    <w:p>
      <w:pPr>
        <w:jc w:val="both"/>
        <w:ind w:left="1300"/>
        <w:spacing w:after="0" w:line="261" w:lineRule="auto"/>
        <w:rPr>
          <w:sz w:val="20"/>
          <w:szCs w:val="20"/>
          <w:color w:val="auto"/>
        </w:rPr>
      </w:pPr>
      <w:r>
        <w:rPr>
          <w:rFonts w:ascii="Times New Roman" w:cs="Times New Roman" w:eastAsia="Times New Roman" w:hAnsi="Times New Roman"/>
          <w:sz w:val="18"/>
          <w:szCs w:val="18"/>
          <w:color w:val="auto"/>
        </w:rPr>
        <w:t>BVF GP, BVF GPH, Partners, BVF Inc. and Mr. Lampert share voting and dispositive power over the Shares beneficially owned by BVF. BVF2 GP, BVF GPH, Partners, BVF Inc. and Mr. Lampert share voting and dispositive power over the Shares beneficially owned by BVF2. Partners, BVF Inc., and Mr. Lampert share voting and dispositive power over the Shares beneficially owned by Trading Fund OS and held in the Partners Managed Account.</w:t>
      </w:r>
    </w:p>
    <w:p>
      <w:pPr>
        <w:spacing w:after="0" w:line="180" w:lineRule="exact"/>
        <w:rPr>
          <w:sz w:val="20"/>
          <w:szCs w:val="20"/>
          <w:color w:val="auto"/>
        </w:rPr>
      </w:pPr>
    </w:p>
    <w:p>
      <w:pPr>
        <w:ind w:left="1300" w:hanging="1295"/>
        <w:spacing w:after="0" w:line="282" w:lineRule="auto"/>
        <w:tabs>
          <w:tab w:leader="none" w:pos="1280" w:val="left"/>
        </w:tabs>
        <w:rPr>
          <w:sz w:val="20"/>
          <w:szCs w:val="20"/>
          <w:color w:val="auto"/>
        </w:rPr>
      </w:pPr>
      <w:r>
        <w:rPr>
          <w:rFonts w:ascii="Times New Roman" w:cs="Times New Roman" w:eastAsia="Times New Roman" w:hAnsi="Times New Roman"/>
          <w:sz w:val="18"/>
          <w:szCs w:val="18"/>
          <w:color w:val="auto"/>
        </w:rPr>
        <w:t>Item 7.</w:t>
      </w:r>
      <w:r>
        <w:rPr>
          <w:sz w:val="20"/>
          <w:szCs w:val="20"/>
          <w:color w:val="auto"/>
        </w:rPr>
        <w:tab/>
      </w:r>
      <w:r>
        <w:rPr>
          <w:rFonts w:ascii="Times New Roman" w:cs="Times New Roman" w:eastAsia="Times New Roman" w:hAnsi="Times New Roman"/>
          <w:sz w:val="18"/>
          <w:szCs w:val="18"/>
          <w:color w:val="auto"/>
        </w:rPr>
        <w:t>Identification and Classification of the Subsidiary That Acquired the Security Being Reported on by the Parent Holding Company or Control Person.</w:t>
      </w:r>
    </w:p>
    <w:p>
      <w:pPr>
        <w:spacing w:after="0" w:line="16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8.</w:t>
      </w:r>
      <w:r>
        <w:rPr>
          <w:sz w:val="20"/>
          <w:szCs w:val="20"/>
          <w:color w:val="auto"/>
        </w:rPr>
        <w:tab/>
      </w:r>
      <w:r>
        <w:rPr>
          <w:rFonts w:ascii="Times New Roman" w:cs="Times New Roman" w:eastAsia="Times New Roman" w:hAnsi="Times New Roman"/>
          <w:sz w:val="18"/>
          <w:szCs w:val="18"/>
          <w:color w:val="auto"/>
        </w:rPr>
        <w:t>Identification and Classification of Members of the Group.</w:t>
      </w:r>
    </w:p>
    <w:p>
      <w:pPr>
        <w:spacing w:after="0" w:line="22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See Exhibit 99.1 to the Schedule 13G filed with the Securities and Exchange Commission on June 29, 2020.</w:t>
      </w:r>
    </w:p>
    <w:p>
      <w:pPr>
        <w:spacing w:after="0" w:line="117"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23"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9.</w:t>
      </w:r>
      <w:r>
        <w:rPr>
          <w:sz w:val="20"/>
          <w:szCs w:val="20"/>
          <w:color w:val="auto"/>
        </w:rPr>
        <w:tab/>
      </w:r>
      <w:r>
        <w:rPr>
          <w:rFonts w:ascii="Times New Roman" w:cs="Times New Roman" w:eastAsia="Times New Roman" w:hAnsi="Times New Roman"/>
          <w:sz w:val="18"/>
          <w:szCs w:val="18"/>
          <w:color w:val="auto"/>
        </w:rPr>
        <w:t>Notice of Dissolution of Group.</w:t>
      </w:r>
    </w:p>
    <w:p>
      <w:pPr>
        <w:spacing w:after="0" w:line="22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color w:val="auto"/>
        </w:rPr>
        <w:t>Item 10.</w:t>
      </w:r>
      <w:r>
        <w:rPr>
          <w:sz w:val="20"/>
          <w:szCs w:val="20"/>
          <w:color w:val="auto"/>
        </w:rPr>
        <w:tab/>
      </w:r>
      <w:r>
        <w:rPr>
          <w:rFonts w:ascii="Times New Roman" w:cs="Times New Roman" w:eastAsia="Times New Roman" w:hAnsi="Times New Roman"/>
          <w:sz w:val="17"/>
          <w:szCs w:val="17"/>
          <w:color w:val="auto"/>
        </w:rPr>
        <w:t>Certifications.</w:t>
      </w:r>
    </w:p>
    <w:p>
      <w:pPr>
        <w:spacing w:after="0" w:line="225" w:lineRule="exact"/>
        <w:rPr>
          <w:sz w:val="20"/>
          <w:szCs w:val="20"/>
          <w:color w:val="auto"/>
        </w:rPr>
      </w:pPr>
    </w:p>
    <w:p>
      <w:pPr>
        <w:jc w:val="both"/>
        <w:ind w:firstLine="1296"/>
        <w:spacing w:after="0" w:line="266" w:lineRule="auto"/>
        <w:rPr>
          <w:sz w:val="20"/>
          <w:szCs w:val="20"/>
          <w:color w:val="auto"/>
        </w:rPr>
      </w:pPr>
      <w:r>
        <w:rPr>
          <w:rFonts w:ascii="Times New Roman" w:cs="Times New Roman" w:eastAsia="Times New Roman" w:hAnsi="Times New Roman"/>
          <w:sz w:val="18"/>
          <w:szCs w:val="18"/>
          <w:color w:val="auto"/>
        </w:rPr>
        <w:t>By signing below each of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0"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22"/>
          <w:szCs w:val="22"/>
          <w:color w:val="auto"/>
        </w:rPr>
        <w:t>CUSIP No. 760273102</w:t>
      </w: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SIGNATURE</w:t>
      </w:r>
    </w:p>
    <w:p>
      <w:pPr>
        <w:spacing w:after="0" w:line="225" w:lineRule="exact"/>
        <w:rPr>
          <w:sz w:val="20"/>
          <w:szCs w:val="20"/>
          <w:color w:val="auto"/>
        </w:rPr>
      </w:pPr>
    </w:p>
    <w:p>
      <w:pPr>
        <w:ind w:firstLine="1296"/>
        <w:spacing w:after="0" w:line="282" w:lineRule="auto"/>
        <w:rPr>
          <w:sz w:val="20"/>
          <w:szCs w:val="20"/>
          <w:color w:val="auto"/>
        </w:rPr>
      </w:pPr>
      <w:r>
        <w:rPr>
          <w:rFonts w:ascii="Times New Roman" w:cs="Times New Roman" w:eastAsia="Times New Roman" w:hAnsi="Times New Roman"/>
          <w:sz w:val="18"/>
          <w:szCs w:val="18"/>
          <w:color w:val="auto"/>
        </w:rPr>
        <w:t>After reasonable inquiry and to the best of his knowledge and belief, each of the undersigned certifies that the information set forth in this statement is true, complete and correct.</w:t>
      </w:r>
    </w:p>
    <w:p>
      <w:pPr>
        <w:sectPr>
          <w:pgSz w:w="11900" w:h="16838" w:orient="portrait"/>
          <w:cols w:equalWidth="0" w:num="1">
            <w:col w:w="11220"/>
          </w:cols>
          <w:pgMar w:left="320" w:top="220" w:right="359" w:bottom="1440"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6, 2022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BIOTECHNOLOGY VALUE FUND, L.P.</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BVF I GP LLC., its general partner</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306895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I GP LLC</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306895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068955" cy="8890"/>
                    </a:xfrm>
                    <a:prstGeom prst="rect">
                      <a:avLst/>
                    </a:prstGeom>
                    <a:noFill/>
                  </pic:spPr>
                </pic:pic>
              </a:graphicData>
            </a:graphic>
          </wp:anchor>
        </w:drawing>
      </w:r>
    </w:p>
    <w:p>
      <w:pPr>
        <w:spacing w:after="0" w:line="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BIOTECHNOLOGY VALUE FUND II, L.P.</w:t>
      </w:r>
    </w:p>
    <w:p>
      <w:pPr>
        <w:spacing w:after="0" w:line="237"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BVF II GP LLC, its general partner</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306895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II GP LLC</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306895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PARTNERS OS LTD.</w:t>
      </w:r>
    </w:p>
    <w:p>
      <w:pPr>
        <w:spacing w:after="0" w:line="2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BVF Partners L.P., its sole member</w:t>
      </w:r>
    </w:p>
    <w:p>
      <w:pPr>
        <w:spacing w:after="0" w:line="27"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BVF Inc., its general partner</w:t>
      </w:r>
    </w:p>
    <w:p>
      <w:pPr>
        <w:spacing w:after="0" w:line="220"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306895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President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BIOTECHNOLOGY VALUE TRADING FUND OS LP</w:t>
      </w:r>
    </w:p>
    <w:p>
      <w:pPr>
        <w:spacing w:after="0" w:line="237"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BVF Partners L.P., its investment manager</w:t>
      </w:r>
    </w:p>
    <w:p>
      <w:pPr>
        <w:spacing w:after="0" w:line="27"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BVF Inc., its general partner</w:t>
      </w:r>
    </w:p>
    <w:p>
      <w:pPr>
        <w:spacing w:after="0" w:line="220"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281305</wp:posOffset>
            </wp:positionH>
            <wp:positionV relativeFrom="paragraph">
              <wp:posOffset>17145</wp:posOffset>
            </wp:positionV>
            <wp:extent cx="327469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President</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GP HOLDINGS LLC</w:t>
      </w:r>
    </w:p>
    <w:p>
      <w:pPr>
        <w:spacing w:after="0" w:line="225"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3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281305</wp:posOffset>
            </wp:positionH>
            <wp:positionV relativeFrom="paragraph">
              <wp:posOffset>-127635</wp:posOffset>
            </wp:positionV>
            <wp:extent cx="327469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PARTNERS L.P.</w:t>
      </w:r>
    </w:p>
    <w:p>
      <w:pPr>
        <w:spacing w:after="0" w:line="225"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BVF Inc., its general partner</w:t>
      </w:r>
    </w:p>
    <w:p>
      <w:pPr>
        <w:spacing w:after="0" w:line="239"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281305</wp:posOffset>
            </wp:positionH>
            <wp:positionV relativeFrom="paragraph">
              <wp:posOffset>17145</wp:posOffset>
            </wp:positionV>
            <wp:extent cx="327469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Mark N. Lampert</w:t>
      </w:r>
    </w:p>
    <w:p>
      <w:pPr>
        <w:spacing w:after="0" w:line="2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President</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BVF INC.</w:t>
      </w:r>
    </w:p>
    <w:p>
      <w:pPr>
        <w:spacing w:after="0" w:line="225"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18"/>
          <w:szCs w:val="18"/>
          <w:color w:val="auto"/>
        </w:rPr>
        <w:t>By:</w:t>
        <w:tab/>
        <w:t>/s/ Mark N. Lampert</w:t>
      </w:r>
    </w:p>
    <w:p>
      <w:pPr>
        <w:spacing w:after="0" w:line="3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281305</wp:posOffset>
            </wp:positionH>
            <wp:positionV relativeFrom="paragraph">
              <wp:posOffset>-127635</wp:posOffset>
            </wp:positionV>
            <wp:extent cx="327469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President</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17145</wp:posOffset>
            </wp:positionV>
            <wp:extent cx="355727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MARK N. LAMPERT</w:t>
      </w:r>
    </w:p>
    <w:p>
      <w:pPr>
        <w:spacing w:after="0" w:line="1307" w:lineRule="exact"/>
        <w:rPr>
          <w:sz w:val="20"/>
          <w:szCs w:val="20"/>
          <w:color w:val="auto"/>
        </w:rPr>
      </w:pPr>
    </w:p>
    <w:p>
      <w:pPr>
        <w:sectPr>
          <w:pgSz w:w="11900" w:h="16838" w:orient="portrait"/>
          <w:cols w:equalWidth="0" w:num="2">
            <w:col w:w="4920" w:space="720"/>
            <w:col w:w="5580"/>
          </w:cols>
          <w:pgMar w:left="320" w:top="220" w:right="359" w:bottom="1440" w:gutter="0" w:footer="0" w:header="0"/>
          <w:type w:val="continuous"/>
        </w:sectPr>
      </w:pPr>
    </w:p>
    <w:p>
      <w:pPr>
        <w:spacing w:after="0" w:line="11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20"/>
      </w:cols>
      <w:pgMar w:left="32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1"/>
      <w:numFmt w:val="bullet"/>
      <w:start w:val="1"/>
    </w:lvl>
  </w:abstractNum>
  <w:abstractNum w:abstractNumId="4">
    <w:nsid w:val="515F007C"/>
    <w:multiLevelType w:val="hybridMultilevel"/>
    <w:lvl w:ilvl="0">
      <w:lvlJc w:val="left"/>
      <w:lvlText w:val="%1"/>
      <w:numFmt w:val="decimal"/>
      <w:start w:val="12"/>
    </w:lvl>
  </w:abstractNum>
  <w:abstractNum w:abstractNumId="5">
    <w:nsid w:val="5BD062C2"/>
    <w:multiLevelType w:val="hybridMultilevel"/>
    <w:lvl w:ilvl="0">
      <w:lvlJc w:val="left"/>
      <w:lvlText w:val="1"/>
      <w:numFmt w:val="bullet"/>
      <w:start w:val="1"/>
    </w:lvl>
  </w:abstractNum>
  <w:abstractNum w:abstractNumId="6">
    <w:nsid w:val="12200854"/>
    <w:multiLevelType w:val="hybridMultilevel"/>
    <w:lvl w:ilvl="0">
      <w:lvlJc w:val="left"/>
      <w:lvlText w:val="3"/>
      <w:numFmt w:val="bullet"/>
      <w:start w:val="1"/>
    </w:lvl>
  </w:abstractNum>
  <w:abstractNum w:abstractNumId="7">
    <w:nsid w:val="4DB127F8"/>
    <w:multiLevelType w:val="hybridMultilevel"/>
    <w:lvl w:ilvl="0">
      <w:lvlJc w:val="left"/>
      <w:lvlText w:val="4"/>
      <w:numFmt w:val="bullet"/>
      <w:start w:val="1"/>
    </w:lvl>
  </w:abstractNum>
  <w:abstractNum w:abstractNumId="8">
    <w:nsid w:val="216231B"/>
    <w:multiLevelType w:val="hybridMultilevel"/>
    <w:lvl w:ilvl="0">
      <w:lvlJc w:val="left"/>
      <w:lvlText w:val="%1"/>
      <w:numFmt w:val="decimal"/>
      <w:start w:val="12"/>
    </w:lvl>
  </w:abstractNum>
  <w:abstractNum w:abstractNumId="9">
    <w:nsid w:val="1F16E9E8"/>
    <w:multiLevelType w:val="hybridMultilevel"/>
    <w:lvl w:ilvl="0">
      <w:lvlJc w:val="left"/>
      <w:lvlText w:val="(%1)"/>
      <w:numFmt w:val="lowerLetter"/>
      <w:start w:val="1"/>
    </w:lvl>
  </w:abstractNum>
  <w:abstractNum w:abstractNumId="10">
    <w:nsid w:val="1190CDE7"/>
    <w:multiLevelType w:val="hybridMultilevel"/>
    <w:lvl w:ilvl="0">
      <w:lvlJc w:val="left"/>
      <w:lvlText w:val="(%1)"/>
      <w:numFmt w:val="lowerLetter"/>
      <w:start w:val="3"/>
    </w:lvl>
  </w:abstractNum>
  <w:abstractNum w:abstractNumId="11">
    <w:nsid w:val="66EF438D"/>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2022-06-06T16:28:05Z</dcterms:created>
  <dcterms:modified xsi:type="dcterms:W3CDTF">2022-06-06T16:28:05Z</dcterms:modified>
</cp:coreProperties>
</file>