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340"/>
        <w:spacing w:after="0" w:line="233" w:lineRule="auto"/>
        <w:rPr>
          <w:sz w:val="20"/>
          <w:szCs w:val="20"/>
          <w:color w:val="auto"/>
        </w:rPr>
      </w:pPr>
      <w:r>
        <w:rPr>
          <w:rFonts w:ascii="Arial" w:cs="Arial" w:eastAsia="Arial" w:hAnsi="Arial"/>
          <w:sz w:val="14"/>
          <w:szCs w:val="14"/>
          <w:b w:val="1"/>
          <w:bCs w:val="1"/>
          <w:color w:val="auto"/>
        </w:rPr>
        <w:t>As confidentially submitted to the Securities and Exchange Commission on May 11, 2020. This Amendment No. 1 to the draft registration statement has not been publicly filed with the Securities and Exchange Commission and all information herein remains strictly confidential.</w:t>
      </w:r>
    </w:p>
    <w:p>
      <w:pPr>
        <w:ind w:left="9520"/>
        <w:spacing w:after="0"/>
        <w:rPr>
          <w:sz w:val="20"/>
          <w:szCs w:val="20"/>
          <w:color w:val="auto"/>
        </w:rPr>
      </w:pPr>
      <w:r>
        <w:rPr>
          <w:rFonts w:ascii="Arial" w:cs="Arial" w:eastAsia="Arial" w:hAnsi="Arial"/>
          <w:sz w:val="14"/>
          <w:szCs w:val="14"/>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133350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125730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Repare Therapeutics Inc.</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9"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5"/>
              </w:rPr>
              <w:t>Canada (Federal)</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Not applicable</w:t>
            </w:r>
          </w:p>
        </w:tc>
      </w:tr>
      <w:tr>
        <w:trPr>
          <w:trHeight w:val="148"/>
        </w:trPr>
        <w:tc>
          <w:tcPr>
            <w:tcW w:w="28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7210 Frederick-Banting, Suite 100</w:t>
      </w:r>
    </w:p>
    <w:p>
      <w:pPr>
        <w:jc w:val="center"/>
        <w:spacing w:after="0" w:line="226" w:lineRule="auto"/>
        <w:rPr>
          <w:sz w:val="20"/>
          <w:szCs w:val="20"/>
          <w:color w:val="auto"/>
        </w:rPr>
      </w:pPr>
      <w:r>
        <w:rPr>
          <w:rFonts w:ascii="Arial" w:cs="Arial" w:eastAsia="Arial" w:hAnsi="Arial"/>
          <w:sz w:val="14"/>
          <w:szCs w:val="14"/>
          <w:b w:val="1"/>
          <w:bCs w:val="1"/>
          <w:color w:val="auto"/>
        </w:rPr>
        <w:t>St-Laurent, Québec, Canada H4S 2A1</w:t>
      </w:r>
    </w:p>
    <w:p>
      <w:pPr>
        <w:jc w:val="center"/>
        <w:spacing w:after="0" w:line="221" w:lineRule="auto"/>
        <w:rPr>
          <w:sz w:val="20"/>
          <w:szCs w:val="20"/>
          <w:color w:val="auto"/>
        </w:rPr>
      </w:pPr>
      <w:r>
        <w:rPr>
          <w:rFonts w:ascii="Arial" w:cs="Arial" w:eastAsia="Arial" w:hAnsi="Arial"/>
          <w:sz w:val="14"/>
          <w:szCs w:val="14"/>
          <w:b w:val="1"/>
          <w:bCs w:val="1"/>
          <w:color w:val="auto"/>
        </w:rPr>
        <w:t>(857) 412-7018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Lloyd M. Segal</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Repare Therapeutics Inc.</w:t>
      </w:r>
    </w:p>
    <w:p>
      <w:pPr>
        <w:jc w:val="center"/>
        <w:spacing w:after="0" w:line="222" w:lineRule="auto"/>
        <w:rPr>
          <w:sz w:val="20"/>
          <w:szCs w:val="20"/>
          <w:color w:val="auto"/>
        </w:rPr>
      </w:pPr>
      <w:r>
        <w:rPr>
          <w:rFonts w:ascii="Arial" w:cs="Arial" w:eastAsia="Arial" w:hAnsi="Arial"/>
          <w:sz w:val="14"/>
          <w:szCs w:val="14"/>
          <w:b w:val="1"/>
          <w:bCs w:val="1"/>
          <w:color w:val="auto"/>
        </w:rPr>
        <w:t>1 Broadway, 15th Floor</w:t>
      </w:r>
    </w:p>
    <w:p>
      <w:pPr>
        <w:jc w:val="center"/>
        <w:spacing w:after="0" w:line="221" w:lineRule="auto"/>
        <w:rPr>
          <w:sz w:val="20"/>
          <w:szCs w:val="20"/>
          <w:color w:val="auto"/>
        </w:rPr>
      </w:pPr>
      <w:r>
        <w:rPr>
          <w:rFonts w:ascii="Arial" w:cs="Arial" w:eastAsia="Arial" w:hAnsi="Arial"/>
          <w:sz w:val="14"/>
          <w:szCs w:val="14"/>
          <w:b w:val="1"/>
          <w:bCs w:val="1"/>
          <w:color w:val="auto"/>
        </w:rPr>
        <w:t>Cambridge, MA 02142</w:t>
      </w:r>
    </w:p>
    <w:p>
      <w:pPr>
        <w:jc w:val="center"/>
        <w:spacing w:after="0" w:line="222" w:lineRule="auto"/>
        <w:rPr>
          <w:sz w:val="20"/>
          <w:szCs w:val="20"/>
          <w:color w:val="auto"/>
        </w:rPr>
      </w:pPr>
      <w:r>
        <w:rPr>
          <w:rFonts w:ascii="Arial" w:cs="Arial" w:eastAsia="Arial" w:hAnsi="Arial"/>
          <w:sz w:val="14"/>
          <w:szCs w:val="14"/>
          <w:b w:val="1"/>
          <w:bCs w:val="1"/>
          <w:color w:val="auto"/>
        </w:rPr>
        <w:t>(857) 412-7018</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6" w:lineRule="exact"/>
        <w:rPr>
          <w:sz w:val="24"/>
          <w:szCs w:val="24"/>
          <w:color w:val="auto"/>
        </w:rPr>
      </w:pPr>
    </w:p>
    <w:tbl>
      <w:tblPr>
        <w:tblLayout w:type="fixed"/>
        <w:tblInd w:w="96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408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300" w:type="dxa"/>
            <w:vAlign w:val="bottom"/>
          </w:tcPr>
          <w:p>
            <w:pPr>
              <w:spacing w:after="0"/>
              <w:rPr>
                <w:sz w:val="15"/>
                <w:szCs w:val="15"/>
                <w:color w:val="auto"/>
              </w:rPr>
            </w:pPr>
          </w:p>
        </w:tc>
      </w:tr>
      <w:tr>
        <w:trPr>
          <w:trHeight w:val="192"/>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8"/>
              </w:rPr>
              <w:t>Divakar Gupta</w:t>
            </w:r>
          </w:p>
        </w:tc>
        <w:tc>
          <w:tcPr>
            <w:tcW w:w="40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Robert Carelli</w:t>
            </w:r>
          </w:p>
        </w:tc>
        <w:tc>
          <w:tcPr>
            <w:tcW w:w="230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Mitchell S. Bloom</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89"/>
              </w:rPr>
              <w:t>Ryan S. Sansom</w:t>
            </w:r>
          </w:p>
        </w:tc>
        <w:tc>
          <w:tcPr>
            <w:tcW w:w="40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Stikeman Elliott LLP</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Seo Salimi</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Marc A. Recht</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1155 René-Lévesque Blvd. West</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4"/>
              </w:rPr>
              <w:t>Goodwin Procter LLP</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4"/>
              </w:rPr>
              <w:t>Courtney T. Thorne</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41st Floor</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100 Northern Avenue</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Montréal, Québec, Canada H3B 3V2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Boston, MA 02210</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2"/>
              </w:rPr>
              <w:t>500 Boylston Street, 14</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(514) 397-3222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3"/>
              </w:rPr>
              <w:t>(617) 570-1000</w:t>
            </w:r>
          </w:p>
        </w:tc>
      </w:tr>
      <w:tr>
        <w:trPr>
          <w:trHeight w:val="149"/>
        </w:trPr>
        <w:tc>
          <w:tcPr>
            <w:tcW w:w="27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Boston, MA 02116</w:t>
            </w:r>
          </w:p>
        </w:tc>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86"/>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3"/>
              </w:rPr>
              <w:t>(617) 937-2300</w:t>
            </w:r>
          </w:p>
        </w:tc>
        <w:tc>
          <w:tcPr>
            <w:tcW w:w="408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45"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21"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right="20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r>
      <w:tr>
        <w:trPr>
          <w:trHeight w:val="106"/>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Pr>
          <w:p>
            <w:pPr>
              <w:spacing w:after="0"/>
              <w:rPr>
                <w:sz w:val="9"/>
                <w:szCs w:val="9"/>
                <w:color w:val="auto"/>
              </w:rPr>
            </w:pPr>
          </w:p>
        </w:tc>
      </w:tr>
      <w:tr>
        <w:trPr>
          <w:trHeight w:val="149"/>
        </w:trPr>
        <w:tc>
          <w:tcPr>
            <w:tcW w:w="79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ind w:left="31"/>
              <w:spacing w:after="0" w:line="149" w:lineRule="exact"/>
              <w:rPr>
                <w:sz w:val="20"/>
                <w:szCs w:val="20"/>
                <w:color w:val="auto"/>
              </w:rPr>
            </w:pPr>
            <w:r>
              <w:rPr>
                <w:rFonts w:ascii="Arial" w:cs="Arial" w:eastAsia="Arial" w:hAnsi="Arial"/>
                <w:sz w:val="14"/>
                <w:szCs w:val="14"/>
                <w:b w:val="1"/>
                <w:bCs w:val="1"/>
                <w:color w:val="auto"/>
                <w:w w:val="94"/>
              </w:rPr>
              <w:t>maximum</w:t>
            </w:r>
          </w:p>
        </w:tc>
        <w:tc>
          <w:tcPr>
            <w:tcW w:w="1660" w:type="dxa"/>
            <w:vAlign w:val="bottom"/>
          </w:tcPr>
          <w:p>
            <w:pPr>
              <w:spacing w:after="0"/>
              <w:rPr>
                <w:sz w:val="12"/>
                <w:szCs w:val="12"/>
                <w:color w:val="auto"/>
              </w:rPr>
            </w:pPr>
          </w:p>
        </w:tc>
      </w:tr>
      <w:tr>
        <w:trPr>
          <w:trHeight w:val="158"/>
        </w:trPr>
        <w:tc>
          <w:tcPr>
            <w:tcW w:w="7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680" w:type="dxa"/>
            <w:vAlign w:val="bottom"/>
            <w:tcBorders>
              <w:right w:val="single" w:sz="8" w:color="auto"/>
            </w:tcBorders>
          </w:tcPr>
          <w:p>
            <w:pPr>
              <w:jc w:val="center"/>
              <w:ind w:left="11"/>
              <w:spacing w:after="0" w:line="158" w:lineRule="exact"/>
              <w:rPr>
                <w:sz w:val="20"/>
                <w:szCs w:val="20"/>
                <w:color w:val="auto"/>
              </w:rPr>
            </w:pPr>
            <w:r>
              <w:rPr>
                <w:rFonts w:ascii="Arial" w:cs="Arial" w:eastAsia="Arial" w:hAnsi="Arial"/>
                <w:sz w:val="14"/>
                <w:szCs w:val="14"/>
                <w:b w:val="1"/>
                <w:bCs w:val="1"/>
                <w:color w:val="auto"/>
                <w:w w:val="89"/>
              </w:rPr>
              <w:t>aggregate</w:t>
            </w:r>
          </w:p>
        </w:tc>
        <w:tc>
          <w:tcPr>
            <w:tcW w:w="166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7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8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w:t>
            </w:r>
          </w:p>
        </w:tc>
        <w:tc>
          <w:tcPr>
            <w:tcW w:w="16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shares, no par value per share</w:t>
            </w:r>
          </w:p>
        </w:tc>
        <w:tc>
          <w:tcPr>
            <w:tcW w:w="168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ind w:left="460" w:right="580" w:hanging="452"/>
        <w:spacing w:after="0" w:line="226"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registration fee pursuant to Rule 457(o) under the Securities Act of 1933, as amended. Includes the offering price of additional common shares that the underwriters have the option to purchase.</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2"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i w:val="1"/>
                <w:iCs w:val="1"/>
                <w:color w:val="DE1A1E"/>
              </w:rPr>
              <w:t>SUBJECT TO COMPLETION, DATED</w:t>
            </w:r>
          </w:p>
        </w:tc>
        <w:tc>
          <w:tcPr>
            <w:tcW w:w="1080" w:type="dxa"/>
            <w:vAlign w:val="bottom"/>
          </w:tcPr>
          <w:p>
            <w:pPr>
              <w:jc w:val="right"/>
              <w:spacing w:after="0"/>
              <w:rPr>
                <w:sz w:val="20"/>
                <w:szCs w:val="20"/>
                <w:color w:val="auto"/>
              </w:rPr>
            </w:pPr>
            <w:r>
              <w:rPr>
                <w:rFonts w:ascii="Arial" w:cs="Arial" w:eastAsia="Arial" w:hAnsi="Arial"/>
                <w:sz w:val="22"/>
                <w:szCs w:val="22"/>
                <w:i w:val="1"/>
                <w:iCs w:val="1"/>
                <w:color w:val="DE1A1E"/>
              </w:rPr>
              <w:t>, 2020</w:t>
            </w:r>
          </w:p>
        </w:tc>
      </w:tr>
      <w:tr>
        <w:trPr>
          <w:trHeight w:val="274"/>
        </w:trPr>
        <w:tc>
          <w:tcPr>
            <w:tcW w:w="3960" w:type="dxa"/>
            <w:vAlign w:val="bottom"/>
          </w:tcPr>
          <w:p>
            <w:pPr>
              <w:spacing w:after="0"/>
              <w:rPr>
                <w:sz w:val="20"/>
                <w:szCs w:val="20"/>
                <w:color w:val="auto"/>
              </w:rPr>
            </w:pPr>
            <w:r>
              <w:rPr>
                <w:rFonts w:ascii="Arial" w:cs="Arial" w:eastAsia="Arial" w:hAnsi="Arial"/>
                <w:sz w:val="22"/>
                <w:szCs w:val="22"/>
                <w:i w:val="1"/>
                <w:iCs w:val="1"/>
                <w:color w:val="DE1A1E"/>
              </w:rPr>
              <w:t>PRELIMINARY PROSPECTUS</w:t>
            </w:r>
          </w:p>
        </w:tc>
        <w:tc>
          <w:tcPr>
            <w:tcW w:w="1080" w:type="dxa"/>
            <w:vAlign w:val="bottom"/>
          </w:tcPr>
          <w:p>
            <w:pPr>
              <w:spacing w:after="0"/>
              <w:rPr>
                <w:sz w:val="23"/>
                <w:szCs w:val="23"/>
                <w:color w:val="auto"/>
              </w:rPr>
            </w:pPr>
          </w:p>
        </w:tc>
      </w:tr>
    </w:tbl>
    <w:p>
      <w:pPr>
        <w:spacing w:after="0" w:line="254"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113030</wp:posOffset>
            </wp:positionV>
            <wp:extent cx="16541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0" w:type="dxa"/>
            <w:vAlign w:val="bottom"/>
            <w:gridSpan w:val="2"/>
          </w:tcPr>
          <w:p>
            <w:pPr>
              <w:ind w:left="240"/>
              <w:spacing w:after="0"/>
              <w:rPr>
                <w:sz w:val="20"/>
                <w:szCs w:val="20"/>
                <w:color w:val="auto"/>
              </w:rPr>
            </w:pPr>
            <w:r>
              <w:rPr>
                <w:rFonts w:ascii="Arial" w:cs="Arial" w:eastAsia="Arial" w:hAnsi="Arial"/>
                <w:sz w:val="22"/>
                <w:szCs w:val="22"/>
                <w:i w:val="1"/>
                <w:iCs w:val="1"/>
                <w:color w:val="auto"/>
              </w:rPr>
              <w:t>Common Shares</w:t>
            </w:r>
          </w:p>
        </w:tc>
      </w:tr>
      <w:tr>
        <w:trPr>
          <w:trHeight w:val="341"/>
        </w:trPr>
        <w:tc>
          <w:tcPr>
            <w:tcW w:w="156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c>
          <w:tcPr>
            <w:tcW w:w="2360" w:type="dxa"/>
            <w:vAlign w:val="bottom"/>
            <w:tcBorders>
              <w:bottom w:val="single" w:sz="8" w:color="auto"/>
            </w:tcBorders>
            <w:gridSpan w:val="2"/>
          </w:tcPr>
          <w:p>
            <w:pPr>
              <w:spacing w:after="0"/>
              <w:rPr>
                <w:sz w:val="24"/>
                <w:szCs w:val="24"/>
                <w:color w:val="auto"/>
              </w:rPr>
            </w:pPr>
          </w:p>
        </w:tc>
        <w:tc>
          <w:tcPr>
            <w:tcW w:w="4280" w:type="dxa"/>
            <w:vAlign w:val="bottom"/>
          </w:tcPr>
          <w:p>
            <w:pPr>
              <w:spacing w:after="0"/>
              <w:rPr>
                <w:sz w:val="24"/>
                <w:szCs w:val="24"/>
                <w:color w:val="auto"/>
              </w:rPr>
            </w:pPr>
          </w:p>
        </w:tc>
      </w:tr>
      <w:tr>
        <w:trPr>
          <w:trHeight w:val="411"/>
        </w:trPr>
        <w:tc>
          <w:tcPr>
            <w:tcW w:w="1560" w:type="dxa"/>
            <w:vAlign w:val="bottom"/>
          </w:tcPr>
          <w:p>
            <w:pPr>
              <w:spacing w:after="0"/>
              <w:rPr>
                <w:sz w:val="20"/>
                <w:szCs w:val="20"/>
                <w:color w:val="auto"/>
              </w:rPr>
            </w:pPr>
            <w:r>
              <w:rPr>
                <w:rFonts w:ascii="Arial" w:cs="Arial" w:eastAsia="Arial" w:hAnsi="Arial"/>
                <w:sz w:val="18"/>
                <w:szCs w:val="18"/>
                <w:b w:val="1"/>
                <w:bCs w:val="1"/>
                <w:i w:val="1"/>
                <w:iCs w:val="1"/>
                <w:color w:val="auto"/>
              </w:rPr>
              <w:t>We are offering</w:t>
            </w:r>
          </w:p>
        </w:tc>
        <w:tc>
          <w:tcPr>
            <w:tcW w:w="952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w w:val="86"/>
              </w:rPr>
              <w:t>common shares. This is our initial public offering and no public market currently exists for our common shares. We expect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the initial public offering price to be between $</w:t>
            </w:r>
          </w:p>
        </w:tc>
        <w:tc>
          <w:tcPr>
            <w:tcW w:w="92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and $</w:t>
            </w:r>
          </w:p>
        </w:tc>
        <w:tc>
          <w:tcPr>
            <w:tcW w:w="640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w w:val="89"/>
              </w:rPr>
              <w:t>per common share. We have applied to list our common shares on the Nasdaq</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Global Market under the symbol “RPTX.”</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common shares involves a high degree of risk. See “</w:t>
      </w:r>
      <w:hyperlink w:anchor="page17">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14 of this prospectus.</w:t>
      </w:r>
    </w:p>
    <w:p>
      <w:pPr>
        <w:spacing w:after="0" w:line="2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PER SHARE</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80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i w:val="1"/>
                <w:iCs w:val="1"/>
                <w:color w:val="auto"/>
              </w:rPr>
              <w:t>$</w:t>
            </w:r>
          </w:p>
        </w:tc>
        <w:tc>
          <w:tcPr>
            <w:tcW w:w="1060" w:type="dxa"/>
            <w:vAlign w:val="bottom"/>
          </w:tcPr>
          <w:p>
            <w:pPr>
              <w:spacing w:after="0"/>
              <w:rPr>
                <w:sz w:val="16"/>
                <w:szCs w:val="16"/>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i w:val="1"/>
                <w:iCs w:val="1"/>
                <w:color w:val="auto"/>
                <w:w w:val="71"/>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i w:val="1"/>
                <w:iCs w:val="1"/>
                <w:color w:val="auto"/>
              </w:rPr>
              <w:t>Underwriting commissions</w:t>
            </w:r>
            <w:r>
              <w:rPr>
                <w:rFonts w:ascii="Arial" w:cs="Arial" w:eastAsia="Arial" w:hAnsi="Arial"/>
                <w:sz w:val="15"/>
                <w:szCs w:val="15"/>
                <w:i w:val="1"/>
                <w:iCs w:val="1"/>
                <w:color w:val="auto"/>
              </w:rPr>
              <w:t>(1)</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refer you to “Underwriting” beginning on page 205 for additional information regarding underwriter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3"/>
          </w:tcPr>
          <w:p>
            <w:pPr>
              <w:spacing w:after="0"/>
              <w:rPr>
                <w:sz w:val="20"/>
                <w:szCs w:val="20"/>
                <w:color w:val="auto"/>
              </w:rPr>
            </w:pPr>
            <w:r>
              <w:rPr>
                <w:rFonts w:ascii="Arial" w:cs="Arial" w:eastAsia="Arial" w:hAnsi="Arial"/>
                <w:sz w:val="18"/>
                <w:szCs w:val="18"/>
                <w:i w:val="1"/>
                <w:iCs w:val="1"/>
                <w:color w:val="auto"/>
                <w:w w:val="99"/>
              </w:rPr>
              <w:t>We have granted the underwriters an option for a period of 30 days to purchase up to</w:t>
            </w:r>
          </w:p>
        </w:tc>
        <w:tc>
          <w:tcPr>
            <w:tcW w:w="3960" w:type="dxa"/>
            <w:vAlign w:val="bottom"/>
            <w:gridSpan w:val="2"/>
          </w:tcPr>
          <w:p>
            <w:pPr>
              <w:jc w:val="right"/>
              <w:ind w:right="1732"/>
              <w:spacing w:after="0"/>
              <w:rPr>
                <w:sz w:val="20"/>
                <w:szCs w:val="20"/>
                <w:color w:val="auto"/>
              </w:rPr>
            </w:pPr>
            <w:r>
              <w:rPr>
                <w:rFonts w:ascii="Arial" w:cs="Arial" w:eastAsia="Arial" w:hAnsi="Arial"/>
                <w:sz w:val="18"/>
                <w:szCs w:val="18"/>
                <w:i w:val="1"/>
                <w:iCs w:val="1"/>
                <w:color w:val="auto"/>
                <w:w w:val="97"/>
              </w:rPr>
              <w:t>additional common shares.</w:t>
            </w:r>
          </w:p>
        </w:tc>
      </w:tr>
      <w:tr>
        <w:trPr>
          <w:trHeight w:val="432"/>
        </w:trPr>
        <w:tc>
          <w:tcPr>
            <w:tcW w:w="8660" w:type="dxa"/>
            <w:vAlign w:val="bottom"/>
            <w:gridSpan w:val="4"/>
          </w:tcPr>
          <w:p>
            <w:pPr>
              <w:spacing w:after="0"/>
              <w:rPr>
                <w:sz w:val="20"/>
                <w:szCs w:val="20"/>
                <w:color w:val="auto"/>
              </w:rPr>
            </w:pPr>
            <w:r>
              <w:rPr>
                <w:rFonts w:ascii="Arial" w:cs="Arial" w:eastAsia="Arial" w:hAnsi="Arial"/>
                <w:sz w:val="18"/>
                <w:szCs w:val="18"/>
                <w:i w:val="1"/>
                <w:iCs w:val="1"/>
                <w:color w:val="auto"/>
                <w:w w:val="98"/>
              </w:rPr>
              <w:t>The underwriters expect to deliver the shares of common against payment in New York, New York on or about</w:t>
            </w:r>
          </w:p>
        </w:tc>
        <w:tc>
          <w:tcPr>
            <w:tcW w:w="2100" w:type="dxa"/>
            <w:vAlign w:val="bottom"/>
          </w:tcPr>
          <w:p>
            <w:pPr>
              <w:jc w:val="right"/>
              <w:ind w:right="1312"/>
              <w:spacing w:after="0"/>
              <w:rPr>
                <w:sz w:val="20"/>
                <w:szCs w:val="20"/>
                <w:color w:val="auto"/>
              </w:rPr>
            </w:pPr>
            <w:r>
              <w:rPr>
                <w:rFonts w:ascii="Arial" w:cs="Arial" w:eastAsia="Arial" w:hAnsi="Arial"/>
                <w:sz w:val="18"/>
                <w:szCs w:val="18"/>
                <w:i w:val="1"/>
                <w:iCs w:val="1"/>
                <w:color w:val="auto"/>
              </w:rPr>
              <w:t>, 2020.</w:t>
            </w:r>
          </w:p>
        </w:tc>
      </w:tr>
      <w:tr>
        <w:trPr>
          <w:trHeight w:val="36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2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Arial" w:cs="Arial" w:eastAsia="Arial" w:hAnsi="Arial"/>
                <w:sz w:val="18"/>
                <w:szCs w:val="18"/>
                <w:i w:val="1"/>
                <w:iCs w:val="1"/>
                <w:color w:val="auto"/>
                <w:w w:val="93"/>
              </w:rPr>
              <w:t>Joint Book-Running Managers</w:t>
            </w: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48"/>
        </w:trPr>
        <w:tc>
          <w:tcPr>
            <w:tcW w:w="2180" w:type="dxa"/>
            <w:vAlign w:val="bottom"/>
          </w:tcPr>
          <w:p>
            <w:pPr>
              <w:ind w:left="500"/>
              <w:spacing w:after="0"/>
              <w:rPr>
                <w:sz w:val="20"/>
                <w:szCs w:val="20"/>
                <w:color w:val="auto"/>
              </w:rPr>
            </w:pPr>
            <w:r>
              <w:rPr>
                <w:rFonts w:ascii="Arial" w:cs="Arial" w:eastAsia="Arial" w:hAnsi="Arial"/>
                <w:sz w:val="25"/>
                <w:szCs w:val="25"/>
                <w:i w:val="1"/>
                <w:iCs w:val="1"/>
                <w:color w:val="auto"/>
                <w:w w:val="94"/>
              </w:rPr>
              <w:t>Morgan Stanley</w:t>
            </w:r>
          </w:p>
        </w:tc>
        <w:tc>
          <w:tcPr>
            <w:tcW w:w="4620" w:type="dxa"/>
            <w:vAlign w:val="bottom"/>
            <w:gridSpan w:val="2"/>
          </w:tcPr>
          <w:p>
            <w:pPr>
              <w:ind w:left="1460"/>
              <w:spacing w:after="0"/>
              <w:rPr>
                <w:sz w:val="20"/>
                <w:szCs w:val="20"/>
                <w:color w:val="auto"/>
              </w:rPr>
            </w:pPr>
            <w:r>
              <w:rPr>
                <w:rFonts w:ascii="Arial" w:cs="Arial" w:eastAsia="Arial" w:hAnsi="Arial"/>
                <w:sz w:val="25"/>
                <w:szCs w:val="25"/>
                <w:i w:val="1"/>
                <w:iCs w:val="1"/>
                <w:color w:val="auto"/>
              </w:rPr>
              <w:t>Goldman Sachs &amp; Co. LLC</w:t>
            </w:r>
          </w:p>
        </w:tc>
        <w:tc>
          <w:tcPr>
            <w:tcW w:w="1860" w:type="dxa"/>
            <w:vAlign w:val="bottom"/>
          </w:tcPr>
          <w:p>
            <w:pPr>
              <w:ind w:left="960"/>
              <w:spacing w:after="0"/>
              <w:rPr>
                <w:sz w:val="20"/>
                <w:szCs w:val="20"/>
                <w:color w:val="auto"/>
              </w:rPr>
            </w:pPr>
            <w:r>
              <w:rPr>
                <w:rFonts w:ascii="Arial" w:cs="Arial" w:eastAsia="Arial" w:hAnsi="Arial"/>
                <w:sz w:val="25"/>
                <w:szCs w:val="25"/>
                <w:i w:val="1"/>
                <w:iCs w:val="1"/>
                <w:color w:val="auto"/>
              </w:rPr>
              <w:t>Cowen</w:t>
            </w:r>
          </w:p>
        </w:tc>
        <w:tc>
          <w:tcPr>
            <w:tcW w:w="2100" w:type="dxa"/>
            <w:vAlign w:val="bottom"/>
          </w:tcPr>
          <w:p>
            <w:pPr>
              <w:jc w:val="right"/>
              <w:spacing w:after="0"/>
              <w:rPr>
                <w:sz w:val="20"/>
                <w:szCs w:val="20"/>
                <w:color w:val="auto"/>
              </w:rPr>
            </w:pPr>
            <w:r>
              <w:rPr>
                <w:rFonts w:ascii="Arial" w:cs="Arial" w:eastAsia="Arial" w:hAnsi="Arial"/>
                <w:sz w:val="25"/>
                <w:szCs w:val="25"/>
                <w:i w:val="1"/>
                <w:iCs w:val="1"/>
                <w:color w:val="auto"/>
              </w:rPr>
              <w:t>Piper Sandler</w:t>
            </w:r>
          </w:p>
        </w:tc>
      </w:tr>
      <w:tr>
        <w:trPr>
          <w:trHeight w:val="423"/>
        </w:trPr>
        <w:tc>
          <w:tcPr>
            <w:tcW w:w="2180" w:type="dxa"/>
            <w:vAlign w:val="bottom"/>
          </w:tcPr>
          <w:p>
            <w:pPr>
              <w:spacing w:after="0"/>
              <w:rPr>
                <w:sz w:val="20"/>
                <w:szCs w:val="20"/>
                <w:color w:val="auto"/>
              </w:rPr>
            </w:pPr>
            <w:r>
              <w:rPr>
                <w:rFonts w:ascii="Arial" w:cs="Arial" w:eastAsia="Arial" w:hAnsi="Arial"/>
                <w:sz w:val="18"/>
                <w:szCs w:val="18"/>
                <w:i w:val="1"/>
                <w:iCs w:val="1"/>
                <w:color w:val="auto"/>
              </w:rPr>
              <w:t>Prospectus dated</w:t>
            </w:r>
          </w:p>
        </w:tc>
        <w:tc>
          <w:tcPr>
            <w:tcW w:w="2260" w:type="dxa"/>
            <w:vAlign w:val="bottom"/>
          </w:tcPr>
          <w:p>
            <w:pPr>
              <w:jc w:val="right"/>
              <w:ind w:right="1652"/>
              <w:spacing w:after="0"/>
              <w:rPr>
                <w:sz w:val="20"/>
                <w:szCs w:val="20"/>
                <w:color w:val="auto"/>
              </w:rPr>
            </w:pPr>
            <w:r>
              <w:rPr>
                <w:rFonts w:ascii="Arial" w:cs="Arial" w:eastAsia="Arial" w:hAnsi="Arial"/>
                <w:sz w:val="18"/>
                <w:szCs w:val="18"/>
                <w:i w:val="1"/>
                <w:iCs w:val="1"/>
                <w:color w:val="auto"/>
                <w:w w:val="95"/>
              </w:rPr>
              <w:t>, 2020</w:t>
            </w:r>
          </w:p>
        </w:tc>
        <w:tc>
          <w:tcPr>
            <w:tcW w:w="2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gridSpan w:val="8"/>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PAGE</w:t>
            </w:r>
          </w:p>
        </w:tc>
        <w:tc>
          <w:tcPr>
            <w:tcW w:w="5080" w:type="dxa"/>
            <w:vAlign w:val="bottom"/>
            <w:gridSpan w:val="10"/>
            <w:vMerge w:val="restart"/>
          </w:tcPr>
          <w:p>
            <w:pPr>
              <w:ind w:left="200"/>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DESCRIPTION OF SHARE CAPITAL</w:t>
              </w:r>
            </w:hyperlink>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gridSpan w:val="8"/>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080" w:type="dxa"/>
            <w:vAlign w:val="bottom"/>
            <w:gridSpan w:val="10"/>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SHARES ELIGIBLE FOR FUTURE SALE</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79">
              <w:r>
                <w:rPr>
                  <w:rFonts w:ascii="Arial" w:cs="Arial" w:eastAsia="Arial" w:hAnsi="Arial"/>
                  <w:sz w:val="18"/>
                  <w:szCs w:val="18"/>
                  <w:color w:val="0000EE"/>
                </w:rPr>
                <w:t>SPECIAL NOTE REGARDING FORWARD-LOOKING</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gridSpan w:val="10"/>
          </w:tcPr>
          <w:p>
            <w:pPr>
              <w:ind w:left="200"/>
              <w:spacing w:after="0" w:line="190" w:lineRule="exact"/>
              <w:rPr>
                <w:rFonts w:ascii="Arial" w:cs="Arial" w:eastAsia="Arial" w:hAnsi="Arial"/>
                <w:sz w:val="18"/>
                <w:szCs w:val="18"/>
                <w:color w:val="0000EE"/>
              </w:rPr>
            </w:pPr>
            <w:hyperlink w:anchor="page185">
              <w:r>
                <w:rPr>
                  <w:rFonts w:ascii="Arial" w:cs="Arial" w:eastAsia="Arial" w:hAnsi="Arial"/>
                  <w:sz w:val="18"/>
                  <w:szCs w:val="18"/>
                  <w:color w:val="0000EE"/>
                </w:rPr>
                <w:t>MATERIAL DIFFERENCES BETWEEN THE CANADA</w:t>
              </w:r>
            </w:hyperlink>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STATEMENTS</w:t>
              </w:r>
            </w:hyperlink>
          </w:p>
        </w:tc>
        <w:tc>
          <w:tcPr>
            <w:tcW w:w="780" w:type="dxa"/>
            <w:vAlign w:val="bottom"/>
            <w:gridSpan w:val="2"/>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8"/>
          </w:tcPr>
          <w:p>
            <w:pPr>
              <w:spacing w:after="0" w:line="196" w:lineRule="exact"/>
              <w:rPr>
                <w:rFonts w:ascii="Arial" w:cs="Arial" w:eastAsia="Arial" w:hAnsi="Arial"/>
                <w:sz w:val="18"/>
                <w:szCs w:val="18"/>
                <w:color w:val="0000EE"/>
                <w:w w:val="98"/>
              </w:rPr>
            </w:pPr>
            <w:hyperlink w:anchor="page185">
              <w:r>
                <w:rPr>
                  <w:rFonts w:ascii="Arial" w:cs="Arial" w:eastAsia="Arial" w:hAnsi="Arial"/>
                  <w:sz w:val="18"/>
                  <w:szCs w:val="18"/>
                  <w:color w:val="0000EE"/>
                  <w:w w:val="98"/>
                </w:rPr>
                <w:t>BUSINESS CORPORATIONS ACT AND THE DELAWARE</w:t>
              </w:r>
            </w:hyperlink>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MARKET AND INDUSTRY DATA</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8"/>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GENERAL CORPORATION LAW</w:t>
              </w:r>
            </w:hyperlink>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4880" w:type="dxa"/>
            <w:vAlign w:val="bottom"/>
            <w:gridSpan w:val="9"/>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MATERIAL U.S. FEDERAL INCOME TAX</w:t>
              </w:r>
            </w:hyperlink>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00" w:type="dxa"/>
            <w:vAlign w:val="bottom"/>
            <w:gridSpan w:val="8"/>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CONSIDERATIONS FOR U.S. HOLDERS</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6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6"/>
                <w:szCs w:val="16"/>
                <w:color w:val="auto"/>
              </w:rPr>
            </w:pPr>
          </w:p>
        </w:tc>
        <w:tc>
          <w:tcPr>
            <w:tcW w:w="4880" w:type="dxa"/>
            <w:vAlign w:val="bottom"/>
            <w:gridSpan w:val="9"/>
          </w:tcPr>
          <w:p>
            <w:pPr>
              <w:spacing w:after="0" w:line="190" w:lineRule="exact"/>
              <w:rPr>
                <w:rFonts w:ascii="Arial" w:cs="Arial" w:eastAsia="Arial" w:hAnsi="Arial"/>
                <w:sz w:val="18"/>
                <w:szCs w:val="18"/>
                <w:color w:val="0000EE"/>
              </w:rPr>
            </w:pPr>
            <w:hyperlink w:anchor="page206">
              <w:r>
                <w:rPr>
                  <w:rFonts w:ascii="Arial" w:cs="Arial" w:eastAsia="Arial" w:hAnsi="Arial"/>
                  <w:sz w:val="18"/>
                  <w:szCs w:val="18"/>
                  <w:color w:val="0000EE"/>
                </w:rPr>
                <w:t>MATERIAL CANADIAN FEDERAL INCOME TAX</w:t>
              </w:r>
            </w:hyperlink>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06">
              <w:r>
                <w:rPr>
                  <w:rFonts w:ascii="Arial" w:cs="Arial" w:eastAsia="Arial" w:hAnsi="Arial"/>
                  <w:sz w:val="18"/>
                  <w:szCs w:val="18"/>
                  <w:color w:val="0000EE"/>
                  <w:w w:val="93"/>
                </w:rPr>
                <w:t>CONSIDERATIONS</w:t>
              </w:r>
            </w:hyperlink>
          </w:p>
        </w:tc>
        <w:tc>
          <w:tcPr>
            <w:tcW w:w="2200" w:type="dxa"/>
            <w:vAlign w:val="bottom"/>
            <w:tcBorders>
              <w:top w:val="single" w:sz="8" w:color="0000EE"/>
            </w:tcBorders>
            <w:gridSpan w:val="3"/>
          </w:tcPr>
          <w:p>
            <w:pPr>
              <w:spacing w:after="0"/>
              <w:rPr>
                <w:sz w:val="17"/>
                <w:szCs w:val="17"/>
                <w:color w:val="auto"/>
              </w:rPr>
            </w:pPr>
          </w:p>
        </w:tc>
        <w:tc>
          <w:tcPr>
            <w:tcW w:w="960" w:type="dxa"/>
            <w:vAlign w:val="bottom"/>
            <w:gridSpan w:val="3"/>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SELECTED CONSOLIDATED FINANCIAL DATA</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UNDERWRITING</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90">
              <w:r>
                <w:rPr>
                  <w:rFonts w:ascii="Arial" w:cs="Arial" w:eastAsia="Arial" w:hAnsi="Arial"/>
                  <w:sz w:val="18"/>
                  <w:szCs w:val="18"/>
                  <w:color w:val="0000EE"/>
                </w:rPr>
                <w:t>MANAGEMENT’S DISCUSSION AND ANALYSIS OF</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gridSpan w:val="10"/>
          </w:tcPr>
          <w:p>
            <w:pPr>
              <w:ind w:left="200"/>
              <w:spacing w:after="0" w:line="190" w:lineRule="exact"/>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LEGAL MATTERS</w:t>
              </w:r>
            </w:hyperlink>
          </w:p>
        </w:tc>
        <w:tc>
          <w:tcPr>
            <w:tcW w:w="5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FINANCIAL CONDITION AND RESULTS OF</w:t>
              </w:r>
            </w:hyperlink>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0"/>
          </w:tcPr>
          <w:p>
            <w:pPr>
              <w:ind w:left="200"/>
              <w:spacing w:after="0" w:line="196" w:lineRule="exact"/>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EXPERTS</w:t>
              </w:r>
            </w:hyperlink>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OPERATIONS</w:t>
              </w:r>
            </w:hyperlink>
          </w:p>
        </w:tc>
        <w:tc>
          <w:tcPr>
            <w:tcW w:w="1220" w:type="dxa"/>
            <w:vAlign w:val="bottom"/>
            <w:gridSpan w:val="4"/>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87</w:t>
            </w:r>
          </w:p>
        </w:tc>
        <w:tc>
          <w:tcPr>
            <w:tcW w:w="5080" w:type="dxa"/>
            <w:vAlign w:val="bottom"/>
            <w:gridSpan w:val="10"/>
          </w:tcPr>
          <w:p>
            <w:pPr>
              <w:ind w:left="20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SERVICE OF PROCESS AND ENFORCEMENT OF</w:t>
              </w:r>
            </w:hyperlink>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BUSINESS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8"/>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LIABILITIES</w:t>
              </w:r>
            </w:hyperlink>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MANAGEMENT</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WHERE YOU CAN FIND ADDITIONAL INFORMATION</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EXECUTIVE COMPENSATION</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INDEX TO FINANCIAL STATEMENTS</w:t>
              </w:r>
            </w:hyperlink>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170">
              <w:r>
                <w:rPr>
                  <w:rFonts w:ascii="Arial" w:cs="Arial" w:eastAsia="Arial" w:hAnsi="Arial"/>
                  <w:sz w:val="18"/>
                  <w:szCs w:val="18"/>
                  <w:color w:val="0000EE"/>
                </w:rPr>
                <w:t>CERTAIN RELATIONSHIPS AND RELATED PARTY</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70">
              <w:r>
                <w:rPr>
                  <w:rFonts w:ascii="Arial" w:cs="Arial" w:eastAsia="Arial" w:hAnsi="Arial"/>
                  <w:sz w:val="18"/>
                  <w:szCs w:val="18"/>
                  <w:color w:val="0000EE"/>
                  <w:w w:val="94"/>
                </w:rPr>
                <w:t>TRANSACTIONS</w:t>
              </w:r>
            </w:hyperlink>
          </w:p>
        </w:tc>
        <w:tc>
          <w:tcPr>
            <w:tcW w:w="250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20" w:type="dxa"/>
            <w:vAlign w:val="bottom"/>
            <w:gridSpan w:val="8"/>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PRINCIPAL SHAREHOLDERS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common shares. Our business, financial condition, results of operations and prospects may have changed since that date.</w:t>
      </w:r>
    </w:p>
    <w:p>
      <w:pPr>
        <w:spacing w:after="0" w:line="178"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96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i w:val="1"/>
          <w:iCs w:val="1"/>
          <w:color w:val="auto"/>
        </w:rPr>
        <w:t>This summary highlights, and is qualified in its entirety by, the more detailed information contained elsewhere in this prospectus. This summary is not complete and does not contain all of the information you should consider in making your investment decision. Before investing in our common shares, you should carefully read this entire prospectus, especially the sections titled “Risk Factors” and “Management’s Discussion and Analysis of Financial Condition and Results of Operations” and our consolidated financial statements and the related notes included elsewhere in this prospectus. Unless the context otherwise requires, the terms “Repare,” “Repare Therapeutics,” “the company,” “we,” “us,” “our” and similar references in this prospectus refer to Repare Therapeutics Inc. and its consolidated subsidiary.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84"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w:t>
      </w:r>
    </w:p>
    <w:p>
      <w:pPr>
        <w:spacing w:after="0" w:line="2" w:lineRule="exact"/>
        <w:rPr>
          <w:sz w:val="20"/>
          <w:szCs w:val="20"/>
          <w:color w:val="auto"/>
        </w:rPr>
      </w:pPr>
    </w:p>
    <w:p>
      <w:pPr>
        <w:ind w:left="200"/>
        <w:spacing w:after="0"/>
        <w:tabs>
          <w:tab w:leader="none" w:pos="7440" w:val="left"/>
        </w:tabs>
        <w:rPr>
          <w:sz w:val="20"/>
          <w:szCs w:val="20"/>
          <w:color w:val="auto"/>
        </w:rPr>
      </w:pPr>
      <w:r>
        <w:rPr>
          <w:rFonts w:ascii="Arial" w:cs="Arial" w:eastAsia="Arial" w:hAnsi="Arial"/>
          <w:sz w:val="18"/>
          <w:szCs w:val="18"/>
          <w:color w:val="auto"/>
        </w:rPr>
        <w:t>drug, or IND, application and initiating an open-label Phase 1/2 clinical trial of RP-3500 in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Enhanced benefit-risk profile</w:t>
      </w:r>
      <w:r>
        <w:rPr>
          <w:rFonts w:ascii="Arial" w:cs="Arial" w:eastAsia="Arial" w:hAnsi="Arial"/>
          <w:sz w:val="16"/>
          <w:szCs w:val="16"/>
          <w:color w:val="auto"/>
        </w:rPr>
        <w:t>, by precisely targeting tumor cells with the defined mutation while sparing normal, non-cancerous cells;</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3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433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 w:firstLine="434"/>
        <w:spacing w:after="0" w:line="287" w:lineRule="auto"/>
        <w:rPr>
          <w:sz w:val="20"/>
          <w:szCs w:val="20"/>
          <w:color w:val="auto"/>
        </w:rPr>
      </w:pPr>
      <w:r>
        <w:rPr>
          <w:rFonts w:ascii="Arial" w:cs="Arial" w:eastAsia="Arial" w:hAnsi="Arial"/>
          <w:sz w:val="16"/>
          <w:szCs w:val="16"/>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w:t>
      </w:r>
    </w:p>
    <w:p>
      <w:pPr>
        <w:spacing w:after="0" w:line="2"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potential first-in-class program into IND-enabling studies in . We are also developing an inhibitor of polymerase theta, or Polq, which is SL with multiple gene deficiencies found in tumors, including BRCA1 or BRCA2. We anticipate advancing a clinical candidate and initiating IND-enabling studies for this program in .</w:t>
      </w:r>
    </w:p>
    <w:p>
      <w:pPr>
        <w:spacing w:after="0" w:line="190" w:lineRule="exact"/>
        <w:rPr>
          <w:sz w:val="20"/>
          <w:szCs w:val="20"/>
          <w:color w:val="auto"/>
        </w:rPr>
      </w:pPr>
    </w:p>
    <w:p>
      <w:pPr>
        <w:ind w:left="200" w:right="60" w:firstLine="434"/>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have built our SNIPRx platform based on three primary pillars:</w:t>
      </w:r>
    </w:p>
    <w:p>
      <w:pPr>
        <w:spacing w:after="0" w:line="76" w:lineRule="exact"/>
        <w:rPr>
          <w:sz w:val="20"/>
          <w:szCs w:val="20"/>
          <w:color w:val="auto"/>
        </w:rPr>
      </w:pPr>
    </w:p>
    <w:p>
      <w:pPr>
        <w:ind w:left="1160" w:right="64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genomic alterations in tumors with high unmet medical need;</w:t>
      </w:r>
    </w:p>
    <w:p>
      <w:pPr>
        <w:spacing w:after="0" w:line="75" w:lineRule="exact"/>
        <w:rPr>
          <w:rFonts w:ascii="Arial" w:cs="Arial" w:eastAsia="Arial" w:hAnsi="Arial"/>
          <w:sz w:val="18"/>
          <w:szCs w:val="18"/>
          <w:b w:val="1"/>
          <w:bCs w:val="1"/>
          <w:color w:val="auto"/>
        </w:rPr>
      </w:pPr>
    </w:p>
    <w:p>
      <w:pPr>
        <w:ind w:left="1160" w:hanging="345"/>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160" w:right="26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patient population based on the additional genomic alterations identified by our proprietary SNIPRx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Expansion of Patient Populations, or STEP</w:t>
      </w:r>
      <w:r>
        <w:rPr>
          <w:rFonts w:ascii="Arial" w:cs="Arial" w:eastAsia="Arial" w:hAnsi="Arial"/>
          <w:sz w:val="15"/>
          <w:szCs w:val="15"/>
          <w:color w:val="auto"/>
        </w:rPr>
        <w:t>2</w:t>
      </w:r>
      <w:r>
        <w:rPr>
          <w:rFonts w:ascii="Arial" w:cs="Arial" w:eastAsia="Arial" w:hAnsi="Arial"/>
          <w:sz w:val="18"/>
          <w:szCs w:val="18"/>
          <w:color w:val="auto"/>
        </w:rPr>
        <w:t>, screens that are SL with our inhibitors.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440" w:firstLine="434"/>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 w:hanging="42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29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4290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on Targeted Oncology Therapeutics</w:t>
      </w:r>
    </w:p>
    <w:p>
      <w:pPr>
        <w:spacing w:after="0" w:line="121"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w:t>
      </w:r>
    </w:p>
    <w:p>
      <w:pPr>
        <w:spacing w:after="0" w:line="192" w:lineRule="exact"/>
        <w:rPr>
          <w:sz w:val="20"/>
          <w:szCs w:val="20"/>
          <w:color w:val="auto"/>
        </w:rPr>
      </w:pPr>
    </w:p>
    <w:p>
      <w:pPr>
        <w:ind w:left="200" w:right="140" w:firstLine="434"/>
        <w:spacing w:after="0" w:line="259" w:lineRule="auto"/>
        <w:rPr>
          <w:sz w:val="20"/>
          <w:szCs w:val="20"/>
          <w:color w:val="auto"/>
        </w:rPr>
      </w:pPr>
      <w:r>
        <w:rPr>
          <w:rFonts w:ascii="Arial" w:cs="Arial" w:eastAsia="Arial" w:hAnsi="Arial"/>
          <w:sz w:val="18"/>
          <w:szCs w:val="18"/>
          <w:color w:val="auto"/>
        </w:rPr>
        <w:t>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w:t>
      </w:r>
    </w:p>
    <w:p>
      <w:pPr>
        <w:spacing w:after="0" w:line="187" w:lineRule="exact"/>
        <w:rPr>
          <w:sz w:val="20"/>
          <w:szCs w:val="20"/>
          <w:color w:val="auto"/>
        </w:rPr>
      </w:pPr>
    </w:p>
    <w:p>
      <w:pPr>
        <w:ind w:left="200" w:right="540" w:firstLine="434"/>
        <w:spacing w:after="0" w:line="308" w:lineRule="auto"/>
        <w:rPr>
          <w:sz w:val="20"/>
          <w:szCs w:val="20"/>
          <w:color w:val="auto"/>
        </w:rPr>
      </w:pPr>
      <w:r>
        <w:rPr>
          <w:rFonts w:ascii="Arial" w:cs="Arial" w:eastAsia="Arial" w:hAnsi="Arial"/>
          <w:sz w:val="17"/>
          <w:szCs w:val="17"/>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48" w:lineRule="exact"/>
        <w:rPr>
          <w:sz w:val="20"/>
          <w:szCs w:val="20"/>
          <w:color w:val="auto"/>
        </w:rPr>
      </w:pPr>
    </w:p>
    <w:p>
      <w:pPr>
        <w:ind w:left="1160" w:right="1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160" w:right="20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w:t>
      </w:r>
      <w:r>
        <w:rPr>
          <w:rFonts w:ascii="Arial" w:cs="Arial" w:eastAsia="Arial" w:hAnsi="Arial"/>
          <w:sz w:val="18"/>
          <w:szCs w:val="18"/>
          <w:b w:val="1"/>
          <w:bCs w:val="1"/>
          <w:color w:val="auto"/>
        </w:rPr>
        <w:t xml:space="preserve"> </w:t>
      </w:r>
      <w:r>
        <w:rPr>
          <w:rFonts w:ascii="Arial" w:cs="Arial" w:eastAsia="Arial" w:hAnsi="Arial"/>
          <w:sz w:val="18"/>
          <w:szCs w:val="18"/>
          <w:color w:val="auto"/>
        </w:rPr>
        <w:t>and synthesize new genetic data on tens of thousands of tumors; and</w:t>
      </w:r>
    </w:p>
    <w:p>
      <w:pPr>
        <w:spacing w:after="0" w:line="67" w:lineRule="exact"/>
        <w:rPr>
          <w:rFonts w:ascii="Arial" w:cs="Arial" w:eastAsia="Arial" w:hAnsi="Arial"/>
          <w:sz w:val="18"/>
          <w:szCs w:val="18"/>
          <w:color w:val="auto"/>
        </w:rPr>
      </w:pPr>
    </w:p>
    <w:p>
      <w:pPr>
        <w:ind w:left="116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 studies of genetic networks underlying cancer biology.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Synthetic Lethality Opportunity and Challenge</w:t>
      </w:r>
    </w:p>
    <w:p>
      <w:pPr>
        <w:spacing w:after="0" w:line="121" w:lineRule="exact"/>
        <w:rPr>
          <w:sz w:val="20"/>
          <w:szCs w:val="20"/>
          <w:color w:val="auto"/>
        </w:rPr>
      </w:pPr>
    </w:p>
    <w:p>
      <w:pPr>
        <w:ind w:left="200" w:right="80" w:firstLine="434"/>
        <w:spacing w:after="0" w:line="311" w:lineRule="auto"/>
        <w:rPr>
          <w:sz w:val="20"/>
          <w:szCs w:val="20"/>
          <w:color w:val="auto"/>
        </w:rPr>
      </w:pPr>
      <w:r>
        <w:rPr>
          <w:rFonts w:ascii="Arial" w:cs="Arial" w:eastAsia="Arial" w:hAnsi="Arial"/>
          <w:sz w:val="16"/>
          <w:szCs w:val="16"/>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32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47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200" w:firstLine="434"/>
        <w:spacing w:after="0" w:line="311" w:lineRule="auto"/>
        <w:rPr>
          <w:sz w:val="20"/>
          <w:szCs w:val="20"/>
          <w:color w:val="auto"/>
        </w:rPr>
      </w:pPr>
      <w:r>
        <w:rPr>
          <w:rFonts w:ascii="Arial" w:cs="Arial" w:eastAsia="Arial" w:hAnsi="Arial"/>
          <w:sz w:val="16"/>
          <w:szCs w:val="16"/>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0" w:firstLine="434"/>
        <w:spacing w:after="0" w:line="257"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88"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left="200" w:right="40" w:firstLine="434"/>
        <w:spacing w:after="0" w:line="279" w:lineRule="auto"/>
        <w:rPr>
          <w:sz w:val="20"/>
          <w:szCs w:val="20"/>
          <w:color w:val="auto"/>
        </w:rPr>
      </w:pPr>
      <w:r>
        <w:rPr>
          <w:rFonts w:ascii="Arial" w:cs="Arial" w:eastAsia="Arial" w:hAnsi="Arial"/>
          <w:sz w:val="17"/>
          <w:szCs w:val="17"/>
          <w:color w:val="auto"/>
        </w:rPr>
        <w:t>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71" w:lineRule="exact"/>
        <w:rPr>
          <w:sz w:val="20"/>
          <w:szCs w:val="20"/>
          <w:color w:val="auto"/>
        </w:rPr>
      </w:pPr>
    </w:p>
    <w:p>
      <w:pPr>
        <w:ind w:left="200" w:right="20" w:firstLine="434"/>
        <w:spacing w:after="0" w:line="255" w:lineRule="auto"/>
        <w:rPr>
          <w:sz w:val="20"/>
          <w:szCs w:val="20"/>
          <w:color w:val="auto"/>
        </w:rPr>
      </w:pPr>
      <w:r>
        <w:rPr>
          <w:rFonts w:ascii="Arial" w:cs="Arial" w:eastAsia="Arial" w:hAnsi="Arial"/>
          <w:sz w:val="18"/>
          <w:szCs w:val="18"/>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and are largely mutually exclusive.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to advance into drug discovery based on a systematic and proprietary set of criteria, which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50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40"/>
        <w:spacing w:after="0" w:line="272" w:lineRule="auto"/>
        <w:rPr>
          <w:sz w:val="20"/>
          <w:szCs w:val="20"/>
          <w:color w:val="auto"/>
        </w:rPr>
      </w:pPr>
      <w:r>
        <w:rPr>
          <w:rFonts w:ascii="Arial" w:cs="Arial" w:eastAsia="Arial" w:hAnsi="Arial"/>
          <w:sz w:val="17"/>
          <w:szCs w:val="17"/>
          <w:color w:val="auto"/>
        </w:rPr>
        <w:t>include thresholds for biological validation, cellular function, known and likely toxicity, druggability with small molecules, patentability and the potential for clinical impact versus alternative therapies. Once a SL product candidate is identified, we perform our STEP</w:t>
      </w:r>
      <w:r>
        <w:rPr>
          <w:rFonts w:ascii="Arial" w:cs="Arial" w:eastAsia="Arial" w:hAnsi="Arial"/>
          <w:sz w:val="14"/>
          <w:szCs w:val="14"/>
          <w:color w:val="auto"/>
        </w:rPr>
        <w:t>2</w:t>
      </w:r>
      <w:r>
        <w:rPr>
          <w:rFonts w:ascii="Arial" w:cs="Arial" w:eastAsia="Arial" w:hAnsi="Arial"/>
          <w:sz w:val="17"/>
          <w:szCs w:val="17"/>
          <w:color w:val="auto"/>
        </w:rPr>
        <w:t xml:space="preserve"> screen to identify additional genomic alterations that are SL with our product candidate. We believe the identification of these new SL pairs will allow us to rationally expand our targeted patient populations by enabling us to potentially treat patients with tumors across multiple genomic alterations with the same product candidate. For our clinical trials, we plan to enroll patients with tumors that contain either the original tumor lesion or any one of the genomic alterations identified by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strategy will allow us to enroll only those patients who are most likely to achieve clinical benefit from our product candidates. This approach can be divided into six steps, as depicted in the graphic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Clinical Program, RP-3500</w:t>
      </w:r>
    </w:p>
    <w:p>
      <w:pPr>
        <w:spacing w:after="0" w:line="121" w:lineRule="exact"/>
        <w:rPr>
          <w:sz w:val="20"/>
          <w:szCs w:val="20"/>
          <w:color w:val="auto"/>
        </w:rPr>
      </w:pPr>
    </w:p>
    <w:p>
      <w:pPr>
        <w:ind w:left="200" w:right="300" w:firstLine="434"/>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left="200" w:right="340" w:firstLine="434"/>
        <w:spacing w:after="0" w:line="286" w:lineRule="auto"/>
        <w:rPr>
          <w:sz w:val="20"/>
          <w:szCs w:val="20"/>
          <w:color w:val="auto"/>
        </w:rPr>
      </w:pPr>
      <w:r>
        <w:rPr>
          <w:rFonts w:ascii="Arial" w:cs="Arial" w:eastAsia="Arial" w:hAnsi="Arial"/>
          <w:sz w:val="16"/>
          <w:szCs w:val="16"/>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3"/>
          <w:szCs w:val="13"/>
          <w:color w:val="auto"/>
        </w:rPr>
        <w:t>2</w:t>
      </w:r>
      <w:r>
        <w:rPr>
          <w:rFonts w:ascii="Arial" w:cs="Arial" w:eastAsia="Arial" w:hAnsi="Arial"/>
          <w:sz w:val="16"/>
          <w:szCs w:val="16"/>
          <w:color w:val="auto"/>
        </w:rPr>
        <w:t xml:space="preserve"> screens in which we confirmed the SL relationship between ATR and ATM and identified an additional 19 genes that are also SL with ATR, potentially expanding the patient populations that may benefit from our product candidate. We anticipate filing an IND</w:t>
      </w:r>
    </w:p>
    <w:p>
      <w:pPr>
        <w:spacing w:after="0" w:line="1" w:lineRule="exact"/>
        <w:rPr>
          <w:sz w:val="20"/>
          <w:szCs w:val="20"/>
          <w:color w:val="auto"/>
        </w:rPr>
      </w:pPr>
    </w:p>
    <w:p>
      <w:pPr>
        <w:jc w:val="both"/>
        <w:ind w:left="200" w:right="200"/>
        <w:spacing w:after="0" w:line="281" w:lineRule="auto"/>
        <w:rPr>
          <w:sz w:val="20"/>
          <w:szCs w:val="20"/>
          <w:color w:val="auto"/>
        </w:rPr>
      </w:pPr>
      <w:r>
        <w:rPr>
          <w:rFonts w:ascii="Arial" w:cs="Arial" w:eastAsia="Arial" w:hAnsi="Arial"/>
          <w:sz w:val="16"/>
          <w:szCs w:val="16"/>
          <w:color w:val="auto"/>
        </w:rPr>
        <w:t>application and initiating an open-label Phase 1/2 clinical trial of RP-3500 in . We have designed our Phase 1/2 clinical trial to enroll patients based on the presence of alterations in ATM or any of the 19 STEP</w:t>
      </w:r>
      <w:r>
        <w:rPr>
          <w:rFonts w:ascii="Arial" w:cs="Arial" w:eastAsia="Arial" w:hAnsi="Arial"/>
          <w:sz w:val="13"/>
          <w:szCs w:val="13"/>
          <w:color w:val="auto"/>
        </w:rPr>
        <w:t>2</w:t>
      </w:r>
      <w:r>
        <w:rPr>
          <w:rFonts w:ascii="Arial" w:cs="Arial" w:eastAsia="Arial" w:hAnsi="Arial"/>
          <w:sz w:val="16"/>
          <w:szCs w:val="16"/>
          <w:color w:val="auto"/>
        </w:rPr>
        <w:t>-identified genes. Based on the observed synergistic activity in preclinical models with ATM and STEP</w:t>
      </w:r>
      <w:r>
        <w:rPr>
          <w:rFonts w:ascii="Arial" w:cs="Arial" w:eastAsia="Arial" w:hAnsi="Arial"/>
          <w:sz w:val="13"/>
          <w:szCs w:val="13"/>
          <w:color w:val="auto"/>
        </w:rPr>
        <w:t>2</w:t>
      </w:r>
      <w:r>
        <w:rPr>
          <w:rFonts w:ascii="Arial" w:cs="Arial" w:eastAsia="Arial" w:hAnsi="Arial"/>
          <w:sz w:val="16"/>
          <w:szCs w:val="16"/>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200"/>
              <w:spacing w:after="0"/>
              <w:rPr>
                <w:sz w:val="20"/>
                <w:szCs w:val="20"/>
                <w:color w:val="auto"/>
              </w:rPr>
            </w:pPr>
            <w:r>
              <w:rPr>
                <w:rFonts w:ascii="Arial" w:cs="Arial" w:eastAsia="Arial" w:hAnsi="Arial"/>
                <w:sz w:val="18"/>
                <w:szCs w:val="18"/>
                <w:color w:val="auto"/>
              </w:rPr>
              <w:t>phase of the trial in</w:t>
            </w:r>
          </w:p>
        </w:tc>
        <w:tc>
          <w:tcPr>
            <w:tcW w:w="9300" w:type="dxa"/>
            <w:vAlign w:val="bottom"/>
          </w:tcPr>
          <w:p>
            <w:pPr>
              <w:jc w:val="right"/>
              <w:ind w:right="8810"/>
              <w:spacing w:after="0"/>
              <w:rPr>
                <w:sz w:val="20"/>
                <w:szCs w:val="20"/>
                <w:color w:val="auto"/>
              </w:rPr>
            </w:pPr>
            <w:r>
              <w:rPr>
                <w:rFonts w:ascii="Arial" w:cs="Arial" w:eastAsia="Arial" w:hAnsi="Arial"/>
                <w:sz w:val="18"/>
                <w:szCs w:val="18"/>
                <w:color w:val="auto"/>
              </w:rPr>
              <w:t>.</w:t>
            </w:r>
          </w:p>
        </w:tc>
      </w:tr>
      <w:tr>
        <w:trPr>
          <w:trHeight w:val="225"/>
        </w:trPr>
        <w:tc>
          <w:tcPr>
            <w:tcW w:w="194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tcPr>
          <w:p>
            <w:pPr>
              <w:spacing w:after="0"/>
              <w:rPr>
                <w:sz w:val="19"/>
                <w:szCs w:val="19"/>
                <w:color w:val="auto"/>
              </w:rPr>
            </w:pPr>
          </w:p>
        </w:tc>
      </w:tr>
      <w:tr>
        <w:trPr>
          <w:trHeight w:val="604"/>
        </w:trPr>
        <w:tc>
          <w:tcPr>
            <w:tcW w:w="1940" w:type="dxa"/>
            <w:vAlign w:val="bottom"/>
          </w:tcPr>
          <w:p>
            <w:pPr>
              <w:spacing w:after="0"/>
              <w:rPr>
                <w:sz w:val="24"/>
                <w:szCs w:val="24"/>
                <w:color w:val="auto"/>
              </w:rPr>
            </w:pPr>
          </w:p>
        </w:tc>
        <w:tc>
          <w:tcPr>
            <w:tcW w:w="9300" w:type="dxa"/>
            <w:vAlign w:val="bottom"/>
          </w:tcPr>
          <w:p>
            <w:pPr>
              <w:jc w:val="right"/>
              <w:ind w:right="549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90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Preclinical Programs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left="200" w:right="380" w:firstLine="434"/>
        <w:spacing w:after="0" w:line="284" w:lineRule="auto"/>
        <w:rPr>
          <w:sz w:val="20"/>
          <w:szCs w:val="20"/>
          <w:color w:val="auto"/>
        </w:rPr>
      </w:pPr>
      <w:r>
        <w:rPr>
          <w:rFonts w:ascii="Arial" w:cs="Arial" w:eastAsia="Arial" w:hAnsi="Arial"/>
          <w:sz w:val="16"/>
          <w:szCs w:val="16"/>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a clinical candidate for this</w:t>
      </w:r>
    </w:p>
    <w:p>
      <w:pPr>
        <w:spacing w:after="0" w:line="4" w:lineRule="exact"/>
        <w:rPr>
          <w:sz w:val="20"/>
          <w:szCs w:val="20"/>
          <w:color w:val="auto"/>
        </w:rPr>
      </w:pPr>
    </w:p>
    <w:p>
      <w:pPr>
        <w:ind w:left="200"/>
        <w:spacing w:after="0"/>
        <w:tabs>
          <w:tab w:leader="none" w:pos="5220" w:val="left"/>
        </w:tabs>
        <w:rPr>
          <w:sz w:val="20"/>
          <w:szCs w:val="20"/>
          <w:color w:val="auto"/>
        </w:rPr>
      </w:pPr>
      <w:r>
        <w:rPr>
          <w:rFonts w:ascii="Arial" w:cs="Arial" w:eastAsia="Arial" w:hAnsi="Arial"/>
          <w:sz w:val="18"/>
          <w:szCs w:val="18"/>
          <w:color w:val="auto"/>
        </w:rPr>
        <w:t>potential first-in-class program into IND-enabling studies in</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left="200" w:right="180" w:firstLine="434"/>
        <w:spacing w:after="0" w:line="285" w:lineRule="auto"/>
        <w:rPr>
          <w:sz w:val="20"/>
          <w:szCs w:val="20"/>
          <w:color w:val="auto"/>
        </w:rPr>
      </w:pPr>
      <w:r>
        <w:rPr>
          <w:rFonts w:ascii="Arial" w:cs="Arial" w:eastAsia="Arial" w:hAnsi="Arial"/>
          <w:sz w:val="16"/>
          <w:szCs w:val="16"/>
          <w:color w:val="auto"/>
        </w:rPr>
        <w:t>We are developing a small molecule inhibitor of polymerase theta, or Polq, a SL target associated with BRCA mutations as well as other genomic alterations. 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w:t>
      </w:r>
    </w:p>
    <w:p>
      <w:pPr>
        <w:spacing w:after="0" w:line="2" w:lineRule="exact"/>
        <w:rPr>
          <w:sz w:val="20"/>
          <w:szCs w:val="20"/>
          <w:color w:val="auto"/>
        </w:rPr>
      </w:pPr>
    </w:p>
    <w:p>
      <w:pPr>
        <w:ind w:left="200"/>
        <w:spacing w:after="0"/>
        <w:tabs>
          <w:tab w:leader="none" w:pos="10360" w:val="left"/>
        </w:tabs>
        <w:rPr>
          <w:sz w:val="20"/>
          <w:szCs w:val="20"/>
          <w:color w:val="auto"/>
        </w:rPr>
      </w:pPr>
      <w:r>
        <w:rPr>
          <w:rFonts w:ascii="Arial" w:cs="Arial" w:eastAsia="Arial" w:hAnsi="Arial"/>
          <w:sz w:val="17"/>
          <w:szCs w:val="17"/>
          <w:color w:val="auto"/>
        </w:rPr>
        <w:t>with breast and ovarian cancer. We anticipate advancing a clinical candidate and initiating IND-enabling studies for this program in</w:t>
      </w:r>
      <w:r>
        <w:rPr>
          <w:sz w:val="20"/>
          <w:szCs w:val="20"/>
          <w:color w:val="auto"/>
        </w:rPr>
        <w:tab/>
      </w:r>
      <w:r>
        <w:rPr>
          <w:rFonts w:ascii="Arial" w:cs="Arial" w:eastAsia="Arial" w:hAnsi="Arial"/>
          <w:sz w:val="13"/>
          <w:szCs w:val="13"/>
          <w:color w:val="auto"/>
        </w:rPr>
        <w:t>.</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760" w:firstLine="434"/>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160" w:right="460" w:hanging="534"/>
        <w:spacing w:after="0" w:line="293"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Advance our lead product candidate, RP-3500, through clinical development by leveraging our differentiated STEP</w:t>
      </w:r>
      <w:r>
        <w:rPr>
          <w:rFonts w:ascii="Arial" w:cs="Arial" w:eastAsia="Arial" w:hAnsi="Arial"/>
          <w:sz w:val="13"/>
          <w:szCs w:val="13"/>
          <w:b w:val="1"/>
          <w:bCs w:val="1"/>
          <w:color w:val="auto"/>
        </w:rPr>
        <w:t>2</w:t>
      </w:r>
      <w:r>
        <w:rPr>
          <w:rFonts w:ascii="Arial" w:cs="Arial" w:eastAsia="Arial" w:hAnsi="Arial"/>
          <w:sz w:val="16"/>
          <w:szCs w:val="16"/>
          <w:b w:val="1"/>
          <w:bCs w:val="1"/>
          <w:color w:val="auto"/>
        </w:rPr>
        <w:t xml:space="preserve"> patient selection approach</w:t>
      </w:r>
      <w:r>
        <w:rPr>
          <w:rFonts w:ascii="Arial" w:cs="Arial" w:eastAsia="Arial" w:hAnsi="Arial"/>
          <w:sz w:val="16"/>
          <w:szCs w:val="16"/>
          <w:color w:val="auto"/>
        </w:rPr>
        <w:t>. We designed RP-3500 to have a highly selective and potent profile that may enable it to be a leading inhibitor of</w:t>
      </w:r>
    </w:p>
    <w:p>
      <w:pPr>
        <w:spacing w:after="0" w:line="1" w:lineRule="exact"/>
        <w:rPr>
          <w:sz w:val="20"/>
          <w:szCs w:val="20"/>
          <w:color w:val="auto"/>
        </w:rPr>
      </w:pPr>
    </w:p>
    <w:p>
      <w:pPr>
        <w:ind w:left="1160" w:right="220"/>
        <w:spacing w:after="0" w:line="281" w:lineRule="auto"/>
        <w:rPr>
          <w:sz w:val="20"/>
          <w:szCs w:val="20"/>
          <w:color w:val="auto"/>
        </w:rPr>
      </w:pPr>
      <w:r>
        <w:rPr>
          <w:rFonts w:ascii="Arial" w:cs="Arial" w:eastAsia="Arial" w:hAnsi="Arial"/>
          <w:sz w:val="16"/>
          <w:szCs w:val="16"/>
          <w:color w:val="auto"/>
        </w:rPr>
        <w:t>ATR, if approved. We intend to initiate an open-label Phase 1/2 clinical trial of RP-3500 in in patients with advanced tumors that have alterations in the ATM gene or any of the 19 genes identified through our STEP</w:t>
      </w:r>
      <w:r>
        <w:rPr>
          <w:rFonts w:ascii="Arial" w:cs="Arial" w:eastAsia="Arial" w:hAnsi="Arial"/>
          <w:sz w:val="13"/>
          <w:szCs w:val="13"/>
          <w:color w:val="auto"/>
        </w:rPr>
        <w:t>2</w:t>
      </w:r>
      <w:r>
        <w:rPr>
          <w:rFonts w:ascii="Arial" w:cs="Arial" w:eastAsia="Arial" w:hAnsi="Arial"/>
          <w:sz w:val="16"/>
          <w:szCs w:val="16"/>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w:t>
      </w:r>
    </w:p>
    <w:p>
      <w:pPr>
        <w:sectPr>
          <w:pgSz w:w="11900" w:h="16838" w:orient="portrait"/>
          <w:cols w:equalWidth="0" w:num="1">
            <w:col w:w="11240"/>
          </w:cols>
          <w:pgMar w:left="320" w:top="459" w:right="339" w:bottom="1440" w:gutter="0" w:footer="0" w:header="0"/>
        </w:sectPr>
      </w:pPr>
    </w:p>
    <w:p>
      <w:pPr>
        <w:spacing w:after="0" w:line="3" w:lineRule="exact"/>
        <w:rPr>
          <w:sz w:val="20"/>
          <w:szCs w:val="20"/>
          <w:color w:val="auto"/>
        </w:rPr>
      </w:pPr>
    </w:p>
    <w:p>
      <w:pPr>
        <w:ind w:left="1160" w:right="240"/>
        <w:spacing w:after="0" w:line="260" w:lineRule="auto"/>
        <w:rPr>
          <w:sz w:val="20"/>
          <w:szCs w:val="20"/>
          <w:color w:val="auto"/>
        </w:rPr>
      </w:pPr>
      <w:r>
        <w:rPr>
          <w:rFonts w:ascii="Arial" w:cs="Arial" w:eastAsia="Arial" w:hAnsi="Arial"/>
          <w:sz w:val="18"/>
          <w:szCs w:val="18"/>
          <w:color w:val="auto"/>
        </w:rPr>
        <w:t>for the monotherapy and combination therapy dose escalation phase of the trial in , which may inform the design, including the targeted patient population, of a future pivotal trial.</w:t>
      </w:r>
    </w:p>
    <w:p>
      <w:pPr>
        <w:sectPr>
          <w:pgSz w:w="11900" w:h="16838" w:orient="portrait"/>
          <w:cols w:equalWidth="0" w:num="1">
            <w:col w:w="11240"/>
          </w:cols>
          <w:pgMar w:left="320" w:top="459" w:right="339" w:bottom="1440" w:gutter="0" w:footer="0" w:header="0"/>
          <w:type w:val="continuous"/>
        </w:sectPr>
      </w:pPr>
    </w:p>
    <w:p>
      <w:pPr>
        <w:spacing w:after="0" w:line="87" w:lineRule="exact"/>
        <w:rPr>
          <w:sz w:val="20"/>
          <w:szCs w:val="20"/>
          <w:color w:val="auto"/>
        </w:rPr>
      </w:pPr>
    </w:p>
    <w:p>
      <w:pPr>
        <w:ind w:left="1160" w:right="200" w:hanging="534"/>
        <w:spacing w:after="0" w:line="289"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Continue to advance our preclinical programs into clinical development</w:t>
      </w:r>
      <w:r>
        <w:rPr>
          <w:rFonts w:ascii="Arial" w:cs="Arial" w:eastAsia="Arial" w:hAnsi="Arial"/>
          <w:sz w:val="16"/>
          <w:szCs w:val="16"/>
          <w:color w:val="auto"/>
        </w:rPr>
        <w:t>. In addition to RP-3500, we have two programs in advanced</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 development. One of these programs is focused on a novel target we discovered using our SNIPRx platform to be SL with CCNE1 amplification in tumors such as gynecological and upper gastrointestinal malignancies. We anticipate advancing a clinical</w:t>
      </w:r>
    </w:p>
    <w:p>
      <w:pPr>
        <w:spacing w:after="0" w:line="2" w:lineRule="exact"/>
        <w:rPr>
          <w:sz w:val="20"/>
          <w:szCs w:val="20"/>
          <w:color w:val="auto"/>
        </w:rPr>
      </w:pPr>
    </w:p>
    <w:p>
      <w:pPr>
        <w:ind w:left="1160" w:right="220"/>
        <w:spacing w:after="0" w:line="265" w:lineRule="auto"/>
        <w:rPr>
          <w:sz w:val="20"/>
          <w:szCs w:val="20"/>
          <w:color w:val="auto"/>
        </w:rPr>
      </w:pPr>
      <w:r>
        <w:rPr>
          <w:rFonts w:ascii="Arial" w:cs="Arial" w:eastAsia="Arial" w:hAnsi="Arial"/>
          <w:sz w:val="17"/>
          <w:szCs w:val="17"/>
          <w:color w:val="auto"/>
        </w:rPr>
        <w:t>candidate for this potential first-in-class program into IND-enabling studies in . We are also developing an inhibitor of Polq, which is SL with multiple gene deficiencies found in tumors, including BRCA1 or BRCA2. We anticipate advancing a clinical candidate</w:t>
      </w:r>
    </w:p>
    <w:tbl>
      <w:tblPr>
        <w:tblLayout w:type="fixed"/>
        <w:tblInd w:w="0" w:type="dxa"/>
        <w:tblCellMar>
          <w:top w:w="0" w:type="dxa"/>
          <w:left w:w="0" w:type="dxa"/>
          <w:bottom w:w="0" w:type="dxa"/>
          <w:right w:w="0" w:type="dxa"/>
        </w:tblCellMar>
      </w:tblPr>
      <w:tr>
        <w:trPr>
          <w:trHeight w:val="230"/>
        </w:trPr>
        <w:tc>
          <w:tcPr>
            <w:tcW w:w="5340" w:type="dxa"/>
            <w:vAlign w:val="bottom"/>
          </w:tcPr>
          <w:p>
            <w:pPr>
              <w:ind w:left="1160"/>
              <w:spacing w:after="0"/>
              <w:rPr>
                <w:sz w:val="20"/>
                <w:szCs w:val="20"/>
                <w:color w:val="auto"/>
              </w:rPr>
            </w:pPr>
            <w:r>
              <w:rPr>
                <w:rFonts w:ascii="Arial" w:cs="Arial" w:eastAsia="Arial" w:hAnsi="Arial"/>
                <w:sz w:val="18"/>
                <w:szCs w:val="18"/>
                <w:color w:val="auto"/>
                <w:w w:val="98"/>
              </w:rPr>
              <w:t>and initiating IND-enabling studies for this program in</w:t>
            </w:r>
          </w:p>
        </w:tc>
        <w:tc>
          <w:tcPr>
            <w:tcW w:w="5900" w:type="dxa"/>
            <w:vAlign w:val="bottom"/>
          </w:tcPr>
          <w:p>
            <w:pPr>
              <w:jc w:val="right"/>
              <w:ind w:right="5270"/>
              <w:spacing w:after="0"/>
              <w:rPr>
                <w:sz w:val="20"/>
                <w:szCs w:val="20"/>
                <w:color w:val="auto"/>
              </w:rPr>
            </w:pPr>
            <w:r>
              <w:rPr>
                <w:rFonts w:ascii="Arial" w:cs="Arial" w:eastAsia="Arial" w:hAnsi="Arial"/>
                <w:sz w:val="18"/>
                <w:szCs w:val="18"/>
                <w:color w:val="auto"/>
              </w:rPr>
              <w:t>.</w:t>
            </w:r>
          </w:p>
        </w:tc>
      </w:tr>
      <w:tr>
        <w:trPr>
          <w:trHeight w:val="225"/>
        </w:trPr>
        <w:tc>
          <w:tcPr>
            <w:tcW w:w="534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tcPr>
          <w:p>
            <w:pPr>
              <w:spacing w:after="0"/>
              <w:rPr>
                <w:sz w:val="19"/>
                <w:szCs w:val="19"/>
                <w:color w:val="auto"/>
              </w:rPr>
            </w:pPr>
          </w:p>
        </w:tc>
      </w:tr>
      <w:tr>
        <w:trPr>
          <w:trHeight w:val="604"/>
        </w:trPr>
        <w:tc>
          <w:tcPr>
            <w:tcW w:w="5340" w:type="dxa"/>
            <w:vAlign w:val="bottom"/>
          </w:tcPr>
          <w:p>
            <w:pPr>
              <w:spacing w:after="0"/>
              <w:rPr>
                <w:sz w:val="24"/>
                <w:szCs w:val="24"/>
                <w:color w:val="auto"/>
              </w:rPr>
            </w:pPr>
          </w:p>
        </w:tc>
        <w:tc>
          <w:tcPr>
            <w:tcW w:w="5900" w:type="dxa"/>
            <w:vAlign w:val="bottom"/>
          </w:tcPr>
          <w:p>
            <w:pPr>
              <w:jc w:val="right"/>
              <w:ind w:right="549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02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60" w:right="120" w:hanging="534"/>
        <w:spacing w:after="0" w:line="29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Extend our leading position in SL drug discovery. </w:t>
      </w:r>
      <w:r>
        <w:rPr>
          <w:rFonts w:ascii="Arial" w:cs="Arial" w:eastAsia="Arial" w:hAnsi="Arial"/>
          <w:sz w:val="16"/>
          <w:szCs w:val="16"/>
          <w:color w:val="auto"/>
        </w:rPr>
        <w:t>We have systematically analyzed genomic data from approximately 60,000 tumor</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3"/>
          <w:szCs w:val="13"/>
          <w:color w:val="auto"/>
        </w:rPr>
        <w:t>2</w:t>
      </w:r>
      <w:r>
        <w:rPr>
          <w:rFonts w:ascii="Arial" w:cs="Arial" w:eastAsia="Arial" w:hAnsi="Arial"/>
          <w:sz w:val="16"/>
          <w:szCs w:val="16"/>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66" w:lineRule="exact"/>
        <w:rPr>
          <w:rFonts w:ascii="Arial" w:cs="Arial" w:eastAsia="Arial" w:hAnsi="Arial"/>
          <w:sz w:val="16"/>
          <w:szCs w:val="16"/>
          <w:color w:val="auto"/>
        </w:rPr>
      </w:pPr>
    </w:p>
    <w:p>
      <w:pPr>
        <w:ind w:left="1160" w:right="20" w:hanging="534"/>
        <w:spacing w:after="0" w:line="25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Opportunistically pursue strategic partnerships to maximize the full potential of our pipeline and SNIPRx platform</w:t>
      </w:r>
      <w:r>
        <w:rPr>
          <w:rFonts w:ascii="Arial" w:cs="Arial" w:eastAsia="Arial" w:hAnsi="Arial"/>
          <w:sz w:val="18"/>
          <w:szCs w:val="18"/>
          <w:color w:val="auto"/>
        </w:rPr>
        <w:t>. The large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As of April 3, 2020, our patent portfolio included four pending U.S. provisional patent applications, consisting of one application covering RP-3500 and its use, one application covering uses of RP-3500, one application covering CCNE1-SL inhibitors and their use and one application covering uses of CCNE1-SL inhibitors. In addition, our patent portfolio included one pending international application under the Patent Cooperation Treaty of 1970 covering RP-3500 and its uses. See “Business—Intellectual Property”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200" w:right="180" w:firstLine="434"/>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34"/>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shares. These risks are more fully described in the section titled “Risk Factors,” including the following:</w:t>
      </w:r>
    </w:p>
    <w:p>
      <w:pPr>
        <w:spacing w:after="0" w:line="76" w:lineRule="exact"/>
        <w:rPr>
          <w:sz w:val="20"/>
          <w:szCs w:val="20"/>
          <w:color w:val="auto"/>
        </w:rPr>
      </w:pPr>
    </w:p>
    <w:p>
      <w:pPr>
        <w:ind w:left="1160" w:right="5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35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40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preclinical development.</w:t>
      </w:r>
    </w:p>
    <w:p>
      <w:pPr>
        <w:spacing w:after="0" w:line="130" w:lineRule="exact"/>
        <w:rPr>
          <w:rFonts w:ascii="Arial" w:cs="Arial" w:eastAsia="Arial" w:hAnsi="Arial"/>
          <w:sz w:val="18"/>
          <w:szCs w:val="18"/>
          <w:color w:val="auto"/>
        </w:rPr>
      </w:pPr>
    </w:p>
    <w:p>
      <w:pPr>
        <w:ind w:left="1160" w:right="360" w:hanging="534"/>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92" w:lineRule="exact"/>
        <w:rPr>
          <w:rFonts w:ascii="Arial" w:cs="Arial" w:eastAsia="Arial" w:hAnsi="Arial"/>
          <w:sz w:val="18"/>
          <w:szCs w:val="18"/>
          <w:color w:val="auto"/>
        </w:rPr>
      </w:pPr>
    </w:p>
    <w:p>
      <w:pPr>
        <w:ind w:left="1160" w:right="42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could adversely impact our business, including our preclinical studies and clinical trials.</w:t>
      </w:r>
    </w:p>
    <w:p>
      <w:pPr>
        <w:spacing w:after="0" w:line="75" w:lineRule="exact"/>
        <w:rPr>
          <w:rFonts w:ascii="Arial" w:cs="Arial" w:eastAsia="Arial" w:hAnsi="Arial"/>
          <w:sz w:val="18"/>
          <w:szCs w:val="18"/>
          <w:color w:val="auto"/>
        </w:rPr>
      </w:pPr>
    </w:p>
    <w:p>
      <w:pPr>
        <w:ind w:left="1160" w:right="14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75"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89"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89" w:lineRule="exact"/>
        <w:rPr>
          <w:rFonts w:ascii="Arial" w:cs="Arial" w:eastAsia="Arial" w:hAnsi="Arial"/>
          <w:sz w:val="18"/>
          <w:szCs w:val="18"/>
          <w:color w:val="auto"/>
        </w:rPr>
      </w:pPr>
    </w:p>
    <w:p>
      <w:pPr>
        <w:ind w:left="1160" w:right="420" w:hanging="534"/>
        <w:spacing w:after="0" w:line="34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29" w:lineRule="exact"/>
        <w:rPr>
          <w:rFonts w:ascii="Arial" w:cs="Arial" w:eastAsia="Arial" w:hAnsi="Arial"/>
          <w:sz w:val="16"/>
          <w:szCs w:val="16"/>
          <w:color w:val="auto"/>
        </w:rPr>
      </w:pPr>
    </w:p>
    <w:p>
      <w:pPr>
        <w:ind w:left="1160" w:right="10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drugs before or more successfully than us.</w:t>
      </w:r>
    </w:p>
    <w:p>
      <w:pPr>
        <w:spacing w:after="0" w:line="153" w:lineRule="exact"/>
        <w:rPr>
          <w:rFonts w:ascii="Arial" w:cs="Arial" w:eastAsia="Arial" w:hAnsi="Arial"/>
          <w:sz w:val="16"/>
          <w:szCs w:val="16"/>
          <w:color w:val="auto"/>
        </w:rPr>
      </w:pPr>
    </w:p>
    <w:p>
      <w:pPr>
        <w:ind w:left="1160" w:right="70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third parties to supply and manufacture our product candidates, and we expect to continue to rely on third parties to manufacture our products, if approved.</w:t>
      </w:r>
    </w:p>
    <w:p>
      <w:pPr>
        <w:spacing w:after="0" w:line="75" w:lineRule="exact"/>
        <w:rPr>
          <w:rFonts w:ascii="Arial" w:cs="Arial" w:eastAsia="Arial" w:hAnsi="Arial"/>
          <w:sz w:val="18"/>
          <w:szCs w:val="18"/>
          <w:color w:val="auto"/>
        </w:rPr>
      </w:pPr>
    </w:p>
    <w:p>
      <w:pPr>
        <w:ind w:left="1160" w:right="20" w:hanging="534"/>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40" w:firstLine="434"/>
        <w:spacing w:after="0" w:line="257" w:lineRule="auto"/>
        <w:rPr>
          <w:sz w:val="20"/>
          <w:szCs w:val="20"/>
          <w:color w:val="auto"/>
        </w:rPr>
      </w:pPr>
      <w:r>
        <w:rPr>
          <w:rFonts w:ascii="Arial" w:cs="Arial" w:eastAsia="Arial" w:hAnsi="Arial"/>
          <w:sz w:val="18"/>
          <w:szCs w:val="18"/>
          <w:color w:val="auto"/>
        </w:rPr>
        <w:t xml:space="preserve">We were incorporated under the Canada Business Corporations Act, or CBCA, on September 6, 2016. Our principal executive offices are located at 7210 Frederick-Banting, Suite 100, Montréal, Québec, Canada H4S 2A1, and our telephone number is (857) 412-7018. In June 2017, we incorporated our wholly-owned subsidiary, Repare Therapeutics USA Inc., a Delaware corporation. Our corporate website address is </w:t>
      </w:r>
      <w:r>
        <w:rPr>
          <w:rFonts w:ascii="Arial" w:cs="Arial" w:eastAsia="Arial" w:hAnsi="Arial"/>
          <w:sz w:val="18"/>
          <w:szCs w:val="18"/>
          <w:i w:val="1"/>
          <w:iCs w:val="1"/>
          <w:color w:val="auto"/>
        </w:rPr>
        <w:t>www.reparerx.com</w:t>
      </w:r>
      <w:r>
        <w:rPr>
          <w:rFonts w:ascii="Arial" w:cs="Arial" w:eastAsia="Arial" w:hAnsi="Arial"/>
          <w:sz w:val="18"/>
          <w:szCs w:val="18"/>
          <w:color w:val="auto"/>
        </w:rPr>
        <w:t>. Information contained on, or accessible through, our website is not a part of this prospectus. We have included our website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9"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855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4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to rely on certain exemptions from various public company reporting requirements, including:</w:t>
      </w:r>
    </w:p>
    <w:p>
      <w:pPr>
        <w:spacing w:after="0" w:line="29" w:lineRule="exact"/>
        <w:rPr>
          <w:sz w:val="20"/>
          <w:szCs w:val="20"/>
          <w:color w:val="auto"/>
        </w:rPr>
      </w:pPr>
    </w:p>
    <w:p>
      <w:pPr>
        <w:ind w:left="1160" w:right="1100" w:hanging="534"/>
        <w:spacing w:after="0" w:line="308"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being permitted to present in this prospectus only two years of audited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130" w:lineRule="exact"/>
        <w:rPr>
          <w:rFonts w:ascii="Arial" w:cs="Arial" w:eastAsia="Arial" w:hAnsi="Arial"/>
          <w:sz w:val="18"/>
          <w:szCs w:val="18"/>
          <w:color w:val="auto"/>
        </w:rPr>
      </w:pPr>
    </w:p>
    <w:p>
      <w:pPr>
        <w:ind w:left="1160" w:right="62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submit to our shareholders a nonbinding advisory vote on executive compensation or any golden parachute payments not previously approved;</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have our internal control over financial reporting audited by our independent registered public accounting firm pursuant to Section 404(b) of the Sarbanes-Oxley Act of 2002;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6" w:lineRule="exact"/>
        <w:rPr>
          <w:sz w:val="20"/>
          <w:szCs w:val="20"/>
          <w:color w:val="auto"/>
        </w:rPr>
      </w:pPr>
    </w:p>
    <w:p>
      <w:pPr>
        <w:ind w:left="200" w:right="80" w:firstLine="434"/>
        <w:spacing w:after="0" w:line="291" w:lineRule="auto"/>
        <w:rPr>
          <w:sz w:val="20"/>
          <w:szCs w:val="20"/>
          <w:color w:val="auto"/>
        </w:rPr>
      </w:pPr>
      <w:r>
        <w:rPr>
          <w:rFonts w:ascii="Arial" w:cs="Arial" w:eastAsia="Arial" w:hAnsi="Arial"/>
          <w:sz w:val="16"/>
          <w:szCs w:val="16"/>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w:t>
      </w:r>
    </w:p>
    <w:p>
      <w:pPr>
        <w:ind w:left="200" w:hanging="6"/>
        <w:spacing w:after="0" w:line="252"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 (2) the last day of our fiscal year following the fifth anniversary of the date of the completion of this offering; (3) the date on which we have issued more than $1.0 billion in nonconvertible debt during the previous three years; or (4) the date on which we are deemed to be a large accelerated filer under the rules of the Securities and Exchange Commission, or the SEC. We may choose to take advantage of some but not all of these exemptions. We have taken advantage of certain reduced reporting requirements in this prospectus. Accordingly, the information contained herein may be different from the information you receive from other public companies in which you hold stock.</w:t>
      </w:r>
    </w:p>
    <w:p>
      <w:pPr>
        <w:spacing w:after="0" w:line="194"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07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320" w:top="459" w:right="539" w:bottom="1440" w:gutter="0" w:footer="0" w:header="0"/>
        </w:sectPr>
      </w:pPr>
    </w:p>
    <w:p>
      <w:pPr>
        <w:spacing w:after="0" w:line="3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to be offered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4160"/>
        <w:spacing w:after="0"/>
        <w:rPr>
          <w:sz w:val="20"/>
          <w:szCs w:val="20"/>
          <w:color w:val="auto"/>
        </w:rPr>
      </w:pPr>
      <w:r>
        <w:rPr>
          <w:rFonts w:ascii="Arial" w:cs="Arial" w:eastAsia="Arial" w:hAnsi="Arial"/>
          <w:sz w:val="13"/>
          <w:szCs w:val="13"/>
          <w:color w:val="auto"/>
        </w:rPr>
        <w:t>shares</w:t>
      </w:r>
    </w:p>
    <w:p>
      <w:pPr>
        <w:spacing w:after="0" w:line="134"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common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134"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shares to be outstanding after this offering</w:t>
      </w:r>
    </w:p>
    <w:p>
      <w:pPr>
        <w:spacing w:after="0" w:line="20" w:lineRule="exact"/>
        <w:rPr>
          <w:sz w:val="20"/>
          <w:szCs w:val="20"/>
          <w:color w:val="auto"/>
        </w:rPr>
      </w:pPr>
      <w:r>
        <w:rPr>
          <w:sz w:val="20"/>
          <w:szCs w:val="20"/>
          <w:color w:val="auto"/>
        </w:rPr>
        <w:br w:type="column"/>
      </w:r>
    </w:p>
    <w:p>
      <w:pPr>
        <w:spacing w:after="0"/>
        <w:tabs>
          <w:tab w:leader="none" w:pos="112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6"/>
          <w:szCs w:val="16"/>
          <w:color w:val="auto"/>
        </w:rPr>
        <w:t>shares if the underwriters exercise in full their</w:t>
      </w:r>
    </w:p>
    <w:p>
      <w:pPr>
        <w:spacing w:after="0" w:line="23"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tbl>
      <w:tblPr>
        <w:tblLayout w:type="fixed"/>
        <w:tblInd w:w="20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option to purchase additional shares)</w:t>
            </w:r>
          </w:p>
        </w:tc>
        <w:tc>
          <w:tcPr>
            <w:tcW w:w="800" w:type="dxa"/>
            <w:vAlign w:val="bottom"/>
          </w:tcPr>
          <w:p>
            <w:pPr>
              <w:spacing w:after="0"/>
              <w:rPr>
                <w:sz w:val="20"/>
                <w:szCs w:val="20"/>
                <w:color w:val="auto"/>
              </w:rPr>
            </w:pPr>
          </w:p>
        </w:tc>
      </w:tr>
      <w:tr>
        <w:trPr>
          <w:trHeight w:val="255"/>
        </w:trPr>
        <w:tc>
          <w:tcPr>
            <w:tcW w:w="4280" w:type="dxa"/>
            <w:vAlign w:val="bottom"/>
          </w:tcPr>
          <w:p>
            <w:pPr>
              <w:spacing w:after="0"/>
              <w:rPr>
                <w:sz w:val="20"/>
                <w:szCs w:val="20"/>
                <w:color w:val="auto"/>
              </w:rPr>
            </w:pPr>
            <w:r>
              <w:rPr>
                <w:rFonts w:ascii="Arial" w:cs="Arial" w:eastAsia="Arial" w:hAnsi="Arial"/>
                <w:sz w:val="18"/>
                <w:szCs w:val="18"/>
                <w:color w:val="auto"/>
              </w:rPr>
              <w:t>Use of proceeds</w:t>
            </w:r>
          </w:p>
        </w:tc>
        <w:tc>
          <w:tcPr>
            <w:tcW w:w="5760" w:type="dxa"/>
            <w:vAlign w:val="bottom"/>
            <w:gridSpan w:val="4"/>
          </w:tcPr>
          <w:p>
            <w:pPr>
              <w:ind w:left="1380"/>
              <w:spacing w:after="0"/>
              <w:rPr>
                <w:sz w:val="20"/>
                <w:szCs w:val="20"/>
                <w:color w:val="auto"/>
              </w:rPr>
            </w:pPr>
            <w:r>
              <w:rPr>
                <w:rFonts w:ascii="Arial" w:cs="Arial" w:eastAsia="Arial" w:hAnsi="Arial"/>
                <w:sz w:val="18"/>
                <w:szCs w:val="18"/>
                <w:color w:val="auto"/>
                <w:w w:val="93"/>
              </w:rPr>
              <w:t>We estimate that the net proceeds from this offering will be</w:t>
            </w:r>
          </w:p>
        </w:tc>
        <w:tc>
          <w:tcPr>
            <w:tcW w:w="800" w:type="dxa"/>
            <w:vAlign w:val="bottom"/>
          </w:tcPr>
          <w:p>
            <w:pPr>
              <w:spacing w:after="0"/>
              <w:rPr>
                <w:sz w:val="22"/>
                <w:szCs w:val="22"/>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2480" w:type="dxa"/>
            <w:vAlign w:val="bottom"/>
            <w:gridSpan w:val="2"/>
          </w:tcPr>
          <w:p>
            <w:pPr>
              <w:ind w:left="40"/>
              <w:spacing w:after="0"/>
              <w:rPr>
                <w:sz w:val="20"/>
                <w:szCs w:val="20"/>
                <w:color w:val="auto"/>
              </w:rPr>
            </w:pPr>
            <w:r>
              <w:rPr>
                <w:rFonts w:ascii="Arial" w:cs="Arial" w:eastAsia="Arial" w:hAnsi="Arial"/>
                <w:sz w:val="18"/>
                <w:szCs w:val="18"/>
                <w:color w:val="auto"/>
              </w:rPr>
              <w:t>million (or approximately $</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million if</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rPr>
              <w:t>the underwriters exercise in full their option to purchase up to</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660"/>
              <w:spacing w:after="0"/>
              <w:rPr>
                <w:sz w:val="20"/>
                <w:szCs w:val="20"/>
                <w:color w:val="auto"/>
              </w:rPr>
            </w:pPr>
            <w:r>
              <w:rPr>
                <w:rFonts w:ascii="Arial" w:cs="Arial" w:eastAsia="Arial" w:hAnsi="Arial"/>
                <w:sz w:val="18"/>
                <w:szCs w:val="18"/>
                <w:color w:val="auto"/>
                <w:w w:val="97"/>
              </w:rPr>
              <w:t>additional common shares), based on an assumed initial</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public offering price of $</w:t>
            </w: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3"/>
              </w:rPr>
              <w:t>per share, the midpoint of the price</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2"/>
              </w:rPr>
              <w:t>range set forth on the cover page of this prospectus, after deducting</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0"/>
              </w:rPr>
              <w:t>estimated underwriting fees and commissions and estimated offering</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w w:val="85"/>
              </w:rPr>
              <w:t>expenses payable by us.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6560" w:type="dxa"/>
            <w:vAlign w:val="bottom"/>
            <w:gridSpan w:val="5"/>
          </w:tcPr>
          <w:p>
            <w:pPr>
              <w:ind w:left="1380"/>
              <w:spacing w:after="0"/>
              <w:rPr>
                <w:sz w:val="20"/>
                <w:szCs w:val="20"/>
                <w:color w:val="auto"/>
              </w:rPr>
            </w:pPr>
            <w:r>
              <w:rPr>
                <w:rFonts w:ascii="Arial" w:cs="Arial" w:eastAsia="Arial" w:hAnsi="Arial"/>
                <w:sz w:val="18"/>
                <w:szCs w:val="18"/>
                <w:color w:val="auto"/>
                <w:w w:val="91"/>
              </w:rPr>
              <w:t>We currently intend to use the net proceeds from this offering, together</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with our existing cash, as follows:</w:t>
            </w: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approximately $</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w w:val="97"/>
              </w:rPr>
              <w:t>million to advance clinical development of</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RP-3500;</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approximately $</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rPr>
              <w:t>million to fund continued development of</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20" w:type="dxa"/>
            <w:vAlign w:val="bottom"/>
            <w:gridSpan w:val="2"/>
          </w:tcPr>
          <w:p>
            <w:pPr>
              <w:ind w:left="80"/>
              <w:spacing w:after="0"/>
              <w:rPr>
                <w:sz w:val="20"/>
                <w:szCs w:val="20"/>
                <w:color w:val="auto"/>
              </w:rPr>
            </w:pPr>
            <w:r>
              <w:rPr>
                <w:rFonts w:ascii="Arial" w:cs="Arial" w:eastAsia="Arial" w:hAnsi="Arial"/>
                <w:sz w:val="18"/>
                <w:szCs w:val="18"/>
                <w:color w:val="auto"/>
                <w:w w:val="95"/>
              </w:rPr>
              <w:t>our preclinical programs; and</w:t>
            </w: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60"/>
              <w:spacing w:after="0"/>
              <w:rPr>
                <w:sz w:val="20"/>
                <w:szCs w:val="20"/>
                <w:color w:val="auto"/>
              </w:rPr>
            </w:pPr>
            <w:r>
              <w:rPr>
                <w:rFonts w:ascii="Arial" w:cs="Arial" w:eastAsia="Arial" w:hAnsi="Arial"/>
                <w:sz w:val="18"/>
                <w:szCs w:val="18"/>
                <w:color w:val="auto"/>
                <w:w w:val="95"/>
              </w:rPr>
              <w:t>the remainder to fund working capital and other general corporate</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purposes.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97"/>
        </w:trPr>
        <w:tc>
          <w:tcPr>
            <w:tcW w:w="4280" w:type="dxa"/>
            <w:vAlign w:val="bottom"/>
          </w:tcPr>
          <w:p>
            <w:pPr>
              <w:spacing w:after="0"/>
              <w:rPr>
                <w:sz w:val="24"/>
                <w:szCs w:val="24"/>
                <w:color w:val="auto"/>
              </w:rPr>
            </w:pPr>
          </w:p>
        </w:tc>
        <w:tc>
          <w:tcPr>
            <w:tcW w:w="5760" w:type="dxa"/>
            <w:vAlign w:val="bottom"/>
            <w:gridSpan w:val="4"/>
          </w:tcPr>
          <w:p>
            <w:pPr>
              <w:ind w:left="1380"/>
              <w:spacing w:after="0"/>
              <w:rPr>
                <w:sz w:val="20"/>
                <w:szCs w:val="20"/>
                <w:color w:val="auto"/>
              </w:rPr>
            </w:pPr>
            <w:r>
              <w:rPr>
                <w:rFonts w:ascii="Arial" w:cs="Arial" w:eastAsia="Arial" w:hAnsi="Arial"/>
                <w:sz w:val="18"/>
                <w:szCs w:val="18"/>
                <w:color w:val="auto"/>
              </w:rPr>
              <w:t>See “Use of Proceeds” for additional information.</w:t>
            </w:r>
          </w:p>
        </w:tc>
        <w:tc>
          <w:tcPr>
            <w:tcW w:w="800" w:type="dxa"/>
            <w:vAlign w:val="bottom"/>
          </w:tcPr>
          <w:p>
            <w:pPr>
              <w:spacing w:after="0"/>
              <w:rPr>
                <w:sz w:val="24"/>
                <w:szCs w:val="24"/>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Risk factors</w:t>
            </w:r>
          </w:p>
        </w:tc>
        <w:tc>
          <w:tcPr>
            <w:tcW w:w="6560" w:type="dxa"/>
            <w:vAlign w:val="bottom"/>
            <w:gridSpan w:val="5"/>
          </w:tcPr>
          <w:p>
            <w:pPr>
              <w:ind w:left="1380"/>
              <w:spacing w:after="0"/>
              <w:rPr>
                <w:sz w:val="20"/>
                <w:szCs w:val="20"/>
                <w:color w:val="auto"/>
              </w:rPr>
            </w:pPr>
            <w:r>
              <w:rPr>
                <w:rFonts w:ascii="Arial" w:cs="Arial" w:eastAsia="Arial" w:hAnsi="Arial"/>
                <w:sz w:val="18"/>
                <w:szCs w:val="18"/>
                <w:color w:val="auto"/>
                <w:w w:val="96"/>
              </w:rPr>
              <w:t>You should read the section titled “Risk Factors” for a discussion of</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4"/>
              </w:rPr>
              <w:t>factors to consider carefully, together with all the other information</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2"/>
              </w:rPr>
              <w:t>included in this prospectus, before deciding to invest in our common</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3280" w:type="dxa"/>
            <w:vAlign w:val="bottom"/>
            <w:gridSpan w:val="2"/>
          </w:tcPr>
          <w:p>
            <w:pPr>
              <w:ind w:left="1380"/>
              <w:spacing w:after="0"/>
              <w:rPr>
                <w:sz w:val="20"/>
                <w:szCs w:val="20"/>
                <w:color w:val="auto"/>
              </w:rPr>
            </w:pPr>
            <w:r>
              <w:rPr>
                <w:rFonts w:ascii="Arial" w:cs="Arial" w:eastAsia="Arial" w:hAnsi="Arial"/>
                <w:sz w:val="18"/>
                <w:szCs w:val="18"/>
                <w:color w:val="auto"/>
              </w:rPr>
              <w:t>“RPTX”</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2" w:lineRule="exact"/>
        <w:rPr>
          <w:sz w:val="20"/>
          <w:szCs w:val="20"/>
          <w:color w:val="auto"/>
        </w:rPr>
      </w:pPr>
    </w:p>
    <w:p>
      <w:pPr>
        <w:jc w:val="both"/>
        <w:ind w:left="200" w:right="60" w:firstLine="434"/>
        <w:spacing w:after="0" w:line="263" w:lineRule="auto"/>
        <w:rPr>
          <w:sz w:val="20"/>
          <w:szCs w:val="20"/>
          <w:color w:val="auto"/>
        </w:rPr>
      </w:pPr>
      <w:r>
        <w:rPr>
          <w:rFonts w:ascii="Arial" w:cs="Arial" w:eastAsia="Arial" w:hAnsi="Arial"/>
          <w:sz w:val="18"/>
          <w:szCs w:val="18"/>
          <w:color w:val="auto"/>
        </w:rPr>
        <w:t>The number of common shares to be outstanding after this offering is based on 141,051,141 common shares outstanding as of March 31, 2020, which gives effect to the automatic conversion of all outstanding preferred shares into an aggregate of 130,686,975 common shares immediately prior to the completion of this offering, and excludes:</w:t>
      </w:r>
    </w:p>
    <w:p>
      <w:pPr>
        <w:spacing w:after="0" w:line="89" w:lineRule="exact"/>
        <w:rPr>
          <w:sz w:val="20"/>
          <w:szCs w:val="20"/>
          <w:color w:val="auto"/>
        </w:rPr>
      </w:pPr>
    </w:p>
    <w:p>
      <w:pPr>
        <w:ind w:left="1160" w:right="2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20,148,992 common shares issuable upon the exercise of outstanding options as of March 31, 2020, at a weighted-average exercise price of $0.34 per share;</w:t>
      </w:r>
    </w:p>
    <w:p>
      <w:pPr>
        <w:spacing w:after="0" w:line="75" w:lineRule="exact"/>
        <w:rPr>
          <w:rFonts w:ascii="Arial" w:cs="Arial" w:eastAsia="Arial" w:hAnsi="Arial"/>
          <w:sz w:val="18"/>
          <w:szCs w:val="18"/>
          <w:color w:val="auto"/>
        </w:rPr>
      </w:pPr>
    </w:p>
    <w:p>
      <w:pPr>
        <w:jc w:val="both"/>
        <w:ind w:left="1160" w:right="240" w:hanging="534"/>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3,449,250 common shares reserved for future issuance under our Repare Therapeutics Inc. Amended and Restated Option Plan, or the Existing Plan, as of March 31, 2020, which shares will cease to be available for future issuance immediately prior to the time that our 2020 Plan becomes effective in connection with this offering;</w:t>
      </w:r>
    </w:p>
    <w:p>
      <w:pPr>
        <w:spacing w:after="0" w:line="89" w:lineRule="exact"/>
        <w:rPr>
          <w:rFonts w:ascii="Arial" w:cs="Arial" w:eastAsia="Arial" w:hAnsi="Arial"/>
          <w:sz w:val="18"/>
          <w:szCs w:val="18"/>
          <w:color w:val="auto"/>
        </w:rPr>
      </w:pPr>
    </w:p>
    <w:p>
      <w:pPr>
        <w:ind w:left="1160" w:right="460" w:hanging="534"/>
        <w:spacing w:after="0" w:line="277" w:lineRule="auto"/>
        <w:tabs>
          <w:tab w:leader="none" w:pos="19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Equity Incentive Plan, or the 2020 Plan, which will become effective immediately prior to the execution of the underwriting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670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670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80"/>
        <w:spacing w:after="0" w:line="277" w:lineRule="auto"/>
        <w:rPr>
          <w:sz w:val="20"/>
          <w:szCs w:val="20"/>
          <w:color w:val="auto"/>
        </w:rPr>
      </w:pPr>
      <w:r>
        <w:rPr>
          <w:rFonts w:ascii="Arial" w:cs="Arial" w:eastAsia="Arial" w:hAnsi="Arial"/>
          <w:sz w:val="18"/>
          <w:szCs w:val="18"/>
          <w:color w:val="auto"/>
        </w:rPr>
        <w:t>agreement related to this offering, as well as any future increases in the number of common shares reserved for issuance under our 2020 Plan; and</w:t>
      </w:r>
    </w:p>
    <w:p>
      <w:pPr>
        <w:spacing w:after="0" w:line="76" w:lineRule="exact"/>
        <w:rPr>
          <w:sz w:val="20"/>
          <w:szCs w:val="20"/>
          <w:color w:val="auto"/>
        </w:rPr>
      </w:pPr>
    </w:p>
    <w:p>
      <w:pPr>
        <w:jc w:val="both"/>
        <w:ind w:left="1160" w:right="120" w:hanging="534"/>
        <w:spacing w:after="0" w:line="263" w:lineRule="auto"/>
        <w:tabs>
          <w:tab w:leader="none" w:pos="19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Employee Share Purchase Plan, or the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160" w:hanging="534"/>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immediately prior to the completion of this offering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outstanding preferred shares into an aggregate of 130,686,975 common shares immediately prior to the completion of this offering;</w:t>
      </w:r>
    </w:p>
    <w:p>
      <w:pPr>
        <w:spacing w:after="0" w:line="76" w:lineRule="exact"/>
        <w:rPr>
          <w:sz w:val="20"/>
          <w:szCs w:val="20"/>
          <w:color w:val="auto"/>
        </w:rPr>
      </w:pPr>
    </w:p>
    <w:p>
      <w:pPr>
        <w:ind w:left="620"/>
        <w:spacing w:after="0"/>
        <w:tabs>
          <w:tab w:leader="none" w:pos="1140" w:val="left"/>
          <w:tab w:leader="none" w:pos="146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tab/>
        <w:t>-for-</w:t>
      </w:r>
      <w:r>
        <w:rPr>
          <w:sz w:val="20"/>
          <w:szCs w:val="20"/>
          <w:color w:val="auto"/>
        </w:rPr>
        <w:tab/>
      </w:r>
      <w:r>
        <w:rPr>
          <w:rFonts w:ascii="Arial" w:cs="Arial" w:eastAsia="Arial" w:hAnsi="Arial"/>
          <w:sz w:val="16"/>
          <w:szCs w:val="16"/>
          <w:color w:val="auto"/>
        </w:rPr>
        <w:t>stock split of our common shares to be completed prior to the completion of this offering;</w:t>
      </w:r>
    </w:p>
    <w:p>
      <w:pPr>
        <w:spacing w:after="0" w:line="131" w:lineRule="exact"/>
        <w:rPr>
          <w:sz w:val="20"/>
          <w:szCs w:val="20"/>
          <w:color w:val="auto"/>
        </w:rPr>
      </w:pPr>
    </w:p>
    <w:p>
      <w:pPr>
        <w:ind w:left="1160" w:hanging="534"/>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1" w:lineRule="exact"/>
        <w:rPr>
          <w:sz w:val="20"/>
          <w:szCs w:val="20"/>
          <w:color w:val="auto"/>
        </w:rPr>
      </w:pPr>
    </w:p>
    <w:p>
      <w:pPr>
        <w:ind w:left="620"/>
        <w:spacing w:after="0"/>
        <w:tabs>
          <w:tab w:leader="none" w:pos="114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6"/>
          <w:szCs w:val="16"/>
          <w:color w:val="auto"/>
        </w:rPr>
        <w:t>additional common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87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6"/>
          <w:szCs w:val="16"/>
          <w:color w:val="auto"/>
        </w:rPr>
        <w:t>The following tables set forth our financial data for the periods indicated. We have derived the summary consolidated statements of operations data for the years ended December 31, 2017,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interim consolidated financial statements appearing elsewhere in this prospectus. Our historical results are not necessarily indicative of the results to be expected in the future.</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You should read this consolidated summary financial data together with our consolidated financial statements and related notes to those statements, as well as the section titled “Management’s Discussion and Analysis of Financial Condition and Results of Operations,” which are included elsewhere in this prospectus. The summary financial data in this section are not intended to replace our consolidated financial statements and are qualified in their entirety by our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(in thousands, except share and per share 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Operations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Realized and unrealized (loss) gain on foreign</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exchange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w w:val="97"/>
              </w:rPr>
              <w:t>Change in fair value of series A preferred share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tranche obligation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(1)</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Weighted average shares used in computing net loss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per share:</w:t>
            </w:r>
            <w:r>
              <w:rPr>
                <w:rFonts w:ascii="Arial" w:cs="Arial" w:eastAsia="Arial" w:hAnsi="Arial"/>
                <w:sz w:val="15"/>
                <w:szCs w:val="15"/>
                <w:color w:val="auto"/>
              </w:rPr>
              <w:t>(1)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9,229,658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9,265,000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9,265,000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9,265,000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9,906,973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176"/>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5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6534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2017</w:t>
            </w:r>
          </w:p>
        </w:tc>
        <w:tc>
          <w:tcPr>
            <w:tcW w:w="10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80" w:type="dxa"/>
            <w:vAlign w:val="bottom"/>
            <w:gridSpan w:val="6"/>
          </w:tcPr>
          <w:p>
            <w:pPr>
              <w:ind w:left="660"/>
              <w:spacing w:after="0" w:line="142" w:lineRule="exact"/>
              <w:rPr>
                <w:sz w:val="20"/>
                <w:szCs w:val="20"/>
                <w:color w:val="auto"/>
              </w:rPr>
            </w:pPr>
            <w:r>
              <w:rPr>
                <w:rFonts w:ascii="Arial" w:cs="Arial" w:eastAsia="Arial" w:hAnsi="Arial"/>
                <w:sz w:val="14"/>
                <w:szCs w:val="14"/>
                <w:b w:val="1"/>
                <w:bCs w:val="1"/>
                <w:color w:val="auto"/>
                <w:w w:val="94"/>
              </w:rPr>
              <w:t>(in thousands, except share and per share amounts)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3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(0.27)</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6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 used in computing pro</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95,722,801</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140,593,948</w:t>
            </w:r>
          </w:p>
        </w:tc>
        <w:tc>
          <w:tcPr>
            <w:tcW w:w="1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8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620" w:right="300" w:hanging="426"/>
        <w:spacing w:after="0" w:line="286"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See Note 13 to our audited consolidated financial statements and Note 7 to our unaudited condensed consolidated financial statements included elsewhere in this prospectus for an explanation of the calculations of our basic and diluted net loss per share, pro forma net loss per share and the weighted-average number of shares used in the computation of the per share amounts.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4"/>
          </w:tcPr>
          <w:p>
            <w:pPr>
              <w:ind w:left="180"/>
              <w:spacing w:after="0"/>
              <w:rPr>
                <w:sz w:val="20"/>
                <w:szCs w:val="20"/>
                <w:color w:val="auto"/>
              </w:rPr>
            </w:pPr>
            <w:r>
              <w:rPr>
                <w:rFonts w:ascii="Arial" w:cs="Arial" w:eastAsia="Arial" w:hAnsi="Arial"/>
                <w:sz w:val="14"/>
                <w:szCs w:val="14"/>
                <w:b w:val="1"/>
                <w:bCs w:val="1"/>
                <w:color w:val="auto"/>
              </w:rPr>
              <w:t>AS OF MARCH 31, 2020</w:t>
            </w: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0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04"/>
              <w:spacing w:after="0" w:line="119" w:lineRule="exact"/>
              <w:rPr>
                <w:sz w:val="20"/>
                <w:szCs w:val="20"/>
                <w:color w:val="auto"/>
              </w:rPr>
            </w:pPr>
            <w:r>
              <w:rPr>
                <w:rFonts w:ascii="Arial" w:cs="Arial" w:eastAsia="Arial" w:hAnsi="Arial"/>
                <w:sz w:val="13"/>
                <w:szCs w:val="13"/>
                <w:b w:val="1"/>
                <w:bCs w:val="1"/>
                <w:color w:val="auto"/>
              </w:rPr>
              <w:t>PRO</w:t>
            </w:r>
          </w:p>
        </w:tc>
        <w:tc>
          <w:tcPr>
            <w:tcW w:w="1680" w:type="dxa"/>
            <w:vAlign w:val="bottom"/>
            <w:tcBorders>
              <w:top w:val="single" w:sz="8" w:color="auto"/>
            </w:tcBorders>
          </w:tcPr>
          <w:p>
            <w:pPr>
              <w:ind w:left="66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b w:val="1"/>
                <w:bCs w:val="1"/>
                <w:color w:val="auto"/>
                <w:w w:val="99"/>
              </w:rPr>
              <w:t>FORMA</w:t>
            </w:r>
            <w:r>
              <w:rPr>
                <w:rFonts w:ascii="Arial" w:cs="Arial" w:eastAsia="Arial" w:hAnsi="Arial"/>
                <w:sz w:val="12"/>
                <w:szCs w:val="12"/>
                <w:b w:val="1"/>
                <w:bCs w:val="1"/>
                <w:color w:val="auto"/>
                <w:w w:val="99"/>
              </w:rPr>
              <w:t>(1)</w:t>
            </w:r>
          </w:p>
        </w:tc>
        <w:tc>
          <w:tcPr>
            <w:tcW w:w="1740" w:type="dxa"/>
            <w:vAlign w:val="bottom"/>
            <w:gridSpan w:val="2"/>
          </w:tcPr>
          <w:p>
            <w:pPr>
              <w:ind w:left="5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Cash</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$ 83,711</w:t>
            </w:r>
          </w:p>
        </w:tc>
        <w:tc>
          <w:tcPr>
            <w:tcW w:w="220" w:type="dxa"/>
            <w:vAlign w:val="bottom"/>
          </w:tcPr>
          <w:p>
            <w:pPr>
              <w:spacing w:after="0"/>
              <w:rPr>
                <w:sz w:val="18"/>
                <w:szCs w:val="18"/>
                <w:color w:val="auto"/>
              </w:rPr>
            </w:pP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$ 83,711</w:t>
            </w:r>
          </w:p>
        </w:tc>
        <w:tc>
          <w:tcPr>
            <w:tcW w:w="1680" w:type="dxa"/>
            <w:vAlign w:val="bottom"/>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80,578</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93,569</w:t>
            </w:r>
          </w:p>
        </w:tc>
        <w:tc>
          <w:tcPr>
            <w:tcW w:w="220" w:type="dxa"/>
            <w:vAlign w:val="bottom"/>
          </w:tcPr>
          <w:p>
            <w:pPr>
              <w:spacing w:after="0"/>
              <w:rPr>
                <w:sz w:val="18"/>
                <w:szCs w:val="18"/>
                <w:color w:val="auto"/>
              </w:rPr>
            </w:pPr>
          </w:p>
        </w:tc>
        <w:tc>
          <w:tcPr>
            <w:tcW w:w="1140" w:type="dxa"/>
            <w:vAlign w:val="bottom"/>
            <w:gridSpan w:val="2"/>
          </w:tcPr>
          <w:p>
            <w:pPr>
              <w:jc w:val="right"/>
              <w:ind w:right="4"/>
              <w:spacing w:after="0"/>
              <w:rPr>
                <w:sz w:val="20"/>
                <w:szCs w:val="20"/>
                <w:color w:val="auto"/>
              </w:rPr>
            </w:pPr>
            <w:r>
              <w:rPr>
                <w:rFonts w:ascii="Arial" w:cs="Arial" w:eastAsia="Arial" w:hAnsi="Arial"/>
                <w:sz w:val="18"/>
                <w:szCs w:val="18"/>
                <w:color w:val="auto"/>
              </w:rPr>
              <w:t>93,569</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Accumulated deficit</w:t>
            </w:r>
          </w:p>
        </w:tc>
        <w:tc>
          <w:tcPr>
            <w:tcW w:w="3140" w:type="dxa"/>
            <w:vAlign w:val="bottom"/>
            <w:gridSpan w:val="3"/>
          </w:tcPr>
          <w:p>
            <w:pPr>
              <w:jc w:val="right"/>
              <w:ind w:right="160"/>
              <w:spacing w:after="0"/>
              <w:rPr>
                <w:sz w:val="20"/>
                <w:szCs w:val="20"/>
                <w:color w:val="auto"/>
              </w:rPr>
            </w:pPr>
            <w:r>
              <w:rPr>
                <w:rFonts w:ascii="Arial" w:cs="Arial" w:eastAsia="Arial" w:hAnsi="Arial"/>
                <w:sz w:val="18"/>
                <w:szCs w:val="18"/>
                <w:color w:val="auto"/>
              </w:rPr>
              <w:t>(62,542)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(62,542)</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 equity</w:t>
            </w:r>
          </w:p>
        </w:tc>
        <w:tc>
          <w:tcPr>
            <w:tcW w:w="3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(58,135)</w:t>
            </w:r>
          </w:p>
        </w:tc>
        <w:tc>
          <w:tcPr>
            <w:tcW w:w="11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77,862</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20" w:hanging="426"/>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 forma column reflects the conversion of all of the outstanding preferred shares into an aggregate of 130,686,975 common shares upon</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completion of this offering.</w:t>
      </w:r>
    </w:p>
    <w:p>
      <w:pPr>
        <w:spacing w:after="0" w:line="248" w:lineRule="exact"/>
        <w:rPr>
          <w:sz w:val="20"/>
          <w:szCs w:val="20"/>
          <w:color w:val="auto"/>
        </w:rPr>
      </w:pPr>
    </w:p>
    <w:p>
      <w:pPr>
        <w:ind w:left="620" w:right="220" w:hanging="419"/>
        <w:spacing w:after="0" w:line="263" w:lineRule="auto"/>
        <w:tabs>
          <w:tab w:leader="none" w:pos="600" w:val="left"/>
        </w:tabs>
        <w:rPr>
          <w:sz w:val="20"/>
          <w:szCs w:val="20"/>
          <w:color w:val="auto"/>
        </w:rPr>
      </w:pPr>
      <w:r>
        <w:rPr>
          <w:rFonts w:ascii="Arial" w:cs="Arial" w:eastAsia="Arial" w:hAnsi="Arial"/>
          <w:sz w:val="18"/>
          <w:szCs w:val="18"/>
          <w:color w:val="auto"/>
        </w:rPr>
        <w:t>(2)</w:t>
        <w:tab/>
        <w:t>The pro forma as adjusted column reflects the pro forma adjustments set forth above and the sale of common shares in this offering at an assumed initial public offering price of $ per share, the midpoint of the price range set forth on the cover page of this prospectus, after deducting estimated underwriting fees and commissions and estimated offering expenses payable by us.</w:t>
      </w:r>
    </w:p>
    <w:p>
      <w:pPr>
        <w:spacing w:after="0" w:line="184" w:lineRule="exact"/>
        <w:rPr>
          <w:sz w:val="20"/>
          <w:szCs w:val="20"/>
          <w:color w:val="auto"/>
        </w:rPr>
      </w:pPr>
    </w:p>
    <w:p>
      <w:pPr>
        <w:ind w:left="200" w:right="420" w:firstLine="434"/>
        <w:spacing w:after="0" w:line="291" w:lineRule="auto"/>
        <w:rPr>
          <w:sz w:val="20"/>
          <w:szCs w:val="20"/>
          <w:color w:val="auto"/>
        </w:rPr>
      </w:pPr>
      <w:r>
        <w:rPr>
          <w:rFonts w:ascii="Arial" w:cs="Arial" w:eastAsia="Arial" w:hAnsi="Arial"/>
          <w:sz w:val="16"/>
          <w:szCs w:val="16"/>
          <w:color w:val="auto"/>
        </w:rPr>
        <w:t>The pro forma as adjusted information discussed above is illustrative only and will depend on the actual initial public offering price and other terms of this offering determined at pricing. Each $1.00 increase or decrease in the assumed initial public offering price of $ per share, the</w:t>
      </w:r>
    </w:p>
    <w:p>
      <w:pPr>
        <w:ind w:left="200"/>
        <w:spacing w:after="0"/>
        <w:rPr>
          <w:sz w:val="20"/>
          <w:szCs w:val="20"/>
          <w:color w:val="auto"/>
        </w:rPr>
      </w:pPr>
      <w:r>
        <w:rPr>
          <w:rFonts w:ascii="Arial" w:cs="Arial" w:eastAsia="Arial" w:hAnsi="Arial"/>
          <w:sz w:val="17"/>
          <w:szCs w:val="17"/>
          <w:color w:val="auto"/>
        </w:rPr>
        <w:t>midpoint of the price range set forth on the cover page of this prospectus, would increase or decrease each of the amount of cash, working capital,</w:t>
      </w:r>
    </w:p>
    <w:p>
      <w:pPr>
        <w:spacing w:after="0" w:line="21" w:lineRule="exact"/>
        <w:rPr>
          <w:sz w:val="20"/>
          <w:szCs w:val="20"/>
          <w:color w:val="auto"/>
        </w:rPr>
      </w:pPr>
    </w:p>
    <w:p>
      <w:pPr>
        <w:ind w:left="200" w:right="300"/>
        <w:spacing w:after="0" w:line="281" w:lineRule="auto"/>
        <w:rPr>
          <w:sz w:val="20"/>
          <w:szCs w:val="20"/>
          <w:color w:val="auto"/>
        </w:rPr>
      </w:pPr>
      <w:r>
        <w:rPr>
          <w:rFonts w:ascii="Arial" w:cs="Arial" w:eastAsia="Arial" w:hAnsi="Arial"/>
          <w:sz w:val="16"/>
          <w:szCs w:val="16"/>
          <w:color w:val="auto"/>
        </w:rPr>
        <w:t>total assets and total shareholders’ (deficit) equity by $ million, assuming the number of shares offered by us, as set forth on the cover page of this prospectus, remains the same and after deducting the estimated underwriting fees and commissions and estimated offering expenses payable by us. We may also increase or decrease the number of shares we are offering. Each increase or decrease of 1,000,000 in the number of common shares</w:t>
      </w:r>
    </w:p>
    <w:tbl>
      <w:tblPr>
        <w:tblLayout w:type="fixed"/>
        <w:tblInd w:w="0" w:type="dxa"/>
        <w:tblCellMar>
          <w:top w:w="0" w:type="dxa"/>
          <w:left w:w="0" w:type="dxa"/>
          <w:bottom w:w="0" w:type="dxa"/>
          <w:right w:w="0" w:type="dxa"/>
        </w:tblCellMar>
      </w:tblPr>
      <w:tr>
        <w:trPr>
          <w:trHeight w:val="203"/>
        </w:trPr>
        <w:tc>
          <w:tcPr>
            <w:tcW w:w="9600" w:type="dxa"/>
            <w:vAlign w:val="bottom"/>
            <w:gridSpan w:val="2"/>
          </w:tcPr>
          <w:p>
            <w:pPr>
              <w:ind w:left="200"/>
              <w:spacing w:after="0" w:line="203" w:lineRule="exact"/>
              <w:rPr>
                <w:sz w:val="20"/>
                <w:szCs w:val="20"/>
                <w:color w:val="auto"/>
              </w:rPr>
            </w:pPr>
            <w:r>
              <w:rPr>
                <w:rFonts w:ascii="Arial" w:cs="Arial" w:eastAsia="Arial" w:hAnsi="Arial"/>
                <w:sz w:val="18"/>
                <w:szCs w:val="18"/>
                <w:color w:val="auto"/>
                <w:w w:val="92"/>
              </w:rPr>
              <w:t>offered by us would increase or decrease each of cash, working capital, total assets and total shareholders’ (deficit) equity by $</w:t>
            </w:r>
          </w:p>
        </w:tc>
        <w:tc>
          <w:tcPr>
            <w:tcW w:w="1640" w:type="dxa"/>
            <w:vAlign w:val="bottom"/>
          </w:tcPr>
          <w:p>
            <w:pPr>
              <w:ind w:left="300"/>
              <w:spacing w:after="0" w:line="203" w:lineRule="exact"/>
              <w:rPr>
                <w:sz w:val="20"/>
                <w:szCs w:val="20"/>
                <w:color w:val="auto"/>
              </w:rPr>
            </w:pPr>
            <w:r>
              <w:rPr>
                <w:rFonts w:ascii="Arial" w:cs="Arial" w:eastAsia="Arial" w:hAnsi="Arial"/>
                <w:sz w:val="18"/>
                <w:szCs w:val="18"/>
                <w:color w:val="auto"/>
              </w:rPr>
              <w:t>million,</w:t>
            </w:r>
          </w:p>
        </w:tc>
      </w:tr>
      <w:tr>
        <w:trPr>
          <w:trHeight w:val="216"/>
        </w:trPr>
        <w:tc>
          <w:tcPr>
            <w:tcW w:w="4420" w:type="dxa"/>
            <w:vAlign w:val="bottom"/>
          </w:tcPr>
          <w:p>
            <w:pPr>
              <w:ind w:left="200"/>
              <w:spacing w:after="0"/>
              <w:rPr>
                <w:sz w:val="20"/>
                <w:szCs w:val="20"/>
                <w:color w:val="auto"/>
              </w:rPr>
            </w:pPr>
            <w:r>
              <w:rPr>
                <w:rFonts w:ascii="Arial" w:cs="Arial" w:eastAsia="Arial" w:hAnsi="Arial"/>
                <w:sz w:val="18"/>
                <w:szCs w:val="18"/>
                <w:color w:val="auto"/>
                <w:w w:val="98"/>
              </w:rPr>
              <w:t>assuming the assumed initial public offering price of $</w:t>
            </w:r>
          </w:p>
        </w:tc>
        <w:tc>
          <w:tcPr>
            <w:tcW w:w="6820" w:type="dxa"/>
            <w:vAlign w:val="bottom"/>
            <w:gridSpan w:val="2"/>
          </w:tcPr>
          <w:p>
            <w:pPr>
              <w:ind w:left="280"/>
              <w:spacing w:after="0"/>
              <w:rPr>
                <w:sz w:val="20"/>
                <w:szCs w:val="20"/>
                <w:color w:val="auto"/>
              </w:rPr>
            </w:pPr>
            <w:r>
              <w:rPr>
                <w:rFonts w:ascii="Arial" w:cs="Arial" w:eastAsia="Arial" w:hAnsi="Arial"/>
                <w:sz w:val="18"/>
                <w:szCs w:val="18"/>
                <w:color w:val="auto"/>
                <w:w w:val="93"/>
              </w:rPr>
              <w:t>per share, the midpoint of the price range set forth on the cover page of this prospectus,</w:t>
            </w:r>
          </w:p>
        </w:tc>
      </w:tr>
      <w:tr>
        <w:trPr>
          <w:trHeight w:val="230"/>
        </w:trPr>
        <w:tc>
          <w:tcPr>
            <w:tcW w:w="9600" w:type="dxa"/>
            <w:vAlign w:val="bottom"/>
            <w:gridSpan w:val="2"/>
          </w:tcPr>
          <w:p>
            <w:pPr>
              <w:ind w:left="200"/>
              <w:spacing w:after="0"/>
              <w:rPr>
                <w:sz w:val="20"/>
                <w:szCs w:val="20"/>
                <w:color w:val="auto"/>
              </w:rPr>
            </w:pPr>
            <w:r>
              <w:rPr>
                <w:rFonts w:ascii="Arial" w:cs="Arial" w:eastAsia="Arial" w:hAnsi="Arial"/>
                <w:sz w:val="18"/>
                <w:szCs w:val="18"/>
                <w:color w:val="auto"/>
              </w:rPr>
              <w:t>remains the same, and after deducting estimated underwriting fees and commissions.</w:t>
            </w:r>
          </w:p>
        </w:tc>
        <w:tc>
          <w:tcPr>
            <w:tcW w:w="1640" w:type="dxa"/>
            <w:vAlign w:val="bottom"/>
          </w:tcPr>
          <w:p>
            <w:pPr>
              <w:spacing w:after="0"/>
              <w:rPr>
                <w:sz w:val="20"/>
                <w:szCs w:val="20"/>
                <w:color w:val="auto"/>
              </w:rPr>
            </w:pPr>
          </w:p>
        </w:tc>
      </w:tr>
      <w:tr>
        <w:trPr>
          <w:trHeight w:val="253"/>
        </w:trPr>
        <w:tc>
          <w:tcPr>
            <w:tcW w:w="4420" w:type="dxa"/>
            <w:vAlign w:val="bottom"/>
            <w:tcBorders>
              <w:bottom w:val="single" w:sz="8" w:color="auto"/>
            </w:tcBorders>
          </w:tcPr>
          <w:p>
            <w:pPr>
              <w:spacing w:after="0"/>
              <w:rPr>
                <w:sz w:val="22"/>
                <w:szCs w:val="22"/>
                <w:color w:val="auto"/>
              </w:rPr>
            </w:pPr>
          </w:p>
        </w:tc>
        <w:tc>
          <w:tcPr>
            <w:tcW w:w="5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604"/>
        </w:trPr>
        <w:tc>
          <w:tcPr>
            <w:tcW w:w="4420" w:type="dxa"/>
            <w:vAlign w:val="bottom"/>
          </w:tcPr>
          <w:p>
            <w:pPr>
              <w:spacing w:after="0"/>
              <w:rPr>
                <w:sz w:val="24"/>
                <w:szCs w:val="24"/>
                <w:color w:val="auto"/>
              </w:rPr>
            </w:pPr>
          </w:p>
        </w:tc>
        <w:tc>
          <w:tcPr>
            <w:tcW w:w="5180" w:type="dxa"/>
            <w:vAlign w:val="bottom"/>
          </w:tcPr>
          <w:p>
            <w:pPr>
              <w:jc w:val="right"/>
              <w:ind w:right="3790"/>
              <w:spacing w:after="0"/>
              <w:rPr>
                <w:sz w:val="20"/>
                <w:szCs w:val="20"/>
                <w:color w:val="auto"/>
              </w:rPr>
            </w:pPr>
            <w:r>
              <w:rPr>
                <w:rFonts w:ascii="Arial" w:cs="Arial" w:eastAsia="Arial" w:hAnsi="Arial"/>
                <w:sz w:val="18"/>
                <w:szCs w:val="18"/>
                <w:color w:val="auto"/>
              </w:rPr>
              <w:t>13</w:t>
            </w:r>
          </w:p>
        </w:tc>
        <w:tc>
          <w:tcPr>
            <w:tcW w:w="16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We are a preclinical-stage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not yet initiated our first clinical trial. We have no products approved for commercial sale and have not generated any product revenue to date, and we are devoting substantially all of our financial resources and efforts to research and development of our product candidates including RP-3500, as well as to enhancing our SNIPRx platform. Since our inception, we have funded our operations primarily through equity financings, and have raised an aggregate of approximately $135.2 million of gross proceeds from the sale of our preferred shares.</w:t>
      </w:r>
    </w:p>
    <w:p>
      <w:pPr>
        <w:spacing w:after="0" w:line="17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have incurred significant operating losses since our inception in 2016. Our net loss was $12.6 million for the three months ended March 31, 2020 and $7.8 million, $14.3 million and $27.2 million for the years 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December 31, 2017, 2018 and 2019, respectively. As of March 31, 2020, we had an accumulated deficit of $62.5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89"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our ongoing and planned development of RP-3500, including our planned open-label Phase 1/2 clinical trial of RP-3500;</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RP-3500 and any future product candidates that successfully complete clinical trials;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RP-3500 and any future product candidate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of RP-3500 and any future product candidates that we may pursue, obtaining regulatory approval, procuring commercial-scale manufacturing, marketing and selling RP-3500 and any future products for which we may obtain regulatory approval, as well as discovering or acquiring and then developing additional product candidates. We are only in the preliminary stages of some of these activities and have never initiated a clinical trial. We may never succeed in these activities and, even if we do, may never generate revenues that are significant enough to achieve profitability.</w:t>
      </w:r>
    </w:p>
    <w:p>
      <w:pPr>
        <w:spacing w:after="0" w:line="178"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RP-3500 or any future product candidates.</w:t>
      </w:r>
    </w:p>
    <w:p>
      <w:pPr>
        <w:spacing w:after="0" w:line="18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To date, we have primarily funded our operations through private placements of equity securities. We expect to spend substantial amounts to advance our product candidates into clinical development and to complete the clinical development of, seek regulatory approvals for and commercialize our product candidates, if approved. We will require additional capital beyond the proceeds of this offering,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upon the closing of this offering, we expect to incur additional costs associated with operating as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2020, our cash was $83.7 million. We believe that the net proceeds from this offering, together with our existing cash on hand, will</w:t>
      </w:r>
    </w:p>
    <w:p>
      <w:pPr>
        <w:spacing w:after="0" w:line="46" w:lineRule="exact"/>
        <w:rPr>
          <w:sz w:val="20"/>
          <w:szCs w:val="20"/>
          <w:color w:val="auto"/>
        </w:rPr>
      </w:pPr>
    </w:p>
    <w:p>
      <w:pPr>
        <w:jc w:val="both"/>
        <w:ind w:right="460"/>
        <w:spacing w:after="0" w:line="323" w:lineRule="auto"/>
        <w:rPr>
          <w:sz w:val="20"/>
          <w:szCs w:val="20"/>
          <w:color w:val="auto"/>
        </w:rPr>
      </w:pPr>
      <w:r>
        <w:rPr>
          <w:rFonts w:ascii="Arial" w:cs="Arial" w:eastAsia="Arial" w:hAnsi="Arial"/>
          <w:sz w:val="16"/>
          <w:szCs w:val="16"/>
          <w:color w:val="auto"/>
        </w:rPr>
        <w:t>enable us to fund our operating expenses and capital expenditure requirements until . However, we will need to obtain substantial additional funding in connection with our continuing operations and planned activities. Our future capital requirements will depend on many factors, including:</w:t>
      </w:r>
    </w:p>
    <w:p>
      <w:pPr>
        <w:spacing w:after="0" w:line="44"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6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RP-3500 and any future product candidates for which we receive marketing approval;</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86"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including purchasers of our common shares in this offering, restrict our operations or require us to relinquish rights to our product candidates.</w:t>
      </w:r>
    </w:p>
    <w:p>
      <w:pPr>
        <w:spacing w:after="0" w:line="6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ind w:left="460" w:right="20"/>
        <w:spacing w:after="0" w:line="311" w:lineRule="auto"/>
        <w:rPr>
          <w:sz w:val="20"/>
          <w:szCs w:val="20"/>
          <w:color w:val="auto"/>
        </w:rPr>
      </w:pPr>
      <w:r>
        <w:rPr>
          <w:rFonts w:ascii="Arial" w:cs="Arial" w:eastAsia="Arial" w:hAnsi="Arial"/>
          <w:sz w:val="16"/>
          <w:szCs w:val="16"/>
          <w:b w:val="1"/>
          <w:bCs w:val="1"/>
          <w:i w:val="1"/>
          <w:iCs w:val="1"/>
          <w:color w:val="auto"/>
        </w:rPr>
        <w:t>We are very early in our development efforts. All of our product candidates are in preclinical development. If we are unable to advance RP-3500 or any of our other product candidates into and through clinical development, obtain regulatory approval and ultimately commercialize RP-3500 or any of our other product candidates, or experience significant delays in doing so, our business will be materially harmed.</w:t>
      </w:r>
    </w:p>
    <w:p>
      <w:pPr>
        <w:spacing w:after="0" w:line="4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of our product candidates are still in preclinical development. We have no products approved for sale and our lead product candidate, RP-3500, is not yet in clinical development and will require clinical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of RP-3500 and one or more of our other product candidates. The success of our product candidates will depend on several factors, including the following:</w:t>
      </w:r>
    </w:p>
    <w:p>
      <w:pPr>
        <w:spacing w:after="0" w:line="63"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clinical trials or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There is no guarantee that the results obtained in current preclinical studies, our planned open-label Phase 1/2 clinical trial of RP-3500 or any future clinical trials of any product candidate will be sufficient to obtain regulatory approval or marketing authorization for such product candidate.</w:t>
      </w:r>
    </w:p>
    <w:p>
      <w:pPr>
        <w:spacing w:after="0" w:line="14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5" w:lineRule="exact"/>
        <w:rPr>
          <w:sz w:val="20"/>
          <w:szCs w:val="20"/>
          <w:color w:val="auto"/>
        </w:rPr>
      </w:pPr>
    </w:p>
    <w:p>
      <w:pPr>
        <w:ind w:left="460" w:right="300"/>
        <w:spacing w:after="0" w:line="340" w:lineRule="auto"/>
        <w:rPr>
          <w:sz w:val="20"/>
          <w:szCs w:val="20"/>
          <w:color w:val="auto"/>
        </w:rPr>
      </w:pPr>
      <w:r>
        <w:rPr>
          <w:rFonts w:ascii="Arial" w:cs="Arial" w:eastAsia="Arial" w:hAnsi="Arial"/>
          <w:sz w:val="15"/>
          <w:szCs w:val="15"/>
          <w:b w:val="1"/>
          <w:bCs w:val="1"/>
          <w:i w:val="1"/>
          <w:iCs w:val="1"/>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2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Our lead product candidate, RP-3500, was developed through the application of our SNIPRx platform. All of our product candidates to date were derived based on the same principle of SL. As such, negative results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development of RP-3500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shows unexpected adverse events or a lack of efficacy in the indications we intend to treat, or if we experience other regulatory or developmental issues, our development plans and business could be significantly harmed.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1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RP-3500, we recently entered into a clinical services agreement, and may in the future enter into master services agreement, with a CRO to lead our first-in-human planned Phase 1/2 clinical trial. There can be no assurance that we will be able to negotiate and enter into any additional master services agreement with other CROs, as necessary, on terms that are acceptable to us on a timely basis or at all.</w:t>
      </w:r>
    </w:p>
    <w:p>
      <w:pPr>
        <w:spacing w:after="0" w:line="2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We plan to submit an IND for RP-3500 in ,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b w:val="1"/>
          <w:bCs w:val="1"/>
          <w:i w:val="1"/>
          <w:iCs w:val="1"/>
          <w:color w:val="auto"/>
        </w:rPr>
        <w:t>The effects of health epidemics, including the recent COVID-19 coronavirus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which are currently subject to executive orders, and at our clinical trial sites, as well as the business or operations of our CROs or other third parties with whom we conduct business.</w:t>
      </w:r>
    </w:p>
    <w:p>
      <w:pPr>
        <w:spacing w:after="0" w:line="80"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In December 2019, a novel strain of coronavirus, COVID-19, was reported to have surfaced in Wuhan, China. Since then, COVID-19 coronavirus has spread to multiple countries, including the United States and several European countries. Our company headquarters is located in Montréal, our U.S. headquarters is located in the Boston Metro Area, and our CROs and CMOs are located in the United States and abroad. In March 2020, the World Health Organization declared the COVID-19 outbreak a pandemic, and the U.S. government imposed travel restrictions on travel between the United States,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Europe and certain other countries. Further, the President of the United States declared the COVID-19 pandemic a national emergency, invoking powers under the Stafford Act, the legislation that directs federal emergency disaster response. In addition,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executive order exempts certain individuals needed to maintain continuity of operations of critical infrastructure sectors as determined by the federal government, and the Governor has clarified to MassBio that all biopharma research and development is essential and exempt. Also on March 23, 2020, Premier François Legault ordered all individuals in Québec to stay at their place of residence for an indefinite period of time (subject to certain exceptions to facilitate authorized necessary activities).</w:t>
      </w:r>
    </w:p>
    <w:p>
      <w:pPr>
        <w:spacing w:after="0" w:line="166"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while those needing to work in laboratory facilities are divided into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and facilities has been organized to reduce risk of COVID-19 transmission.</w:t>
      </w:r>
    </w:p>
    <w:p>
      <w:pPr>
        <w:spacing w:after="0" w:line="16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effects of the executive orders and our work-from-home policies may negatively impact productivity, disrupt our business and delay our clinical programs and timelines (for example, our timeline for RP-3500),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both"/>
        <w:ind w:right="300" w:firstLine="449"/>
        <w:spacing w:after="0" w:line="286"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addition, our planned clinical trials may be affected by the COVID-19 pandemic, including:</w:t>
      </w:r>
    </w:p>
    <w:p>
      <w:pPr>
        <w:spacing w:after="0" w:line="131" w:lineRule="exact"/>
        <w:rPr>
          <w:sz w:val="20"/>
          <w:szCs w:val="20"/>
          <w:color w:val="auto"/>
        </w:rPr>
      </w:pPr>
    </w:p>
    <w:p>
      <w:pPr>
        <w:ind w:left="1000" w:right="2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including patients that may not be able or willing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 investigators and clinical site staff;</w:t>
      </w:r>
    </w:p>
    <w:p>
      <w:pPr>
        <w:spacing w:after="0" w:line="153"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being unable to visit clinical trial locations or otherwise comply with clinical trial protocols;</w:t>
      </w:r>
    </w:p>
    <w:p>
      <w:pPr>
        <w:spacing w:after="0" w:line="75" w:lineRule="exact"/>
        <w:rPr>
          <w:rFonts w:ascii="Arial" w:cs="Arial" w:eastAsia="Arial" w:hAnsi="Arial"/>
          <w:sz w:val="18"/>
          <w:szCs w:val="18"/>
          <w:color w:val="auto"/>
        </w:rPr>
      </w:pPr>
    </w:p>
    <w:p>
      <w:pPr>
        <w:ind w:left="1000" w:hanging="547"/>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70" w:lineRule="exact"/>
        <w:rPr>
          <w:rFonts w:ascii="Arial" w:cs="Arial" w:eastAsia="Arial" w:hAnsi="Arial"/>
          <w:sz w:val="17"/>
          <w:szCs w:val="17"/>
          <w:color w:val="auto"/>
        </w:rPr>
      </w:pPr>
    </w:p>
    <w:p>
      <w:pPr>
        <w:ind w:left="1000" w:right="52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For our clinical trials that we expect to conduct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federal, state/provincial or municipal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225"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of RP-3500 will eventually provide validation of our SNIPRx platform, we have not, to date, sought regulatory approval for RP-3500 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78"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42" w:lineRule="exact"/>
        <w:rPr>
          <w:sz w:val="20"/>
          <w:szCs w:val="20"/>
          <w:color w:val="auto"/>
        </w:rPr>
      </w:pPr>
    </w:p>
    <w:p>
      <w:pPr>
        <w:ind w:left="1000" w:right="42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75" w:lineRule="exact"/>
        <w:rPr>
          <w:rFonts w:ascii="Arial" w:cs="Arial" w:eastAsia="Arial" w:hAnsi="Arial"/>
          <w:sz w:val="18"/>
          <w:szCs w:val="18"/>
          <w:color w:val="auto"/>
        </w:rPr>
      </w:pPr>
    </w:p>
    <w:p>
      <w:pPr>
        <w:ind w:left="1000" w:right="380" w:hanging="547"/>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75" w:lineRule="exact"/>
        <w:rPr>
          <w:rFonts w:ascii="Arial" w:cs="Arial" w:eastAsia="Arial" w:hAnsi="Arial"/>
          <w:sz w:val="18"/>
          <w:szCs w:val="18"/>
          <w:color w:val="auto"/>
        </w:rPr>
      </w:pPr>
    </w:p>
    <w:p>
      <w:pPr>
        <w:ind w:left="1000" w:right="700" w:hanging="547"/>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42"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5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RP-3500 and any future product candidates, including:</w:t>
      </w:r>
    </w:p>
    <w:p>
      <w:pPr>
        <w:spacing w:after="0" w:line="76" w:lineRule="exact"/>
        <w:rPr>
          <w:sz w:val="20"/>
          <w:szCs w:val="20"/>
          <w:color w:val="auto"/>
        </w:rPr>
      </w:pPr>
    </w:p>
    <w:p>
      <w:pPr>
        <w:ind w:left="5540" w:right="2420" w:hanging="5087"/>
        <w:spacing w:after="0" w:line="449" w:lineRule="auto"/>
        <w:tabs>
          <w:tab w:leader="none" w:pos="10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 22</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30"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and any future product candidates will take several years to complete. Furthermore, failure can occur at any stage, and we could encounter problems that cause us to abandon or repeat clinical trials.</w:t>
      </w:r>
    </w:p>
    <w:p>
      <w:pPr>
        <w:spacing w:after="0" w:line="274"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We have not yet initiated our first clinical trial, a planned open-label Phase 1/2 clinical trial of RP-3500.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 Additionally, we plan on pursuing tumor agnostic clinical development in our trials of RP-3500. However, anti-tumor activity may be different in each of the different tumor types we plan on evaluating in the clinical trial. Therefore, even though we plan on pursuing tumor agnostic clinical development of RP-3500, the tumor response may be low or clinically insignificant in patients with some cancers compared to others. This may result in discontinuation of development of RP-3500 as a monotherapy for patients with these tumor types due to insufficient clinical benefit while continuing development for a more limited population of patients more likely to benefit. As a consequence, we may need to start combination therapies or we may have to negotiate with the FDA to reach agreement on defining the optimal patient population, study design and size in order to obtain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approval, any of which may require significant additional resources and delay the timing of our clinical trials and ultimately the approval, if any, of any of our product candidates.</w:t>
      </w:r>
    </w:p>
    <w:p>
      <w:pPr>
        <w:spacing w:after="0" w:line="170"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Additionally, some of our trials may be open-label studies, where both the patient and investigator know whether the patient is receiving the investigational product candidate or either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72"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to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There is a limited history of multi-tumor indications, and any regulatory approvals may be conditioned upon confirmatory trials with clinical endpoints 25</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00" w:right="34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00" w:right="9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13"/>
          <w:szCs w:val="13"/>
          <w:color w:val="auto"/>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3"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45" w:lineRule="exact"/>
        <w:rPr>
          <w:sz w:val="20"/>
          <w:szCs w:val="20"/>
          <w:color w:val="auto"/>
        </w:rPr>
      </w:pPr>
    </w:p>
    <w:p>
      <w:pPr>
        <w:ind w:left="460" w:right="280"/>
        <w:spacing w:after="0" w:line="308"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38"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our ability to enroll eligible patients may be limited or may result in slower enrollment than we anticipate. For example, with respect to RP-3500, we are researching 19 STEP</w:t>
      </w:r>
      <w:r>
        <w:rPr>
          <w:rFonts w:ascii="Arial" w:cs="Arial" w:eastAsia="Arial" w:hAnsi="Arial"/>
          <w:sz w:val="13"/>
          <w:szCs w:val="13"/>
          <w:color w:val="auto"/>
        </w:rPr>
        <w:t>2</w:t>
      </w:r>
      <w:r>
        <w:rPr>
          <w:rFonts w:ascii="Arial" w:cs="Arial" w:eastAsia="Arial" w:hAnsi="Arial"/>
          <w:sz w:val="16"/>
          <w:szCs w:val="16"/>
          <w:color w:val="auto"/>
        </w:rPr>
        <w:t>-identified genomic alterations in addition to ATM deficiency, including several novel genes that have not been previously reported as rendering sensitivity to ATR inhibitors. Further, certain of these genes are not yet included in commercially available panels or CLIA-validated panels used in large academic centers. As such, for our planned Phase 1/2 trial, we have identified and partnered with multiple large, leading clinical centers globally where tumor sequencing is the standard of care. While we believe that these panels will include the majority, if not all, of the 20 genes, genes may not be available on certain panels at our clinical sites. We cannot be certain how many patients will have each of the genomic alterations that RP-3500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 of RP-3500.</w:t>
      </w:r>
    </w:p>
    <w:p>
      <w:pPr>
        <w:spacing w:after="0" w:line="17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31" w:lineRule="exact"/>
        <w:rPr>
          <w:sz w:val="20"/>
          <w:szCs w:val="20"/>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66"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32"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6"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89" w:lineRule="exact"/>
        <w:rPr>
          <w:sz w:val="20"/>
          <w:szCs w:val="20"/>
          <w:color w:val="auto"/>
        </w:rPr>
      </w:pPr>
    </w:p>
    <w:p>
      <w:pPr>
        <w:ind w:left="1000" w:right="82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42" w:lineRule="exact"/>
        <w:rPr>
          <w:rFonts w:ascii="Arial" w:cs="Arial" w:eastAsia="Arial" w:hAnsi="Arial"/>
          <w:sz w:val="17"/>
          <w:szCs w:val="17"/>
          <w:color w:val="auto"/>
        </w:rPr>
      </w:pPr>
    </w:p>
    <w:p>
      <w:pPr>
        <w:ind w:left="1000" w:right="140" w:hanging="547"/>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93" w:lineRule="exact"/>
        <w:rPr>
          <w:sz w:val="20"/>
          <w:szCs w:val="20"/>
          <w:color w:val="auto"/>
        </w:rPr>
      </w:pPr>
    </w:p>
    <w:p>
      <w:pPr>
        <w:ind w:left="460" w:right="10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92"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The FDA and other comparable regulatory authorities regulate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For example, ATM is a common cancer mutation and its prognostic significance has not been validated for the patient populations that we are targeting. Such development risk contributes to the costs that we may need to bear in validating the ATM as well as the optimal method of diagnostic screening for our clinical trial populations.</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pursue the development of RP-3500 as a monotherapy and in combination with approved PARP inhibitors. In the near future, we may explore the use of our product candidates in combination with other therapies, including those that are not yet approved.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6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ind w:left="460" w:right="2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6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ind w:left="460" w:right="10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9"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0"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5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89"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2"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RP-3500 or any future product candidates, which could make it difficult for us to sell profitably or at all, if approved.</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RP-3500 or any future product candidates that we develop.</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one any of our products once approved, market acceptance and commercial success would be limited.</w:t>
      </w:r>
    </w:p>
    <w:p>
      <w:pPr>
        <w:spacing w:after="0" w:line="27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74" w:lineRule="exact"/>
        <w:rPr>
          <w:sz w:val="20"/>
          <w:szCs w:val="20"/>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2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1000" w:right="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laws that may constrain the business or financial arrangements and relationships through which we research, sell, market, and distribute our product candidates, if we obtain marketing approval. Such laws include:</w:t>
      </w:r>
    </w:p>
    <w:p>
      <w:pPr>
        <w:spacing w:after="0" w:line="76" w:lineRule="exact"/>
        <w:rPr>
          <w:sz w:val="20"/>
          <w:szCs w:val="20"/>
          <w:color w:val="auto"/>
        </w:rPr>
      </w:pPr>
    </w:p>
    <w:p>
      <w:pPr>
        <w:ind w:left="1000" w:hanging="547"/>
        <w:spacing w:after="0" w:line="255"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00" w:right="20" w:hanging="547"/>
        <w:spacing w:after="0" w:line="270"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86" w:lineRule="exact"/>
        <w:rPr>
          <w:rFonts w:ascii="Arial" w:cs="Arial" w:eastAsia="Arial" w:hAnsi="Arial"/>
          <w:sz w:val="17"/>
          <w:szCs w:val="17"/>
          <w:color w:val="auto"/>
        </w:rPr>
      </w:pPr>
    </w:p>
    <w:p>
      <w:pPr>
        <w:ind w:left="1000" w:right="160" w:hanging="547"/>
        <w:spacing w:after="0" w:line="29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00" w:right="20" w:hanging="547"/>
        <w:spacing w:after="0" w:line="290"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0" w:lineRule="exact"/>
        <w:rPr>
          <w:rFonts w:ascii="Arial" w:cs="Arial" w:eastAsia="Arial" w:hAnsi="Arial"/>
          <w:sz w:val="16"/>
          <w:szCs w:val="16"/>
          <w:color w:val="auto"/>
        </w:rPr>
      </w:pPr>
    </w:p>
    <w:p>
      <w:pPr>
        <w:ind w:left="1000" w:right="42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00" w:hanging="547"/>
        <w:spacing w:after="0" w:line="31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other transfers of value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w:t>
      </w:r>
    </w:p>
    <w:p>
      <w:pPr>
        <w:spacing w:after="0" w:line="77" w:lineRule="exact"/>
        <w:rPr>
          <w:sz w:val="20"/>
          <w:szCs w:val="20"/>
          <w:color w:val="auto"/>
        </w:rPr>
      </w:pPr>
    </w:p>
    <w:p>
      <w:pPr>
        <w:ind w:left="1000" w:right="80" w:hanging="547"/>
        <w:spacing w:after="0" w:line="289"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71" w:lineRule="exact"/>
        <w:rPr>
          <w:rFonts w:ascii="Arial" w:cs="Arial" w:eastAsia="Arial" w:hAnsi="Arial"/>
          <w:sz w:val="16"/>
          <w:szCs w:val="16"/>
          <w:color w:val="auto"/>
        </w:rPr>
      </w:pPr>
    </w:p>
    <w:p>
      <w:pPr>
        <w:ind w:left="1000" w:right="8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83" w:lineRule="exact"/>
        <w:rPr>
          <w:sz w:val="20"/>
          <w:szCs w:val="20"/>
          <w:color w:val="auto"/>
        </w:rPr>
      </w:pPr>
    </w:p>
    <w:p>
      <w:pPr>
        <w:ind w:left="1000" w:right="440" w:hanging="547"/>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00" w:right="480" w:hanging="547"/>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ACA will impact the ACA and our business.</w:t>
      </w:r>
    </w:p>
    <w:p>
      <w:pPr>
        <w:spacing w:after="0" w:line="168"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taken by Congress.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some of these and other measures may require additional authorization through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6"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to address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300"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RP-3500. Reliance on third-party providers may expose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disease outbreaks or public health pandemics, power loss, telecommunications failure, unauthorized entry, computer viruses, denial-of-service attacks, acts of terrorism, human error, vandalism or sabotage, financial insolvency, bankruptcy and similar events. For example, in December 2019, COVID-19 was reported to have surfaced in Wuhan, China. The extent to which COVID-19 may impact our manufacturing and supply chain as well as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78"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intellectual property rights held by third parties, and the growth of our business may depend in part on our ability to acquire or in-license these intellectual property rights.</w:t>
      </w:r>
    </w:p>
    <w:p>
      <w:pPr>
        <w:spacing w:after="0" w:line="170"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For example, we are currently party to a collaboration agreement with Ono Pharmaceutical Co., or Ono, pursuant to which we and Ono have agreed to collaborate in the research of potential product candidates targeting Polq and the development of our small molecule Polq inhibitor program. This and any future collaborations we enter into may pose a number of risks, including, but not limited to, the following:</w:t>
      </w:r>
    </w:p>
    <w:p>
      <w:pPr>
        <w:spacing w:after="0" w:line="71"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1000" w:right="480" w:hanging="547"/>
        <w:spacing w:after="0" w:line="30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00" w:right="220" w:hanging="547"/>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9"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75"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960" w:firstLine="449"/>
        <w:spacing w:after="0" w:line="277" w:lineRule="auto"/>
        <w:rPr>
          <w:sz w:val="20"/>
          <w:szCs w:val="20"/>
          <w:color w:val="auto"/>
        </w:rPr>
      </w:pPr>
      <w:r>
        <w:rPr>
          <w:rFonts w:ascii="Arial" w:cs="Arial" w:eastAsia="Arial" w:hAnsi="Arial"/>
          <w:sz w:val="18"/>
          <w:szCs w:val="18"/>
          <w:color w:val="auto"/>
        </w:rPr>
        <w:t>If our collaborations do not result in the successful discovery, development and commercialization of product candidates or if one of our collaborators terminates its agreement with us, we may not receive any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research funding or milestone or royalty payments under such collaboration. All of the risks relating to product development, regulatory approval and commercialization described in this prospectus also apply to the activities of our therapeutic collaborators.</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78"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76"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7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78"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00" w:right="24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jc w:val="both"/>
        <w:ind w:left="1000" w:right="680" w:hanging="547"/>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9" w:lineRule="exact"/>
        <w:rPr>
          <w:rFonts w:ascii="Arial" w:cs="Arial" w:eastAsia="Arial" w:hAnsi="Arial"/>
          <w:sz w:val="18"/>
          <w:szCs w:val="18"/>
          <w:color w:val="auto"/>
        </w:rPr>
      </w:pPr>
    </w:p>
    <w:p>
      <w:pPr>
        <w:ind w:left="1000" w:right="280" w:hanging="547"/>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9"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6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00" w:right="28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00" w:right="240" w:hanging="547"/>
        <w:spacing w:after="0" w:line="311"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2"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In any infringement litigation, any award of monetary damages we receive may not be commercially valuable. Furthermore, because of the substantial amount of discovery required in connection with intellectual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93"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 See “Business—License and Collaboration Agreements” for additional information.</w:t>
      </w:r>
    </w:p>
    <w:p>
      <w:pPr>
        <w:spacing w:after="0" w:line="16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76"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2"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ind w:right="160" w:firstLine="449"/>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RP-3500 and have not yet begun the process of applying to register trademarks for RP-3500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In addition, any proprietary name we propose to use with RP-3500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our business and competitive position would be harmed.</w:t>
      </w:r>
    </w:p>
    <w:p>
      <w:pPr>
        <w:spacing w:after="0" w:line="1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146" w:lineRule="exact"/>
        <w:rPr>
          <w:sz w:val="20"/>
          <w:szCs w:val="20"/>
          <w:color w:val="auto"/>
        </w:rPr>
      </w:pPr>
    </w:p>
    <w:p>
      <w:pPr>
        <w:ind w:right="360" w:firstLine="449"/>
        <w:spacing w:after="0" w:line="301" w:lineRule="auto"/>
        <w:rPr>
          <w:sz w:val="20"/>
          <w:szCs w:val="20"/>
          <w:color w:val="auto"/>
        </w:rPr>
      </w:pPr>
      <w:r>
        <w:rPr>
          <w:rFonts w:ascii="Arial" w:cs="Arial" w:eastAsia="Arial" w:hAnsi="Arial"/>
          <w:sz w:val="16"/>
          <w:szCs w:val="16"/>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RP-3500, our other product candidates or any future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and will continue to be able to do so after the closing of this offering.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of March 31, 2020, we had 64 full-time employees, including 53 employees engaged in research and development. As our clinical development and commercialization plans and strategies develop, and as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76"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planned Phase 1 clinical trial of RP-3500,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2" w:lineRule="exact"/>
        <w:rPr>
          <w:sz w:val="20"/>
          <w:szCs w:val="20"/>
          <w:color w:val="auto"/>
        </w:rPr>
      </w:pPr>
    </w:p>
    <w:p>
      <w:pPr>
        <w:ind w:left="460" w:right="40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80" w:firstLine="449"/>
        <w:spacing w:after="0" w:line="273"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9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7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Shares</w:t>
      </w:r>
    </w:p>
    <w:p>
      <w:pPr>
        <w:spacing w:after="0" w:line="22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No public market for our common shares currently exists, and a public market may not develop or be liquid enough for you to sell your shares quickly or at or above the offering price, if at all.</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offering constitutes our initial public offering, and no public market for our common shares currently exists. Any delay in the commencement of trading of our common shares on The Nasdaq Global Market would impair the liquidity of the market for our common shares and make it more difficult for holders to sell their shares. If an active trading market for our common shares does not develop following this offering, you may not be able to sell your shares quickly or at the market price. An inactive market may also impair our ability to raise capital to continue to fund operations by selling our common shares and may impair our ability to acquire other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companies or technologies by using our common shares as consideration. The initial public offering price of our common shares will be determined by negotiations between us and representatives of the underwriters and may not be indicative of the market prices of our common shares that will prevail in the trading market.</w:t>
      </w:r>
    </w:p>
    <w:p>
      <w:pPr>
        <w:spacing w:after="0" w:line="29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shares may be volatile and fluctuate substantially, which could result in substantial losses for purchasers of our common shares in this offering.</w:t>
      </w:r>
    </w:p>
    <w:p>
      <w:pPr>
        <w:spacing w:after="0" w:line="6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trading price of our common shares following this offering is likely to be highly volatile. The stock market in general and the market for biopharmaceutical and pharmaceutical companies in particular have experienced extreme volatility that has often been unrelated to the operating performance of particular companies. As a result of this volatility, you may not be able to sell your common shares at or above the initial public offering price. In addition to the factors discussed in this “Risk Factors” section and elsewhere in this prospectus, the trading price for our common shares may be influenced by the following factors:</w:t>
      </w:r>
    </w:p>
    <w:p>
      <w:pPr>
        <w:spacing w:after="0" w:line="93" w:lineRule="exact"/>
        <w:rPr>
          <w:sz w:val="20"/>
          <w:szCs w:val="20"/>
          <w:color w:val="auto"/>
        </w:rPr>
      </w:pPr>
    </w:p>
    <w:p>
      <w:pPr>
        <w:ind w:left="1000" w:right="28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planned or future clinical trials of RP-3500 and any future product candidates or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expenses related to RP-3500 and any future product candidates or clinical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42" w:lineRule="exact"/>
        <w:rPr>
          <w:rFonts w:ascii="Arial" w:cs="Arial" w:eastAsia="Arial" w:hAnsi="Arial"/>
          <w:sz w:val="17"/>
          <w:szCs w:val="17"/>
          <w:color w:val="auto"/>
        </w:rPr>
      </w:pPr>
    </w:p>
    <w:p>
      <w:pPr>
        <w:ind w:left="1000" w:right="24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prospectus.</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Based upon our common shares outstanding as of March 31, 2020, upon the completion of this offering, our executive officers, directors and shareholders who owned more than 5% of our outstanding common shares before this offering will, in the aggregate, beneficially own shares representing approximately %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85"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trading market for our common shares will be influenced by the research and reports that industry or financial analysts publish about us or our business. We do not currently have, and may never obtain, research coverage by industry or financial analysts. Equity research analysts may elect not to provide research coverage of our common shares after the completion of this offering, and such lack of research coverage may adversely affect the market price of our common shares.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purchase our common shares in this offering, you will suffer immediate dilution of your investment.</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initial public offering price of our common shares will be substantially higher than the net tangible book value per common share. Therefore, if you purchase our common shares in this offering, you will pay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price per share that substantially exceeds our net tangible book value per share after this offering. Based on an assumed initial public offering price of</w:t>
      </w:r>
    </w:p>
    <w:p>
      <w:pPr>
        <w:spacing w:after="0" w:line="35" w:lineRule="exact"/>
        <w:rPr>
          <w:sz w:val="20"/>
          <w:szCs w:val="20"/>
          <w:color w:val="auto"/>
        </w:rPr>
      </w:pPr>
    </w:p>
    <w:p>
      <w:pPr>
        <w:ind w:left="860" w:hanging="852"/>
        <w:spacing w:after="0"/>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you will experience immediate dilution of</w:t>
      </w:r>
    </w:p>
    <w:p>
      <w:pPr>
        <w:spacing w:after="0" w:line="21" w:lineRule="exact"/>
        <w:rPr>
          <w:sz w:val="20"/>
          <w:szCs w:val="20"/>
          <w:color w:val="auto"/>
        </w:rPr>
      </w:pPr>
    </w:p>
    <w:p>
      <w:pPr>
        <w:ind w:right="120" w:firstLine="8"/>
        <w:spacing w:after="0" w:line="253" w:lineRule="auto"/>
        <w:tabs>
          <w:tab w:leader="none" w:pos="8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 share, representing the difference between our pro forma as adjusted net tangible book value per share after this offering and the initial public offering price per share. After this offering, we will also have outstanding options to purchase common shares with exercise prices lower than the initial public offering price. To the extent these outstanding options are exercised, there will be further dilution to investors in this offering. See the section titled “Dilution” for additional information.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This could cause the market price of our shares to drop significantly, even if our business is doing well.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of a substantial number of our common shares in the public market could occur at any time.</w:t>
      </w:r>
    </w:p>
    <w:p>
      <w:pPr>
        <w:spacing w:after="0" w:line="22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If our shareholders sell, or the market perceives that our shareholders intend to sell, substantial amounts of our common shares in the public market following this offering, the market price of our common shares could decline significantly.</w:t>
      </w:r>
    </w:p>
    <w:p>
      <w:pPr>
        <w:spacing w:after="0" w:line="170" w:lineRule="exact"/>
        <w:rPr>
          <w:sz w:val="20"/>
          <w:szCs w:val="20"/>
          <w:color w:val="auto"/>
        </w:rPr>
      </w:pPr>
    </w:p>
    <w:p>
      <w:pPr>
        <w:ind w:right="180" w:firstLine="449"/>
        <w:spacing w:after="0" w:line="271" w:lineRule="auto"/>
        <w:rPr>
          <w:sz w:val="20"/>
          <w:szCs w:val="20"/>
          <w:color w:val="auto"/>
        </w:rPr>
      </w:pPr>
      <w:r>
        <w:rPr>
          <w:rFonts w:ascii="Arial" w:cs="Arial" w:eastAsia="Arial" w:hAnsi="Arial"/>
          <w:sz w:val="17"/>
          <w:szCs w:val="17"/>
          <w:color w:val="auto"/>
        </w:rPr>
        <w:t>Upon completion of this offering, we will have common shares outstanding, based on the number of shares outstanding as of March 31, 2020. Of these shares, the common shares sold in this offering and common shares currently outstanding will be freely tradable, and the remaining common shares will be available for sale in the public market beginning 180 days after the date of this prospectus following the</w:t>
      </w:r>
    </w:p>
    <w:p>
      <w:pPr>
        <w:ind w:right="60"/>
        <w:spacing w:after="0" w:line="253" w:lineRule="auto"/>
        <w:rPr>
          <w:sz w:val="20"/>
          <w:szCs w:val="20"/>
          <w:color w:val="auto"/>
        </w:rPr>
      </w:pPr>
      <w:r>
        <w:rPr>
          <w:rFonts w:ascii="Arial" w:cs="Arial" w:eastAsia="Arial" w:hAnsi="Arial"/>
          <w:sz w:val="18"/>
          <w:szCs w:val="18"/>
          <w:color w:val="auto"/>
        </w:rPr>
        <w:t>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common shares to fall or make it more difficult for you to sell your shares at a time and price that you deem appropriate.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promptly following the completion of this offering, we intend to file one or more registration statements on Form S-8 registering the</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issuance of common shares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in the case of our affiliates, the restrictions of Rule 144 under the Securities Act of 1933, as amended.</w:t>
      </w:r>
    </w:p>
    <w:p>
      <w:pPr>
        <w:spacing w:after="0" w:line="193"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Additionally, after this offering, the holders of an aggregate of 135,186,975 common shares,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7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 in this offering.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b w:val="1"/>
          <w:bCs w:val="1"/>
          <w:i w:val="1"/>
          <w:iCs w:val="1"/>
          <w:color w:val="auto"/>
        </w:rPr>
        <w:t>Our amended and restated articles of incorporation to be in effect following completion of this offering will permit us to issue an unlimited number of common shares and preferred shares without additional shareholder approval.</w:t>
      </w:r>
    </w:p>
    <w:p>
      <w:pPr>
        <w:spacing w:after="0" w:line="62" w:lineRule="exact"/>
        <w:rPr>
          <w:sz w:val="20"/>
          <w:szCs w:val="20"/>
          <w:color w:val="auto"/>
        </w:rPr>
      </w:pPr>
    </w:p>
    <w:p>
      <w:pPr>
        <w:jc w:val="both"/>
        <w:ind w:right="200" w:firstLine="449"/>
        <w:spacing w:after="0" w:line="286" w:lineRule="auto"/>
        <w:rPr>
          <w:sz w:val="20"/>
          <w:szCs w:val="20"/>
          <w:color w:val="auto"/>
        </w:rPr>
      </w:pPr>
      <w:r>
        <w:rPr>
          <w:rFonts w:ascii="Arial" w:cs="Arial" w:eastAsia="Arial" w:hAnsi="Arial"/>
          <w:sz w:val="17"/>
          <w:szCs w:val="17"/>
          <w:color w:val="auto"/>
        </w:rPr>
        <w:t>Our amended and restated articles of incorporation to be in effect following completion of this offering will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Our amended and restated articles of incorporation to be in effect following completion of this offering will also permit us to issue an unlimited number of preferred shares, issuable in one or more series and, subject to the provisions of the Canada Business Corporations Act,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 following the completion of this offering.</w:t>
      </w:r>
    </w:p>
    <w:p>
      <w:pPr>
        <w:spacing w:after="0" w:line="17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278"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use them ineffectively, in ways in which you do not agree or in ways that do not increase the value of your investment.</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shares</w:t>
      </w:r>
      <w:r>
        <w:rPr>
          <w:rFonts w:ascii="Arial" w:cs="Arial" w:eastAsia="Arial" w:hAnsi="Arial"/>
          <w:sz w:val="17"/>
          <w:szCs w:val="17"/>
          <w:i w:val="1"/>
          <w:iCs w:val="1"/>
          <w:color w:val="auto"/>
        </w:rPr>
        <w:t>.</w:t>
      </w:r>
      <w:r>
        <w:rPr>
          <w:rFonts w:ascii="Arial" w:cs="Arial" w:eastAsia="Arial" w:hAnsi="Arial"/>
          <w:sz w:val="17"/>
          <w:szCs w:val="17"/>
          <w:color w:val="auto"/>
        </w:rPr>
        <w:t xml:space="preserve"> The failure by our management to apply these funds effectively could result in financial losses that could have a negative impact on our business, cause the price of our common shares to decline and delay the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Pending their use, we may invest our cash, including the net proceeds from this offering, in a manner that does not produce income or that loses value. See the section titled “Use of Proceeds” for additional information.</w:t>
      </w:r>
    </w:p>
    <w:p>
      <w:pPr>
        <w:spacing w:after="0" w:line="284"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Section 404(a) of the Sarbanes-Oxley Act of 2002, as amended, or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jc w:val="both"/>
        <w:ind w:right="300" w:firstLine="449"/>
        <w:spacing w:after="0" w:line="31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shares.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a passive foreign investment company following this offering, there could be adverse U.S. federal income tax consequences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w:t>
      </w:r>
    </w:p>
    <w:p>
      <w:pPr>
        <w:spacing w:after="0" w:line="103"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including this offering. Accordingly, our U.S. counsel expresses no opinion with respect to our PFIC status for our taxable year ended December 31, 2019, and also expresses no opinion with regard to our expectations regarding our PFIC status in the future.</w:t>
      </w:r>
    </w:p>
    <w:p>
      <w:pPr>
        <w:spacing w:after="0" w:line="172"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If we are a PFIC, a U.S. Holder (as defined below under “Material Income Tax Considerations—Material U.S. Federal Income Tax Considerations for U.S. Holders”) of our common shares would be subject to adverse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For further discussion of the PFIC rules and the adverse U.S. federal income tax consequences in the event we are classified as a PFIC, see the section titled ‘‘Material Income Tax Considerations—Material U.S. Federal Income Considerations for U.S. Holders” in this prospectus. Each U.S. Holder should consult its own tax advisors with respect to the potential adverse U.S. tax consequences to it if we are or were to become a PFIC.</w:t>
      </w:r>
    </w:p>
    <w:p>
      <w:pPr>
        <w:spacing w:after="0" w:line="26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ind w:right="80" w:firstLine="449"/>
        <w:spacing w:after="0" w:line="253" w:lineRule="auto"/>
        <w:rPr>
          <w:sz w:val="20"/>
          <w:szCs w:val="20"/>
          <w:color w:val="auto"/>
        </w:rPr>
      </w:pPr>
      <w:r>
        <w:rPr>
          <w:rFonts w:ascii="Arial" w:cs="Arial" w:eastAsia="Arial" w:hAnsi="Arial"/>
          <w:sz w:val="18"/>
          <w:szCs w:val="18"/>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94"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we were a CFC in the 2019 taxable year, and we may continue to be a CFC in the 2020 taxable year or in a subsequent taxable year. The determination of CFC status is complex and includes attribution rules, the application of which is not entirely certain. In addition, recent changes to the attribution rules relating to the determination of CFC status may make it difficult to determine our CFC status for any taxable year. Because our group includes at least one U.S. subsidiary (Repare Therapeutics USA Inc.), if we were to form or acquire any non-U.S. subsidiaries in the future, those changes to the attribution rules may cause such non-U.S. subsidiaries to be treated as controlled foreign corporations. We cannot provide any assurances that we will assist holders of our common shares in determining whether we or any non-U.S. subsidiaries that we may form or acquire are or will be treated as a CFC or whether any holder of the common shares is treated as a Ten Percent Shareholder with respect to any such CFC or furnish to any Ten Percent Shareholders information that may be necessary to comply with the aforementioned reporting and tax paying obligations.</w:t>
      </w:r>
    </w:p>
    <w:p>
      <w:pPr>
        <w:spacing w:after="0" w:line="165"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(as defined above), we generally will not be treated as a PFIC with respect to those U.S. Holders that meet the definition of a Ten Percent Shareholder during the period in which we are a CFC.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after this public offering, our ability to utilize non-capital losses could be limited by subsection 111(5) of the Canadian Tax Act. As of December 31, 2019, we had Canadian federal and provincial non-capital loss carry forwards of $31.5 million, which expire beginning in 2036 through 2039. In addition, we also have scientific research and experimental development expenditures of approximately $15.8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$2.6 million for Canadian federal income tax purposes, which expire beginning in 2036 through 2039.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90"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Canadian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20" w:top="459" w:right="3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2" w:lineRule="exact"/>
        <w:rPr>
          <w:sz w:val="20"/>
          <w:szCs w:val="20"/>
          <w:color w:val="auto"/>
        </w:rPr>
      </w:pPr>
    </w:p>
    <w:p>
      <w:pPr>
        <w:ind w:right="340" w:firstLine="449"/>
        <w:spacing w:after="0" w:line="257"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460" w:right="4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shares less attractive to investors.</w:t>
      </w:r>
    </w:p>
    <w:p>
      <w:pPr>
        <w:spacing w:after="0" w:line="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shareholder votes on executive compensation and shareholder approval of any golden parachute payments not approved previously. In addition, as an emerging growth company, we are only required to provide two years of audited financial statements and two years of selected financial data in this prospectus.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could be an emerging growth company until the last day of our fiscal year following the fifth anniversary of the completion of this offering, although circumstances could cause us to lose that status earlier, including if we are deemed to be a “large accelerated filer,” which occurs when the market value of our common shares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9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common shares held by non-affiliates is less than $700 million and our annual revenue was less than $100 million during our most recently completed fiscal year. We may continue to be a smaller reporting company if either</w:t>
      </w:r>
    </w:p>
    <w:p>
      <w:pPr>
        <w:ind w:right="160" w:firstLine="8"/>
        <w:spacing w:after="0" w:line="253"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market value of our common shares held by non-affiliates is less than $250 million or (ii) our annual revenue was less than $100 million during the most recently completed fiscal year and the market value of our common shares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compensation in this prospectus and in our periodic reports and proxy statements. For so long as we remain a smaller reporting company, we are permitted and intend to rely on exemptions from certain disclosure and other requirements that are applicable to other public companies that are not smaller reporting companies.</w:t>
      </w:r>
    </w:p>
    <w:p>
      <w:pPr>
        <w:spacing w:after="0" w:line="18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emerging growth companies and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are incorporated and have our corporate headquarters in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w:t>
      </w:r>
    </w:p>
    <w:p>
      <w:pPr>
        <w:spacing w:after="0" w:line="62"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We are governed by the Canada Business Corporations Act, or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CBCA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the DGCL generally only requires a majority vote; and (ii) under the CBCA, a holder of 5% or more of our common shares can requisition a special meeting of shareholders, whereas such right does not exist under the DGCL. Refer to the section titled “Description of Share Capital-Differences in Corporation Law” for more information.</w:t>
      </w:r>
    </w:p>
    <w:p>
      <w:pPr>
        <w:spacing w:after="0" w:line="28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Our amended and restated bylaws to be in effect following completion of this offering and certain Canadian legislation contain provisions that may have the effect of delaying or preventing certain change in control transactions or shareholder proposals.</w:t>
      </w:r>
    </w:p>
    <w:p>
      <w:pPr>
        <w:spacing w:after="0" w:line="3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provisions of our amended and restated bylaws to be in effect following completion of this offering and certain Canadian legislation, together or separately, could discourage or delay certain change in control transactions or shareholder proposals.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amended and restated bylaws to be in effect following completion of this offering contain provisions that establish certain advance notice procedures for nomination of candidates for election as directors at shareholders’ meetings. The CBCA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5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regarding, among other things:</w:t>
      </w:r>
    </w:p>
    <w:p>
      <w:pPr>
        <w:spacing w:after="0" w:line="92" w:lineRule="exact"/>
        <w:rPr>
          <w:sz w:val="20"/>
          <w:szCs w:val="20"/>
          <w:color w:val="auto"/>
        </w:rPr>
      </w:pPr>
    </w:p>
    <w:p>
      <w:pPr>
        <w:ind w:left="1000" w:right="80" w:hanging="547"/>
        <w:spacing w:after="0" w:line="30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obtain regulatory approval of RP-3500 and any of our current and future product candidates that we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the rate and degree of market acceptance for any product candidates that we develop;</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or any of our other current or future product candidates, as well as innovations by current and future competitors in our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 our expected use of proceeds from this offering;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2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do not protect any forward-looking statements that we make in connection with this offering.</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forward-looking statements in this prospectus by these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Certain market and industry data included in this prospectus were obtained from independent third-party surveys, market research, publicly available information, reports of governmental agencies and industry publications and surveys. All market and industry data used in this prospectus involve a number of assumptions and limitations, and you are cautioned not to give undue weight to such estimates. Although we are responsible for the disclosure contained in this prospectus and we believe the information from industry publications and other third-party sources included in this prospectus is reliable, such information is inherently imprecise.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560" w:firstLine="449"/>
        <w:spacing w:after="0" w:line="274" w:lineRule="auto"/>
        <w:rPr>
          <w:sz w:val="20"/>
          <w:szCs w:val="20"/>
          <w:color w:val="auto"/>
        </w:rPr>
      </w:pPr>
      <w:r>
        <w:rPr>
          <w:rFonts w:ascii="Arial" w:cs="Arial" w:eastAsia="Arial" w:hAnsi="Arial"/>
          <w:sz w:val="17"/>
          <w:szCs w:val="17"/>
          <w:color w:val="auto"/>
        </w:rPr>
        <w:t>We estimate that the net proceeds to us from this offering will be approximately $ million (or approximately $ million if the underwriters exercise in full their option to purchase up to $ additional common shares), based on an assumed initial public offering price of</w:t>
      </w:r>
    </w:p>
    <w:p>
      <w:pPr>
        <w:ind w:right="800" w:firstLine="8"/>
        <w:spacing w:after="0" w:line="260" w:lineRule="auto"/>
        <w:tabs>
          <w:tab w:leader="none" w:pos="6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after deducting estimated underwriting fees and commissions and estimated offering expenses payable by us.</w:t>
      </w:r>
    </w:p>
    <w:p>
      <w:pPr>
        <w:spacing w:after="0" w:line="185" w:lineRule="exact"/>
        <w:rPr>
          <w:sz w:val="20"/>
          <w:szCs w:val="20"/>
          <w:color w:val="auto"/>
        </w:rPr>
      </w:pPr>
    </w:p>
    <w:p>
      <w:pPr>
        <w:ind w:right="360" w:firstLine="449"/>
        <w:spacing w:after="0" w:line="274" w:lineRule="auto"/>
        <w:rPr>
          <w:sz w:val="20"/>
          <w:szCs w:val="20"/>
          <w:color w:val="auto"/>
        </w:rPr>
      </w:pPr>
      <w:r>
        <w:rPr>
          <w:rFonts w:ascii="Arial" w:cs="Arial" w:eastAsia="Arial" w:hAnsi="Arial"/>
          <w:sz w:val="17"/>
          <w:szCs w:val="17"/>
          <w:color w:val="auto"/>
        </w:rPr>
        <w:t>Each $1.00 increase or decrease in the assumed initial public offering price of $ per share, the midpoint of the price range set forth on the cover page of this prospectus, would increase or decrease the net proceeds to us from this offering by $ million, assuming that the number of</w:t>
      </w:r>
    </w:p>
    <w:p>
      <w:pPr>
        <w:ind w:right="80"/>
        <w:spacing w:after="0" w:line="281" w:lineRule="auto"/>
        <w:rPr>
          <w:sz w:val="20"/>
          <w:szCs w:val="20"/>
          <w:color w:val="auto"/>
        </w:rPr>
      </w:pPr>
      <w:r>
        <w:rPr>
          <w:rFonts w:ascii="Arial" w:cs="Arial" w:eastAsia="Arial" w:hAnsi="Arial"/>
          <w:sz w:val="16"/>
          <w:szCs w:val="16"/>
          <w:color w:val="auto"/>
        </w:rPr>
        <w:t>common shares offered by us, as set forth on the cover page of this prospectus, remains the same and after deducting the estimated underwriting fees and commissions and estimated offering expenses payable by us. Similarly, each increase or decrease of 1,000,000 in the number of common shares offered by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as set forth on the cover of this prospectus, would increase or decrease the net proceeds to us by $ million, assuming the assumed initial public offering price per share remains the same and after deducting the estimated underwriting fees and commissions and estimated offering expenses payable by us.</w:t>
      </w:r>
    </w:p>
    <w:p>
      <w:pPr>
        <w:spacing w:after="0" w:line="190"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As of March 31, 2020, we had cash of $83.7 million. We currently intend to use the net proceeds from this offering, together with our existing cash, as follows:</w:t>
      </w:r>
    </w:p>
    <w:p>
      <w:pPr>
        <w:spacing w:after="0" w:line="76" w:lineRule="exact"/>
        <w:rPr>
          <w:sz w:val="20"/>
          <w:szCs w:val="20"/>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clinical development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continued development of our preclinical programs;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remainder to fund working capital and other general corporate purposes.</w:t>
      </w:r>
    </w:p>
    <w:p>
      <w:pPr>
        <w:spacing w:after="0" w:line="225"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operating expenses and capital expenditure requirements at least through . We have based this estimate on assumptions that may prove to be wrong, and we could use our available capital resources sooner than we expect. The expected net proceeds from this offering, together with our existing cash, will not be sufficient for us to fund any of our drug candidates through regulatory approval, and we will need to raise additional capital to complete the development and commercialization of our product candidates.</w:t>
      </w:r>
    </w:p>
    <w:p>
      <w:pPr>
        <w:spacing w:after="0" w:line="18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prevailing business conditions, which could change in the future as such plans and conditions evolve. Predicting the cost necessary to develop product candidates can be difficult, and the amounts and timing of our actual expenditures may vary significantly depending on numerous factors, including the progress of our development, the status of and results from preclinical studies and clinical trials, any collaborations that we may enter into with third parties and any unforeseen cash needs. As a result, our management will retain broad discretion over the allocation of the net proceeds from this offering.</w:t>
      </w:r>
    </w:p>
    <w:p>
      <w:pPr>
        <w:spacing w:after="0" w:line="176"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Pending the use of the net proceeds from this offering as described above, we intend to invest the net proceeds in a variety of capital preservation instruments, including bank deposits, short-term, interest-bearing obligations, investment-grade instruments, certificates of deposit or direct or guaranteed United States or Canadian government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459" w:right="3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March 31, 2020 on:</w:t>
      </w:r>
    </w:p>
    <w:p>
      <w:pPr>
        <w:spacing w:after="0" w:line="131" w:lineRule="exact"/>
        <w:rPr>
          <w:sz w:val="20"/>
          <w:szCs w:val="20"/>
          <w:color w:val="auto"/>
        </w:rPr>
      </w:pPr>
    </w:p>
    <w:p>
      <w:pPr>
        <w:ind w:left="1000" w:hanging="54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 forma basis, giving effect to the automatic conversion of all outstanding preferred shares into an aggregate of 130,686,975 common shares upon the completion of this offering; and</w:t>
      </w:r>
    </w:p>
    <w:p>
      <w:pPr>
        <w:spacing w:after="0" w:line="76" w:lineRule="exact"/>
        <w:rPr>
          <w:sz w:val="20"/>
          <w:szCs w:val="20"/>
          <w:color w:val="auto"/>
        </w:rPr>
      </w:pPr>
    </w:p>
    <w:p>
      <w:pPr>
        <w:ind w:left="1000" w:right="200" w:hanging="539"/>
        <w:spacing w:after="0" w:line="259"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pro forma as adjusted basis, giving further effect to: (i) the sale of common shares in this offering at an assumed initial public offering price of $ per share, the midpoint of the price range set forth on the cover page of this prospectus, after deducting estimated underwriting fees and commissions and estimated offering expenses payable by us; and (ii) the filing and effectiveness of our amended and restated articles of incorporation.</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table together with the sections titled “Selected Consolidated Financial Data,” “Management’s Discussion and Analysis of Financial Condition and Results of Operations” and our consolidated financial statements and the related notes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MARCH 31, 2020</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jc w:val="center"/>
              <w:ind w:left="100"/>
              <w:spacing w:after="0" w:line="119" w:lineRule="exact"/>
              <w:rPr>
                <w:sz w:val="20"/>
                <w:szCs w:val="20"/>
                <w:color w:val="auto"/>
              </w:rPr>
            </w:pPr>
            <w:r>
              <w:rPr>
                <w:rFonts w:ascii="Arial" w:cs="Arial" w:eastAsia="Arial" w:hAnsi="Arial"/>
                <w:sz w:val="13"/>
                <w:szCs w:val="13"/>
                <w:b w:val="1"/>
                <w:bCs w:val="1"/>
                <w:color w:val="auto"/>
              </w:rPr>
              <w:t>PRO</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PRO</w:t>
            </w:r>
          </w:p>
        </w:tc>
        <w:tc>
          <w:tcPr>
            <w:tcW w:w="760" w:type="dxa"/>
            <w:vAlign w:val="bottom"/>
          </w:tcPr>
          <w:p>
            <w:pPr>
              <w:jc w:val="center"/>
              <w:ind w:left="100"/>
              <w:spacing w:after="0" w:line="149" w:lineRule="exact"/>
              <w:rPr>
                <w:sz w:val="20"/>
                <w:szCs w:val="20"/>
                <w:color w:val="auto"/>
              </w:rPr>
            </w:pPr>
            <w:r>
              <w:rPr>
                <w:rFonts w:ascii="Arial" w:cs="Arial" w:eastAsia="Arial" w:hAnsi="Arial"/>
                <w:sz w:val="14"/>
                <w:szCs w:val="14"/>
                <w:b w:val="1"/>
                <w:bCs w:val="1"/>
                <w:color w:val="auto"/>
              </w:rPr>
              <w:t>FORMA</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332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60" w:type="dxa"/>
            <w:vAlign w:val="bottom"/>
          </w:tcPr>
          <w:p>
            <w:pPr>
              <w:jc w:val="center"/>
              <w:ind w:left="100"/>
              <w:spacing w:after="0" w:line="149" w:lineRule="exact"/>
              <w:rPr>
                <w:sz w:val="20"/>
                <w:szCs w:val="20"/>
                <w:color w:val="auto"/>
              </w:rPr>
            </w:pPr>
            <w:r>
              <w:rPr>
                <w:rFonts w:ascii="Arial" w:cs="Arial" w:eastAsia="Arial" w:hAnsi="Arial"/>
                <w:sz w:val="14"/>
                <w:szCs w:val="14"/>
                <w:b w:val="1"/>
                <w:bCs w:val="1"/>
                <w:color w:val="auto"/>
                <w:w w:val="92"/>
              </w:rPr>
              <w:t>AS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60" w:type="dxa"/>
            <w:vAlign w:val="bottom"/>
            <w:tcBorders>
              <w:bottom w:val="single" w:sz="8" w:color="auto"/>
            </w:tcBorders>
            <w:gridSpan w:val="2"/>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FORMA</w:t>
            </w: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83,711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83,711</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gridSpan w:val="4"/>
            <w:vMerge w:val="restart"/>
          </w:tcPr>
          <w:p>
            <w:pPr>
              <w:spacing w:after="0"/>
              <w:rPr>
                <w:sz w:val="20"/>
                <w:szCs w:val="20"/>
                <w:color w:val="auto"/>
              </w:rPr>
            </w:pPr>
            <w:r>
              <w:rPr>
                <w:rFonts w:ascii="Arial" w:cs="Arial" w:eastAsia="Arial" w:hAnsi="Arial"/>
                <w:sz w:val="18"/>
                <w:szCs w:val="18"/>
                <w:color w:val="auto"/>
                <w:w w:val="98"/>
              </w:rPr>
              <w:t>Series A preferred shares, no par value, unlimited shares authorized; 67,228,395 shares issued and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4"/>
          </w:tcPr>
          <w:p>
            <w:pPr>
              <w:ind w:left="180"/>
              <w:spacing w:after="0"/>
              <w:rPr>
                <w:sz w:val="20"/>
                <w:szCs w:val="20"/>
                <w:color w:val="auto"/>
              </w:rPr>
            </w:pPr>
            <w:r>
              <w:rPr>
                <w:rFonts w:ascii="Arial" w:cs="Arial" w:eastAsia="Arial" w:hAnsi="Arial"/>
                <w:sz w:val="18"/>
                <w:szCs w:val="18"/>
                <w:color w:val="auto"/>
              </w:rPr>
              <w:t>outstanding, actual; unlimited shares authorized, no shares issued or outstanding, pro forma; no</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3"/>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53,749</w:t>
            </w:r>
          </w:p>
        </w:tc>
        <w:tc>
          <w:tcPr>
            <w:tcW w:w="1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8"/>
              </w:rPr>
              <w:t>Series B preferred shares, no par value, unlimited shares authorized; 63,458,580 shares issued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outstanding, actual; unlimited shares authorized, no shares issued or outstanding, pro forma; no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82,248</w:t>
            </w: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Shareholders’ (deficit) equity: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shares, no par value, no shares authorized, issued and outstanding, actual and pro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94"/>
              </w:rPr>
              <w:t>forma; unlimited shares authorized and no shares issued and outstanding, pro forma as adjusted</w:t>
            </w: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4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Common shares, no par value, unlimited shares authorized, 10,364,166 shares issued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4"/>
          </w:tcPr>
          <w:p>
            <w:pPr>
              <w:ind w:left="540"/>
              <w:spacing w:after="0"/>
              <w:rPr>
                <w:sz w:val="20"/>
                <w:szCs w:val="20"/>
                <w:color w:val="auto"/>
              </w:rPr>
            </w:pPr>
            <w:r>
              <w:rPr>
                <w:rFonts w:ascii="Arial" w:cs="Arial" w:eastAsia="Arial" w:hAnsi="Arial"/>
                <w:sz w:val="18"/>
                <w:szCs w:val="18"/>
                <w:color w:val="auto"/>
                <w:w w:val="97"/>
              </w:rPr>
              <w:t>outstanding, actual; unlimited shares authorized, 141,051,141 shares issued and outstanding,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4"/>
          </w:tcPr>
          <w:p>
            <w:pPr>
              <w:ind w:left="540"/>
              <w:spacing w:after="0"/>
              <w:rPr>
                <w:sz w:val="20"/>
                <w:szCs w:val="20"/>
                <w:color w:val="auto"/>
              </w:rPr>
            </w:pPr>
            <w:r>
              <w:rPr>
                <w:rFonts w:ascii="Arial" w:cs="Arial" w:eastAsia="Arial" w:hAnsi="Arial"/>
                <w:sz w:val="18"/>
                <w:szCs w:val="18"/>
                <w:color w:val="auto"/>
                <w:w w:val="97"/>
              </w:rPr>
              <w:t>pro forma; unlimited shares authorized, shares issued and outstanding, pro forma as adjusted</w:t>
            </w: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136,518</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3,886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(62,542)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(62,542)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shareholders’ (deficit) equity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(58,135)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77,862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gridSpan w:val="3"/>
          </w:tcPr>
          <w:p>
            <w:pPr>
              <w:ind w:left="1080"/>
              <w:spacing w:after="0"/>
              <w:rPr>
                <w:sz w:val="20"/>
                <w:szCs w:val="20"/>
                <w:color w:val="auto"/>
              </w:rPr>
            </w:pPr>
            <w:r>
              <w:rPr>
                <w:rFonts w:ascii="Arial" w:cs="Arial" w:eastAsia="Arial" w:hAnsi="Arial"/>
                <w:sz w:val="18"/>
                <w:szCs w:val="18"/>
                <w:color w:val="auto"/>
              </w:rPr>
              <w:t>Total capitalization</w:t>
            </w: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77,862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5240" w:type="dxa"/>
            <w:vAlign w:val="bottom"/>
            <w:gridSpan w:val="2"/>
          </w:tcPr>
          <w:p>
            <w:pPr>
              <w:spacing w:after="0"/>
              <w:rPr>
                <w:sz w:val="11"/>
                <w:szCs w:val="11"/>
                <w:color w:val="auto"/>
              </w:rPr>
            </w:pPr>
          </w:p>
        </w:tc>
        <w:tc>
          <w:tcPr>
            <w:tcW w:w="4520" w:type="dxa"/>
            <w:vAlign w:val="bottom"/>
            <w:gridSpan w:val="10"/>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480" w:type="dxa"/>
            <w:vAlign w:val="bottom"/>
            <w:gridSpan w:val="3"/>
          </w:tcPr>
          <w:p>
            <w:pPr>
              <w:spacing w:after="0"/>
              <w:rPr>
                <w:sz w:val="20"/>
                <w:szCs w:val="20"/>
                <w:color w:val="auto"/>
              </w:rPr>
            </w:pPr>
            <w:r>
              <w:rPr>
                <w:rFonts w:ascii="Arial" w:cs="Arial" w:eastAsia="Arial" w:hAnsi="Arial"/>
                <w:sz w:val="18"/>
                <w:szCs w:val="18"/>
                <w:color w:val="auto"/>
                <w:w w:val="96"/>
              </w:rPr>
              <w:t>(1)   Each $1.00 increase or decrease in the assumed initial public offering price of $</w:t>
            </w:r>
          </w:p>
        </w:tc>
        <w:tc>
          <w:tcPr>
            <w:tcW w:w="4520" w:type="dxa"/>
            <w:vAlign w:val="bottom"/>
            <w:gridSpan w:val="10"/>
          </w:tcPr>
          <w:p>
            <w:pPr>
              <w:ind w:left="300"/>
              <w:spacing w:after="0"/>
              <w:rPr>
                <w:sz w:val="20"/>
                <w:szCs w:val="20"/>
                <w:color w:val="auto"/>
              </w:rPr>
            </w:pPr>
            <w:r>
              <w:rPr>
                <w:rFonts w:ascii="Arial" w:cs="Arial" w:eastAsia="Arial" w:hAnsi="Arial"/>
                <w:sz w:val="18"/>
                <w:szCs w:val="18"/>
                <w:color w:val="auto"/>
                <w:w w:val="92"/>
              </w:rPr>
              <w:t>per share, the midpoint of the price range set forth on the</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60"/>
        <w:spacing w:after="0"/>
        <w:rPr>
          <w:sz w:val="20"/>
          <w:szCs w:val="20"/>
          <w:color w:val="auto"/>
        </w:rPr>
      </w:pPr>
      <w:r>
        <w:rPr>
          <w:rFonts w:ascii="Arial" w:cs="Arial" w:eastAsia="Arial" w:hAnsi="Arial"/>
          <w:sz w:val="16"/>
          <w:szCs w:val="16"/>
          <w:color w:val="auto"/>
        </w:rPr>
        <w:t>cover page of this prospectus, would increase or decrease each of pro forma as adjusted cash, common shares, total shareholders’ (deficit) equity and</w:t>
      </w:r>
    </w:p>
    <w:p>
      <w:pPr>
        <w:spacing w:after="0" w:line="386" w:lineRule="exact"/>
        <w:rPr>
          <w:sz w:val="20"/>
          <w:szCs w:val="20"/>
          <w:color w:val="auto"/>
        </w:rPr>
      </w:pPr>
    </w:p>
    <w:p>
      <w:pPr>
        <w:ind w:left="460"/>
        <w:spacing w:after="0"/>
        <w:tabs>
          <w:tab w:leader="none" w:pos="2840" w:val="left"/>
        </w:tabs>
        <w:rPr>
          <w:sz w:val="20"/>
          <w:szCs w:val="20"/>
          <w:color w:val="auto"/>
        </w:rPr>
      </w:pPr>
      <w:r>
        <w:rPr>
          <w:rFonts w:ascii="Arial" w:cs="Arial" w:eastAsia="Arial" w:hAnsi="Arial"/>
          <w:sz w:val="18"/>
          <w:szCs w:val="18"/>
          <w:color w:val="auto"/>
        </w:rPr>
        <w:t>total capitalization by $</w:t>
      </w:r>
      <w:r>
        <w:rPr>
          <w:sz w:val="20"/>
          <w:szCs w:val="20"/>
          <w:color w:val="auto"/>
        </w:rPr>
        <w:tab/>
      </w:r>
      <w:r>
        <w:rPr>
          <w:rFonts w:ascii="Arial" w:cs="Arial" w:eastAsia="Arial" w:hAnsi="Arial"/>
          <w:sz w:val="16"/>
          <w:szCs w:val="16"/>
          <w:color w:val="auto"/>
        </w:rPr>
        <w:t>million, assuming that the number of common shares offered by us, as set forth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on the cover page of this prospectus, remains the same and after deducting estimated underwriting fees and commissions and estimated offering expenses payable by us. Similarly, each increase or decrease of 1,000,000 in the number of common shares offered by us would increase or decrease</w:t>
      </w:r>
    </w:p>
    <w:p>
      <w:pPr>
        <w:ind w:left="460" w:right="220"/>
        <w:spacing w:after="0" w:line="255" w:lineRule="auto"/>
        <w:rPr>
          <w:sz w:val="20"/>
          <w:szCs w:val="20"/>
          <w:color w:val="auto"/>
        </w:rPr>
      </w:pPr>
      <w:r>
        <w:rPr>
          <w:rFonts w:ascii="Arial" w:cs="Arial" w:eastAsia="Arial" w:hAnsi="Arial"/>
          <w:sz w:val="18"/>
          <w:szCs w:val="18"/>
          <w:color w:val="auto"/>
        </w:rPr>
        <w:t>each of pro forma as adjusted cash, common shares, total shareholders’ (deficit) equity and total capitalization by $ million, assuming that the assumed initial public offering price remains the same and after deducting estimated underwriting fees and commissions and estimated offering expenses payable by us.</w:t>
      </w:r>
    </w:p>
    <w:p>
      <w:pPr>
        <w:spacing w:after="0" w:line="190" w:lineRule="exact"/>
        <w:rPr>
          <w:sz w:val="20"/>
          <w:szCs w:val="20"/>
          <w:color w:val="auto"/>
        </w:rPr>
      </w:pPr>
    </w:p>
    <w:p>
      <w:pPr>
        <w:jc w:val="both"/>
        <w:ind w:right="400" w:firstLine="449"/>
        <w:spacing w:after="0" w:line="263" w:lineRule="auto"/>
        <w:rPr>
          <w:sz w:val="20"/>
          <w:szCs w:val="20"/>
          <w:color w:val="auto"/>
        </w:rPr>
      </w:pPr>
      <w:r>
        <w:rPr>
          <w:rFonts w:ascii="Arial" w:cs="Arial" w:eastAsia="Arial" w:hAnsi="Arial"/>
          <w:sz w:val="18"/>
          <w:szCs w:val="18"/>
          <w:color w:val="auto"/>
        </w:rPr>
        <w:t>The number of common shares outstanding after this offering is based on 141,051,141 common shares outstanding as of March 31, 2020, which gives effect to the automatic conversion of all outstanding preferred shares into an aggregate of 130,686,975 common shares immediately prior to the completion of this offering, and excludes:</w:t>
      </w:r>
    </w:p>
    <w:p>
      <w:pPr>
        <w:spacing w:after="0" w:line="89" w:lineRule="exact"/>
        <w:rPr>
          <w:sz w:val="20"/>
          <w:szCs w:val="20"/>
          <w:color w:val="auto"/>
        </w:rPr>
      </w:pPr>
    </w:p>
    <w:p>
      <w:pPr>
        <w:ind w:left="1000" w:right="18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20,148,992 common shares issuable upon the exercise of outstanding options as of March 31, 2020, at a weighted-average exercise price of $0.34 per share;</w:t>
      </w:r>
    </w:p>
    <w:p>
      <w:pPr>
        <w:spacing w:after="0" w:line="75" w:lineRule="exact"/>
        <w:rPr>
          <w:rFonts w:ascii="Arial" w:cs="Arial" w:eastAsia="Arial" w:hAnsi="Arial"/>
          <w:sz w:val="18"/>
          <w:szCs w:val="18"/>
          <w:color w:val="auto"/>
        </w:rPr>
      </w:pPr>
    </w:p>
    <w:p>
      <w:pPr>
        <w:ind w:left="1000" w:right="100" w:hanging="547"/>
        <w:spacing w:after="0" w:line="308"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3,449,250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jc w:val="both"/>
        <w:ind w:left="1000" w:right="140" w:hanging="547"/>
        <w:spacing w:after="0" w:line="263" w:lineRule="auto"/>
        <w:tabs>
          <w:tab w:leader="none" w:pos="17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Plan, which will become effective immediately prior to the execution of the underwriting agreement related to this offering, as well as any future increases in the number of common shares reserved for issuance under our 2020 Plan; and</w:t>
      </w:r>
    </w:p>
    <w:p>
      <w:pPr>
        <w:spacing w:after="0" w:line="89" w:lineRule="exact"/>
        <w:rPr>
          <w:rFonts w:ascii="Arial" w:cs="Arial" w:eastAsia="Arial" w:hAnsi="Arial"/>
          <w:sz w:val="18"/>
          <w:szCs w:val="18"/>
          <w:color w:val="auto"/>
        </w:rPr>
      </w:pPr>
    </w:p>
    <w:p>
      <w:pPr>
        <w:ind w:left="1000" w:hanging="547"/>
        <w:spacing w:after="0" w:line="263" w:lineRule="auto"/>
        <w:tabs>
          <w:tab w:leader="none" w:pos="17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 you invest in our common shares in this offering, your ownership interest will be diluted immediately to the extent of the difference between the initial public offering price per common share and the pro forma as adjusted net tangible book value per common share after this offering.</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historical net tangible book deficit as of March 31, 2020 was $58.1 million, or ($5.61) per common share. Our historical net tangible book deficit represents our total tangible assets less total liabilities and preferred shares. Historical net tangible book deficit per share is our historical net tangible book deficit divided by the number of common shares outstanding as of March 31, 2020.</w:t>
      </w:r>
    </w:p>
    <w:p>
      <w:pPr>
        <w:spacing w:after="0" w:line="18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pro forma net tangible book value as of March 31, 2020 was $77.8 million, or $0.55 per common share, which gives effect to the automatic conversion of all outstanding preferred shares into an aggregate of 130,686,975 common shares immediately prior to the completion of this offering. Pro forma net tangible book value per share is our pro forma net tangible book value divided by the number of common shares deemed to be outstanding as of March 31,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After giving further effect to the sale of</w:t>
            </w:r>
          </w:p>
        </w:tc>
        <w:tc>
          <w:tcPr>
            <w:tcW w:w="6140" w:type="dxa"/>
            <w:vAlign w:val="bottom"/>
            <w:gridSpan w:val="4"/>
          </w:tcPr>
          <w:p>
            <w:pPr>
              <w:ind w:left="360"/>
              <w:spacing w:after="0"/>
              <w:rPr>
                <w:sz w:val="20"/>
                <w:szCs w:val="20"/>
                <w:color w:val="auto"/>
              </w:rPr>
            </w:pPr>
            <w:r>
              <w:rPr>
                <w:rFonts w:ascii="Arial" w:cs="Arial" w:eastAsia="Arial" w:hAnsi="Arial"/>
                <w:sz w:val="18"/>
                <w:szCs w:val="18"/>
                <w:color w:val="auto"/>
                <w:w w:val="94"/>
              </w:rPr>
              <w:t>common shares in this offering at an assumed initial public offering price of $</w:t>
            </w:r>
          </w:p>
        </w:tc>
        <w:tc>
          <w:tcPr>
            <w:tcW w:w="1540" w:type="dxa"/>
            <w:vAlign w:val="bottom"/>
            <w:gridSpan w:val="4"/>
          </w:tcPr>
          <w:p>
            <w:pPr>
              <w:ind w:left="420"/>
              <w:spacing w:after="0"/>
              <w:rPr>
                <w:sz w:val="20"/>
                <w:szCs w:val="20"/>
                <w:color w:val="auto"/>
              </w:rPr>
            </w:pPr>
            <w:r>
              <w:rPr>
                <w:rFonts w:ascii="Arial" w:cs="Arial" w:eastAsia="Arial" w:hAnsi="Arial"/>
                <w:sz w:val="18"/>
                <w:szCs w:val="18"/>
                <w:color w:val="auto"/>
                <w:w w:val="99"/>
              </w:rPr>
              <w:t>per share, the</w:t>
            </w:r>
          </w:p>
        </w:tc>
      </w:tr>
      <w:tr>
        <w:trPr>
          <w:trHeight w:val="216"/>
        </w:trPr>
        <w:tc>
          <w:tcPr>
            <w:tcW w:w="11240" w:type="dxa"/>
            <w:vAlign w:val="bottom"/>
            <w:gridSpan w:val="10"/>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the estimated underwriting fees and commissions and</w:t>
            </w:r>
          </w:p>
        </w:tc>
      </w:tr>
      <w:tr>
        <w:trPr>
          <w:trHeight w:val="216"/>
        </w:trPr>
        <w:tc>
          <w:tcPr>
            <w:tcW w:w="9700" w:type="dxa"/>
            <w:vAlign w:val="bottom"/>
            <w:gridSpan w:val="6"/>
          </w:tcPr>
          <w:p>
            <w:pPr>
              <w:spacing w:after="0"/>
              <w:rPr>
                <w:sz w:val="20"/>
                <w:szCs w:val="20"/>
                <w:color w:val="auto"/>
              </w:rPr>
            </w:pPr>
            <w:r>
              <w:rPr>
                <w:rFonts w:ascii="Arial" w:cs="Arial" w:eastAsia="Arial" w:hAnsi="Arial"/>
                <w:sz w:val="18"/>
                <w:szCs w:val="18"/>
                <w:color w:val="auto"/>
                <w:w w:val="89"/>
              </w:rPr>
              <w:t>estimated offering expenses payable by us, our pro forma as adjusted net tangible book value as of March 31, 2020 would have been $</w:t>
            </w:r>
          </w:p>
        </w:tc>
        <w:tc>
          <w:tcPr>
            <w:tcW w:w="48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auto"/>
              </w:rPr>
              <w:t>million, or</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300" w:type="dxa"/>
            <w:vAlign w:val="bottom"/>
            <w:gridSpan w:val="3"/>
          </w:tcPr>
          <w:p>
            <w:pPr>
              <w:ind w:left="440"/>
              <w:spacing w:after="0"/>
              <w:rPr>
                <w:sz w:val="20"/>
                <w:szCs w:val="20"/>
                <w:color w:val="auto"/>
              </w:rPr>
            </w:pPr>
            <w:r>
              <w:rPr>
                <w:rFonts w:ascii="Arial" w:cs="Arial" w:eastAsia="Arial" w:hAnsi="Arial"/>
                <w:sz w:val="18"/>
                <w:szCs w:val="18"/>
                <w:color w:val="auto"/>
                <w:w w:val="95"/>
              </w:rPr>
              <w:t>per share. This represents an immediate increase in pro forma as adjusted net tangible book value of $</w:t>
            </w:r>
          </w:p>
        </w:tc>
        <w:tc>
          <w:tcPr>
            <w:tcW w:w="2700" w:type="dxa"/>
            <w:vAlign w:val="bottom"/>
            <w:gridSpan w:val="6"/>
          </w:tcPr>
          <w:p>
            <w:pPr>
              <w:ind w:left="60"/>
              <w:spacing w:after="0"/>
              <w:rPr>
                <w:sz w:val="20"/>
                <w:szCs w:val="20"/>
                <w:color w:val="auto"/>
              </w:rPr>
            </w:pPr>
            <w:r>
              <w:rPr>
                <w:rFonts w:ascii="Arial" w:cs="Arial" w:eastAsia="Arial" w:hAnsi="Arial"/>
                <w:sz w:val="18"/>
                <w:szCs w:val="18"/>
                <w:color w:val="auto"/>
              </w:rPr>
              <w:t>per share to our existing</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shareholders and an immediate dilution of $</w:t>
            </w:r>
          </w:p>
        </w:tc>
        <w:tc>
          <w:tcPr>
            <w:tcW w:w="4980" w:type="dxa"/>
            <w:vAlign w:val="bottom"/>
            <w:gridSpan w:val="2"/>
          </w:tcPr>
          <w:p>
            <w:pPr>
              <w:ind w:left="200"/>
              <w:spacing w:after="0"/>
              <w:rPr>
                <w:sz w:val="20"/>
                <w:szCs w:val="20"/>
                <w:color w:val="auto"/>
              </w:rPr>
            </w:pPr>
            <w:r>
              <w:rPr>
                <w:rFonts w:ascii="Arial" w:cs="Arial" w:eastAsia="Arial" w:hAnsi="Arial"/>
                <w:sz w:val="18"/>
                <w:szCs w:val="18"/>
                <w:color w:val="auto"/>
              </w:rPr>
              <w:t>per share to new investors participating in this offering.</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8300" w:type="dxa"/>
            <w:vAlign w:val="bottom"/>
            <w:gridSpan w:val="3"/>
          </w:tcPr>
          <w:p>
            <w:pPr>
              <w:ind w:left="22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5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Assumed initial public offering price per share</w:t>
            </w:r>
          </w:p>
        </w:tc>
        <w:tc>
          <w:tcPr>
            <w:tcW w:w="11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Historical net tangible book deficit per share as of March 31, 2020</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$(5.61)</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240" w:type="dxa"/>
            <w:vAlign w:val="bottom"/>
            <w:shd w:val="clear" w:color="auto" w:fill="CCEEFF"/>
          </w:tcPr>
          <w:p>
            <w:pPr>
              <w:spacing w:after="0"/>
              <w:rPr>
                <w:sz w:val="17"/>
                <w:szCs w:val="17"/>
                <w:color w:val="auto"/>
              </w:rPr>
            </w:pPr>
          </w:p>
        </w:tc>
        <w:tc>
          <w:tcPr>
            <w:tcW w:w="912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Pro forma increase in net tangible book value per share as of March 31, 2020 attributable to pro forma transactions described</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40" w:type="dxa"/>
            <w:vAlign w:val="bottom"/>
            <w:shd w:val="clear" w:color="auto" w:fill="CCEEFF"/>
          </w:tcPr>
          <w:p>
            <w:pPr>
              <w:spacing w:after="0"/>
              <w:rPr>
                <w:sz w:val="20"/>
                <w:szCs w:val="20"/>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above</w:t>
            </w:r>
          </w:p>
        </w:tc>
        <w:tc>
          <w:tcPr>
            <w:tcW w:w="11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6.16</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240" w:type="dxa"/>
            <w:vAlign w:val="bottom"/>
          </w:tcPr>
          <w:p>
            <w:pPr>
              <w:spacing w:after="0"/>
              <w:rPr>
                <w:sz w:val="19"/>
                <w:szCs w:val="19"/>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Pro forma net tangible book value per share as of March 31, 2020</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40" w:type="dxa"/>
            <w:vAlign w:val="bottom"/>
            <w:shd w:val="clear" w:color="auto" w:fill="CCEEFF"/>
          </w:tcPr>
          <w:p>
            <w:pPr>
              <w:spacing w:after="0"/>
              <w:rPr>
                <w:sz w:val="18"/>
                <w:szCs w:val="18"/>
                <w:color w:val="auto"/>
              </w:rPr>
            </w:pPr>
          </w:p>
        </w:tc>
        <w:tc>
          <w:tcPr>
            <w:tcW w:w="8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Increase in pro forma net tangible book value per share attributable to new investors participating in this offering</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540" w:type="dxa"/>
            <w:vAlign w:val="bottom"/>
            <w:gridSpan w:val="4"/>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Dilution per share to new investors participating in this offering</w:t>
            </w:r>
          </w:p>
        </w:tc>
        <w:tc>
          <w:tcPr>
            <w:tcW w:w="3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10260" w:type="dxa"/>
            <w:vAlign w:val="bottom"/>
            <w:gridSpan w:val="7"/>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11000" w:type="dxa"/>
            <w:vAlign w:val="bottom"/>
            <w:gridSpan w:val="9"/>
          </w:tcPr>
          <w:p>
            <w:pPr>
              <w:ind w:left="220"/>
              <w:spacing w:after="0"/>
              <w:rPr>
                <w:sz w:val="20"/>
                <w:szCs w:val="20"/>
                <w:color w:val="auto"/>
              </w:rPr>
            </w:pPr>
            <w:r>
              <w:rPr>
                <w:rFonts w:ascii="Arial" w:cs="Arial" w:eastAsia="Arial" w:hAnsi="Arial"/>
                <w:sz w:val="18"/>
                <w:szCs w:val="18"/>
                <w:color w:val="auto"/>
                <w:w w:val="92"/>
              </w:rPr>
              <w:t>Each $1.00 increase or decrease in the assumed initial public offering price of $  , the midpoint of the price range set forth on the cover page of this</w:t>
            </w:r>
          </w:p>
        </w:tc>
      </w:tr>
      <w:tr>
        <w:trPr>
          <w:trHeight w:val="216"/>
        </w:trPr>
        <w:tc>
          <w:tcPr>
            <w:tcW w:w="9360" w:type="dxa"/>
            <w:vAlign w:val="bottom"/>
            <w:gridSpan w:val="5"/>
          </w:tcPr>
          <w:p>
            <w:pPr>
              <w:spacing w:after="0"/>
              <w:rPr>
                <w:sz w:val="20"/>
                <w:szCs w:val="20"/>
                <w:color w:val="auto"/>
              </w:rPr>
            </w:pPr>
            <w:r>
              <w:rPr>
                <w:rFonts w:ascii="Arial" w:cs="Arial" w:eastAsia="Arial" w:hAnsi="Arial"/>
                <w:sz w:val="18"/>
                <w:szCs w:val="18"/>
                <w:color w:val="auto"/>
                <w:w w:val="95"/>
              </w:rPr>
              <w:t>prospectus, would increase or decrease our pro forma as adjusted net tangible book value per share after this offering by $</w:t>
            </w:r>
          </w:p>
        </w:tc>
        <w:tc>
          <w:tcPr>
            <w:tcW w:w="1880" w:type="dxa"/>
            <w:vAlign w:val="bottom"/>
            <w:gridSpan w:val="5"/>
          </w:tcPr>
          <w:p>
            <w:pPr>
              <w:spacing w:after="0"/>
              <w:rPr>
                <w:sz w:val="20"/>
                <w:szCs w:val="20"/>
                <w:color w:val="auto"/>
              </w:rPr>
            </w:pPr>
            <w:r>
              <w:rPr>
                <w:rFonts w:ascii="Arial" w:cs="Arial" w:eastAsia="Arial" w:hAnsi="Arial"/>
                <w:sz w:val="18"/>
                <w:szCs w:val="18"/>
                <w:color w:val="auto"/>
                <w:w w:val="91"/>
              </w:rPr>
              <w:t>per share and the dilution</w:t>
            </w: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per share to new investors participating in this offering by $</w:t>
            </w:r>
          </w:p>
        </w:tc>
        <w:tc>
          <w:tcPr>
            <w:tcW w:w="6500" w:type="dxa"/>
            <w:vAlign w:val="bottom"/>
            <w:gridSpan w:val="7"/>
          </w:tcPr>
          <w:p>
            <w:pPr>
              <w:ind w:left="160"/>
              <w:spacing w:after="0"/>
              <w:rPr>
                <w:sz w:val="20"/>
                <w:szCs w:val="20"/>
                <w:color w:val="auto"/>
              </w:rPr>
            </w:pPr>
            <w:r>
              <w:rPr>
                <w:rFonts w:ascii="Arial" w:cs="Arial" w:eastAsia="Arial" w:hAnsi="Arial"/>
                <w:sz w:val="18"/>
                <w:szCs w:val="18"/>
                <w:color w:val="auto"/>
                <w:w w:val="88"/>
              </w:rPr>
              <w:t>per share, assuming that the number of common shares offered by us, as set forth on the</w:t>
            </w:r>
          </w:p>
        </w:tc>
      </w:tr>
    </w:tbl>
    <w:p>
      <w:pPr>
        <w:ind w:right="60"/>
        <w:spacing w:after="0" w:line="281" w:lineRule="auto"/>
        <w:rPr>
          <w:sz w:val="20"/>
          <w:szCs w:val="20"/>
          <w:color w:val="auto"/>
        </w:rPr>
      </w:pPr>
      <w:r>
        <w:rPr>
          <w:rFonts w:ascii="Arial" w:cs="Arial" w:eastAsia="Arial" w:hAnsi="Arial"/>
          <w:sz w:val="16"/>
          <w:szCs w:val="16"/>
          <w:color w:val="auto"/>
        </w:rPr>
        <w:t>cover page of this prospectus, remains the same and after deducting estimated underwriting fees and commissions and estimated offering expenses payable by us. Similarly, an increase of 1,000,000 in the number of common shares offered by us would increase the pro forma as adjusted net tangible book value</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after this offering by $ per share and decrease the dilution per share to new investors participating in this offering by $ per share, and a decrease of 1,000,000 in the number of common shares offered by us would decrease the pro forma as adjusted net tangible book value by $ per share, and</w:t>
      </w:r>
    </w:p>
    <w:p>
      <w:pPr>
        <w:ind w:right="260"/>
        <w:spacing w:after="0" w:line="260" w:lineRule="auto"/>
        <w:rPr>
          <w:sz w:val="20"/>
          <w:szCs w:val="20"/>
          <w:color w:val="auto"/>
        </w:rPr>
      </w:pPr>
      <w:r>
        <w:rPr>
          <w:rFonts w:ascii="Arial" w:cs="Arial" w:eastAsia="Arial" w:hAnsi="Arial"/>
          <w:sz w:val="18"/>
          <w:szCs w:val="18"/>
          <w:color w:val="auto"/>
        </w:rPr>
        <w:t>increase the dilution per share to new investors in this offering by $ per share, assuming that the assumed initial public offering price remains the same and after deducting estimated underwriting fees and commissions and estimated offering expenses payable by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32" w:lineRule="exact"/>
        <w:rPr>
          <w:sz w:val="20"/>
          <w:szCs w:val="20"/>
          <w:color w:val="auto"/>
        </w:rPr>
      </w:pPr>
    </w:p>
    <w:p>
      <w:pPr>
        <w:ind w:firstLine="449"/>
        <w:spacing w:after="0" w:line="274" w:lineRule="auto"/>
        <w:rPr>
          <w:sz w:val="20"/>
          <w:szCs w:val="20"/>
          <w:color w:val="auto"/>
        </w:rPr>
      </w:pPr>
      <w:r>
        <w:rPr>
          <w:rFonts w:ascii="Arial" w:cs="Arial" w:eastAsia="Arial" w:hAnsi="Arial"/>
          <w:sz w:val="17"/>
          <w:szCs w:val="17"/>
          <w:color w:val="auto"/>
        </w:rPr>
        <w:t>If the underwriters exercise in full their option to purchase up to value per share after giving effect to this offering would be $</w:t>
      </w:r>
    </w:p>
    <w:p>
      <w:pPr>
        <w:ind w:left="860" w:hanging="852"/>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60" w:firstLine="731"/>
        <w:spacing w:after="0" w:line="342" w:lineRule="auto"/>
        <w:rPr>
          <w:sz w:val="20"/>
          <w:szCs w:val="20"/>
          <w:color w:val="auto"/>
        </w:rPr>
      </w:pPr>
      <w:r>
        <w:rPr>
          <w:rFonts w:ascii="Arial" w:cs="Arial" w:eastAsia="Arial" w:hAnsi="Arial"/>
          <w:sz w:val="16"/>
          <w:szCs w:val="16"/>
          <w:color w:val="auto"/>
        </w:rPr>
        <w:t>additional common shares, the pro forma as adjusted net tangible book per share and dilution to new investors participating in this offering would be</w:t>
      </w:r>
    </w:p>
    <w:p>
      <w:pPr>
        <w:spacing w:after="0" w:line="328" w:lineRule="exact"/>
        <w:rPr>
          <w:sz w:val="20"/>
          <w:szCs w:val="20"/>
          <w:color w:val="auto"/>
        </w:rPr>
      </w:pPr>
    </w:p>
    <w:p>
      <w:pPr>
        <w:sectPr>
          <w:pgSz w:w="11900" w:h="16838" w:orient="portrait"/>
          <w:cols w:equalWidth="0" w:num="2">
            <w:col w:w="5060" w:space="80"/>
            <w:col w:w="6100"/>
          </w:cols>
          <w:pgMar w:left="320" w:top="459" w:right="339" w:bottom="1440" w:gutter="0" w:footer="0" w:header="0"/>
          <w:type w:val="continuous"/>
        </w:sectPr>
      </w:pPr>
    </w:p>
    <w:p>
      <w:pPr>
        <w:spacing w:after="0" w:line="1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the differences between the number of shares purchased from us on an as converted basis, the total consideration paid and the weighted average price per share paid by existing shareholders and by investors purchasing</w:t>
      </w:r>
    </w:p>
    <w:p>
      <w:pPr>
        <w:ind w:right="300"/>
        <w:spacing w:after="0" w:line="290" w:lineRule="auto"/>
        <w:rPr>
          <w:sz w:val="20"/>
          <w:szCs w:val="20"/>
          <w:color w:val="auto"/>
        </w:rPr>
      </w:pPr>
      <w:r>
        <w:rPr>
          <w:rFonts w:ascii="Arial" w:cs="Arial" w:eastAsia="Arial" w:hAnsi="Arial"/>
          <w:sz w:val="17"/>
          <w:szCs w:val="17"/>
          <w:color w:val="auto"/>
        </w:rPr>
        <w:t>shares in this offering at the assumed initial public offering price of $ per share, which is the midpoint of the price range set forth on the cover page on this prospectus, before deducting estimated underwriting fees and commissions and estimated offering expenses payable by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rPr>
              <w:t>SHARES PURCHASED</w:t>
            </w:r>
          </w:p>
        </w:tc>
        <w:tc>
          <w:tcPr>
            <w:tcW w:w="4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vMerge w:val="restart"/>
          </w:tcPr>
          <w:p>
            <w:pPr>
              <w:jc w:val="right"/>
              <w:ind w:right="90"/>
              <w:spacing w:after="0"/>
              <w:rPr>
                <w:sz w:val="20"/>
                <w:szCs w:val="20"/>
                <w:color w:val="auto"/>
              </w:rPr>
            </w:pPr>
            <w:r>
              <w:rPr>
                <w:rFonts w:ascii="Arial" w:cs="Arial" w:eastAsia="Arial" w:hAnsi="Arial"/>
                <w:sz w:val="14"/>
                <w:szCs w:val="14"/>
                <w:b w:val="1"/>
                <w:bCs w:val="1"/>
                <w:color w:val="auto"/>
              </w:rPr>
              <w:t>TOTAL CONSIDERATION</w:t>
            </w:r>
          </w:p>
        </w:tc>
        <w:tc>
          <w:tcPr>
            <w:tcW w:w="660" w:type="dxa"/>
            <w:vAlign w:val="bottom"/>
            <w:vMerge w:val="restart"/>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2"/>
        </w:trPr>
        <w:tc>
          <w:tcPr>
            <w:tcW w:w="12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60" w:type="dxa"/>
            <w:vAlign w:val="bottom"/>
            <w:tcBorders>
              <w:bottom w:val="single" w:sz="8" w:color="auto"/>
            </w:tcBorders>
            <w:gridSpan w:val="3"/>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100" w:type="dxa"/>
            <w:vAlign w:val="bottom"/>
            <w:tcBorders>
              <w:bottom w:val="single" w:sz="8" w:color="auto"/>
            </w:tcBorders>
            <w:gridSpan w:val="5"/>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4"/>
                <w:szCs w:val="4"/>
                <w:color w:val="auto"/>
              </w:rPr>
            </w:pPr>
          </w:p>
        </w:tc>
        <w:tc>
          <w:tcPr>
            <w:tcW w:w="110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4"/>
                <w:szCs w:val="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460" w:type="dxa"/>
            <w:vAlign w:val="bottom"/>
            <w:gridSpan w:val="3"/>
            <w:vMerge w:val="restart"/>
          </w:tcPr>
          <w:p>
            <w:pPr>
              <w:jc w:val="right"/>
              <w:ind w:right="630"/>
              <w:spacing w:after="0"/>
              <w:rPr>
                <w:sz w:val="20"/>
                <w:szCs w:val="20"/>
                <w:color w:val="auto"/>
              </w:rPr>
            </w:pPr>
            <w:r>
              <w:rPr>
                <w:rFonts w:ascii="Arial" w:cs="Arial" w:eastAsia="Arial" w:hAnsi="Arial"/>
                <w:sz w:val="14"/>
                <w:szCs w:val="14"/>
                <w:b w:val="1"/>
                <w:bCs w:val="1"/>
                <w:color w:val="auto"/>
              </w:rPr>
              <w:t>PERCENT</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tcBorders>
            <w:shd w:val="clear" w:color="auto" w:fill="CCEEFF"/>
          </w:tcPr>
          <w:p>
            <w:pPr>
              <w:jc w:val="right"/>
              <w:ind w:right="60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New investors</w:t>
            </w:r>
          </w:p>
        </w:tc>
        <w:tc>
          <w:tcPr>
            <w:tcW w:w="3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0" w:type="dxa"/>
            <w:vAlign w:val="bottom"/>
            <w:gridSpan w:val="10"/>
          </w:tcPr>
          <w:p>
            <w:pPr>
              <w:ind w:left="460"/>
              <w:spacing w:after="0"/>
              <w:rPr>
                <w:sz w:val="20"/>
                <w:szCs w:val="20"/>
                <w:color w:val="auto"/>
              </w:rPr>
            </w:pPr>
            <w:r>
              <w:rPr>
                <w:rFonts w:ascii="Arial" w:cs="Arial" w:eastAsia="Arial" w:hAnsi="Arial"/>
                <w:sz w:val="18"/>
                <w:szCs w:val="18"/>
                <w:color w:val="auto"/>
                <w:w w:val="92"/>
              </w:rPr>
              <w:t>If the underwriters exercise their option to purchase additional shares in full, our existing shareholders would own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4"/>
          </w:tcPr>
          <w:p>
            <w:pPr>
              <w:ind w:left="180"/>
              <w:spacing w:after="0"/>
              <w:rPr>
                <w:sz w:val="20"/>
                <w:szCs w:val="20"/>
                <w:color w:val="auto"/>
              </w:rPr>
            </w:pPr>
            <w:r>
              <w:rPr>
                <w:rFonts w:ascii="Arial" w:cs="Arial" w:eastAsia="Arial" w:hAnsi="Arial"/>
                <w:sz w:val="18"/>
                <w:szCs w:val="18"/>
                <w:color w:val="auto"/>
                <w:w w:val="93"/>
              </w:rPr>
              <w:t>% and our new investors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would own</w:t>
            </w:r>
          </w:p>
        </w:tc>
        <w:tc>
          <w:tcPr>
            <w:tcW w:w="7580" w:type="dxa"/>
            <w:vAlign w:val="bottom"/>
            <w:gridSpan w:val="9"/>
          </w:tcPr>
          <w:p>
            <w:pPr>
              <w:ind w:left="180"/>
              <w:spacing w:after="0"/>
              <w:rPr>
                <w:sz w:val="20"/>
                <w:szCs w:val="20"/>
                <w:color w:val="auto"/>
              </w:rPr>
            </w:pPr>
            <w:r>
              <w:rPr>
                <w:rFonts w:ascii="Arial" w:cs="Arial" w:eastAsia="Arial" w:hAnsi="Arial"/>
                <w:sz w:val="18"/>
                <w:szCs w:val="18"/>
                <w:color w:val="auto"/>
                <w:w w:val="99"/>
              </w:rPr>
              <w:t>% of the total number of our common shares outstanding upon the completion of this offering.</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0" w:type="dxa"/>
            <w:vAlign w:val="bottom"/>
            <w:gridSpan w:val="2"/>
          </w:tcPr>
          <w:p>
            <w:pPr>
              <w:ind w:left="460"/>
              <w:spacing w:after="0"/>
              <w:rPr>
                <w:sz w:val="20"/>
                <w:szCs w:val="20"/>
                <w:color w:val="auto"/>
              </w:rPr>
            </w:pPr>
            <w:r>
              <w:rPr>
                <w:rFonts w:ascii="Arial" w:cs="Arial" w:eastAsia="Arial" w:hAnsi="Arial"/>
                <w:sz w:val="18"/>
                <w:szCs w:val="18"/>
                <w:color w:val="auto"/>
                <w:w w:val="98"/>
              </w:rPr>
              <w:t>The foregoing discussion and tables are based on</w:t>
            </w:r>
          </w:p>
        </w:tc>
        <w:tc>
          <w:tcPr>
            <w:tcW w:w="6840" w:type="dxa"/>
            <w:vAlign w:val="bottom"/>
            <w:gridSpan w:val="14"/>
          </w:tcPr>
          <w:p>
            <w:pPr>
              <w:ind w:left="400"/>
              <w:spacing w:after="0"/>
              <w:rPr>
                <w:sz w:val="20"/>
                <w:szCs w:val="20"/>
                <w:color w:val="auto"/>
              </w:rPr>
            </w:pPr>
            <w:r>
              <w:rPr>
                <w:rFonts w:ascii="Arial" w:cs="Arial" w:eastAsia="Arial" w:hAnsi="Arial"/>
                <w:sz w:val="18"/>
                <w:szCs w:val="18"/>
                <w:color w:val="auto"/>
                <w:w w:val="93"/>
              </w:rPr>
              <w:t>common shares outstanding as of March 31, 2020, which gives effect to the pro forma</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transactions described above and excludes:</w:t>
            </w: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18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20,148,992 common shares issuable upon the exercise of outstanding options as of March 31, 2020, at a weighted-average exercise price of $0.34 per share;</w:t>
      </w:r>
    </w:p>
    <w:p>
      <w:pPr>
        <w:spacing w:after="0" w:line="75" w:lineRule="exact"/>
        <w:rPr>
          <w:rFonts w:ascii="Arial" w:cs="Arial" w:eastAsia="Arial" w:hAnsi="Arial"/>
          <w:sz w:val="18"/>
          <w:szCs w:val="18"/>
          <w:color w:val="auto"/>
        </w:rPr>
      </w:pPr>
    </w:p>
    <w:p>
      <w:pPr>
        <w:ind w:left="1000" w:right="100" w:hanging="547"/>
        <w:spacing w:after="0" w:line="308"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3,449,250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ind w:left="1000" w:hanging="547"/>
        <w:spacing w:after="0" w:line="263" w:lineRule="auto"/>
        <w:tabs>
          <w:tab w:leader="none" w:pos="17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Plan, which became effective immediately prior to the execution of the underwriting agreement related to this offering, as well as any future increases in the number of common shares reserved for issuance under our 2020 Plan; and</w:t>
      </w:r>
    </w:p>
    <w:p>
      <w:pPr>
        <w:spacing w:after="0" w:line="89" w:lineRule="exact"/>
        <w:rPr>
          <w:rFonts w:ascii="Arial" w:cs="Arial" w:eastAsia="Arial" w:hAnsi="Arial"/>
          <w:sz w:val="18"/>
          <w:szCs w:val="18"/>
          <w:color w:val="auto"/>
        </w:rPr>
      </w:pPr>
    </w:p>
    <w:p>
      <w:pPr>
        <w:ind w:left="1000" w:hanging="547"/>
        <w:spacing w:after="0" w:line="263" w:lineRule="auto"/>
        <w:tabs>
          <w:tab w:leader="none" w:pos="17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To the extent that outstanding options are exercised, new options or other equity awards are issued under our equity incentive plans, or we issue additional shares in the future, there will be further dilution to investors purchasing shares in this offering. Assuming the exercise of all of our outstanding</w:t>
      </w:r>
    </w:p>
    <w:p>
      <w:pPr>
        <w:spacing w:after="0"/>
        <w:tabs>
          <w:tab w:leader="none" w:pos="7960" w:val="left"/>
        </w:tabs>
        <w:rPr>
          <w:sz w:val="20"/>
          <w:szCs w:val="20"/>
          <w:color w:val="auto"/>
        </w:rPr>
      </w:pPr>
      <w:r>
        <w:rPr>
          <w:rFonts w:ascii="Arial" w:cs="Arial" w:eastAsia="Arial" w:hAnsi="Arial"/>
          <w:sz w:val="18"/>
          <w:szCs w:val="18"/>
          <w:color w:val="auto"/>
        </w:rPr>
        <w:t>options as of March 31, 2020, the number of shares held by existing shareholders would increase to</w:t>
      </w:r>
      <w:r>
        <w:rPr>
          <w:sz w:val="20"/>
          <w:szCs w:val="20"/>
          <w:color w:val="auto"/>
        </w:rPr>
        <w:tab/>
      </w:r>
      <w:r>
        <w:rPr>
          <w:rFonts w:ascii="Arial" w:cs="Arial" w:eastAsia="Arial" w:hAnsi="Arial"/>
          <w:sz w:val="16"/>
          <w:szCs w:val="16"/>
          <w:color w:val="auto"/>
        </w:rPr>
        <w:t>% of the total number of shares to be</w:t>
      </w:r>
    </w:p>
    <w:p>
      <w:pPr>
        <w:spacing w:after="0" w:line="9"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outstanding after this offering, and the number of shares held by investors participating in this offering would be reduced to</w:t>
      </w:r>
      <w:r>
        <w:rPr>
          <w:sz w:val="20"/>
          <w:szCs w:val="20"/>
          <w:color w:val="auto"/>
        </w:rPr>
        <w:tab/>
      </w:r>
      <w:r>
        <w:rPr>
          <w:rFonts w:ascii="Arial" w:cs="Arial" w:eastAsia="Arial" w:hAnsi="Arial"/>
          <w:sz w:val="16"/>
          <w:szCs w:val="16"/>
          <w:color w:val="auto"/>
        </w:rPr>
        <w:t>% of the total</w:t>
      </w:r>
    </w:p>
    <w:p>
      <w:pPr>
        <w:spacing w:after="0" w:line="9"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number of shares to be outstanding after this offering. Additionally, the total consideration paid to us by existing shareholders would be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 of the total consideration paid for our outstanding shares, and the total consideration paid to us by investors participating in this offering</w:t>
      </w:r>
    </w:p>
    <w:p>
      <w:pPr>
        <w:spacing w:after="0" w:line="3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would be</w:t>
      </w:r>
      <w:r>
        <w:rPr>
          <w:sz w:val="20"/>
          <w:szCs w:val="20"/>
          <w:color w:val="auto"/>
        </w:rPr>
        <w:tab/>
      </w:r>
      <w:r>
        <w:rPr>
          <w:rFonts w:ascii="Arial" w:cs="Arial" w:eastAsia="Arial" w:hAnsi="Arial"/>
          <w:sz w:val="16"/>
          <w:szCs w:val="16"/>
          <w:color w:val="auto"/>
        </w:rPr>
        <w:t>% of the total consideration paid for our outstanding shares. The weighted average price per share paid to us by existing shareholders</w:t>
      </w:r>
    </w:p>
    <w:p>
      <w:pPr>
        <w:spacing w:after="0" w:line="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and the weighted average price per share paid to us by investors participating in this offering would not change. In addition, we may</w:t>
      </w:r>
    </w:p>
    <w:p>
      <w:pPr>
        <w:spacing w:after="0" w:line="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 following tables set forth our financial data for the periods indicated. We have derived the selected consolidated statement of operations data for the years ended December 31, 2017, 2018 and 2019, and the selected consolidated balance sheet data as of December 31,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condensed consolidated financial statements appearing elsewhere in this prospectus. Our historical results are not necessarily indicative of the results that may be expected for any period in the future.</w:t>
      </w:r>
    </w:p>
    <w:p>
      <w:pPr>
        <w:spacing w:after="0" w:line="17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the section titled “Management’s Discussion and Analysis of Financial Condition and Results of Operations” and our consolidated financial statements and the related notes included elsewhere in this prospectus. The selected consolidated financial data included in this section are not intended to replace the consolidated financial statements and are qualified in their entirety by the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9"/>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Summary of Consolidated Operations Data:</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Research and development, net of tax credits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4,779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(6,175)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(12,820)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(26,377)</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(4,779)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205"/>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Realized and unrealized (loss) gain on foreign exchange,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convertible notes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Change in fair value of series A preferred share tranche obligation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(1,130)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expense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660"/>
              <w:spacing w:after="0"/>
              <w:rPr>
                <w:sz w:val="20"/>
                <w:szCs w:val="20"/>
                <w:color w:val="auto"/>
              </w:rPr>
            </w:pPr>
            <w:r>
              <w:rPr>
                <w:rFonts w:ascii="Arial" w:cs="Arial" w:eastAsia="Arial" w:hAnsi="Arial"/>
                <w:sz w:val="16"/>
                <w:szCs w:val="16"/>
                <w:color w:val="auto"/>
              </w:rPr>
              <w:t>Total other expense, net</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(1,621)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(1,428)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(27,021)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(4,729)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(12,548)</w:t>
            </w:r>
          </w:p>
        </w:tc>
        <w:tc>
          <w:tcPr>
            <w:tcW w:w="0" w:type="dxa"/>
            <w:vAlign w:val="bottom"/>
          </w:tcPr>
          <w:p>
            <w:pPr>
              <w:spacing w:after="0"/>
              <w:rPr>
                <w:sz w:val="1"/>
                <w:szCs w:val="1"/>
                <w:color w:val="auto"/>
              </w:rPr>
            </w:pPr>
          </w:p>
        </w:tc>
      </w:tr>
      <w:tr>
        <w:trPr>
          <w:trHeight w:val="203"/>
        </w:trPr>
        <w:tc>
          <w:tcPr>
            <w:tcW w:w="5120" w:type="dxa"/>
            <w:vAlign w:val="bottom"/>
            <w:gridSpan w:val="2"/>
          </w:tcPr>
          <w:p>
            <w:pPr>
              <w:ind w:left="3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(27,216)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Net loss per share: </w:t>
            </w:r>
            <w:r>
              <w:rPr>
                <w:rFonts w:ascii="Arial" w:cs="Arial" w:eastAsia="Arial" w:hAnsi="Arial"/>
                <w:sz w:val="27"/>
                <w:szCs w:val="27"/>
                <w:color w:val="auto"/>
                <w:vertAlign w:val="superscript"/>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Weighted average shares used in computing net loss per share: </w:t>
            </w:r>
            <w:r>
              <w:rPr>
                <w:rFonts w:ascii="Arial" w:cs="Arial" w:eastAsia="Arial" w:hAnsi="Arial"/>
                <w:sz w:val="27"/>
                <w:szCs w:val="27"/>
                <w:color w:val="auto"/>
                <w:vertAlign w:val="superscript"/>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9,229,658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7"/>
              </w:rPr>
              <w:t>9,265,000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9,265,000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9,265,000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9,906,973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Pro forma net loss per share (unaudited): </w:t>
            </w:r>
            <w:r>
              <w:rPr>
                <w:rFonts w:ascii="Arial" w:cs="Arial" w:eastAsia="Arial" w:hAnsi="Arial"/>
                <w:sz w:val="27"/>
                <w:szCs w:val="27"/>
                <w:color w:val="auto"/>
                <w:vertAlign w:val="superscript"/>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(0.27)</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w w:val="95"/>
              </w:rPr>
              <w:t>Weighted average shares outstanding used in computing pro forma net loss</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line="216" w:lineRule="exact"/>
              <w:rPr>
                <w:sz w:val="20"/>
                <w:szCs w:val="20"/>
                <w:color w:val="auto"/>
              </w:rPr>
            </w:pPr>
            <w:r>
              <w:rPr>
                <w:rFonts w:ascii="Arial" w:cs="Arial" w:eastAsia="Arial" w:hAnsi="Arial"/>
                <w:sz w:val="15"/>
                <w:szCs w:val="15"/>
                <w:color w:val="auto"/>
              </w:rPr>
              <w:t xml:space="preserve">per share (unaudited):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95,722,801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140,593,948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right="360" w:hanging="452"/>
        <w:spacing w:after="0" w:line="293"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See Note 13 to our audited consolidated financial statements and Note 7 to our unaudited condensed consolidated financial statements included elsewhere in this prospectus for an explanation of the calculations of our basic and diluted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per share, pro forma net loss per share and the weighted-average number of shares used in the computation of the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4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Cash</w:t>
            </w:r>
          </w:p>
        </w:tc>
        <w:tc>
          <w:tcPr>
            <w:tcW w:w="4260" w:type="dxa"/>
            <w:vAlign w:val="bottom"/>
            <w:gridSpan w:val="2"/>
          </w:tcPr>
          <w:p>
            <w:pPr>
              <w:jc w:val="right"/>
              <w:ind w:right="268"/>
              <w:spacing w:after="0"/>
              <w:rPr>
                <w:sz w:val="20"/>
                <w:szCs w:val="20"/>
                <w:color w:val="auto"/>
              </w:rPr>
            </w:pPr>
            <w:r>
              <w:rPr>
                <w:rFonts w:ascii="Arial" w:cs="Arial" w:eastAsia="Arial" w:hAnsi="Arial"/>
                <w:sz w:val="18"/>
                <w:szCs w:val="18"/>
                <w:color w:val="auto"/>
              </w:rPr>
              <w:t>$ 10,731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$ 94,797</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10,143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94,326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4260" w:type="dxa"/>
            <w:vAlign w:val="bottom"/>
            <w:gridSpan w:val="2"/>
          </w:tcPr>
          <w:p>
            <w:pPr>
              <w:jc w:val="right"/>
              <w:ind w:right="268"/>
              <w:spacing w:after="0"/>
              <w:rPr>
                <w:sz w:val="20"/>
                <w:szCs w:val="20"/>
                <w:color w:val="auto"/>
              </w:rPr>
            </w:pPr>
            <w:r>
              <w:rPr>
                <w:rFonts w:ascii="Arial" w:cs="Arial" w:eastAsia="Arial" w:hAnsi="Arial"/>
                <w:sz w:val="18"/>
                <w:szCs w:val="18"/>
                <w:color w:val="auto"/>
              </w:rPr>
              <w:t>13,925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102,695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93,569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42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31,873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deficit</w:t>
            </w:r>
          </w:p>
        </w:tc>
        <w:tc>
          <w:tcPr>
            <w:tcW w:w="4260" w:type="dxa"/>
            <w:vAlign w:val="bottom"/>
            <w:gridSpan w:val="2"/>
          </w:tcPr>
          <w:p>
            <w:pPr>
              <w:jc w:val="right"/>
              <w:ind w:right="208"/>
              <w:spacing w:after="0"/>
              <w:rPr>
                <w:sz w:val="20"/>
                <w:szCs w:val="20"/>
                <w:color w:val="auto"/>
              </w:rPr>
            </w:pPr>
            <w:r>
              <w:rPr>
                <w:rFonts w:ascii="Arial" w:cs="Arial" w:eastAsia="Arial" w:hAnsi="Arial"/>
                <w:sz w:val="18"/>
                <w:szCs w:val="18"/>
                <w:color w:val="auto"/>
              </w:rPr>
              <w:t>(22,725)</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(49,941)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42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(22,384)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(58,135)</w:t>
            </w:r>
          </w:p>
        </w:tc>
      </w:tr>
      <w:tr>
        <w:trPr>
          <w:trHeight w:val="365"/>
        </w:trPr>
        <w:tc>
          <w:tcPr>
            <w:tcW w:w="4080" w:type="dxa"/>
            <w:vAlign w:val="bottom"/>
          </w:tcPr>
          <w:p>
            <w:pPr>
              <w:spacing w:after="0"/>
              <w:rPr>
                <w:sz w:val="24"/>
                <w:szCs w:val="24"/>
                <w:color w:val="auto"/>
              </w:rPr>
            </w:pPr>
          </w:p>
        </w:tc>
        <w:tc>
          <w:tcPr>
            <w:tcW w:w="3260" w:type="dxa"/>
            <w:vAlign w:val="bottom"/>
          </w:tcPr>
          <w:p>
            <w:pPr>
              <w:jc w:val="right"/>
              <w:ind w:right="1530"/>
              <w:spacing w:after="0"/>
              <w:rPr>
                <w:sz w:val="20"/>
                <w:szCs w:val="20"/>
                <w:color w:val="auto"/>
              </w:rPr>
            </w:pPr>
            <w:r>
              <w:rPr>
                <w:rFonts w:ascii="Arial" w:cs="Arial" w:eastAsia="Arial" w:hAnsi="Arial"/>
                <w:sz w:val="18"/>
                <w:szCs w:val="18"/>
                <w:color w:val="auto"/>
              </w:rPr>
              <w:t>86</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Data” section of this prospectus and our audited consolidated financial statements and related notes, as well as our unaudited condensed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We are a leading precision oncology medicine company enabled by our proprietary synthetic lethality insights for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thus susceptible to therapeutic intervention targeting the other gene pair.</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Since our inception, we have funded our operations primarily through equity financings, and have raised an aggregate of approximately $135.2 million of gross proceeds from the sale of our preferred shares. As of March 31, 2020, we had cash on hand of $83.7 million.</w:t>
      </w:r>
    </w:p>
    <w:p>
      <w:pPr>
        <w:spacing w:after="0" w:line="19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losses were $7.8 million, $14.3 million and $27.2 million for the years ended December 31, 2017, 2018 and 2019, respectively and $12.6 million for the three-month period ended March 31, 2020. As of March 31, 2020, we had an accumulated deficit of $62.5 million. We expect to continue to incur significant and increasing expenses and operating losses for the foreseeable future, as we advance our product candidates, including RP-3500,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7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22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With the global spread of the ongoing COVID-19 pandemic in the first quarter of 2020, we established a cross-functional task force and have implemented business continuity plans designed to address and mitigate the impact of the COVID-19 pandemic on our employees and our business, including our preclinical studies and planned clinical trials. Our operations are considered as an essential business and we are continuing to operate during this period. We have taken measures to secure our research and development activities, while work in laboratories and facilities has been organized to reduce risk of COVID-19 transmission.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employee resources that would otherwise be focused on the conduct of our planned clinical trials, including because of sickness of employees or their families or the desire of employees to avoid contact with large groups of people.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In January 2019, we entered into a research services, license and collaboration agreement with Ono Pharmaceutical Company Ltd., or Ono, pursuant to which we and Ono have agreed to collaborate in the research of potential product candidates targeting Polq and the development of our small molecule Polq inhibitor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program. Pursuant to the terms of the agreement, we received initial upfront payments of approximately $8.1 million. These upfront payments have been recorded as deferred revenue on our balance sheet as of December 31, 2019 and March 31, 2020 as per our revenue recognition accounting policy and will be recognized as revenue at the point in time when a product candidate is licensed to Ono pursuant to the terms of the agreement. Refer to Notes 2 and 10 to our annual consolidated financial statements included elsewhere in this prospectus for additional information regarding our revenue recognition accounting policy and our collaboration agreement with Ono.</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00" w:right="860" w:hanging="547"/>
        <w:spacing w:after="0" w:line="342"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CMOs;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firstLine="44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320" w:top="459" w:right="3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Discovery costs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Direct external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$2,259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3,918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Laboratory supplies and research materials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16,728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RP-3500 program (direct external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R&amp;D tax credits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4,401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20,995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r>
      <w:tr>
        <w:trPr>
          <w:trHeight w:val="20"/>
        </w:trPr>
        <w:tc>
          <w:tcPr>
            <w:tcW w:w="6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91" w:lineRule="exact"/>
        <w:rPr>
          <w:sz w:val="20"/>
          <w:szCs w:val="20"/>
          <w:color w:val="auto"/>
        </w:rPr>
      </w:pPr>
    </w:p>
    <w:p>
      <w:pPr>
        <w:ind w:left="1000" w:right="6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and other general administrative expenses.</w:t>
      </w:r>
    </w:p>
    <w:p>
      <w:pPr>
        <w:spacing w:after="0" w:line="184"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right="160" w:firstLine="449"/>
        <w:spacing w:after="0" w:line="308" w:lineRule="auto"/>
        <w:rPr>
          <w:sz w:val="20"/>
          <w:szCs w:val="20"/>
          <w:color w:val="auto"/>
        </w:rPr>
      </w:pPr>
      <w:r>
        <w:rPr>
          <w:rFonts w:ascii="Arial" w:cs="Arial" w:eastAsia="Arial" w:hAnsi="Arial"/>
          <w:sz w:val="17"/>
          <w:szCs w:val="17"/>
          <w:color w:val="auto"/>
        </w:rPr>
        <w:t>Other (expense) income, net consists primarily of changes in the fair value of convertible notes and Series A preferred share tranche obligations, as well as realized and unrealized gains and losses on foreign exchange and other expenses such as interest and bank charges.</w:t>
      </w:r>
    </w:p>
    <w:p>
      <w:pPr>
        <w:spacing w:after="0" w:line="146"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Changes in the fair value of convertible notes consisted of losses on the re-measurement at fair value at each reporting date of the convertible notes liability as we elected the fair value option to account for our convertible notes. As of June 2017, in connection with our Series A preferred financing, the outstanding convertible notes were converted into shares of Series A preferred shares and as such, the convertible notes liability was extinguished.</w:t>
      </w:r>
    </w:p>
    <w:p>
      <w:pPr>
        <w:spacing w:after="0" w:line="14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Changes in the fair value of the Series A preferred share tranche obligation consisted of gains and losses on the re-measurement at fair value at each reporting date of the tranche obligation, arising from the obligation and right to make future issuances of Series A preferred shares. As of September 2019, in connection with the issuance and sale of Series B preferred shares, the final Series A preferred tranche obligation was extinguished and recognized as additional paid-in-capital.</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Research and development, net of tax credits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3,703</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8,632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(10,815)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(6,036)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foreign exchange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(1,803)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(1,733)</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(12,548)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(7,819)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(4,838)</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(12,601)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(7,763)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Research and development expenses were $8.6 million for the three months ended March 31, 2020, compared to $3.7 million for the three months ended March 31, 2019. The increase of $4.9 million was primarily due to a:</w:t>
      </w:r>
    </w:p>
    <w:p>
      <w:pPr>
        <w:spacing w:after="0" w:line="76" w:lineRule="exact"/>
        <w:rPr>
          <w:sz w:val="20"/>
          <w:szCs w:val="20"/>
          <w:color w:val="auto"/>
        </w:rPr>
      </w:pPr>
    </w:p>
    <w:p>
      <w:pPr>
        <w:ind w:left="1000" w:right="62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$3.5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$1.1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$0.2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$0.1 million net increase in other research and development costs in support of increased research and development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March 31, 2020, compared to $1.1 million for the three months ended March 31, 2019. The increase of $1.1 million consisted of a $0.4 million increase in payroll and personnel related costs, a $0.3 million increase in legal and professional fees and a $0.4 million increase in other general and administrative expenses, related to costs associated with operating activities and the preparations for becoming a public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Other expense, net was $1.7 million for the three months ended March 31, 2020, compared to other income, net of $0.1 million for the three months ended March 31, 2019. The increase of $1.8 million in other expenses is primarily attributable to an increase of $1.8 million in unrealized losses on foreign exchange as a result of fluctuations in foreign exchange rates, as well as higher foreign currency-denominated cash, other receivables and research and development tax credits receivable balances held in the first quarter of 2020. From December 31, 2019 to March 31, 2020, the relative value of the U.S. dollar to the Canadian dollar increased by approximately 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Income tax expense was $0.1 million for the three months ended March 31, 2020, reflecting taxable income in our U.S. subsidiary. Income tax expense was $0.1 million for the three months ended March 31, 2019, reflecting withholding taxes on one of the upfront payments under our collaboration agreement with Ono as well as taxable income in our U.S. subsidiary.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$4.8 million and $12.6 million for the three months ended March 31, 2019 and 2020, respectively.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(13,557)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(12,773)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(12,933)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$21.0 million for the year ended December 31, 2019, compared to $9.9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of $11.1 million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$6.6 million increase in direct external costs for both discovery and development activities as a result of our increased efforts towards identifying a product candidate and advancing the development of RP-3500;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$2.3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$1.4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$0.8 million net increase in other research and development costs in support of increased research and development activities.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General and administrative expenses were $5.4 million for the year ended December 31, 2019, compared to $2.9 million for the year ended December 31, 2018. The increase of $2.5 million consisted of a $1.1 million increase in payroll and personnel related costs, a $0.7 million increase in legal and professional fees and a $0.7 million increase in other general and administrative expenses, related to costs associated with operating activities and the preparations for becoming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color w:val="auto"/>
        </w:rPr>
        <w:t>Other expense, net was $0.6 million for the year ended December 31, 2019, compared to $1.4 million for the year ended December 31, 2018. The decrease of $0.8 million is primarily attributable to an increase of $1.0 million in realized and unrealized gains on foreign exchange as a result of fluctuations in foreign exchange rates, as well as higher foreign currency-denominated cash balances held in 2019, partially offset by a $0.2 million increase in changes in the fair value of our Series A preferred share tranche obligation year over year.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Income tax expense was $0.2 million for the year ended December 31, 2019. This expense was primarily attributed to withholding taxes on one of the upfront payments under our collaboration agreement with Ono as well as higher taxable income in our U.S. subsidiary. Income tax expense was $0.03 million for the year ended December 31, 2018, reflecting taxable income in our U.S. subsidiary.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$14.3 million and $27.2 million for the years ended December 31, 2018 and 2019, respectively.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320" w:top="459" w:right="3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780" w:type="dxa"/>
            <w:vAlign w:val="bottom"/>
            <w:gridSpan w:val="7"/>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780" w:type="dxa"/>
            <w:vAlign w:val="bottom"/>
            <w:gridSpan w:val="7"/>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$ 4,401</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9,906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(12,820)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(6,645)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(14,283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$9.9 million for the year ended December 31, 2018, compared to $4.4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$5.5 million increase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$1.6 million increase in direct external costs for both discovery and development activities as a result of our increased efforts towards identifying a product candidate;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$2.1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$1.1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$0.7 million net increase in other research and development net costs in support of our increased research and development activities.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80" w:firstLine="449"/>
        <w:spacing w:after="0" w:line="311" w:lineRule="auto"/>
        <w:rPr>
          <w:sz w:val="20"/>
          <w:szCs w:val="20"/>
          <w:color w:val="auto"/>
        </w:rPr>
      </w:pPr>
      <w:r>
        <w:rPr>
          <w:rFonts w:ascii="Arial" w:cs="Arial" w:eastAsia="Arial" w:hAnsi="Arial"/>
          <w:sz w:val="16"/>
          <w:szCs w:val="16"/>
          <w:color w:val="auto"/>
        </w:rPr>
        <w:t>General and administrative expenses were $2.9 million for the year ended December 31, 2018, compared to $1.8 million for the year ended December 31, 2017. The increase of $1.1 million is primarily attributed to a $0.7 million increase in payroll and personnel related costs, a $0.3 million increase in legal and professional fees and a $0.1 million increase in other general and administrative expenses, all in support of operating activities.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Other expense, net was $1.4 million for the year ended December 31, 2018, compared to $1.6 million for the year ended December 31, 2017. The decrease of $0.2 million is primarily attributable to a decrease of $1.6 million in changes in the fair value of our convertible notes as a result of their conversion into Series A preferred shares in 2017, partially offset by an increase of $1.3 million in changes in the fair value of our Series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preferred share tranche obligation and a $0.1 million increase in realized and unrealized losses on foreign exchange as a result of fluctuations in foreign exchange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Income tax expense was $0.03 million for the year ended December 31, 2018, reflecting taxable income in our U.S. subsidiary. No comparable income tax expense was incurred for the year ended December 31, 2017.</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$7.8 million and $14.3 million for the years ended December 31, 2017 and 2018,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primarily through equity financings, and have raised an aggregate of approximately $135.2 million of gross proceeds from the sale of our preferred shares. We have also partnered with Ono for our Polq inhibitor program and received initial upfront payments of approximately $8.1 million. As of March 31, 2020, we had $83.7 million of cash on hand.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2020, our cash on hand was $83.7 million. We believe that the net proceeds from this offering, together with our existing cash on</w:t>
      </w:r>
    </w:p>
    <w:p>
      <w:pPr>
        <w:spacing w:after="0" w:line="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hand, will enable us to fund our operating expenses and capital expenditure requirements into . We have based this estimate on assumptions that may prove to be wrong, and we could expend our capital resources sooner than we expect.</w:t>
      </w:r>
    </w:p>
    <w:p>
      <w:pPr>
        <w:spacing w:after="0" w:line="185"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upon the completion of this offering, we expect to incur additional costs associated with operating as a public company.</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believe that our existing cash on hand will be sufficient to fund our anticipated operating and capital expenditure requirements for at least the next 12 months from the date of this prospectus.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88"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29" w:lineRule="exact"/>
        <w:rPr>
          <w:sz w:val="20"/>
          <w:szCs w:val="20"/>
          <w:color w:val="auto"/>
        </w:rPr>
      </w:pPr>
    </w:p>
    <w:p>
      <w:pPr>
        <w:ind w:left="5540" w:right="3740" w:hanging="5087"/>
        <w:spacing w:after="0" w:line="449" w:lineRule="auto"/>
        <w:tabs>
          <w:tab w:leader="none" w:pos="10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 96</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8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right="82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and any future product candidates for which we receive marketing approval;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(12,567)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23,721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(11,102)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(34,823)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Net cash provided by operating activities was $2.9 million for the three months ended March 31, 2019, reflecting a net loss of $4.8 million, offset by a net change of $7.4 million in our net operating assets and non-cash charges of $0.3 million. The non-cash charges primarily consist of depreciation expense, share-based compensation expense for option grants to employees, changes in the fair value of the Series A preferred share tranche obligation, non-cash lease expense, as well as foreign exchange gains and losses. The change in our net operating assets and liabilities was primarily due to an increase of $8.1 million in deferred revenue from the upfront payments received from Ono pursuant to the terms of our collaboration and a decrease of $0.1 million in prepaid expenses, partially offset by a net increase of $0.4 million for research and development tax credits receivable and other receivables, as well as a decrease of $0.4 million in accrued expenses and other current liabilities.</w:t>
      </w:r>
    </w:p>
    <w:p>
      <w:pPr>
        <w:spacing w:after="0" w:line="177"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Net cash used in operating activities was $9.7 million for the three months ended March 31, 2020, reflecting a net loss of $12.6 million, offset by a net change of $0.5 million in our net operating assets and non-cash charges of $2.4 million. The non-cash charges primarily consist of unrealized foreign exchange losses, as well as depreciation expense, share-based compensation expense for option grants to employees and non-cash lease expense. The change in our net operating assets and liabilities was primarily due to an increase of $1.4 million in other assets, other receivables, research and development tax credits receivable and prepaid expenses, as well as a decrease of $0.1 million in operating lease liabilities, offset by an increase of $2.0 million in accounts payable, accrued expenses and other current liabilities, as well as income tax payable.</w:t>
      </w:r>
    </w:p>
    <w:p>
      <w:pPr>
        <w:spacing w:after="0" w:line="17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The $12.6 million increase in cash used in operating activities for the three months ended March 31, 2020 compared to March 31, 2019 is primarily due to a decrease in cash provided by the $8.1 million in upfront payments received from Ono under the terms of our collaboration agreement for our Polq inhibitor program in the first quarter of 2019, as well as an increase in research and development expenses and general and administrative expenses as a result of our increased efforts towards identifying product candidates and advancing the development of RP-3500.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Net cash used in investing activities was $0.1 million and $0.03 million for the three months ended March 31, 2019 and 2020,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Net cash provided by financing activities was $21.0 million for the three months ended March 31, 2019, consisting of net proceeds from the issuance of Series A preferred shares in January 2019. Net cash provided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financing activities was $0.2 million for the three months ended March 31, 2020, consisting of net proceeds from the exercise of stock options, partially offset by payments of deferred financing costs.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Effect of exchange rate fluctuations on cash held</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effect of exchange rate fluctuations on cash held was $0.04 million and $1.6 million for the three months ended March 31, 2019 and 2020, respectively, and resulted from fluctuations in foreign exchange rates, as well as higher foreign currency-denominated cash balances held in the first quarter of 2020 compared to the first quarter of 2019. From December 31, 2019 to March 31, 2020, the relative value of the U.S. dollar to the Canadian dollar increased by approximately 8%.</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(18,429)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103,243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increase in cash and restricted cash</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Net cash used in operating activities was $18.4 million for the year ended December 31, 2019, reflecting a net loss of $27.2 million, offset by a net change of $6.6 million in our net operating assets and non-cash charges of $2.2 million. The non-cash charges primarily consist of changes in the fair value of the Series A preferred share tranche obligation, depreciation expense, share-based compensation expense for option grants to employees, non-cash lease expense as well as foreign exchange gains and losses. The change in our net operating assets and liabilities was primarily due to an increase of $8.1 million in deferred revenue from the upfront payments received from Ono pursuant to the terms of our collaboration, an increase of $1.7 million in accounts payable, accrued expenses and other current liabilities, partially offset by a decrease of $0.4 million in operating lease liabilities and an increase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$2.8 million for prepaid expenses, research and development tax credits receivable, other receivables and other non-current assets.</w:t>
      </w:r>
    </w:p>
    <w:p>
      <w:pPr>
        <w:spacing w:after="0" w:line="21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$5.8 million increase in cash used in operating activities for the year ended December 31, 2019 compared to December 31, 2018 is primarily due to an increase in research and development expenses and general and administrative expenses as a result of our increased efforts towards identifying product candidates and advancing the development of RP-3500, partially offset by the $8.1 million in upfront payments received from Ono under the terms of our collaboration for our Polq inhibitor program.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investing activities was $0.6 million and $1.3 million for the years ended December 31, 2018 and 2019,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Net cash provided by financing activities was $103.2 million for the year ended December 31, 2019, consisting of net proceeds from the issuance of Series A preferred shares in January 2019 and net proceeds from the issuance of Series B preferred shares in September 2019. We had no cash provided by financing activities in 2018.</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(6,007)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20" w:type="dxa"/>
            <w:vAlign w:val="bottom"/>
            <w:gridSpan w:val="3"/>
          </w:tcPr>
          <w:p>
            <w:pPr>
              <w:jc w:val="right"/>
              <w:ind w:right="100"/>
              <w:spacing w:after="0"/>
              <w:rPr>
                <w:sz w:val="20"/>
                <w:szCs w:val="20"/>
                <w:color w:val="auto"/>
              </w:rPr>
            </w:pPr>
            <w:r>
              <w:rPr>
                <w:rFonts w:ascii="Arial" w:cs="Arial" w:eastAsia="Arial" w:hAnsi="Arial"/>
                <w:sz w:val="18"/>
                <w:szCs w:val="18"/>
                <w:color w:val="auto"/>
              </w:rPr>
              <w:t>(1,156)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23,302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(36,762)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7"/>
          <w:szCs w:val="17"/>
          <w:color w:val="auto"/>
        </w:rPr>
        <w:t>Net cash used in operating activities was $6.0 million for the year ended December 31, 2017, reflecting a net loss of $7.8 million, a net change of $0.2 million in our net operating assets and non-cash charges of $1.6 million. The non-cash charges primarily consist of changes in the fair value of the convertible notes and Series A preferred share tranche obligation, depreciation expense and share-based compensation expense for option grants to employees. The change in our net operating assets and liabilities was primarily attributable to an increase of $1.1 million in accounts payables, accrued expenses and other current liabilities, as well as other liabilities, partially offset by an increase of $0.8 million in prepaid expenses, research and development tax credits receivable, other receivables and other non-current assets.</w:t>
      </w:r>
    </w:p>
    <w:p>
      <w:pPr>
        <w:spacing w:after="0" w:line="178"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$6.6 million increase in cash used in operating activities for the year ended December 31, 2018 compared to December 31, 2017 was primarily due to an increase in research and development expenses and general and administrative expenses as a result of our increased efforts towards advancing our research and development program.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investing activities was $1.2 million and $0.6 million for the years ended December 31, 2017 and 2018, respectively, and resulted from the purchases of property and equipment.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Net cash provided by financing activities was $30.5 million for the year ended December 31, 2017, consisting of net proceeds from the issuance of convertible notes in April 2017 and the net proceeds from the issuance of Series A preferred shares in June 2017. We had no cash provided by financing activities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following table summarizes our commitments to settle contractual obligations at March 31, 2020 (in thousands), other than leases which are recognized as operating lease liabilities in our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1"/>
              </w:rPr>
              <w:t>Payments Due By Period</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research agreements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11,125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$ 6,250</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11,125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46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$ 6,250</w:t>
            </w:r>
          </w:p>
        </w:tc>
        <w:tc>
          <w:tcPr>
            <w:tcW w:w="46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$ 2,350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Collaboration and research agreement obligations primarily relate to a strategic collaboration agreement that we entered into with the University of Texas M. D. Anderson Cancer Center, or MDACC, in March 2020. The collaboration will consist of preclinical studies and clinical trials designed by us and MDACC with the research to be completed by MDACC. We have agreed to commit $10.0 million in the aggregate to fund the collaboration, with payments to be made over a period of five years, of which $2.0 million was paid in April 2020.</w:t>
      </w:r>
    </w:p>
    <w:p>
      <w:pPr>
        <w:spacing w:after="0" w:line="18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Collaboration and research agreement obligations also relate to the agreement we entered into with the Broad Institute Inc., or Broad, in February 2019, under which Broad will perform specialty screening services at our request over the course of a three-year term in exchange for payments of $0.5 million per year, totaling $1.5 million in the aggregate.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on notice, and therefore are cancellable contracts. These payments are not included in the table above as the amount and timing of such payments are not known as of March 31, 2020.</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have also entered into license agreements under which we are obligated to make milestone and royalty payments and incur annual maintenance fees. We have not included future milestone or royalty payments under these agreements in the table above since the payment obligations are contingent upon future events, such as achieving certain clinical and commercial milestones or generating product sales. As of March 31, 2020, we were unable to estimate the timing or likelihood of achieving these clinical and commercial milestones or generating future product sales. See the section titled “—License and Collaboration Agreements” elsewhere in this prospectus as well as Note 6 to our annual consolidated financial statements appearing elsewhere in this prospectus for a description of our license agreements.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to our annual consolidated financial statements included elsewhere in this prospectus for a description of our other significant accounting policies.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w:t>
      </w:r>
    </w:p>
    <w:p>
      <w:pPr>
        <w:spacing w:after="0" w:line="164"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8"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 Tranche Obligation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initial fair value of the preferred share tranche obligation recognized in connection with our issuance of Series A preferred shares in June 2017 was determined based on significant inputs not observable in the market, which represents a Level 3 measurement within the fair value hierarchy, which are detailed in Note 3 to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annual consolidated financial statements included elsewhere in this prospectus. The initial fair value of the obligation was estimated based on results of a third-party valuation. This obligation is remeasured prior to the issuance of subsequent tranches and at each subsequent reporting period. See Note 8 to our annual consolidated financial statements included elsewhere in this prospectus for additional information regarding our issuances of preferred shares.</w:t>
      </w:r>
    </w:p>
    <w:p>
      <w:pPr>
        <w:spacing w:after="0" w:line="14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Each tranche obligation is valued as a forward contract. The values are determined using a probability-weighted present value calculation. In determining the fair values of the tranche obligations, estimates and assumptions impacting fair value included the future value of our Series A preferred shares, discount rates, estimated years to liquidity, and probability of each tranche closing. We determined the per share future value of the Series A preferred shares by back-solving to the initial proceeds of the Series A financing. We remeasured each tranche obligation at each reporting period and prior to settlement.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 xml:space="preserve">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On January 1, 2017, we adopted, using the modified retroactive approach, the guidance of </w:t>
      </w:r>
      <w:r>
        <w:rPr>
          <w:rFonts w:ascii="Arial" w:cs="Arial" w:eastAsia="Arial" w:hAnsi="Arial"/>
          <w:sz w:val="16"/>
          <w:szCs w:val="16"/>
          <w:i w:val="1"/>
          <w:iCs w:val="1"/>
          <w:color w:val="auto"/>
        </w:rPr>
        <w:t>Accounting Standard Update, or ASU, 2018-07, 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 Improvements to Nonemployee Share-Based Payment Accounting</w:t>
      </w:r>
      <w:r>
        <w:rPr>
          <w:rFonts w:ascii="Arial" w:cs="Arial" w:eastAsia="Arial" w:hAnsi="Arial"/>
          <w:sz w:val="16"/>
          <w:szCs w:val="16"/>
          <w:color w:val="auto"/>
        </w:rPr>
        <w:t>, and account for awards to non-employees using the grant date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subsequent periodic remeasurement. The adoption of ASU 2018-07 did not have a material effect on our consolidated financial statements.</w:t>
      </w:r>
    </w:p>
    <w:p>
      <w:pPr>
        <w:spacing w:after="0" w:line="164"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84"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fair value of each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common shares award is estimated on the date of grant based on the fair value of our common share on that same date. As there is currently no public market for our common shares, we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We expect to continue to do so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We have not paid, and do not anticipate paying, dividends on our common shares; therefore, the expected dividend yield is assumed to be zero.</w:t>
      </w:r>
    </w:p>
    <w:p>
      <w:pPr>
        <w:spacing w:after="0" w:line="18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 xml:space="preserve">As there has been no public market for our common shares to date, the historical estimated fair value of our common shares has been approved by our board of directors, considering our most recently available independent third-party valuations of common shares.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 a third-party valuation firm prepared valuations of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common shares using either an option pricing method, or OPM, or a hybrid method, both of which used market approaches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 hybrid method is a probability-weighted expected return method, or PWERM, where the equity value in one or more scenarios is calculated using an OPM. The PWERM is a scenario-based methodology that estimates the fair value of common shares based upon an analysis of future values for the company, assuming various outcomes. The common share value is based on the probability-weighted present value of expected future investment returns considering each of the possible outcomes available as well as the rights of each share class. The future value of the common share under each outcome is discounted back to the valuation date at an appropriate risk-adjusted discount rate and probability weighted to arrive at an indication of value for the common share.</w:t>
      </w:r>
    </w:p>
    <w:p>
      <w:pPr>
        <w:spacing w:after="0" w:line="182"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In addition to considering the results of the third-party valuations, our board of directors considered various objective and subjective factors to determine the fair value of our common shares as of each grant date, which may be a date later than the most recent third-party valuation date, including:</w:t>
      </w:r>
    </w:p>
    <w:p>
      <w:pPr>
        <w:spacing w:after="0" w:line="29" w:lineRule="exact"/>
        <w:rPr>
          <w:sz w:val="20"/>
          <w:szCs w:val="20"/>
          <w:color w:val="auto"/>
        </w:rPr>
      </w:pPr>
    </w:p>
    <w:p>
      <w:pPr>
        <w:ind w:left="1000" w:right="18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at which we sold preferred shares and the superior rights and preferences of the preferred shares relative to our common shares at the time of each grant;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including the status of preclinical studies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lack of liquidity of our equity as a private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preferred shares and holders of our common shares,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There are significant judgments and estimates inherent in these valuations. These judgments and estimates include assumptions regarding our future operating performance, the stage of development of our product candidates, the timing of a potential IPO or other liquidity event and the determination of the appropriate valuation methodology at each valuation date. 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Following the completion of this offering, the fair value of our common shares will be determined based on the quoted market price of our common shares.</w:t>
      </w:r>
    </w:p>
    <w:p>
      <w:pPr>
        <w:spacing w:after="0" w:line="16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following table sets forth by grant date, the number of shares underlying options granted, the per share exercise price of options, the fair value of per common share on each grant date, and the per share estimated fair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value of the options granted between January 1, 2017 and March 31, 2020. We did not grant any restricted common shares during this period.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Number of Common</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Per-Share</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Estimated Fair Value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1720" w:type="dxa"/>
            <w:vAlign w:val="bottom"/>
            <w:gridSpan w:val="3"/>
            <w:vMerge w:val="continue"/>
          </w:tcPr>
          <w:p>
            <w:pPr>
              <w:spacing w:after="0"/>
              <w:rPr>
                <w:sz w:val="12"/>
                <w:szCs w:val="12"/>
                <w:color w:val="auto"/>
              </w:rPr>
            </w:pPr>
          </w:p>
        </w:tc>
        <w:tc>
          <w:tcPr>
            <w:tcW w:w="1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 Options</w:t>
            </w: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 Share at</w:t>
            </w: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to Options Granted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Common Share </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1020" w:type="dxa"/>
            <w:vAlign w:val="bottom"/>
          </w:tcPr>
          <w:p>
            <w:pPr>
              <w:jc w:val="right"/>
              <w:ind w:right="533"/>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 xml:space="preserve">Grant Date </w:t>
            </w:r>
            <w:r>
              <w:rPr>
                <w:rFonts w:ascii="Arial" w:cs="Arial" w:eastAsia="Arial" w:hAnsi="Arial"/>
                <w:sz w:val="12"/>
                <w:szCs w:val="12"/>
                <w:b w:val="1"/>
                <w:bCs w:val="1"/>
                <w:color w:val="auto"/>
                <w:w w:val="97"/>
              </w:rPr>
              <w:t>(3)</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2017</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4,987,000</w:t>
            </w: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0.27</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0.17</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0.27</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336,000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0.27</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0.34</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0.34</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March 29,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6,144,700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0.34</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0.27</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280,000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0.29</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21,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2,130,000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0.31</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7,992,750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0.40</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65,000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0.40</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0.40</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exercise price per common share represents the fair value of our common shares on the date of grant, as determined by our board of directors.</w:t>
      </w:r>
    </w:p>
    <w:p>
      <w:pPr>
        <w:spacing w:after="0" w:line="46"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ind w:left="460" w:right="80" w:hanging="452"/>
        <w:spacing w:after="0" w:line="253"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the time of the option grants above, our board of directors determined that the values included under “Exercise Price per Common Share” reasonably reflected the per share fair value of our common shares as of the grant dates. However, for certain dates, the fair value of the common shares at the date of these grants was adjusted to the amounts included under “Estimated Fair Value per Common Share at Grant Date” in connection with retrospective fair value assessments for financial reporting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See Note 2 to our annual consolidated financial statements financial statements appearing elsewhere in this prospectus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Interest-earning instruments carry a degree of interest rate risk. We have not historically earned interest on our cash balances and we do not enter into investments for trading or speculative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restricted cash, accounts payable, accrued expenses and other current liabilities, and operating lease liabilities denominated in Canadian dollars. Based on our March 31, 2020 Canadian dollar net exposure, and assuming all other variables remain constant, a 10% depreciation in the relative value of the U.S. dollar to the Canadian dollar would result in an increase of approximately $1.8 million on our net loss.</w:t>
      </w:r>
    </w:p>
    <w:p>
      <w:pPr>
        <w:spacing w:after="0" w:line="166"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April 2012, the Jumpstart Our Business Startups Act of 2012, or the JOBS Act, was enacted. The JOBS Act provides that, among other things,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date for public and private companies, we will disclose the date on which adoption is required for non-emerging growth companies and the date on which we will adopt the recently issued accounting standard.</w:t>
      </w:r>
    </w:p>
    <w:p>
      <w:pPr>
        <w:spacing w:after="0" w:line="165"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as an emerging growth company, we are entitled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16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will remain an emerging growth company until the earlier to occur of (1) the last day of our fiscal year (a) following the fifth anniversary of the completion of this offering, (b) in which we have total annual gross revenues of at least $1.0 billion or (c) in which we are deemed to be a “large accelerated filer” under the rules of the SEC, which means the market value of our common shares that is held by non-affiliates exceeds $700 million as of the last day of the second quarter of our fiscal year, and (2) the date on which we have issued more than $1.0 billion in non-convertible debt during the prior three-year period.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320" w:top="459" w:right="3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and</w:t>
      </w:r>
    </w:p>
    <w:p>
      <w:pPr>
        <w:spacing w:after="0" w:line="2"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initiating an open-label Phase 1/2 clinical trial of RP-3500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Enhanced benefit-risk profile</w:t>
      </w:r>
      <w:r>
        <w:rPr>
          <w:rFonts w:ascii="Arial" w:cs="Arial" w:eastAsia="Arial" w:hAnsi="Arial"/>
          <w:sz w:val="17"/>
          <w:szCs w:val="17"/>
          <w:color w:val="auto"/>
        </w:rPr>
        <w:t>, by precisely targeting tumor cells with the defined mutation while sparing normal, non-cancerous cells;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18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first-in-class program into IND-enabling studies in . We are also developing an inhibitor of polymerase theta, or Polq, which is SL with multiple gene deficiencies found in tumors, including BRCA1 or BRCA2. We anticipate advancing a clinical candidate and initiating IND-enabling studies</w:t>
      </w:r>
    </w:p>
    <w:p>
      <w:pPr>
        <w:spacing w:after="0"/>
        <w:tabs>
          <w:tab w:leader="none" w:pos="2280" w:val="left"/>
        </w:tabs>
        <w:rPr>
          <w:sz w:val="20"/>
          <w:szCs w:val="20"/>
          <w:color w:val="auto"/>
        </w:rPr>
      </w:pPr>
      <w:r>
        <w:rPr>
          <w:rFonts w:ascii="Arial" w:cs="Arial" w:eastAsia="Arial" w:hAnsi="Arial"/>
          <w:sz w:val="18"/>
          <w:szCs w:val="18"/>
          <w:color w:val="auto"/>
        </w:rPr>
        <w:t>for this program in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Our SNIPRx platform begins with a genome-wide CRISPR-based screening approach that utilizes our proprietary isogenic cell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or STEP</w:t>
      </w:r>
      <w:r>
        <w:rPr>
          <w:rFonts w:ascii="Arial" w:cs="Arial" w:eastAsia="Arial" w:hAnsi="Arial"/>
          <w:sz w:val="14"/>
          <w:szCs w:val="14"/>
          <w:color w:val="auto"/>
        </w:rPr>
        <w:t>2</w:t>
      </w:r>
      <w:r>
        <w:rPr>
          <w:rFonts w:ascii="Arial" w:cs="Arial" w:eastAsia="Arial" w:hAnsi="Arial"/>
          <w:sz w:val="17"/>
          <w:szCs w:val="17"/>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leader in developing innovative SL therapies and have built our SNIPRx platform based on three primary pillars:</w:t>
      </w:r>
    </w:p>
    <w:p>
      <w:pPr>
        <w:spacing w:after="0" w:line="131" w:lineRule="exact"/>
        <w:rPr>
          <w:sz w:val="20"/>
          <w:szCs w:val="20"/>
          <w:color w:val="auto"/>
        </w:rPr>
      </w:pPr>
    </w:p>
    <w:p>
      <w:pPr>
        <w:ind w:left="1000" w:right="360" w:hanging="357"/>
        <w:spacing w:after="0" w:line="277" w:lineRule="auto"/>
        <w:tabs>
          <w:tab w:leader="none" w:pos="10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alterations in tumors with high unmet medical need;</w:t>
      </w:r>
    </w:p>
    <w:p>
      <w:pPr>
        <w:spacing w:after="0" w:line="75" w:lineRule="exact"/>
        <w:rPr>
          <w:rFonts w:ascii="Arial" w:cs="Arial" w:eastAsia="Arial" w:hAnsi="Arial"/>
          <w:sz w:val="18"/>
          <w:szCs w:val="18"/>
          <w:b w:val="1"/>
          <w:bCs w:val="1"/>
          <w:color w:val="auto"/>
        </w:rPr>
      </w:pPr>
    </w:p>
    <w:p>
      <w:pPr>
        <w:ind w:left="1000" w:hanging="357"/>
        <w:spacing w:after="0"/>
        <w:tabs>
          <w:tab w:leader="none" w:pos="10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000" w:right="140" w:hanging="357"/>
        <w:spacing w:after="0" w:line="277" w:lineRule="auto"/>
        <w:tabs>
          <w:tab w:leader="none" w:pos="10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population based on the additional genomic alterations identified by our proprietary STEP</w:t>
      </w:r>
      <w:r>
        <w:rPr>
          <w:rFonts w:ascii="Arial" w:cs="Arial" w:eastAsia="Arial" w:hAnsi="Arial"/>
          <w:sz w:val="15"/>
          <w:szCs w:val="15"/>
          <w:color w:val="auto"/>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 with our inhibitors.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3310" cy="2717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6331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right="16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countries. See “Business—Research Services, License and Collaboration Agreement with Ono Pharmaceutical Co.” for additional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right="140" w:firstLine="449"/>
        <w:spacing w:after="0" w:line="270"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000" w:hanging="547"/>
        <w:spacing w:after="0" w:line="293"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Advance our lead product candidate, RP-3500, through clinical development by leveraging our differentiated STEP</w:t>
      </w:r>
      <w:r>
        <w:rPr>
          <w:rFonts w:ascii="Arial" w:cs="Arial" w:eastAsia="Arial" w:hAnsi="Arial"/>
          <w:sz w:val="13"/>
          <w:szCs w:val="13"/>
          <w:b w:val="1"/>
          <w:bCs w:val="1"/>
          <w:color w:val="auto"/>
        </w:rPr>
        <w:t>2</w:t>
      </w:r>
      <w:r>
        <w:rPr>
          <w:rFonts w:ascii="Arial" w:cs="Arial" w:eastAsia="Arial" w:hAnsi="Arial"/>
          <w:sz w:val="16"/>
          <w:szCs w:val="16"/>
          <w:b w:val="1"/>
          <w:bCs w:val="1"/>
          <w:color w:val="auto"/>
        </w:rPr>
        <w:t xml:space="preserve"> patient selection approach</w:t>
      </w:r>
      <w:r>
        <w:rPr>
          <w:rFonts w:ascii="Arial" w:cs="Arial" w:eastAsia="Arial" w:hAnsi="Arial"/>
          <w:sz w:val="16"/>
          <w:szCs w:val="16"/>
          <w:color w:val="auto"/>
        </w:rPr>
        <w:t>. We designed RP-3500 to have a highly selective and potent profile that may enable it to be a leading inhibitor of ATR, if</w:t>
      </w:r>
    </w:p>
    <w:p>
      <w:pPr>
        <w:spacing w:after="0" w:line="1" w:lineRule="exact"/>
        <w:rPr>
          <w:sz w:val="20"/>
          <w:szCs w:val="20"/>
          <w:color w:val="auto"/>
        </w:rPr>
      </w:pPr>
    </w:p>
    <w:p>
      <w:pPr>
        <w:ind w:left="1000" w:right="120"/>
        <w:spacing w:after="0" w:line="281" w:lineRule="auto"/>
        <w:rPr>
          <w:sz w:val="20"/>
          <w:szCs w:val="20"/>
          <w:color w:val="auto"/>
        </w:rPr>
      </w:pPr>
      <w:r>
        <w:rPr>
          <w:rFonts w:ascii="Arial" w:cs="Arial" w:eastAsia="Arial" w:hAnsi="Arial"/>
          <w:sz w:val="16"/>
          <w:szCs w:val="16"/>
          <w:color w:val="auto"/>
        </w:rPr>
        <w:t>approved. We intend to initiate an open-label Phase 1/2 clinical trial of RP-3500 in in patients with advanced tumors that have alterations in the ATM gene or any of the 19 genes identified through our STEP</w:t>
      </w:r>
      <w:r>
        <w:rPr>
          <w:rFonts w:ascii="Arial" w:cs="Arial" w:eastAsia="Arial" w:hAnsi="Arial"/>
          <w:sz w:val="13"/>
          <w:szCs w:val="13"/>
          <w:color w:val="auto"/>
        </w:rPr>
        <w:t>2</w:t>
      </w:r>
      <w:r>
        <w:rPr>
          <w:rFonts w:ascii="Arial" w:cs="Arial" w:eastAsia="Arial" w:hAnsi="Arial"/>
          <w:sz w:val="16"/>
          <w:szCs w:val="16"/>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w:t>
      </w:r>
    </w:p>
    <w:p>
      <w:pPr>
        <w:sectPr>
          <w:pgSz w:w="11900" w:h="16838" w:orient="portrait"/>
          <w:cols w:equalWidth="0" w:num="1">
            <w:col w:w="11220"/>
          </w:cols>
          <w:pgMar w:left="320" w:top="459" w:right="359" w:bottom="1440" w:gutter="0" w:footer="0" w:header="0"/>
        </w:sectPr>
      </w:pPr>
    </w:p>
    <w:p>
      <w:pPr>
        <w:spacing w:after="0" w:line="3" w:lineRule="exact"/>
        <w:rPr>
          <w:sz w:val="20"/>
          <w:szCs w:val="20"/>
          <w:color w:val="auto"/>
        </w:rPr>
      </w:pPr>
    </w:p>
    <w:p>
      <w:pPr>
        <w:ind w:left="1000" w:right="820"/>
        <w:spacing w:after="0" w:line="260" w:lineRule="auto"/>
        <w:rPr>
          <w:sz w:val="20"/>
          <w:szCs w:val="20"/>
          <w:color w:val="auto"/>
        </w:rPr>
      </w:pPr>
      <w:r>
        <w:rPr>
          <w:rFonts w:ascii="Arial" w:cs="Arial" w:eastAsia="Arial" w:hAnsi="Arial"/>
          <w:sz w:val="18"/>
          <w:szCs w:val="18"/>
          <w:color w:val="auto"/>
        </w:rPr>
        <w:t>combination therapy dose escalation phase of the trial in , which may inform the design, including the targeted patient population, of a future pivotal trial.</w:t>
      </w:r>
    </w:p>
    <w:p>
      <w:pPr>
        <w:sectPr>
          <w:pgSz w:w="11900" w:h="16838" w:orient="portrait"/>
          <w:cols w:equalWidth="0" w:num="1">
            <w:col w:w="11220"/>
          </w:cols>
          <w:pgMar w:left="320" w:top="459" w:right="359" w:bottom="1440" w:gutter="0" w:footer="0" w:header="0"/>
          <w:type w:val="continuous"/>
        </w:sectPr>
      </w:pPr>
    </w:p>
    <w:p>
      <w:pPr>
        <w:spacing w:after="0" w:line="87" w:lineRule="exact"/>
        <w:rPr>
          <w:sz w:val="20"/>
          <w:szCs w:val="20"/>
          <w:color w:val="auto"/>
        </w:rPr>
      </w:pPr>
    </w:p>
    <w:p>
      <w:pPr>
        <w:ind w:left="1000" w:hanging="547"/>
        <w:spacing w:after="0" w:line="293"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Continue to advance our preclinical programs into clinical development</w:t>
      </w:r>
      <w:r>
        <w:rPr>
          <w:rFonts w:ascii="Arial" w:cs="Arial" w:eastAsia="Arial" w:hAnsi="Arial"/>
          <w:sz w:val="16"/>
          <w:szCs w:val="16"/>
          <w:color w:val="auto"/>
        </w:rPr>
        <w:t>. In addition to RP-3500, we have two programs in advanced</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 development. One of these programs is focused on a novel target we discovered using our SNIPRx platform to be SL with CCNE1</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amplification in tumors such as gynecological and upper gastrointestinal malignancies. We anticipate advancing a clinical candidate for this</w:t>
      </w:r>
    </w:p>
    <w:p>
      <w:pPr>
        <w:spacing w:after="0" w:line="32" w:lineRule="exact"/>
        <w:rPr>
          <w:sz w:val="20"/>
          <w:szCs w:val="20"/>
          <w:color w:val="auto"/>
        </w:rPr>
      </w:pPr>
    </w:p>
    <w:p>
      <w:pPr>
        <w:ind w:left="1000" w:right="400"/>
        <w:spacing w:after="0" w:line="265" w:lineRule="auto"/>
        <w:rPr>
          <w:sz w:val="20"/>
          <w:szCs w:val="20"/>
          <w:color w:val="auto"/>
        </w:rPr>
      </w:pPr>
      <w:r>
        <w:rPr>
          <w:rFonts w:ascii="Arial" w:cs="Arial" w:eastAsia="Arial" w:hAnsi="Arial"/>
          <w:sz w:val="17"/>
          <w:szCs w:val="17"/>
          <w:color w:val="auto"/>
        </w:rPr>
        <w:t>potential first-in-class program into IND-enabling studies in . We are also developing an inhibitor of Polq, which is SL with multiple gene deficiencies found in tumors, including BRCA1 or BRCA2. We anticipate advancing a clinical candidate and initiating</w:t>
      </w:r>
    </w:p>
    <w:p>
      <w:pPr>
        <w:ind w:left="1000"/>
        <w:spacing w:after="0"/>
        <w:tabs>
          <w:tab w:leader="none" w:pos="4880" w:val="left"/>
        </w:tabs>
        <w:rPr>
          <w:sz w:val="20"/>
          <w:szCs w:val="20"/>
          <w:color w:val="auto"/>
        </w:rPr>
      </w:pPr>
      <w:r>
        <w:rPr>
          <w:rFonts w:ascii="Arial" w:cs="Arial" w:eastAsia="Arial" w:hAnsi="Arial"/>
          <w:sz w:val="18"/>
          <w:szCs w:val="18"/>
          <w:color w:val="auto"/>
        </w:rPr>
        <w:t>IND-enabling studies for this program in</w:t>
      </w:r>
      <w:r>
        <w:rPr>
          <w:sz w:val="20"/>
          <w:szCs w:val="20"/>
          <w:color w:val="auto"/>
        </w:rPr>
        <w:tab/>
      </w:r>
      <w:r>
        <w:rPr>
          <w:rFonts w:ascii="Arial" w:cs="Arial" w:eastAsia="Arial" w:hAnsi="Arial"/>
          <w:sz w:val="13"/>
          <w:szCs w:val="13"/>
          <w:color w:val="auto"/>
        </w:rPr>
        <w:t>.</w:t>
      </w:r>
    </w:p>
    <w:p>
      <w:pPr>
        <w:spacing w:after="0" w:line="112" w:lineRule="exact"/>
        <w:rPr>
          <w:sz w:val="20"/>
          <w:szCs w:val="20"/>
          <w:color w:val="auto"/>
        </w:rPr>
      </w:pPr>
    </w:p>
    <w:p>
      <w:pPr>
        <w:ind w:left="1000" w:right="460" w:hanging="547"/>
        <w:spacing w:after="0" w:line="282"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Extend our leading position in SL drug discovery</w:t>
      </w:r>
      <w:r>
        <w:rPr>
          <w:rFonts w:ascii="Arial" w:cs="Arial" w:eastAsia="Arial" w:hAnsi="Arial"/>
          <w:sz w:val="18"/>
          <w:szCs w:val="18"/>
          <w:color w:val="auto"/>
        </w:rPr>
        <w:t>. We have systematically analyzed genomic data from approximately 60,000 tumor</w:t>
      </w:r>
      <w:r>
        <w:rPr>
          <w:rFonts w:ascii="Arial" w:cs="Arial" w:eastAsia="Arial" w:hAnsi="Arial"/>
          <w:sz w:val="18"/>
          <w:szCs w:val="18"/>
          <w:b w:val="1"/>
          <w:bCs w:val="1"/>
          <w:color w:val="auto"/>
        </w:rPr>
        <w:t xml:space="preserve"> </w:t>
      </w:r>
      <w:r>
        <w:rPr>
          <w:rFonts w:ascii="Arial" w:cs="Arial" w:eastAsia="Arial" w:hAnsi="Arial"/>
          <w:sz w:val="18"/>
          <w:szCs w:val="18"/>
          <w:color w:val="auto"/>
        </w:rPr>
        <w:t>samples and have identified an initial set of 16 tumor lesions that are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96" w:lineRule="auto"/>
        <w:rPr>
          <w:sz w:val="20"/>
          <w:szCs w:val="20"/>
          <w:color w:val="auto"/>
        </w:rPr>
      </w:pPr>
      <w:r>
        <w:rPr>
          <w:rFonts w:ascii="Arial" w:cs="Arial" w:eastAsia="Arial" w:hAnsi="Arial"/>
          <w:sz w:val="16"/>
          <w:szCs w:val="16"/>
          <w:color w:val="auto"/>
        </w:rPr>
        <w:t>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3"/>
          <w:szCs w:val="13"/>
          <w:color w:val="auto"/>
        </w:rPr>
        <w:t>2</w:t>
      </w:r>
      <w:r>
        <w:rPr>
          <w:rFonts w:ascii="Arial" w:cs="Arial" w:eastAsia="Arial" w:hAnsi="Arial"/>
          <w:sz w:val="16"/>
          <w:szCs w:val="16"/>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63" w:lineRule="exact"/>
        <w:rPr>
          <w:sz w:val="20"/>
          <w:szCs w:val="20"/>
          <w:color w:val="auto"/>
        </w:rPr>
      </w:pPr>
    </w:p>
    <w:p>
      <w:pPr>
        <w:ind w:left="1000" w:hanging="547"/>
        <w:spacing w:after="0" w:line="258"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Opportunistically pursue strategic partnerships to maximize the full potential of our pipeline and SNIPRx platform</w:t>
      </w:r>
      <w:r>
        <w:rPr>
          <w:rFonts w:ascii="Arial" w:cs="Arial" w:eastAsia="Arial" w:hAnsi="Arial"/>
          <w:sz w:val="18"/>
          <w:szCs w:val="18"/>
          <w:color w:val="auto"/>
        </w:rPr>
        <w:t>. The large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Targeted Oncology Therapeutics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first-generation of approved targeted therapies were predominately directed at driver mutations, which target specific types of receptor tyrosine kinases, such as, bcr-abl, EGFR and HER2. This initial class of precision therapies generated approximately $20.0 billion of worldwide sales in 2019 and has largely represented the focus of the targeted oncology sector for the last 20 years. A rapid evolution in the understanding of tumor biology coupled with an improved ability to segment subsets of tumors based on genomic alterations have led to the development of new generations of targeted cancer therapies for a variety of additional tumor-specific genomic abnormalities.</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 This new generation of targeted therapies requires diagnostic tools for patient selection but offers substantial benefit to patients across many tumor types.</w:t>
      </w:r>
    </w:p>
    <w:p>
      <w:pPr>
        <w:spacing w:after="0" w:line="164"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speed at which science has uncovered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In June 2019, the New England Journal of Medicine referred to SL as a particularly attractive means to target the complex and gene-network oriented relationships associated with this previously undiscovered domain of oncology targets.</w:t>
      </w:r>
    </w:p>
    <w:p>
      <w:pPr>
        <w:spacing w:after="0" w:line="16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72" w:lineRule="exact"/>
        <w:rPr>
          <w:sz w:val="20"/>
          <w:szCs w:val="20"/>
          <w:color w:val="auto"/>
        </w:rPr>
      </w:pPr>
    </w:p>
    <w:p>
      <w:pPr>
        <w:ind w:left="1000" w:right="560" w:hanging="547"/>
        <w:spacing w:after="0" w:line="282"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320" w:hanging="547"/>
        <w:spacing w:after="0" w:line="282"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 and</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synthesize new genetic data on tens of thousands of tumors; and</w:t>
      </w:r>
    </w:p>
    <w:p>
      <w:pPr>
        <w:spacing w:after="0" w:line="67" w:lineRule="exact"/>
        <w:rPr>
          <w:rFonts w:ascii="Arial" w:cs="Arial" w:eastAsia="Arial" w:hAnsi="Arial"/>
          <w:sz w:val="18"/>
          <w:szCs w:val="18"/>
          <w:color w:val="auto"/>
        </w:rPr>
      </w:pPr>
    </w:p>
    <w:p>
      <w:pPr>
        <w:ind w:left="1000" w:right="60" w:hanging="547"/>
        <w:spacing w:after="0" w:line="282"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of genetic networks underlying cancer biology.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Synthetic Lethality Opportunity and Challenge</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165"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5031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945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 these pathways, preventing DNA repair in cancer cells with a BRCA1/2 alteration and resulting in cancer cell death while sparing normal cells.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6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0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 Select tumor lesion of interest.</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i w:val="1"/>
          <w:iCs w:val="1"/>
          <w:color w:val="auto"/>
        </w:rPr>
        <w:t>Apply our deep understanding of tumor lesions with a bias for alterations associated with genomic instability and cancers with high unmet medical need.</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15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have identified an initial set of 16 largely mutually exclusive tumor lesions that comprise approximately 30% of tumors. These lesions are all linked to genomic instability.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 Execute SNIPRx screen campaign.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Utilize our SNIPRx screening technology to identify target gene candidates that induce SL in the context of our initial set of 16 tumor lesions.</w:t>
      </w:r>
    </w:p>
    <w:p>
      <w:pPr>
        <w:spacing w:after="0" w:line="1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For each of the initial 16 tumor lesions we identified, each of which we refer to as an original tumor lesion, we have completed a screen campaign utilizing CRISPR technology and other tools to create proprietary isogenic 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 Prioritize, select and validate druggable targets.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Evaluate the multiple SL targets identified for each original tumor lesion.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screen campaigns result in the identification of multiple SL targets for each original tumor lesion. We prioritize and select targets to advance into drug discovery based on a systematic and proprietary set of criteria,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459" w:right="3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which include thresholds for biological validation, cellular function, known and likely toxicity, druggability with small molecules, patentability and the potential for clinical impact versus alternative therapies. Our processes include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genetic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validation of targets and comprehensive development of tool compounds for initial pharmacological corroboration.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 Develop potent and selective inhibitors.</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i w:val="1"/>
          <w:iCs w:val="1"/>
          <w:color w:val="auto"/>
        </w:rPr>
        <w:t>Develop small molecule product candidates that are highly potent and selective and advance them from lead discovery through the identification of a clinical candidate.</w:t>
      </w:r>
    </w:p>
    <w:p>
      <w:pPr>
        <w:spacing w:after="0" w:line="62"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facilities to internally drive translational studies for human clinical trials. We believe these capabilities were demonstrated in the discovery and development of RP-3500.</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5. Perform SNIPRx Targeted Expansion of Patient Populations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screens.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Expand our potential patient populations beyond those identified by the original SL pair.</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Once we have identified a clinical candidate, our STEP</w:t>
      </w:r>
      <w:r>
        <w:rPr>
          <w:rFonts w:ascii="Arial" w:cs="Arial" w:eastAsia="Arial" w:hAnsi="Arial"/>
          <w:sz w:val="14"/>
          <w:szCs w:val="14"/>
          <w:color w:val="auto"/>
        </w:rPr>
        <w:t>2</w:t>
      </w:r>
      <w:r>
        <w:rPr>
          <w:rFonts w:ascii="Arial" w:cs="Arial" w:eastAsia="Arial" w:hAnsi="Arial"/>
          <w:sz w:val="17"/>
          <w:szCs w:val="17"/>
          <w:color w:val="auto"/>
        </w:rPr>
        <w:t xml:space="preserve"> screens utilize a set of cell lines that, when treated with our clinical candidate, elucidate genes that, when knocked down, cause (hyper)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6. Conduct clinical trials in an enriched patient population.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 our clinical trials for efficient clinical development.</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For our clinical trials, we plan to enroll patients with tumors that contain either the original tumor lesion or any one of the genomic alterations identified by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SNIPRx Platform</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believe that our platform and approach provide many key advantages as highlighted below.</w:t>
      </w:r>
    </w:p>
    <w:p>
      <w:pPr>
        <w:spacing w:after="0" w:line="72" w:lineRule="exact"/>
        <w:rPr>
          <w:sz w:val="20"/>
          <w:szCs w:val="20"/>
          <w:color w:val="auto"/>
        </w:rPr>
      </w:pPr>
    </w:p>
    <w:p>
      <w:pPr>
        <w:ind w:left="1000" w:right="60" w:hanging="547"/>
        <w:spacing w:after="0" w:line="256"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Designed to Address Previously Untargetable Tumor Biology. </w:t>
      </w:r>
      <w:r>
        <w:rPr>
          <w:rFonts w:ascii="Arial" w:cs="Arial" w:eastAsia="Arial" w:hAnsi="Arial"/>
          <w:sz w:val="18"/>
          <w:szCs w:val="18"/>
          <w:color w:val="auto"/>
        </w:rPr>
        <w:t>Oncology drug development has been primarily focused on genes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Our SNIPRx platform has demonstrated an ability to identify novel SL relationships, including those that address previously untargetable tumor biology.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80" w:hanging="547"/>
        <w:spacing w:after="0" w:line="256"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Applies Our Proprietary Genome-wide Library. </w:t>
      </w:r>
      <w:r>
        <w:rPr>
          <w:rFonts w:ascii="Arial" w:cs="Arial" w:eastAsia="Arial" w:hAnsi="Arial"/>
          <w:sz w:val="18"/>
          <w:szCs w:val="18"/>
          <w:color w:val="auto"/>
        </w:rPr>
        <w:t>Genome-scale screens often identify many genes coding for the same protein complex or</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92" w:lineRule="exact"/>
        <w:rPr>
          <w:rFonts w:ascii="Arial" w:cs="Arial" w:eastAsia="Arial" w:hAnsi="Arial"/>
          <w:sz w:val="18"/>
          <w:szCs w:val="18"/>
          <w:color w:val="auto"/>
        </w:rPr>
      </w:pPr>
    </w:p>
    <w:p>
      <w:pPr>
        <w:ind w:left="1000" w:right="100" w:hanging="547"/>
        <w:spacing w:after="0" w:line="273"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Utilizes Isogenic Cell Lines. </w:t>
      </w:r>
      <w:r>
        <w:rPr>
          <w:rFonts w:ascii="Arial" w:cs="Arial" w:eastAsia="Arial" w:hAnsi="Arial"/>
          <w:sz w:val="17"/>
          <w:szCs w:val="17"/>
          <w:color w:val="auto"/>
        </w:rPr>
        <w:t>We believe a key differentiator of our SNIPRx platform is the utilization of thoroughly characterized,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77" w:lineRule="exact"/>
        <w:rPr>
          <w:rFonts w:ascii="Arial" w:cs="Arial" w:eastAsia="Arial" w:hAnsi="Arial"/>
          <w:sz w:val="17"/>
          <w:szCs w:val="17"/>
          <w:color w:val="auto"/>
        </w:rPr>
      </w:pPr>
    </w:p>
    <w:p>
      <w:pPr>
        <w:ind w:left="1000" w:right="80" w:hanging="547"/>
        <w:spacing w:after="0" w:line="294" w:lineRule="auto"/>
        <w:tabs>
          <w:tab w:leader="none" w:pos="100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Focuses on Niche of Genomic Instability. </w:t>
      </w:r>
      <w:r>
        <w:rPr>
          <w:rFonts w:ascii="Arial" w:cs="Arial" w:eastAsia="Arial" w:hAnsi="Arial"/>
          <w:sz w:val="16"/>
          <w:szCs w:val="16"/>
          <w:color w:val="auto"/>
        </w:rPr>
        <w:t>Based on the well-established network of SL interactions in DNA synthesis and repair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6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SNIPRx Screen Campaign Identifies Both Known and Novel SL Pairs Undetected by Cancer Cell Line Panels</w:t>
      </w:r>
    </w:p>
    <w:p>
      <w:pPr>
        <w:spacing w:after="0" w:line="256" w:lineRule="exact"/>
        <w:rPr>
          <w:sz w:val="20"/>
          <w:szCs w:val="20"/>
          <w:color w:val="auto"/>
        </w:rPr>
      </w:pPr>
    </w:p>
    <w:p>
      <w:pPr>
        <w:ind w:left="1000" w:hanging="547"/>
        <w:spacing w:after="0"/>
        <w:tabs>
          <w:tab w:leader="none" w:pos="100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168910</wp:posOffset>
            </wp:positionV>
            <wp:extent cx="3583305" cy="2125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8330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hanging="547"/>
        <w:spacing w:after="0"/>
        <w:tabs>
          <w:tab w:leader="none" w:pos="10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515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 RP-3500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49"/>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5"/>
          <w:szCs w:val="15"/>
          <w:color w:val="auto"/>
        </w:rPr>
        <w:t>2</w:t>
      </w:r>
      <w:r>
        <w:rPr>
          <w:rFonts w:ascii="Arial" w:cs="Arial" w:eastAsia="Arial" w:hAnsi="Arial"/>
          <w:sz w:val="18"/>
          <w:szCs w:val="18"/>
          <w:color w:val="auto"/>
        </w:rPr>
        <w:t xml:space="preserve"> screens in which we confirmed the SL relationship between ATR and ATM and identified an additional 19 genes that are also SL with ATR, potentially expanding the patient populations that may benefit from our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459" w:right="3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candidate. We anticipate filing an IND application and initiating an open-label Phase 1/2 clinical trial of RP-3500 in</w:t>
      </w:r>
      <w:r>
        <w:rPr>
          <w:sz w:val="20"/>
          <w:szCs w:val="20"/>
          <w:color w:val="auto"/>
        </w:rPr>
        <w:tab/>
      </w:r>
      <w:r>
        <w:rPr>
          <w:rFonts w:ascii="Arial" w:cs="Arial" w:eastAsia="Arial" w:hAnsi="Arial"/>
          <w:sz w:val="15"/>
          <w:szCs w:val="15"/>
          <w:color w:val="auto"/>
        </w:rPr>
        <w:t>. We have designed our</w:t>
      </w:r>
    </w:p>
    <w:p>
      <w:pPr>
        <w:spacing w:after="0" w:line="22"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Phase 1/2 clinical trial to enroll patients based on the presence of alterations in ATM or any of the 19 STEP</w:t>
      </w:r>
      <w:r>
        <w:rPr>
          <w:rFonts w:ascii="Arial" w:cs="Arial" w:eastAsia="Arial" w:hAnsi="Arial"/>
          <w:sz w:val="13"/>
          <w:szCs w:val="13"/>
          <w:color w:val="auto"/>
        </w:rPr>
        <w:t>2</w:t>
      </w:r>
      <w:r>
        <w:rPr>
          <w:rFonts w:ascii="Arial" w:cs="Arial" w:eastAsia="Arial" w:hAnsi="Arial"/>
          <w:sz w:val="16"/>
          <w:szCs w:val="16"/>
          <w:color w:val="auto"/>
        </w:rPr>
        <w:t>-identified genes. Based on the observed synergistic activity in preclinical models with ATM and STEP</w:t>
      </w:r>
      <w:r>
        <w:rPr>
          <w:rFonts w:ascii="Arial" w:cs="Arial" w:eastAsia="Arial" w:hAnsi="Arial"/>
          <w:sz w:val="13"/>
          <w:szCs w:val="13"/>
          <w:color w:val="auto"/>
        </w:rPr>
        <w:t>2</w:t>
      </w:r>
      <w:r>
        <w:rPr>
          <w:rFonts w:ascii="Arial" w:cs="Arial" w:eastAsia="Arial" w:hAnsi="Arial"/>
          <w:sz w:val="16"/>
          <w:szCs w:val="16"/>
          <w:color w:val="auto"/>
        </w:rPr>
        <w:t>-identified genes, we also intend to include a combination arm in this trial to evaluate the anti-tumor activity of RP-3500 with an approved PARP inhibitor. We expect to report preliminary safety and efficacy data for the monotherapy and</w:t>
      </w:r>
    </w:p>
    <w:p>
      <w:pPr>
        <w:spacing w:after="0" w:line="1"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combination therapy dose escalation phase of the trial in</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ATM-ATR Synthetic Lethality</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ATM is a DDR protein related to ATR that is responsible for sensing and signaling DNA double-strand breaks. Our ATM SNIPRx screen campaign confirmed that ATM-deficient cells rely on ATR activity for survival. ATM orchestrates the response to double-strand break repair and thus, ATM-deficient tumors have an impaired response to DNA breaks. Inhibition of ATR compromises the stabilization of DNA replication forks and is associated with increases in DNA double-strand breaks that would normally be detected and signaled for repair by ATM. SL screens conducted by us and others have identified that ATR is SL with ATM, making cancer cells that are deficient in ATM highly sensitive to killing by ATR inhibitors. An overview of the ATM-ATR SL relationship is illustrated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4852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9722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gene encoding for ATM is frequently mutated in cancer. An analysis of sequence data collected as part of The Cancer Genome Atlas, or TCGA, found that between 1% and 4% of solid tumors, such as breast, bladder, pancreatic and lung cancers, have deficiencies in ATM, as depicted in the graph below.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23920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0921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Validation of ATR Inhibitors in ATM-Deficient Tumors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Three ATR inhibitors in development by third parties have been evaluated in clinical trials either as a monotherapy or in combination with DNA-damaging chemotherapy drugs, ionizing radiation, immune checkpoint blockers or PARP inhibitors, in advanced solid tumors and hematological malignancies. Data published to date from these trials support the preclinical observations of the SL of ATR inhibitors in ATM-deficient cancers. For example, in a clinical trial conducted by Merck Serono of its ATR inhibitor, a patient with colorectal cancer containing a mutation in ATM reported a complete response. Additional proof-of-concept for the clinical relevance of the SL link between ATR and ATM was reported in June 2019 with data from Bayer’s Phase 1 clinical trial of its ATR inhibitor. This dose-escalation trial evaluated Bayer’s ATR inhibitor as a monotherapy in patients with advanced metastatic solid tumors that were resistant or refractory to standard treatment. Of thirteen evaluable patients who received Bayer’s ATR inhibitor at doses of 40 mg or greater twice a day, four patients, all of whom had tumors with mutations in ATM, had a durable tumor response. Additional clinical evidence indicates that the patient population that could benefit from an ATR inhibitor is not limited to ATM deficiency. For example, AstraZeneca conducted a clinical trial, which evaluated ATR inhibition as a monotherapy without any patient selection based on genomic tumor alterations. Results from this trial demonstrated that the three responding patients had normal ATM protein expression, which suggests that additional genomic tumor alterations may also be sensitive to ATR inhibition.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RP-3500</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We identified ATR as one of the SL targets through our SNIPRx screen campaign of ATM and selected ATR as the target for our lead product candidate, RP-3500, based on:</w:t>
      </w:r>
    </w:p>
    <w:p>
      <w:pPr>
        <w:spacing w:after="0" w:line="76" w:lineRule="exact"/>
        <w:rPr>
          <w:sz w:val="20"/>
          <w:szCs w:val="20"/>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existing third party clinical and preclinical support for the potential of ATR inhibition as a precision oncology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ability to design an ATR inhibitor with enhanced chemical properties, such as potency and selectivity;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15"/>
          <w:szCs w:val="15"/>
          <w:color w:val="auto"/>
        </w:rPr>
        <w:t>2</w:t>
      </w:r>
      <w:r>
        <w:rPr>
          <w:rFonts w:ascii="Arial" w:cs="Arial" w:eastAsia="Arial" w:hAnsi="Arial"/>
          <w:sz w:val="18"/>
          <w:szCs w:val="18"/>
          <w:color w:val="auto"/>
        </w:rPr>
        <w:t xml:space="preserve"> screens, which identified 19 additional genomic alterations beyond ATM deficiency to be SL with ATR, facilitating the expansion of the addressable patient populations.</w:t>
      </w:r>
    </w:p>
    <w:p>
      <w:pPr>
        <w:spacing w:after="0" w:line="170"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We designed RP-3500 as an oral small molecule ATR inhibitor with increased potency and a similar or improved selectivity profile compared to other known ATR inhibitors. RP-3500 has demonstrated a favorable pharmacokinetic profile in multiple preclinical models, including rodent and canine, and a distribution, metabolism and excretion profile that suggests a low potential for drug-drug interactions in the clinic.</w:t>
      </w:r>
    </w:p>
    <w:p>
      <w:pPr>
        <w:spacing w:after="0" w:line="16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STEP</w:t>
      </w:r>
      <w:r>
        <w:rPr>
          <w:rFonts w:ascii="Arial" w:cs="Arial" w:eastAsia="Arial" w:hAnsi="Arial"/>
          <w:sz w:val="13"/>
          <w:szCs w:val="13"/>
          <w:color w:val="auto"/>
        </w:rPr>
        <w:t>2</w:t>
      </w:r>
      <w:r>
        <w:rPr>
          <w:rFonts w:ascii="Arial" w:cs="Arial" w:eastAsia="Arial" w:hAnsi="Arial"/>
          <w:sz w:val="16"/>
          <w:szCs w:val="16"/>
          <w:color w:val="auto"/>
        </w:rPr>
        <w:t xml:space="preserve"> screens have generated proprietary patient selection insights that we believe provide the rationale to expand the potential patient populations addressable by RP-3500 beyond patients with tumors carrying ATM genetic defects. We have identified 19 genomic alterations, in addition to ATM deficiency, that confer sensitivity to RP-3500. This 19 gene set, which we refer to as our STEP</w:t>
      </w:r>
      <w:r>
        <w:rPr>
          <w:rFonts w:ascii="Arial" w:cs="Arial" w:eastAsia="Arial" w:hAnsi="Arial"/>
          <w:sz w:val="13"/>
          <w:szCs w:val="13"/>
          <w:color w:val="auto"/>
        </w:rPr>
        <w:t>2</w:t>
      </w:r>
      <w:r>
        <w:rPr>
          <w:rFonts w:ascii="Arial" w:cs="Arial" w:eastAsia="Arial" w:hAnsi="Arial"/>
          <w:sz w:val="16"/>
          <w:szCs w:val="16"/>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Arial" w:cs="Arial" w:eastAsia="Arial" w:hAnsi="Arial"/>
          <w:sz w:val="13"/>
          <w:szCs w:val="13"/>
          <w:color w:val="auto"/>
        </w:rPr>
        <w:t>2</w:t>
      </w:r>
      <w:r>
        <w:rPr>
          <w:rFonts w:ascii="Arial" w:cs="Arial" w:eastAsia="Arial" w:hAnsi="Arial"/>
          <w:sz w:val="16"/>
          <w:szCs w:val="16"/>
          <w:color w:val="auto"/>
        </w:rPr>
        <w:t xml:space="preserve"> screens demonstrated that two genes previously reported by others to be sensitive to ATR inhibition were not sensitive and hence, those genes were excluded from our set of STEP</w:t>
      </w:r>
      <w:r>
        <w:rPr>
          <w:rFonts w:ascii="Arial" w:cs="Arial" w:eastAsia="Arial" w:hAnsi="Arial"/>
          <w:sz w:val="13"/>
          <w:szCs w:val="13"/>
          <w:color w:val="auto"/>
        </w:rPr>
        <w:t>2</w:t>
      </w:r>
      <w:r>
        <w:rPr>
          <w:rFonts w:ascii="Arial" w:cs="Arial" w:eastAsia="Arial" w:hAnsi="Arial"/>
          <w:sz w:val="16"/>
          <w:szCs w:val="16"/>
          <w:color w:val="auto"/>
        </w:rPr>
        <w:t>-identified genes.</w:t>
      </w:r>
    </w:p>
    <w:p>
      <w:pPr>
        <w:spacing w:after="0" w:line="16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sensitivity and accuracy of our STEP</w:t>
      </w:r>
      <w:r>
        <w:rPr>
          <w:rFonts w:ascii="Arial" w:cs="Arial" w:eastAsia="Arial" w:hAnsi="Arial"/>
          <w:sz w:val="13"/>
          <w:szCs w:val="13"/>
          <w:color w:val="auto"/>
        </w:rPr>
        <w:t>2</w:t>
      </w:r>
      <w:r>
        <w:rPr>
          <w:rFonts w:ascii="Arial" w:cs="Arial" w:eastAsia="Arial" w:hAnsi="Arial"/>
          <w:sz w:val="16"/>
          <w:szCs w:val="16"/>
          <w:color w:val="auto"/>
        </w:rPr>
        <w:t xml:space="preserve"> screens enable the identification of several novel gene alterations, including certain genes that are not yet included in commercially available Next Generation Sequencing cancer panels or CLIA-validated panels used in large academic centers. As such, for our planned Phase 1/2 trial, we have identified and partnered with multiple large, leading clinical centers globally where tumor sequencing is a component of standard of care. These centers’ panels are validated and sufficiently large to accommodate screening for alterations in ATM or our 19 STEP</w:t>
      </w:r>
      <w:r>
        <w:rPr>
          <w:rFonts w:ascii="Arial" w:cs="Arial" w:eastAsia="Arial" w:hAnsi="Arial"/>
          <w:sz w:val="13"/>
          <w:szCs w:val="13"/>
          <w:color w:val="auto"/>
        </w:rPr>
        <w:t>2</w:t>
      </w:r>
      <w:r>
        <w:rPr>
          <w:rFonts w:ascii="Arial" w:cs="Arial" w:eastAsia="Arial" w:hAnsi="Arial"/>
          <w:sz w:val="16"/>
          <w:szCs w:val="16"/>
          <w:color w:val="auto"/>
        </w:rPr>
        <w:t>-identified genes. We believe that these panels will include the majority, if not all, of these 20 genes. For genes that are not available on certain panels at a particular clinical site, we have identified surrogate genes that are co-deleted with the STEP</w:t>
      </w:r>
      <w:r>
        <w:rPr>
          <w:rFonts w:ascii="Arial" w:cs="Arial" w:eastAsia="Arial" w:hAnsi="Arial"/>
          <w:sz w:val="13"/>
          <w:szCs w:val="13"/>
          <w:color w:val="auto"/>
        </w:rPr>
        <w:t>2</w:t>
      </w:r>
      <w:r>
        <w:rPr>
          <w:rFonts w:ascii="Arial" w:cs="Arial" w:eastAsia="Arial" w:hAnsi="Arial"/>
          <w:sz w:val="16"/>
          <w:szCs w:val="16"/>
          <w:color w:val="auto"/>
        </w:rPr>
        <w:t xml:space="preserve"> genes and have an approximately 50% to 80% probability of concomitant loss, which we believe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320" w:top="459" w:right="3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Based on the prevalence of ATM deficiencies and our STEP</w:t>
      </w:r>
      <w:r>
        <w:rPr>
          <w:rFonts w:ascii="Arial" w:cs="Arial" w:eastAsia="Arial" w:hAnsi="Arial"/>
          <w:sz w:val="14"/>
          <w:szCs w:val="14"/>
          <w:color w:val="auto"/>
        </w:rPr>
        <w:t>2</w:t>
      </w:r>
      <w:r>
        <w:rPr>
          <w:rFonts w:ascii="Arial" w:cs="Arial" w:eastAsia="Arial" w:hAnsi="Arial"/>
          <w:sz w:val="17"/>
          <w:szCs w:val="17"/>
          <w:color w:val="auto"/>
        </w:rPr>
        <w:t>-identified genomic alterations across various solid tumors, as shown in the graph below, we believe that RP-3500 has the potential to benefit a significant number of patients representing a large unmet medical need.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Genomic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160655</wp:posOffset>
            </wp:positionV>
            <wp:extent cx="5074920" cy="256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7492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As part of our development strategy for RP-3500, we are evaluating the potential anti-tumor activity of RP-3500 in combination with an approved PARP inhibitor based on the synergies we have observed in our 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are inactivated, thereby creating a potential therapeutic window.</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Monotherapy</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observed RP-3500 to have a favorable tolerability and pharmacokinetics profile across multiple preclinical studies and animal models, which we believe supports advancing the product candidate into clinical trials. In a preclinical study, we evaluated continuous daily dosing of RP-3500 in a colon cancer xenograft model with CW-2 cancer cells, which contain an inactivating mutation in ATM that confers sensitivity to ATR inhibition. In this study, we injected mice with tumor cells and waited for tumor growth to approximately 200 mm</w:t>
      </w:r>
      <w:r>
        <w:rPr>
          <w:rFonts w:ascii="Arial" w:cs="Arial" w:eastAsia="Arial" w:hAnsi="Arial"/>
          <w:sz w:val="14"/>
          <w:szCs w:val="14"/>
          <w:color w:val="auto"/>
        </w:rPr>
        <w:t>3</w:t>
      </w:r>
      <w:r>
        <w:rPr>
          <w:rFonts w:ascii="Arial" w:cs="Arial" w:eastAsia="Arial" w:hAnsi="Arial"/>
          <w:sz w:val="17"/>
          <w:szCs w:val="17"/>
          <w:color w:val="auto"/>
        </w:rPr>
        <w:t xml:space="preserve"> before initiating daily dosing over a period of 14 days with vehicle, RP-3500 at its maximum tolerated dose, or MTD, of 10 mg/kg/day, or Bayer’s ATR inhibitor product candidate, BAY1895344, at what we determined to be its MTD of 35 mg/kg/day (n=10 mice per group). Both RP-3500 and BAY1895344 demonstrated statistically significant suppression of tumor growth as compared to vehicle. Importantly, we observed statistically significant higher suppression of tumor growth with RP-3500 as compared to BAY1895344 (p=0.018). Body weight loss as a measurement of tolerability was similar for both compounds in this study.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548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another preclinical study using an intermittent dosing schedule, we evaluated RP-3500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Arial" w:cs="Arial" w:eastAsia="Arial" w:hAnsi="Arial"/>
          <w:sz w:val="14"/>
          <w:szCs w:val="14"/>
          <w:color w:val="auto"/>
        </w:rPr>
        <w:t>3</w:t>
      </w:r>
      <w:r>
        <w:rPr>
          <w:rFonts w:ascii="Arial" w:cs="Arial" w:eastAsia="Arial" w:hAnsi="Arial"/>
          <w:sz w:val="17"/>
          <w:szCs w:val="17"/>
          <w:color w:val="auto"/>
        </w:rPr>
        <w:t xml:space="preserve"> before initiating intermittent dosing with vehicle or either treatment (n=9 mice per group). We observed that both RP-3500 and BAY1895344 exhibited tolerability at higher doses when administered on a three days per week schedule than their respective MTDs from the daily dosing CW-2 colon cancer study. The MTDs utilizing this intermittent dosing schedule were determined to be 30 mg/kg daily for RP-3500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RP-3500, which we believe supports our hypothesis of a favorable tolerability profile for RP-3500.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RP-3500 Exhibits Tumor Growth Suppression Without Significant Anemia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160020</wp:posOffset>
            </wp:positionV>
            <wp:extent cx="4963160" cy="1705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6316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Combination Therapy with PARP</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Of our 19 STEP</w:t>
      </w:r>
      <w:r>
        <w:rPr>
          <w:rFonts w:ascii="Arial" w:cs="Arial" w:eastAsia="Arial" w:hAnsi="Arial"/>
          <w:sz w:val="15"/>
          <w:szCs w:val="15"/>
          <w:color w:val="auto"/>
        </w:rPr>
        <w:t>2</w:t>
      </w:r>
      <w:r>
        <w:rPr>
          <w:rFonts w:ascii="Arial" w:cs="Arial" w:eastAsia="Arial" w:hAnsi="Arial"/>
          <w:sz w:val="18"/>
          <w:szCs w:val="18"/>
          <w:color w:val="auto"/>
        </w:rPr>
        <w:t>-identified genes for RP-3500 as a monotherapy, we have identified a subset of genes that are particularly sensitive to the combination of RP-3500 and PARP inhibitors. The graphs below illustrate two examples of this subset of genes where synergy was demonstrated between RP-3500 and PARP inhibitors.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Synergy Demonstrated by Combination of RP-3500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374640" cy="26320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7464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Wild Type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Genomically altered</w:t>
      </w:r>
    </w:p>
    <w:p>
      <w:pPr>
        <w:spacing w:after="0" w:line="21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We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RP-3500 with lower doses of PARP inhibitors could lead to efficient anti-tumor activity while 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Validation of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Screens</w:t>
      </w:r>
    </w:p>
    <w:p>
      <w:pPr>
        <w:spacing w:after="0" w:line="117" w:lineRule="exact"/>
        <w:rPr>
          <w:sz w:val="20"/>
          <w:szCs w:val="20"/>
          <w:color w:val="auto"/>
        </w:rPr>
      </w:pPr>
    </w:p>
    <w:p>
      <w:pPr>
        <w:jc w:val="both"/>
        <w:ind w:right="160" w:firstLine="449"/>
        <w:spacing w:after="0" w:line="255" w:lineRule="auto"/>
        <w:rPr>
          <w:sz w:val="20"/>
          <w:szCs w:val="20"/>
          <w:color w:val="auto"/>
        </w:rPr>
      </w:pPr>
      <w:r>
        <w:rPr>
          <w:rFonts w:ascii="Arial" w:cs="Arial" w:eastAsia="Arial" w:hAnsi="Arial"/>
          <w:sz w:val="18"/>
          <w:szCs w:val="18"/>
          <w:color w:val="auto"/>
        </w:rPr>
        <w:t>Through our STEP</w:t>
      </w:r>
      <w:r>
        <w:rPr>
          <w:rFonts w:ascii="Arial" w:cs="Arial" w:eastAsia="Arial" w:hAnsi="Arial"/>
          <w:sz w:val="15"/>
          <w:szCs w:val="15"/>
          <w:color w:val="auto"/>
        </w:rPr>
        <w:t>2</w:t>
      </w:r>
      <w:r>
        <w:rPr>
          <w:rFonts w:ascii="Arial" w:cs="Arial" w:eastAsia="Arial" w:hAnsi="Arial"/>
          <w:sz w:val="18"/>
          <w:szCs w:val="18"/>
          <w:color w:val="auto"/>
        </w:rPr>
        <w:t xml:space="preserve"> screens of ATR inhibitors, we confirmed the SL relationship between ATR and ATM and identified an additional 19 genomic alterations that confer sensitivity to RP-3500. In follow-up studies with cancer cell line pairs, in which the only difference is the inactivation of the target genes, we are confirming the sensitivity of these genomic alterations to RP-3500, and this extensive validation effort is still being expanded. We are also creating xenograft models using both the parent cell lines and the inactivated cell line. In such a model using one of the STEP</w:t>
      </w:r>
      <w:r>
        <w:rPr>
          <w:rFonts w:ascii="Arial" w:cs="Arial" w:eastAsia="Arial" w:hAnsi="Arial"/>
          <w:sz w:val="15"/>
          <w:szCs w:val="15"/>
          <w:color w:val="auto"/>
        </w:rPr>
        <w:t>2</w:t>
      </w:r>
      <w:r>
        <w:rPr>
          <w:rFonts w:ascii="Arial" w:cs="Arial" w:eastAsia="Arial" w:hAnsi="Arial"/>
          <w:sz w:val="18"/>
          <w:szCs w:val="18"/>
          <w:color w:val="auto"/>
        </w:rPr>
        <w:t>-identified genes, RP-3500 led to statistically significant suppression of tumor growth, whereas it had no anti-tumor effect in tumors created with wild-type parent cells, as shown in the model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Tumor Growth Suppression in a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 Deficient (-/-) Xenograft Model vs.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Effect in Tumor with Wild-Type (+/+)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160655</wp:posOffset>
            </wp:positionV>
            <wp:extent cx="5186045" cy="16459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1/2 Trial</w:t>
      </w:r>
    </w:p>
    <w:p>
      <w:pPr>
        <w:spacing w:after="0" w:line="117"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Our open-label Phase 1/2 clinical trial is designed to evaluate the oral administration of RP-3500 in patients with advanced recurrent tumors of different histologies with ATM loss-of-function or any of the 19 STEP</w:t>
      </w:r>
      <w:r>
        <w:rPr>
          <w:rFonts w:ascii="Arial" w:cs="Arial" w:eastAsia="Arial" w:hAnsi="Arial"/>
          <w:sz w:val="15"/>
          <w:szCs w:val="15"/>
          <w:color w:val="auto"/>
        </w:rPr>
        <w:t>2</w:t>
      </w:r>
      <w:r>
        <w:rPr>
          <w:rFonts w:ascii="Arial" w:cs="Arial" w:eastAsia="Arial" w:hAnsi="Arial"/>
          <w:sz w:val="18"/>
          <w:szCs w:val="18"/>
          <w:color w:val="auto"/>
        </w:rPr>
        <w:t>-identified genomic alterations.</w:t>
      </w:r>
    </w:p>
    <w:p>
      <w:pPr>
        <w:spacing w:after="0" w:line="170" w:lineRule="exact"/>
        <w:rPr>
          <w:sz w:val="20"/>
          <w:szCs w:val="20"/>
          <w:color w:val="auto"/>
        </w:rPr>
      </w:pPr>
    </w:p>
    <w:p>
      <w:pPr>
        <w:ind w:right="300" w:firstLine="449"/>
        <w:spacing w:after="0" w:line="286" w:lineRule="auto"/>
        <w:rPr>
          <w:sz w:val="20"/>
          <w:szCs w:val="20"/>
          <w:color w:val="auto"/>
        </w:rPr>
      </w:pPr>
      <w:r>
        <w:rPr>
          <w:rFonts w:ascii="Arial" w:cs="Arial" w:eastAsia="Arial" w:hAnsi="Arial"/>
          <w:sz w:val="16"/>
          <w:szCs w:val="16"/>
          <w:color w:val="auto"/>
        </w:rPr>
        <w:t>In the initial monotherapy dose escalation phase of our trial, we plan to evaluate the dosing regimen and safety of RP-3500 to establish the recommended dose for the expansion phase of the trial. In three expansion cohorts, each of which will enroll patients based on ATM loss-of-function or different STEP</w:t>
      </w:r>
      <w:r>
        <w:rPr>
          <w:rFonts w:ascii="Arial" w:cs="Arial" w:eastAsia="Arial" w:hAnsi="Arial"/>
          <w:sz w:val="13"/>
          <w:szCs w:val="13"/>
          <w:color w:val="auto"/>
        </w:rPr>
        <w:t>2</w:t>
      </w:r>
      <w:r>
        <w:rPr>
          <w:rFonts w:ascii="Arial" w:cs="Arial" w:eastAsia="Arial" w:hAnsi="Arial"/>
          <w:sz w:val="16"/>
          <w:szCs w:val="16"/>
          <w:color w:val="auto"/>
        </w:rPr>
        <w:t>-identified genomic alterations, we will assess the preliminary efficacy of RP-3500 at the recommended dose. In parallel with the monotherapy dose escalation phase, we will enroll a separate arm to evaluate RP-3500 in combination with an approved PARP inhibitor. An efficacy</w:t>
      </w:r>
    </w:p>
    <w:p>
      <w:pPr>
        <w:sectPr>
          <w:pgSz w:w="11900" w:h="16838" w:orient="portrait"/>
          <w:cols w:equalWidth="0" w:num="1">
            <w:col w:w="11220"/>
          </w:cols>
          <w:pgMar w:left="320" w:top="459" w:right="359" w:bottom="1440" w:gutter="0" w:footer="0" w:header="0"/>
        </w:sectPr>
      </w:pP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evaluation will be performed every six weeks for the first five months and every nine weeks thereafter. We anticipate filing an IND application and initiating an open-label Phase 1/2 clinical trial of RP-3500 as both a monotherapy and in combination with an approved PARP inhibitor in expect to report preliminary safety and efficacy data for the monotherapy and combination therapy dose escalation phase of the trial in may inform the design, including the targeted patient population, of a future pivotal trial.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firstLine="254"/>
        <w:spacing w:after="0" w:line="536" w:lineRule="auto"/>
        <w:rPr>
          <w:sz w:val="20"/>
          <w:szCs w:val="20"/>
          <w:color w:val="auto"/>
        </w:rPr>
      </w:pPr>
      <w:r>
        <w:rPr>
          <w:rFonts w:ascii="Arial" w:cs="Arial" w:eastAsia="Arial" w:hAnsi="Arial"/>
          <w:sz w:val="12"/>
          <w:szCs w:val="12"/>
          <w:color w:val="auto"/>
        </w:rPr>
        <w:t>. We , which</w:t>
      </w:r>
    </w:p>
    <w:p>
      <w:pPr>
        <w:spacing w:after="0" w:line="179" w:lineRule="exact"/>
        <w:rPr>
          <w:sz w:val="20"/>
          <w:szCs w:val="20"/>
          <w:color w:val="auto"/>
        </w:rPr>
      </w:pPr>
    </w:p>
    <w:p>
      <w:pPr>
        <w:sectPr>
          <w:pgSz w:w="11900" w:h="16838" w:orient="portrait"/>
          <w:cols w:equalWidth="0" w:num="2">
            <w:col w:w="10600" w:space="40"/>
            <w:col w:w="580"/>
          </w:cols>
          <w:pgMar w:left="320" w:top="45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20"/>
          </w:cols>
          <w:pgMar w:left="320" w:top="459" w:right="35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design of our Phase 1/2 clinical trial is summarized in the diagram below.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Design of Phase 1/2 Clinical Trial of RP-3500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171450</wp:posOffset>
            </wp:positionV>
            <wp:extent cx="5057775" cy="2091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577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our advancing a clinical candidate for this potential first-in-class</w:t>
      </w:r>
    </w:p>
    <w:p>
      <w:pPr>
        <w:spacing w:after="0" w:line="4"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program into IND-enabling studies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gene targeted by our CCNE1-SL inhibitor program has not previously been published as a SL gene pair with CCNE1,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High levels of CCNE1 protein, an activating subunit of cyclin dependent kinase 2, or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CCNE1 Amplification is Associated with Significantly Shorter Overall Survival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160020</wp:posOffset>
            </wp:positionV>
            <wp:extent cx="2082800" cy="1491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828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339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145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320" w:top="459" w:right="3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In preclinical studies, our CCNE1-SL inhibitor candidates demonstrated early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two patient-derived xenograft, or PDX, models with CCNE1 amplification. In the colorectal PDX model, we observed statistically significant tumor growth suppression with an unoptimized version of our CCNE1-SL inhibitor, as shown on the left below. In the pancreatic PDX model, which has a higher level of CCNE1 over-expression, tumor regression was observed with the same compound, as shown on the right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CCNE1-SL Inhibitor Demonstrates Tumor Growth Suppression in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69180" cy="1508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6918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Development Activities</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We are currently evaluating additional genes identified through our STEP</w:t>
      </w:r>
      <w:r>
        <w:rPr>
          <w:rFonts w:ascii="Arial" w:cs="Arial" w:eastAsia="Arial" w:hAnsi="Arial"/>
          <w:sz w:val="13"/>
          <w:szCs w:val="13"/>
          <w:color w:val="auto"/>
        </w:rPr>
        <w:t>2</w:t>
      </w:r>
      <w:r>
        <w:rPr>
          <w:rFonts w:ascii="Arial" w:cs="Arial" w:eastAsia="Arial" w:hAnsi="Arial"/>
          <w:sz w:val="16"/>
          <w:szCs w:val="16"/>
          <w:color w:val="auto"/>
        </w:rPr>
        <w:t xml:space="preserve"> screens for our CCNE1-SL inhibitor candidates that we believe may be SL with our target. Some of the STEP</w:t>
      </w:r>
      <w:r>
        <w:rPr>
          <w:rFonts w:ascii="Arial" w:cs="Arial" w:eastAsia="Arial" w:hAnsi="Arial"/>
          <w:sz w:val="13"/>
          <w:szCs w:val="13"/>
          <w:color w:val="auto"/>
        </w:rPr>
        <w:t>2</w:t>
      </w:r>
      <w:r>
        <w:rPr>
          <w:rFonts w:ascii="Arial" w:cs="Arial" w:eastAsia="Arial" w:hAnsi="Arial"/>
          <w:sz w:val="16"/>
          <w:szCs w:val="16"/>
          <w:color w:val="auto"/>
        </w:rPr>
        <w:t>-identified genes are altered in 5% to 20% of certain cancers, including lung and prostate cancers, which we believe is indicative of a potential opportunity to address large patient populations with our CCNE1-SL inhibitor. We anticipate advancing a clinical candidate for</w:t>
      </w:r>
    </w:p>
    <w:p>
      <w:pPr>
        <w:spacing w:after="0" w:line="2"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this potential first-in-class program into IND-enabling studies program in</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This program was initially added to our portfolio through a collaboration with our co-founder, Dr. Agnel Sfeir at NYU-Langone Medical Center, who initially published her early observations on the SL between BRCA and Polq in Nature in 2016.</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64"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BRCA1 and BRCA2 mutations have also been shown in clinical trials to be SL with PARP inhibitors in multiple tumors, such as breast and ovarian cancer. While PARP inhibitors have proven effective in BRCA-mutant tumors, no statistically significant survival benefit has been reported in breast or</w:t>
      </w:r>
    </w:p>
    <w:p>
      <w:pPr>
        <w:sectPr>
          <w:pgSz w:w="11900" w:h="16838" w:orient="portrait"/>
          <w:cols w:equalWidth="0" w:num="1">
            <w:col w:w="11220"/>
          </w:cols>
          <w:pgMar w:left="320" w:top="459" w:right="359" w:bottom="1440" w:gutter="0" w:footer="0" w:header="0"/>
        </w:sectPr>
      </w:pPr>
    </w:p>
    <w:p>
      <w:pPr>
        <w:spacing w:after="0" w:line="323" w:lineRule="auto"/>
        <w:rPr>
          <w:sz w:val="20"/>
          <w:szCs w:val="20"/>
          <w:color w:val="auto"/>
        </w:rPr>
      </w:pPr>
      <w:r>
        <w:rPr>
          <w:rFonts w:ascii="Arial" w:cs="Arial" w:eastAsia="Arial" w:hAnsi="Arial"/>
          <w:sz w:val="16"/>
          <w:szCs w:val="16"/>
          <w:color w:val="auto"/>
        </w:rPr>
        <w:t>pancreatic cancer to date, highlighting the potential for other SL targets, such as Polq, to demonstrate meaningful efficacy as a monotherapy or in combination with PARP inhibitors. We anticipate advancing a clinical candidate and initiating IND-enabling studies for this program in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10460" w:space="240"/>
            <w:col w:w="520"/>
          </w:cols>
          <w:pgMar w:left="320" w:top="45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20"/>
          </w:cols>
          <w:pgMar w:left="320" w:top="459" w:right="35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8"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As of April 3, 2020, our patent portfolio included four pending U.S. provisional patent applications, consisting of one application covering RP-3500 and its uses, one application covering uses of RP-3500, one application covering CCNE1-SL inhibitors and their use and one application covering uses of CCNE1-SL inhibitors. In addition, our patent portfolio included one pending international application under the Patent Cooperation Treaty of 1970, or the PCT, covering RP-3500 and its uses.</w:t>
      </w:r>
    </w:p>
    <w:p>
      <w:pPr>
        <w:spacing w:after="0" w:line="187" w:lineRule="exact"/>
        <w:rPr>
          <w:sz w:val="20"/>
          <w:szCs w:val="20"/>
          <w:color w:val="auto"/>
        </w:rPr>
      </w:pPr>
    </w:p>
    <w:p>
      <w:pPr>
        <w:ind w:right="880" w:firstLine="449"/>
        <w:spacing w:after="0" w:line="342" w:lineRule="auto"/>
        <w:rPr>
          <w:sz w:val="20"/>
          <w:szCs w:val="20"/>
          <w:color w:val="auto"/>
        </w:rPr>
      </w:pPr>
      <w:r>
        <w:rPr>
          <w:rFonts w:ascii="Arial" w:cs="Arial" w:eastAsia="Arial" w:hAnsi="Arial"/>
          <w:sz w:val="16"/>
          <w:szCs w:val="16"/>
          <w:color w:val="auto"/>
        </w:rPr>
        <w:t>Our solely owned PCT application has composition of matter and method of treatment and use claims covering RP-3500 and its use. Any application, if issued, claiming priority to this PCT application is expected to expire in 2039, not including any patent term adjustment.</w:t>
      </w:r>
    </w:p>
    <w:p>
      <w:pPr>
        <w:spacing w:after="0" w:line="12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 PCT is an international patent law treaty that provides a unified procedure for filing patent applications to protect inventions in each of its contracting states. Thus, a single PCT application can be converted into a patent application in any of the PCT-contracting states, and is considered a simple, cost-effective means for seeking patent protection in numerous regions or countries. This nationalization (converting into an application in any of the contracting states) typically occurs 18 months after the PCT application filing date. An applicant must undertake prosecution within the allotted time in each of the contracting states or on a regional basis if it determines to undertake patent issuance in protection in such country or territory. Pursuant to its PCT application, the Company expects to pursue patent protection in the United States</w:t>
      </w:r>
    </w:p>
    <w:p>
      <w:pPr>
        <w:spacing w:after="0" w:line="17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Services, License and Collaboration Agreement with Ono Pharmaceutical Co.</w:t>
      </w:r>
    </w:p>
    <w:p>
      <w:pPr>
        <w:spacing w:after="0" w:line="11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i w:val="1"/>
          <w:iCs w:val="1"/>
          <w:color w:val="auto"/>
        </w:rPr>
        <w:t>All payments by Ono to us are presented in U.S. dollars. Future payments as disclosed in this summary have been converted to U.S. dollars at the December 31, 2019 exchange rate of $1.00 = 109.05 Japanese yen.</w:t>
      </w:r>
    </w:p>
    <w:p>
      <w:pPr>
        <w:spacing w:after="0" w:line="62"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In January 2019, we entered into a research services, license and collaboration agreement, or the Ono Agreement, with Ono Pharmaceutical Co., Ltd., or Ono, pursuant to which we and Ono have agreed to collaborate in the research of potential product candidates targeting Polq and the development of our small molecule Polq inhibitor program. We are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elects to collaborate on the subsequent development and commercialization of a proposed product candidate, Ono will then be responsible for such activities in Japan, South Korea, Taiwan, Hong Kong, Macau and certain other Southeast Asian countries, and we will be responsible for such activities in the rest of the world. The collaboration will be overseen by a joint research committee through development candidate selection and a joint steering committee thereafter. Except as set forth below, each party will bear its own expenses in connection with research, development and commercialization activities under the Ono Agreement.</w:t>
      </w:r>
    </w:p>
    <w:p>
      <w:pPr>
        <w:spacing w:after="0" w:line="181"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has agreed to make research service payments up to an aggregate of ¥750 million (approximately $6.9 million) upon (i) certain specified research triggers and (ii) the election by Ono to collaborate on the development and commercialization of a proposed product candidate. Upon election by Ono to collaborate on a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Under the Ono Agreement, we are also entitled to receive up to ¥5.11 billion (approximately $46.9 million) in the aggregate for certain specified development and regulatory milestones, ¥12.1 billion (approximately $111.0 million) in the aggregate for certain specified commercial milestones and a tiered percentage royalty on annual net sales in Ono’s territory ranging from high-single digits to low teens, subject to certain specified reductions. Royalties are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176"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During the term of the Ono Agreement, we, alone and with third parties, are prohibited from researching, developing, manufacturing and commercializing products that inhibit or modulate Polq as a mechanism of action in Ono’s territory (as such term is defined in the Ono Agreement). During the term of the Ono Agreement, Ono, alone and with third parties, is prohibited from researching, developing, manufacturing and commercializing products, other than licensed products, that inhibit or modulate Polq as a mechanism of action in Ono’s territory.</w:t>
      </w:r>
    </w:p>
    <w:p>
      <w:pPr>
        <w:spacing w:after="0" w:line="171"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collaboration and research obligations of the Ono Agreement may be terminated upon the mutual written consent of both parties on or before the two-year anniversary of the Ono Agreement. The Ono Agreement expires on the date of expiration of all royalty obligations. Either party may terminate the Ono Agreement earlier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upon an uncured material breach of the agreement by the other party, the insolvency of the other party, or the initiation of an action challenging the validity or enforceability of a party’s patents. Additionally, Ono may terminate the Ono Agreement for any or no reason on a product-by-product and country-by-country basis upon specified written notice, as well as on a product-by-product basis for safety or efficacy reasons upon abbreviated written notice. Moreover, in the event that we are acquired by a third party and after any such acquisition the acquirer initiates a competing program in Ono’s territory, Ono will have the right to treat such initiation as a material breach.</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 with New York University</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Polq. Upon initial entry into the license agreement, we issued New York University 365,000 common shares in December 2016 as consideration for the license.</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July 2018, we subsequently amended and restated our license agreement with NYU, which we refer to, as amended and restated, as the NYU Agreement. Pursuant to the terms of the NYU Agreement, we are obligated to use reasonable diligence in connection with the research, development and commercialization of the licensed products (as such term is defined in the NYU Agreement), including specified minimum annual spends on research and development.</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 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8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Ono is considered a sublicensee under the terms of the NYU Agreement. Accordingly, we have paid New York University a specified percentage of the approximately $1.0 million initial upfront fee payment we received from Ono and we will be required to pay New York University a percentage between the high teens and low twenties of any future payments received under the Ono Agreement from Ono for development, regulatory and commercial milestones, as well as low single digit royalties on annual net sales in Ono’s territory.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in respect of net sales or sublicense in a country shall remain in force on a product-by-product, country-by-country basis, with respect to</w:t>
      </w:r>
    </w:p>
    <w:p>
      <w:pPr>
        <w:spacing w:after="0" w:line="46" w:lineRule="exact"/>
        <w:rPr>
          <w:sz w:val="20"/>
          <w:szCs w:val="20"/>
          <w:color w:val="auto"/>
        </w:rPr>
      </w:pPr>
    </w:p>
    <w:p>
      <w:pPr>
        <w:ind w:right="140" w:firstLine="8"/>
        <w:spacing w:after="0" w:line="260" w:lineRule="auto"/>
        <w:tabs>
          <w:tab w:leader="none" w:pos="2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products that are not covered by a licensed patent, for ten years from the date of first commercial sale in such country and (ii) products that are covered by a licensed patent, until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of the last to expire of the licensed patents covering such product or its manufacture or use in the applicable country.</w:t>
      </w:r>
    </w:p>
    <w:p>
      <w:pPr>
        <w:spacing w:after="0" w:line="22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NYU Agreement expires on the date of expiration of all royalty obligations. Either party may terminate the NYU Agreement earlier upon an uncured material breach of the agreement by the other party or the insolvency of the other party.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2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Currently, we have manufacturing and supply agreements with our CMOs for the manufacture of RP-3500 and our preclinical candidates, including the synthesis of the active pharmaceutical ingredient, or API, as well as drug product.</w:t>
      </w:r>
    </w:p>
    <w:p>
      <w:pPr>
        <w:spacing w:after="0" w:line="18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6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plan to continue to rely on third-party manufacturers for any future trials and commercialization of RP-3500 and any future product candidates, if approved. We anticipate that these CMOs will have capacity 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With respect to our lead product candidate, RP-3500, several companies are developing ATR inhibitors with multiple monotherapy and/or combination trials ongoing, including AstraZeneca (AZD6738), Bayer (BAY1895344) and Merck Serono (M4344). In addition, companies such as Artios Pharma and Atrin Pharmaceuticals have ATR inhibitors in preclinical development.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CCNE1-SL inhibitor program, we are not aware of any companies or institutions with programs in development for this target.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preclinical Polq program, both Artios Pharma and IDEAYA Biosciences have Polq programs in the preclinical stages of development.</w:t>
      </w:r>
    </w:p>
    <w:p>
      <w:pPr>
        <w:spacing w:after="0" w:line="237"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9" w:right="3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or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31" w:lineRule="exact"/>
        <w:rPr>
          <w:sz w:val="20"/>
          <w:szCs w:val="20"/>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 and</w:t>
      </w:r>
    </w:p>
    <w:p>
      <w:pPr>
        <w:spacing w:after="0" w:line="130"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6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31" w:lineRule="exact"/>
        <w:rPr>
          <w:sz w:val="20"/>
          <w:szCs w:val="20"/>
          <w:color w:val="auto"/>
        </w:rPr>
      </w:pPr>
    </w:p>
    <w:p>
      <w:pPr>
        <w:jc w:val="both"/>
        <w:ind w:left="1000" w:right="40" w:hanging="547"/>
        <w:spacing w:after="0" w:line="286"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70" w:lineRule="exact"/>
        <w:rPr>
          <w:rFonts w:ascii="Arial" w:cs="Arial" w:eastAsia="Arial" w:hAnsi="Arial"/>
          <w:sz w:val="17"/>
          <w:szCs w:val="17"/>
          <w:color w:val="auto"/>
        </w:rPr>
      </w:pPr>
    </w:p>
    <w:p>
      <w:pPr>
        <w:ind w:left="1000" w:right="220" w:hanging="547"/>
        <w:spacing w:after="0" w:line="286"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70" w:lineRule="exact"/>
        <w:rPr>
          <w:rFonts w:ascii="Arial" w:cs="Arial" w:eastAsia="Arial" w:hAnsi="Arial"/>
          <w:sz w:val="17"/>
          <w:szCs w:val="17"/>
          <w:color w:val="auto"/>
        </w:rPr>
      </w:pPr>
    </w:p>
    <w:p>
      <w:pPr>
        <w:ind w:left="1000" w:right="180" w:hanging="547"/>
        <w:spacing w:after="0" w:line="275"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84"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8"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8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8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9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9" w:right="3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9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6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9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14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92"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FDA may require Phase 4 post-marketing studies to monitor the effect of approved products, and may limit further marketing of the product based on the results of these post-marketing studies.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76"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1"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71"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92"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459" w:right="3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Regulations</w:t>
      </w:r>
    </w:p>
    <w:p>
      <w:pPr>
        <w:spacing w:after="0" w:line="11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61"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federal civil and criminal false claims laws, including the FCA,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6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as defined by such law,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95"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held by covered entities and their business associates.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7"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7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124"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76"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of 2017, or Tax Act,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coverage and medical device tax and, effective January 1, 2021, also eliminates the health insurer tax. Further,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w:t>
      </w:r>
    </w:p>
    <w:p>
      <w:pPr>
        <w:spacing w:after="0" w:line="18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included aggregate reductions of Medicare payments to providers of 2.0% per fiscal year, which went into effect in April 2013, and due to subsequent legislative amendments, including the BBA, will remain in effect through 2030, unless additional U.S. Congressional action is taken. These Medicare sequester reductions will be suspended from May 1, 2020 through December 31, 2020 due to the COVID-19 pandemic.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68"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w:t>
      </w:r>
    </w:p>
    <w:p>
      <w:pPr>
        <w:spacing w:after="0" w:line="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in May 2019, CMS issued a final rule to allow Medicare Advantage plans the option to use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will continue to seek new legislative and/or administrative measures to control drug costs.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As of March 31, 2020, we had 64 full-time employees, including 29 who hold an M.D. or Ph.D. degree. Of these full-time employees, 53 were primarily engaged in research and development activities and 11 were primarily engaged in management or general and administrative activities. None of our employees is represented by a labor union and we consider our employee relations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headquarters is currently located in Montréal, Québec, Canada and consists of 9,045 square feet of leased laboratory and office space under a lease that expires in July 2021. We also have a U.S. subsidiary in Cambridge, Massachusetts. We believe that our facilities are adequate to meet our current needs.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320" w:top="459" w:right="3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including their ages as of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42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Lloyd M. Segal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Forte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Financial Officer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Chief Medical Officer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Zinda,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Scientific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Jerel Davis,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Chairman of the Board of Directors</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David Bonita, M.D.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Samarth Kulkarni,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 M.D.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Kevin J. Raidy</w:t>
            </w:r>
            <w:r>
              <w:rPr>
                <w:rFonts w:ascii="Arial" w:cs="Arial" w:eastAsia="Arial" w:hAnsi="Arial"/>
                <w:sz w:val="15"/>
                <w:szCs w:val="15"/>
                <w:color w:val="auto"/>
              </w:rPr>
              <w:t>(1)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3"/>
          <w:szCs w:val="13"/>
          <w:color w:val="auto"/>
        </w:rPr>
      </w:pPr>
      <w:r>
        <w:rPr>
          <w:rFonts w:ascii="Arial" w:cs="Arial" w:eastAsia="Arial" w:hAnsi="Arial"/>
          <w:sz w:val="16"/>
          <w:szCs w:val="16"/>
          <w:color w:val="auto"/>
        </w:rPr>
        <w:t>Mr. Raidy intends to resign from our board of directors prior to the effectiveness of the registration statement of which this prospectus forms a part.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i w:val="1"/>
          <w:iCs w:val="1"/>
          <w:color w:val="auto"/>
        </w:rPr>
        <w:t xml:space="preserve">Lloyd M. Segal </w:t>
      </w:r>
      <w:r>
        <w:rPr>
          <w:rFonts w:ascii="Arial" w:cs="Arial" w:eastAsia="Arial" w:hAnsi="Arial"/>
          <w:sz w:val="16"/>
          <w:szCs w:val="16"/>
          <w:color w:val="auto"/>
        </w:rPr>
        <w:t>has served as our President and Chief Executive Officer and as a member of our board of directors since our incorporation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2016. From February 2010 to January 2016, he was a Managing Partner with Persistence Capital Partners, a Canadian-based healthcare private equity investor. Previously, Mr. Segal was a consultant with McKinsey &amp; Company, and served as chief executive officer of several emerging biotechnology companies including Advanced Bioconcept Inc., Caprion Pharmaceuticals Inc. (now Caprion Biosciences), which he co-founded, and Thallion Pharmaceuticals Inc. He serves as a member of the board of directors of GBC American Fund, a U.S. growth-focused mutual fund. Mr. Segal also previously served as Chairman of LMC Diabetes &amp; Endocrinology, Canada’s leading national endocrinology practice. From June 2016 to March 2020, Mr. Segal served as Entrepreneur-in-Residence with Versant Ventures. He was honored in 2013 by the </w:t>
      </w:r>
      <w:r>
        <w:rPr>
          <w:rFonts w:ascii="Arial" w:cs="Arial" w:eastAsia="Arial" w:hAnsi="Arial"/>
          <w:sz w:val="16"/>
          <w:szCs w:val="16"/>
          <w:i w:val="1"/>
          <w:iCs w:val="1"/>
          <w:color w:val="auto"/>
        </w:rPr>
        <w:t>Financial Times</w:t>
      </w:r>
      <w:r>
        <w:rPr>
          <w:rFonts w:ascii="Arial" w:cs="Arial" w:eastAsia="Arial" w:hAnsi="Arial"/>
          <w:sz w:val="16"/>
          <w:szCs w:val="16"/>
          <w:color w:val="auto"/>
        </w:rPr>
        <w:t xml:space="preserve"> as Outstanding Director of the Year for public companies and also previously served on the boards of directors of several public and private U.S. and Canadian companies, including Valeant Pharmaceuticals International and its predecessor company, Biovail Corporation. He holds a B.A. in politics from Brandeis University and an M.B.A. from Harvard Business School. Our board of directors believes that Mr. Segal’s extensive experience in the biotechnology industry in addition to his corporate governance and executive leadership experience qualify him to serve on our board of directors.</w:t>
      </w:r>
    </w:p>
    <w:p>
      <w:pPr>
        <w:spacing w:after="0" w:line="172"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i w:val="1"/>
          <w:iCs w:val="1"/>
          <w:color w:val="auto"/>
        </w:rPr>
        <w:t xml:space="preserve">Steve Forte </w:t>
      </w:r>
      <w:r>
        <w:rPr>
          <w:rFonts w:ascii="Arial" w:cs="Arial" w:eastAsia="Arial" w:hAnsi="Arial"/>
          <w:sz w:val="18"/>
          <w:szCs w:val="18"/>
          <w:color w:val="auto"/>
        </w:rPr>
        <w:t>has served as our Executive Vice President, Chief Financial Officer since October 2019. Prior to joining us, he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Clementia Pharmaceuticals Inc. from August 2018 through June 2019, during which time Clementia was acquired by Ipsen S.A. From September 2015 to August 2018, Mr. Forte served as Chief Financial Officer of Thinking Capital Financial Corporation, a Canadian financial technology firm, where he ultimately led the firm through a sale to Purpose Investments. From September 2014 to September 2015, he served as Executive Director of Finance of CST Canada Co. From 2005 to 2014, Mr. Forte held positions of increasing responsibility at Aptalis Pharma Inc., including most recently holding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position of Vice President, Financial Reporting where he was responsible for the overall corporate controllership function of the company. He currently serves on the board of directors of Profound Medical Corp., where he is also a member of the audit committee. Mr. Forte received his Bachelor of Commerce in accountancy from Concordia University and is a Certified Professional Accountant in the Province of Québec and a Certified Information Systems Auditor (non-practicing) with ISACA.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Maria Koehler, M.D., Ph.D. </w:t>
      </w:r>
      <w:r>
        <w:rPr>
          <w:rFonts w:ascii="Arial" w:cs="Arial" w:eastAsia="Arial" w:hAnsi="Arial"/>
          <w:sz w:val="16"/>
          <w:szCs w:val="16"/>
          <w:color w:val="auto"/>
        </w:rPr>
        <w:t>has served as our Executive Vice President, Chief Medical Officer since May 2019. Prior to joining us, from September</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2017 to April 2019, Dr. Koehler served as the Chief Medical Officer of Bicycle Therapeutics Limited. From March 2009 to September 2017, Dr. Koehler served as Vice President of Strategy, Innovation and Collaborations for the Oncology Business Unit at Pfizer Inc. Prior to joining Pfizer, Dr. Koehler was the group leader for the Medicine Development Center of GlaxoSmithKline Oncology. Prior to that, Dr. Koehler was a Senior Medical Director for oncology research and development at AstraZeneca plc. Dr. Koehler has also served as the clinical director of Bone Marrow Transplantation at University Hospital in Pittsburgh as well as the director of the Bone Marrow Transplant Program and associate professor at St. Christopher’s Hospital in Philadelphia. Dr. Koehler is a board-certified hematology/oncology physician. Dr. Koehler received her M.D. and Ph.D. from Silesian School of Medicine in Katowice, Poland.</w:t>
      </w:r>
    </w:p>
    <w:p>
      <w:pPr>
        <w:spacing w:after="0" w:line="19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i w:val="1"/>
          <w:iCs w:val="1"/>
          <w:color w:val="auto"/>
        </w:rPr>
        <w:t xml:space="preserve">Michael Zinda, Ph.D. </w:t>
      </w:r>
      <w:r>
        <w:rPr>
          <w:rFonts w:ascii="Arial" w:cs="Arial" w:eastAsia="Arial" w:hAnsi="Arial"/>
          <w:sz w:val="18"/>
          <w:szCs w:val="18"/>
          <w:color w:val="auto"/>
        </w:rPr>
        <w:t>has served as our Executive Vice President, Chief Scientific Officer since May 2019 and previously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Head of Research and Development of our U.S. subsidiary, Repare Therapeutics USA Inc., from June 2017 to May 2019. Prior to joining us, he spent 16 years at AstraZeneca from 2001 to May 2017, where he obtained the position of Executive Director, Head of Cancer Bioscience. In this role, Dr. Zinda served on the global science leadership team, oncology research board and the Acerta research and early development teams accountable for strategy, key collaborations/partnerships and delivery of an innovative portfolio of patient-centric drug discovery programs. Dr. Zinda holds a B.Sc. in biology from Minnesota State University Moorhead and a Ph.D. in molecular biology from Vanderbilt University. He received his post-doctoral training at Princeton University and Eli Lilly &amp;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i w:val="1"/>
          <w:iCs w:val="1"/>
          <w:color w:val="auto"/>
        </w:rPr>
        <w:t xml:space="preserve">Jerel Davis, Ph.D. </w:t>
      </w:r>
      <w:r>
        <w:rPr>
          <w:rFonts w:ascii="Arial" w:cs="Arial" w:eastAsia="Arial" w:hAnsi="Arial"/>
          <w:sz w:val="18"/>
          <w:szCs w:val="18"/>
          <w:color w:val="auto"/>
        </w:rPr>
        <w:t>has served as chairman of our board of directors since our incorporation in September 2016. Since June 2011, Dr. Davis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at Versant Venture Management, LLC, a healthcare investment firm, where he has held the position of managing director since 2015. He has played a critical role in Versant’s company creation strategies and has served on the boards of directors of many public and private biotech companies including BlueRock Therapeutics, Turnstone Biologics, Chinook Therapeutics, Inception 5 and Northern Biologics. Prior to joining Versant, Dr. Davis was an associate principal at McKinsey &amp; Company in various healthcare markets including the United States, Canada, Europe and China. He received a B.S. in mathematics and biology from Pepperdine University and a Ph.D. in population genetics from Stanford University. Our board of directors believes that Dr. Davis’s broad and extensive experience in the life sciences industry as both an investor of and launching numerous life sciences companies qualifies him to serve on our board of directors.</w:t>
      </w:r>
    </w:p>
    <w:p>
      <w:pPr>
        <w:spacing w:after="0" w:line="19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 xml:space="preserve">David Bonita, M.D. </w:t>
      </w:r>
      <w:r>
        <w:rPr>
          <w:rFonts w:ascii="Arial" w:cs="Arial" w:eastAsia="Arial" w:hAnsi="Arial"/>
          <w:sz w:val="16"/>
          <w:szCs w:val="16"/>
          <w:color w:val="auto"/>
        </w:rPr>
        <w:t>has served as a member of our board of directors since September 2019. Dr. Bonita is a member of OrbiMed Advisors LLC,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firm, where he has held various positions since joining in June 2004. He currently serves on the boards of directors of Tricida, Inc. and Imara Inc. Dr. Bonita previously served on the boards of directors of several other public and private companies, including Ambit Biosciences Corporation, Clementia Pharmaceuticals Inc., Loxo Oncology, Inc., SI-BONE, Inc. and ViewRay Inc. Prior to joining OrbiMed, he worked as a corporate finance analyst in the healthcare investment banking groups of Morgan Stanley and UBS. Dr. Bonita has published scientific articles in peer-reviewed journals based on signal transduction research performed at Harvard Medical School. He received his B.A. in biology from Harvard University and his joint M.D./M.B.A. from Columbia University. Our board of directors believes that Dr. Bonita’s extensive investment experience in the healthcare industry and his experience on the boards of directors of several public and private companies qualify him to serve on our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 xml:space="preserve">Todd Foley </w:t>
      </w:r>
      <w:r>
        <w:rPr>
          <w:rFonts w:ascii="Arial" w:cs="Arial" w:eastAsia="Arial" w:hAnsi="Arial"/>
          <w:sz w:val="17"/>
          <w:szCs w:val="17"/>
          <w:color w:val="auto"/>
        </w:rPr>
        <w:t>has served as a member of our board of directors since June 2017. Since 1999, Mr. Foley has worked at MPM Capital LLC, a healthcare-focused venture capital firm, where he currently serves as a Managing Director focusing on investments in biotech companies. He currently serves on the board of directors of Chiasma, Inc. and Rhythm Pharmaceuticals, Inc. and also serves as on the boards of directors of several other privately-held life sciences and pharmaceutical companies. Mr. Foley received a B.S. in chemistry from the Massachusetts Institute of Technology and an M.B.A from Harvard Business School. Our board of directors believes that Mr. Foley’s financial expertise and experience as both an investor of and a member of the board of directors of numerous life sciences companies qualify him to serve on our board of directors.</w:t>
      </w:r>
    </w:p>
    <w:p>
      <w:pPr>
        <w:spacing w:after="0" w:line="178" w:lineRule="exact"/>
        <w:rPr>
          <w:sz w:val="20"/>
          <w:szCs w:val="20"/>
          <w:color w:val="auto"/>
        </w:rPr>
      </w:pPr>
    </w:p>
    <w:p>
      <w:pPr>
        <w:ind w:right="340" w:firstLine="449"/>
        <w:spacing w:after="0" w:line="291" w:lineRule="auto"/>
        <w:rPr>
          <w:sz w:val="20"/>
          <w:szCs w:val="20"/>
          <w:color w:val="auto"/>
        </w:rPr>
      </w:pPr>
      <w:r>
        <w:rPr>
          <w:rFonts w:ascii="Arial" w:cs="Arial" w:eastAsia="Arial" w:hAnsi="Arial"/>
          <w:sz w:val="16"/>
          <w:szCs w:val="16"/>
          <w:i w:val="1"/>
          <w:iCs w:val="1"/>
          <w:color w:val="auto"/>
        </w:rPr>
        <w:t xml:space="preserve">Samarth Kulkarni, Ph.D. </w:t>
      </w:r>
      <w:r>
        <w:rPr>
          <w:rFonts w:ascii="Arial" w:cs="Arial" w:eastAsia="Arial" w:hAnsi="Arial"/>
          <w:sz w:val="16"/>
          <w:szCs w:val="16"/>
          <w:color w:val="auto"/>
        </w:rPr>
        <w:t>has served as a member of our board of directors since November 2019. Dr. Kulkarni is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CRISPR Therapeutics AG, a position he has held since 2017. He initially joined CRISPR in August 2015 as Chief Business Officer, and then served as CRISPR’s President and Chief Business Officer from May 2017 to November 2017. Prior to joining CRISPR, Dr. Kulkarni was a partner within the pharmaceuticals and biotechnology practice at McKinsey &amp; Company, a global consulting firm, where he held various positions of increasing responsibility after joining in 2006. He also serves on the board of directors of Black Diamond Therapeutics, Inc. Dr. Kulkarni received a Ph.D. in bioengineering and nanotechnology from the University of Washington and a B. Tech. from the Indian Institute of Technology. Our board of directors believes that Dr. Kulkarni’s extensive management and industry experience qualify him to serve on our board of directors.</w:t>
      </w:r>
    </w:p>
    <w:p>
      <w:pPr>
        <w:spacing w:after="0" w:line="166"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i w:val="1"/>
          <w:iCs w:val="1"/>
          <w:color w:val="auto"/>
        </w:rPr>
        <w:t xml:space="preserve">Briggs Morrison, M.D. </w:t>
      </w:r>
      <w:r>
        <w:rPr>
          <w:rFonts w:ascii="Arial" w:cs="Arial" w:eastAsia="Arial" w:hAnsi="Arial"/>
          <w:sz w:val="16"/>
          <w:szCs w:val="16"/>
          <w:color w:val="auto"/>
        </w:rPr>
        <w:t>has served as a member of our board of directors since June 2017. Dr. Morrison currently serves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Syndax Pharmaceuticals, Inc., a position he has held since June 2015, and as a member of its board of directors since July 2015. Prior to joining Syndax, Dr. Morrison served as Executive Vice President, Global Medicines Development and Chief Medical Officer at AstraZeneca plc from January 2012 to June 2015, leading the company’s global, late-stage development organization and serving as a member of the AstraZeneca senior executive team. From October 2007 to December 2011, Dr. Morrison held a number of positions of increasing responsibility at Pfizer Inc., culminating in his appointment as Head, Medical Affairs, Safety and Regulatory Affairs for Pfizer’s human health business. Dr. Morrison served as chairman of the board of TransCelerate BioPharma Inc. from 2014 to 2015, a member of the executive committee of the Clinical Trials Transformation Initiative sponsored by FDA, and is on the board of the Alliance for Clinical Research Excellence and Safety. In addition to Syndax, Dr. Morrison currently serves on the boards of directors of two other public companies, Arvinas, Inc. and NextCure, Inc. as well as on the boards of directors of several private companies. He is also currently an executive partner at MPM Capital LLC, a healthcare-focused venture capital firm, a position he has held since June 2015. Dr. Morrison received a B.S. in biology from Georgetown University and an M.D. from the University of Connecticut Medical School. He completed residency training in internal medicine at Massachusetts General Hospital and a fellowship in medical oncology at the Dana-Farber Cancer Institute. Our board of directors believes that Dr. Morrison’s extensive executive leadership experience, his medical background and training and his service on the boards of other public and private biopharmaceutical and biotechnology companies qualify him to serve on our board of directors.</w:t>
      </w:r>
    </w:p>
    <w:p>
      <w:pPr>
        <w:spacing w:after="0" w:line="17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i w:val="1"/>
          <w:iCs w:val="1"/>
          <w:color w:val="auto"/>
        </w:rPr>
        <w:t xml:space="preserve">Kevin J. Raidy </w:t>
      </w:r>
      <w:r>
        <w:rPr>
          <w:rFonts w:ascii="Arial" w:cs="Arial" w:eastAsia="Arial" w:hAnsi="Arial"/>
          <w:sz w:val="17"/>
          <w:szCs w:val="17"/>
          <w:color w:val="auto"/>
        </w:rPr>
        <w:t>has served as a member of our board of directors since September 2019. Since November 2017, Mr. Raidy has served as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and Portfolio Manager of Cowen Healthcare Investments. Previously, from 2012 to 2017, he served as Head of Investment Banking at Cowen and Company, and from 2010 to 2012, he served as the co-head of Cowen’s equity capital markets group, which is responsible for the origination and execution of all equity capital-raising transactions. Prior joining Cowen, Mr. Raidy was a managing director at Ramius LLC, where he was portfolio manager for direct investments and convertible bonds, managing a portfolio in excess of $1 billion. Mr. Raidy also was the founder of H4 Capital Management LLC. His sell-side experience includes ten years at Shipley Raidy Capital Partners LP, a boutique investment banking firm that he co-founded, where he was responsible for sourcing, evaluating and structuring numerous debt and equity financings and also performed M&amp;A advisory services. Mr. Raidy holds a B.S. in economics with a concentration in finance from the Wharton School of the University of Pennsylvania. Our board of directors believes that Mr. Raidy’s extensive financial and investment expertise qualify him to serve on our board of</w:t>
      </w:r>
    </w:p>
    <w:p>
      <w:pPr>
        <w:spacing w:after="0" w:line="1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directors. Mr. Raidy intends to resign from our board of directors prior to the effectiveness of the registration statement of which this prospectus forms a part.</w:t>
      </w:r>
    </w:p>
    <w:p>
      <w:pPr>
        <w:spacing w:after="0" w:line="170"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i w:val="1"/>
          <w:iCs w:val="1"/>
          <w:color w:val="auto"/>
        </w:rPr>
        <w:t xml:space="preserve">Carol A. Schafer </w:t>
      </w:r>
      <w:r>
        <w:rPr>
          <w:rFonts w:ascii="Arial" w:cs="Arial" w:eastAsia="Arial" w:hAnsi="Arial"/>
          <w:sz w:val="17"/>
          <w:szCs w:val="17"/>
          <w:color w:val="auto"/>
        </w:rPr>
        <w:t>has served as a member of our board of directors since March 2019. Ms. Schafer is currently a consultant in the biotech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more than 25 years of experience in investment banking, equity capital markets, corporate finance and business development in the biopharmaceutical sector. From April 2007 to September 2018, she held various positions of increasing responsibility at Wells Fargo Securities, most recently serving as Vice Chair, Equity Capital Markets. From December 2003 to February 2007, Ms. Schafer served as Vice President of Finance and Business Development at Lexicon Pharmaceuticals. Prior to that, Ms. Schafer worked at J.P. Morgan, where she held positions of increasing responsibility, most recently serving as a managing director in equity capital markets. Ms. Schafer currently serves on the boards of directors of Idera Pharmaceuticals, Inc. and Five Prime Therapeutics, Inc. Ms. Schafer received a B.A. from Boston College and an M.B.A from New York University. Our board of directors believes that Ms. Schafer’s extensive financial background and experience providing investment banking, equity capital markets and strategic support to companies within the healthcare sector qualify her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board of directors currently consists of eight members. All of our directors currently serve on the board of directors pursuant to the provisions of our second amended and restated unanimous shareholders’ agreement, or the shareholders’ agreement, dated September 3, 2019, between us and all of our shareholders. The shareholders’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amended and restated bylaws that will become effective immediately prior to the closing of this offering will provide that our board of directors is to consist of a minimum of one director and a maximum of ten directors as determined from time to time by the directors. Under the Canada Business Corporations Act, or CBCA, a director may be removed with or without cause by a resolution passed by a majority of the votes cast by shareholders present in person or by proxy at a meeting and who are entitled to vote. The directors are appointed at the annual general meeting of shareholders and the terms of office for each of the directors will expire at the time of our next annual shareholders meeting. Under the CBCA, at least one quarter of our directors must be resident Canadians as defined in the CBCA. Our amended articles of incorporation will provide that, between annual general meetings of our shareholders, the directors may appoint one or more additional directors, but the number of additional directors may not at any time exceed one third of the number of directors elected at the previous annual meeting of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Under listing rules of the Nasdaq Stock Market LLC, or the Nasdaq Listing Rules, independent directors must comprise a majority of our board of directors within one year of listing as a public company.</w:t>
      </w:r>
    </w:p>
    <w:p>
      <w:pPr>
        <w:spacing w:after="0" w:line="170"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w:t>
      </w:r>
    </w:p>
    <w:p>
      <w:pPr>
        <w:spacing w:after="0" w:line="252" w:lineRule="auto"/>
        <w:rPr>
          <w:sz w:val="20"/>
          <w:szCs w:val="20"/>
          <w:color w:val="auto"/>
        </w:rPr>
      </w:pPr>
      <w:r>
        <w:rPr>
          <w:rFonts w:ascii="Arial" w:cs="Arial" w:eastAsia="Arial" w:hAnsi="Arial"/>
          <w:sz w:val="18"/>
          <w:szCs w:val="18"/>
          <w:color w:val="auto"/>
        </w:rPr>
        <w:t>relationships, our board of directors has determined that all of our directors except , representing of our eight directors, do not have any relationships that would interfere with the exercise of independent judgment in carrying out the responsibilities of a director and that each of these directors is “independent” as that term is defined under the applicable rules and regulations of the SEC and the Nasdaq Listing Rules.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 capital by each non-employee director.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board of directors has established an audit committee and a compensation committee, each of which will be reconstituted prior to the completion of this offering. We will also establish a nominating and corporate governance committee prior to the completion of this offering. The composition and functions of each committee are described below. Members serve on these committees until their resignation or until otherwise determined by our board of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449"/>
        <w:spacing w:after="0" w:line="258" w:lineRule="auto"/>
        <w:rPr>
          <w:sz w:val="20"/>
          <w:szCs w:val="20"/>
          <w:color w:val="auto"/>
        </w:rPr>
      </w:pPr>
      <w:r>
        <w:rPr>
          <w:rFonts w:ascii="Arial" w:cs="Arial" w:eastAsia="Arial" w:hAnsi="Arial"/>
          <w:sz w:val="18"/>
          <w:szCs w:val="18"/>
          <w:color w:val="auto"/>
        </w:rPr>
        <w:t>Upon the completion of this offering, our audit committee will consist of , and . The chair of our audit committee is . Our board of directors has determined that all members are independent under the Nasdaq Listing Rules and Rule 10A-3(b)(1)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the Securities Exchange Act of 1934, as amended, or the Exchange Act. Our board of directors has determined that each member of our audit committee</w:t>
      </w:r>
    </w:p>
    <w:p>
      <w:pPr>
        <w:spacing w:after="0" w:line="3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meets the financial literacy requirements as set forth in the Nasdaq Listing Rules. Our board of directors has also determined that is an “audit committee financial expert” as such term is currently defined in Item 407(d)(5) of Regulations S-K. In arriving at these determinations, the board of directors has examined each audit committee member’s scope of experience and the nature of their employment in the corporate finance sector.</w:t>
      </w:r>
    </w:p>
    <w:p>
      <w:pPr>
        <w:spacing w:after="0" w:line="173"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consolidated financial statements, the qualifications and independence of our independent auditors and our internal financial and accounting controls. The principal duties and responsibilities of our audit committee include, among other things:</w:t>
      </w:r>
    </w:p>
    <w:p>
      <w:pPr>
        <w:spacing w:after="0" w:line="89" w:lineRule="exact"/>
        <w:rPr>
          <w:sz w:val="20"/>
          <w:szCs w:val="20"/>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immediately prior to the closing of this offering, which satisfies the applicable rules and regulations of the SEC and the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Upon the completion of this offering, our compensation committee will consist of , and . The chair of our compensation committee is . Our board of directors has determined that all members are independent under the Nasdaq Listing Rules and are “non-employee directors” as defined in Rule 16b-3 promulgated under the Exchange Act. The chair of our compensation committee is .</w:t>
      </w:r>
    </w:p>
    <w:p>
      <w:pPr>
        <w:spacing w:after="0" w:line="18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compensation committee oversees the compensation objectives for the company and the compensation of the chief executive officer and other executives. The principal duties and responsibilities of our compensation committee include, among other things:</w:t>
      </w:r>
    </w:p>
    <w:p>
      <w:pPr>
        <w:spacing w:after="0" w:line="76" w:lineRule="exact"/>
        <w:rPr>
          <w:sz w:val="20"/>
          <w:szCs w:val="20"/>
          <w:color w:val="auto"/>
        </w:rPr>
      </w:pPr>
    </w:p>
    <w:p>
      <w:pPr>
        <w:ind w:left="1000" w:right="160" w:hanging="547"/>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executive officers, including evaluating the performance of our chief executive officer and, with his assistance, that of our other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and</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immediately prior to the closing of this offering, which satisfies the applicable rules and regulations of the SEC and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60"/>
        <w:spacing w:after="0"/>
        <w:tabs>
          <w:tab w:leader="none" w:pos="8980" w:val="left"/>
          <w:tab w:leader="none" w:pos="10020" w:val="left"/>
        </w:tabs>
        <w:rPr>
          <w:sz w:val="20"/>
          <w:szCs w:val="20"/>
          <w:color w:val="auto"/>
        </w:rPr>
      </w:pPr>
      <w:r>
        <w:rPr>
          <w:rFonts w:ascii="Arial" w:cs="Arial" w:eastAsia="Arial" w:hAnsi="Arial"/>
          <w:sz w:val="18"/>
          <w:szCs w:val="18"/>
          <w:color w:val="auto"/>
        </w:rPr>
        <w:t>Upon the completion of this offering, our nominating and corporate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900"/>
        <w:spacing w:after="0"/>
        <w:tabs>
          <w:tab w:leader="none" w:pos="6820" w:val="left"/>
        </w:tabs>
        <w:rPr>
          <w:sz w:val="20"/>
          <w:szCs w:val="20"/>
          <w:color w:val="auto"/>
        </w:rPr>
      </w:pPr>
      <w:r>
        <w:rPr>
          <w:rFonts w:ascii="Arial" w:cs="Arial" w:eastAsia="Arial" w:hAnsi="Arial"/>
          <w:sz w:val="18"/>
          <w:szCs w:val="18"/>
          <w:color w:val="auto"/>
        </w:rPr>
        <w:t>. The chair of our nominating and corporate governance committee is</w:t>
      </w:r>
      <w:r>
        <w:rPr>
          <w:sz w:val="20"/>
          <w:szCs w:val="20"/>
          <w:color w:val="auto"/>
        </w:rPr>
        <w:tab/>
      </w:r>
      <w:r>
        <w:rPr>
          <w:rFonts w:ascii="Arial" w:cs="Arial" w:eastAsia="Arial" w:hAnsi="Arial"/>
          <w:sz w:val="16"/>
          <w:szCs w:val="16"/>
          <w:color w:val="auto"/>
        </w:rPr>
        <w:t>. Each member of the nominating and corporate governance</w:t>
      </w:r>
    </w:p>
    <w:p>
      <w:pPr>
        <w:spacing w:after="0" w:line="9"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committee is a non-employee director within the meaning of Rule 16b-3 of the rules promulgated under the Exchange Act, an independent director as defined by the Nasdaq Listing Rules and is free from any relationship that would interfere with the exercise of his or her independent judgment, as determined by the board of directors in accordance with the applicable Nasdaq Listing Rules.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320" w:top="459" w:right="3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The nominating and corporate governance committee oversees our corporate governance policies and evaluates the composition of our board of directors and candidates for director. The nominating and corporate governance committee’s responsibilities include, among other things:</w:t>
      </w:r>
    </w:p>
    <w:p>
      <w:pPr>
        <w:spacing w:after="0" w:line="29" w:lineRule="exact"/>
        <w:rPr>
          <w:sz w:val="20"/>
          <w:szCs w:val="20"/>
          <w:color w:val="auto"/>
        </w:rPr>
      </w:pPr>
    </w:p>
    <w:p>
      <w:pPr>
        <w:ind w:left="1000" w:right="260" w:hanging="547"/>
        <w:spacing w:after="0" w:line="277"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nominating and governance committee will operate under a written charter, to be effective immediately prior to the closing of this offering, which satisfies the applicable rules and regulations of the SEC and the Nasdaq Listing Rules.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In connection with this offering, we intend to adopt a Code of Business Conduct and Ethics, or the Code of Ethics, applicable to all of our employees, executive officers and directors. Following the closing of this offering, the Code of Ethics will be available on our website at </w:t>
      </w:r>
      <w:r>
        <w:rPr>
          <w:rFonts w:ascii="Arial" w:cs="Arial" w:eastAsia="Arial" w:hAnsi="Arial"/>
          <w:sz w:val="18"/>
          <w:szCs w:val="18"/>
          <w:i w:val="1"/>
          <w:iCs w:val="1"/>
          <w:color w:val="auto"/>
        </w:rPr>
        <w:t>www.reparerx.com</w:t>
      </w:r>
      <w:r>
        <w:rPr>
          <w:rFonts w:ascii="Arial" w:cs="Arial" w:eastAsia="Arial" w:hAnsi="Arial"/>
          <w:sz w:val="18"/>
          <w:szCs w:val="18"/>
          <w:color w:val="auto"/>
        </w:rPr>
        <w:t>. The nominating and corporate governance committee will be responsible for overseeing the Code of Ethics and must approve any waivers of the Code of Ethics for our employees, executive officers and directors. We expect that any amendments to the Code of Ethics, or any waivers of its requirements, will be disclosed on our website. Information contained in, or accessible through, our website does not constitute a part of, and is not incorporated into, this prospectus.</w:t>
      </w:r>
    </w:p>
    <w:p>
      <w:pPr>
        <w:spacing w:after="0" w:line="19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accordance with the CBCA, directors and officers must disclose the nature and extent of any interest he or she has in a material contract or material transaction, whether made or proposed, with us, if the director or officer: (a) is a party to the contract or transaction; (b) is a director or officer, or an individual acting in a similar capacity, of a party to the contract or transaction; or (c) has a material interest in a party to the contract or transaction. Subject to certain limited exceptions under the CBCA, no director may vote on a resolution to approve a material contract or transaction which is subject to such disclosure requirement. In addition, it is our policy that an interested director recuse himself or herself from the decision-making process pertaining to a material contract or transaction in which he or she has an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0" w:firstLine="449"/>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Historically, we have not had a formal compensation policy with respect to service on our board of directors. We have reimbursed and will continue to reimburse our non-employee directors for their reasonable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out-of-pocket expenses incurred in attending board and committee meetings, and occasionally granted share options as compensation for service. Our board of directors will adopt a formal director compensation policy for non-employee directors to be effective following the completion of this offering.</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by our non-employee directors and for their service as a consultant to us, if applicable, during the year ended December 31, 2019. Mr. Segal is also member of our board of directors, but did not receive any additional compensation for his service as a director and therefore is not included in the table below. The compensation for Mr. Segal is set forth under “Executive Compensation—Summary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60" w:type="dxa"/>
            <w:vAlign w:val="bottom"/>
            <w:gridSpan w:val="3"/>
          </w:tcPr>
          <w:p>
            <w:pPr>
              <w:jc w:val="center"/>
              <w:ind w:left="3355"/>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Cash</w:t>
            </w:r>
          </w:p>
        </w:tc>
        <w:tc>
          <w:tcPr>
            <w:tcW w:w="9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56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111,800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119,300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121,200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88,800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86"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 2019 computed in accordance with ASC 718. Assumptions used in the calculation of these amounts are included in the notes to our audited consolidated financial statements included elsewhere in this prospectus. These amounts do not reflect the actual economic value that will be realized by our non-employee directors upon the vesting of the share options, the exercise of the share options or the sale of the common shares underlying such share options.</w:t>
      </w:r>
    </w:p>
    <w:p>
      <w:pPr>
        <w:spacing w:after="0" w:line="1" w:lineRule="exact"/>
        <w:rPr>
          <w:rFonts w:ascii="Arial" w:cs="Arial" w:eastAsia="Arial" w:hAnsi="Arial"/>
          <w:sz w:val="16"/>
          <w:szCs w:val="16"/>
          <w:color w:val="auto"/>
        </w:rPr>
      </w:pPr>
    </w:p>
    <w:p>
      <w:pPr>
        <w:ind w:left="460" w:right="220" w:hanging="452"/>
        <w:spacing w:after="0" w:line="260"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number of common shares underlying share options granted to our non-employee directors that were outstanding as of December 31, 2019:</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ind w:left="3180"/>
              <w:spacing w:after="0"/>
              <w:rPr>
                <w:sz w:val="20"/>
                <w:szCs w:val="20"/>
                <w:color w:val="auto"/>
              </w:rPr>
            </w:pPr>
            <w:r>
              <w:rPr>
                <w:rFonts w:ascii="Arial" w:cs="Arial" w:eastAsia="Arial" w:hAnsi="Arial"/>
                <w:sz w:val="14"/>
                <w:szCs w:val="14"/>
                <w:b w:val="1"/>
                <w:bCs w:val="1"/>
                <w:color w:val="auto"/>
                <w:w w:val="94"/>
              </w:rPr>
              <w:t>Name</w:t>
            </w:r>
          </w:p>
        </w:tc>
        <w:tc>
          <w:tcPr>
            <w:tcW w:w="38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Outstanding at</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38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Year-End</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8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860" w:type="dxa"/>
            <w:vAlign w:val="bottom"/>
            <w:gridSpan w:val="3"/>
          </w:tcPr>
          <w:p>
            <w:pPr>
              <w:jc w:val="right"/>
              <w:ind w:right="6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8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Pr>
          <w:p>
            <w:pPr>
              <w:jc w:val="right"/>
              <w:ind w:right="2950"/>
              <w:spacing w:after="0"/>
              <w:rPr>
                <w:sz w:val="20"/>
                <w:szCs w:val="20"/>
                <w:color w:val="auto"/>
              </w:rPr>
            </w:pPr>
            <w:r>
              <w:rPr>
                <w:rFonts w:ascii="Arial" w:cs="Arial" w:eastAsia="Arial" w:hAnsi="Arial"/>
                <w:sz w:val="18"/>
                <w:szCs w:val="18"/>
                <w:color w:val="auto"/>
              </w:rPr>
              <w:t>151</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Overview</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2019 to (1) our principal executive officer, (2) our two next most highly compensated executive officers who earned more than $100,000 during the fiscal year ended December 31, 2019 and were serving as executive officers as of such date, and (3) any individual who would otherwise be included in (2) above but for the fact that such individual was not serving as an executive officer of ours as of December 31, 2019. We refer to these individuals in this prospectus as our named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2019 who appear in the Summary Compensation Table are:</w:t>
      </w:r>
    </w:p>
    <w:p>
      <w:pPr>
        <w:spacing w:after="0" w:line="131" w:lineRule="exact"/>
        <w:rPr>
          <w:sz w:val="20"/>
          <w:szCs w:val="20"/>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Lloyd M. Segal, our President and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Michael Zinda, Ph.D., our Executive Vice President, Chief Scientific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Maria Koehler, M.D., Ph.D., our Executive Vice President, Chief Medical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Katina Dorton, our former Executive Vice President, 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OPTION</w:t>
            </w: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NON-EQUITY</w:t>
            </w:r>
          </w:p>
        </w:tc>
        <w:tc>
          <w:tcPr>
            <w:tcW w:w="1800" w:type="dxa"/>
            <w:vAlign w:val="bottom"/>
            <w:gridSpan w:val="2"/>
            <w:vMerge w:val="restart"/>
          </w:tcPr>
          <w:p>
            <w:pPr>
              <w:jc w:val="center"/>
              <w:ind w:right="544"/>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continue"/>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INCENTIVE PLAN</w:t>
            </w:r>
          </w:p>
        </w:tc>
        <w:tc>
          <w:tcPr>
            <w:tcW w:w="18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00" w:type="dxa"/>
            <w:vAlign w:val="bottom"/>
            <w:gridSpan w:val="2"/>
            <w:vMerge w:val="continue"/>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vMerge w:val="continue"/>
          </w:tcPr>
          <w:p>
            <w:pPr>
              <w:spacing w:after="0"/>
              <w:rPr>
                <w:sz w:val="12"/>
                <w:szCs w:val="12"/>
                <w:color w:val="auto"/>
              </w:rPr>
            </w:pPr>
          </w:p>
        </w:tc>
        <w:tc>
          <w:tcPr>
            <w:tcW w:w="116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8"/>
              </w:rPr>
              <w:t>AWARDS</w:t>
            </w:r>
          </w:p>
        </w:tc>
        <w:tc>
          <w:tcPr>
            <w:tcW w:w="164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rPr>
              <w:t>COMPENSATION</w:t>
            </w:r>
          </w:p>
        </w:tc>
        <w:tc>
          <w:tcPr>
            <w:tcW w:w="1800" w:type="dxa"/>
            <w:vAlign w:val="bottom"/>
            <w:gridSpan w:val="2"/>
          </w:tcPr>
          <w:p>
            <w:pPr>
              <w:jc w:val="center"/>
              <w:ind w:right="544"/>
              <w:spacing w:after="0" w:line="144"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3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3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Lloyd M. Segal </w:t>
            </w:r>
            <w:r>
              <w:rPr>
                <w:rFonts w:ascii="Arial" w:cs="Arial" w:eastAsia="Arial" w:hAnsi="Arial"/>
                <w:sz w:val="15"/>
                <w:szCs w:val="15"/>
                <w:color w:val="auto"/>
              </w:rPr>
              <w:t>(4)</w:t>
            </w: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2019</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430,000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1,031,000</w:t>
            </w:r>
          </w:p>
        </w:tc>
        <w:tc>
          <w:tcPr>
            <w:tcW w:w="3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124,700</w:t>
            </w:r>
          </w:p>
        </w:tc>
        <w:tc>
          <w:tcPr>
            <w:tcW w:w="3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1,362</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1,587,062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Zinda, Ph.D. </w:t>
            </w:r>
            <w:r>
              <w:rPr>
                <w:rFonts w:ascii="Arial" w:cs="Arial" w:eastAsia="Arial" w:hAnsi="Arial"/>
                <w:sz w:val="15"/>
                <w:szCs w:val="15"/>
                <w:color w:val="auto"/>
              </w:rPr>
              <w:t>(6)</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325,000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403,200</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70,000</w:t>
            </w:r>
          </w:p>
        </w:tc>
        <w:tc>
          <w:tcPr>
            <w:tcW w:w="18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34,355</w:t>
            </w:r>
            <w:r>
              <w:rPr>
                <w:rFonts w:ascii="Arial" w:cs="Arial" w:eastAsia="Arial" w:hAnsi="Arial"/>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832,555</w:t>
            </w: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Executive Vice President, Chief Scientific</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540"/>
              <w:spacing w:after="0"/>
              <w:rPr>
                <w:sz w:val="20"/>
                <w:szCs w:val="20"/>
                <w:color w:val="auto"/>
              </w:rPr>
            </w:pPr>
            <w:r>
              <w:rPr>
                <w:rFonts w:ascii="Arial" w:cs="Arial" w:eastAsia="Arial" w:hAnsi="Arial"/>
                <w:sz w:val="18"/>
                <w:szCs w:val="18"/>
                <w:i w:val="1"/>
                <w:iCs w:val="1"/>
                <w:color w:val="auto"/>
              </w:rPr>
              <w:t>Officer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Maria Koehler, M.D.,</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Ph.D. </w:t>
            </w:r>
            <w:r>
              <w:rPr>
                <w:rFonts w:ascii="Arial" w:cs="Arial" w:eastAsia="Arial" w:hAnsi="Arial"/>
                <w:sz w:val="15"/>
                <w:szCs w:val="15"/>
                <w:color w:val="auto"/>
              </w:rPr>
              <w:t>(8)</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272,596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363,500</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76,146</w:t>
            </w:r>
          </w:p>
        </w:tc>
        <w:tc>
          <w:tcPr>
            <w:tcW w:w="18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15,466</w:t>
            </w:r>
            <w:r>
              <w:rPr>
                <w:rFonts w:ascii="Arial" w:cs="Arial" w:eastAsia="Arial" w:hAnsi="Arial"/>
                <w:sz w:val="15"/>
                <w:szCs w:val="15"/>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727,708</w:t>
            </w: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Executive Vice President, Chief Medical</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540"/>
              <w:spacing w:after="0"/>
              <w:rPr>
                <w:sz w:val="20"/>
                <w:szCs w:val="20"/>
                <w:color w:val="auto"/>
              </w:rPr>
            </w:pPr>
            <w:r>
              <w:rPr>
                <w:rFonts w:ascii="Arial" w:cs="Arial" w:eastAsia="Arial" w:hAnsi="Arial"/>
                <w:sz w:val="18"/>
                <w:szCs w:val="18"/>
                <w:i w:val="1"/>
                <w:iCs w:val="1"/>
                <w:color w:val="auto"/>
              </w:rPr>
              <w:t>Officer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(10)</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175,000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216,000</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388,452</w:t>
            </w:r>
            <w:r>
              <w:rPr>
                <w:rFonts w:ascii="Arial" w:cs="Arial" w:eastAsia="Arial" w:hAnsi="Arial"/>
                <w:sz w:val="15"/>
                <w:szCs w:val="15"/>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779,452</w:t>
            </w: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Former Executive Vice President, Chief</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540"/>
              <w:spacing w:after="0"/>
              <w:rPr>
                <w:sz w:val="20"/>
                <w:szCs w:val="20"/>
                <w:color w:val="auto"/>
              </w:rPr>
            </w:pPr>
            <w:r>
              <w:rPr>
                <w:rFonts w:ascii="Arial" w:cs="Arial" w:eastAsia="Arial" w:hAnsi="Arial"/>
                <w:sz w:val="18"/>
                <w:szCs w:val="18"/>
                <w:i w:val="1"/>
                <w:iCs w:val="1"/>
                <w:color w:val="auto"/>
              </w:rPr>
              <w:t>Financial Officer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Salary amounts represent actual amounts paid during 2019. See “—Narrative to the Summary Compensation Table—Annual Base Salary” below.</w:t>
      </w:r>
    </w:p>
    <w:p>
      <w:pPr>
        <w:spacing w:after="0" w:line="153"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during fiscal year 2019 computed in accordance with ASC 718 for share-based compensation transactions. Assumptions used in the calculation of these amounts are included in Note 11 to our audited consolidated financial statements included elsewhere in this prospectus. These amounts do not reflect the actual economic value that will be realized by the named executive officer upon the vesting of the share options, the exercise of the share options or the sale of the common shares underlying such share options.</w:t>
      </w:r>
    </w:p>
    <w:p>
      <w:pPr>
        <w:spacing w:after="0" w:line="93"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“—Non-Equity Incentive Plan Compensation” below for a description of the material terms of the program pursuant to which this compensation was awarded.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Mr. Segal also serves as a member of our board of directors but does not receive any additional compensation for his service as a director.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life insurance premiums in the amount of $51 paid by us on behalf of Mr. Segal.</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(i) contributions to a retirement account in the amount of $24,375 and (ii) reimbursements paid with respect to medical insurance premiums for Dr. Zinda in the aggregate amount of $9,980.</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Dr. Koehler commenced employment with us on May 1, 2019.</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(i) a travel allowance in the amount of $12,800 and (ii) the employee portion of Dr. Koehler’s medical and dental insurance premiums that we pay on her behalf in the amount of $2,666.</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Ms. Dorton commenced employment with us on April 15, 2019. Ms. Dorton’s employment was terminated by us effective October 10, 2019.</w:t>
      </w:r>
    </w:p>
    <w:p>
      <w:pPr>
        <w:spacing w:after="0" w:line="142" w:lineRule="exact"/>
        <w:rPr>
          <w:rFonts w:ascii="Arial" w:cs="Arial" w:eastAsia="Arial" w:hAnsi="Arial"/>
          <w:sz w:val="17"/>
          <w:szCs w:val="17"/>
          <w:color w:val="auto"/>
        </w:rPr>
      </w:pPr>
    </w:p>
    <w:p>
      <w:pPr>
        <w:ind w:left="460" w:right="560" w:hanging="452"/>
        <w:spacing w:after="0" w:line="259"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(i) a housing allowance in the amount of $26,000, (ii) severance payments totaling $345,375 (of which $86,344 was paid as of December 31, 2019 and the remainder will be paid in equal monthly payments through June 2020, pursuant to the terms of her separation agreement), (iii) consulting fees in the amount of $9,000 pursuant to the terms of her severance agreement and (iv) a cash payment for unused accrued vacation through her separation date in the amount of $8,077.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a long-term commitment to our company.</w:t>
      </w:r>
    </w:p>
    <w:p>
      <w:pPr>
        <w:spacing w:after="0" w:line="17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board of directors has historically determined the compensation of our executives, upon recommendation of the compensation committee. The compensation committee has reviewed and recommended to the board for approval the compensation and other terms of employment of our chief executive officer, and evaluates the chief executive officer’s performance in light of relevant corporate goals and objectives. Our chief executive officer has typically discussed his recommendations for all other executives (other than himself) with the compensation committee and the board. Based on those discussions and its discretion, the compensation committee has recommended the compensation of each executive officer to the board, and the board of directors has then approved.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annual base salaries for each of our named executive officers for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spacing w:after="0"/>
              <w:rPr>
                <w:sz w:val="17"/>
                <w:szCs w:val="17"/>
                <w:color w:val="auto"/>
              </w:rPr>
            </w:pPr>
          </w:p>
        </w:tc>
        <w:tc>
          <w:tcPr>
            <w:tcW w:w="112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202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w w:val="95"/>
              </w:rPr>
              <w:t>BASE SALARY</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5"/>
              </w:rPr>
              <w:t>BASE SALARY</w:t>
            </w:r>
          </w:p>
        </w:tc>
        <w:tc>
          <w:tcPr>
            <w:tcW w:w="0" w:type="dxa"/>
            <w:vAlign w:val="bottom"/>
          </w:tcPr>
          <w:p>
            <w:pPr>
              <w:spacing w:after="0"/>
              <w:rPr>
                <w:sz w:val="1"/>
                <w:szCs w:val="1"/>
                <w:color w:val="auto"/>
              </w:rPr>
            </w:pPr>
          </w:p>
        </w:tc>
      </w:tr>
      <w:tr>
        <w:trPr>
          <w:trHeight w:val="203"/>
        </w:trPr>
        <w:tc>
          <w:tcPr>
            <w:tcW w:w="8040" w:type="dxa"/>
            <w:vAlign w:val="bottom"/>
            <w:gridSpan w:val="2"/>
            <w:vMerge w:val="continue"/>
          </w:tcPr>
          <w:p>
            <w:pPr>
              <w:spacing w:after="0"/>
              <w:rPr>
                <w:sz w:val="17"/>
                <w:szCs w:val="17"/>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spacing w:after="0"/>
              <w:rPr>
                <w:sz w:val="17"/>
                <w:szCs w:val="17"/>
                <w:color w:val="auto"/>
              </w:rPr>
            </w:pPr>
          </w:p>
        </w:tc>
        <w:tc>
          <w:tcPr>
            <w:tcW w:w="1120" w:type="dxa"/>
            <w:vAlign w:val="bottom"/>
          </w:tcPr>
          <w:p>
            <w:pPr>
              <w:jc w:val="right"/>
              <w:ind w:right="37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430,000</w:t>
            </w: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(1)</w:t>
            </w:r>
            <w:r>
              <w:rPr>
                <w:rFonts w:ascii="Arial" w:cs="Arial" w:eastAsia="Arial" w:hAnsi="Arial"/>
                <w:sz w:val="18"/>
                <w:szCs w:val="18"/>
                <w:color w:val="auto"/>
              </w:rPr>
              <w:t>.</w:t>
            </w: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325,000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405,000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410,960</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(2)</w:t>
            </w: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350,000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ind w:left="460" w:right="60" w:hanging="452"/>
        <w:spacing w:after="0" w:line="277"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Ms. Dorton’s employment was terminated by us effective October 10,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In accordance with the terms of their respective employment agreements, our named executive officers are eligible to receive discretionary annual bonuses of up to a percentage of each executive’s gross base salary based on individual performance, company performance or as otherwise determined appropriate, as determined by the compensation committee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680" w:type="dxa"/>
            <w:vAlign w:val="bottom"/>
          </w:tcPr>
          <w:p>
            <w:pPr>
              <w:jc w:val="right"/>
              <w:ind w:right="95"/>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17"/>
                <w:szCs w:val="17"/>
                <w:color w:val="auto"/>
              </w:rPr>
            </w:pPr>
          </w:p>
        </w:tc>
        <w:tc>
          <w:tcPr>
            <w:tcW w:w="660" w:type="dxa"/>
            <w:vAlign w:val="bottom"/>
          </w:tcPr>
          <w:p>
            <w:pPr>
              <w:jc w:val="right"/>
              <w:ind w:right="75"/>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BONUS</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BONUS</w:t>
            </w:r>
          </w:p>
        </w:tc>
        <w:tc>
          <w:tcPr>
            <w:tcW w:w="0" w:type="dxa"/>
            <w:vAlign w:val="bottom"/>
          </w:tcPr>
          <w:p>
            <w:pPr>
              <w:spacing w:after="0"/>
              <w:rPr>
                <w:sz w:val="1"/>
                <w:szCs w:val="1"/>
                <w:color w:val="auto"/>
              </w:rPr>
            </w:pPr>
          </w:p>
        </w:tc>
      </w:tr>
      <w:tr>
        <w:trPr>
          <w:trHeight w:val="203"/>
        </w:trPr>
        <w:tc>
          <w:tcPr>
            <w:tcW w:w="9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13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TARGET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TARGET</w:t>
            </w:r>
          </w:p>
        </w:tc>
        <w:tc>
          <w:tcPr>
            <w:tcW w:w="0" w:type="dxa"/>
            <w:vAlign w:val="bottom"/>
          </w:tcPr>
          <w:p>
            <w:pPr>
              <w:spacing w:after="0"/>
              <w:rPr>
                <w:sz w:val="1"/>
                <w:szCs w:val="1"/>
                <w:color w:val="auto"/>
              </w:rPr>
            </w:pPr>
          </w:p>
        </w:tc>
      </w:tr>
      <w:tr>
        <w:trPr>
          <w:trHeight w:val="203"/>
        </w:trPr>
        <w:tc>
          <w:tcPr>
            <w:tcW w:w="9160" w:type="dxa"/>
            <w:vAlign w:val="bottom"/>
            <w:gridSpan w:val="2"/>
            <w:vMerge w:val="continue"/>
          </w:tcPr>
          <w:p>
            <w:pPr>
              <w:spacing w:after="0"/>
              <w:rPr>
                <w:sz w:val="17"/>
                <w:szCs w:val="17"/>
                <w:color w:val="auto"/>
              </w:rPr>
            </w:pPr>
          </w:p>
        </w:tc>
        <w:tc>
          <w:tcPr>
            <w:tcW w:w="68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7"/>
                <w:szCs w:val="17"/>
                <w:color w:val="auto"/>
              </w:rPr>
            </w:pPr>
          </w:p>
        </w:tc>
        <w:tc>
          <w:tcPr>
            <w:tcW w:w="66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8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Michael Zinda, Ph.D.</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Ms. Dorton’s employment was terminated by us effective October 10, 2019.</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During fiscal year 2019, Mr. Segal and Drs. Zinda and Koehler earned bonuses as set forth in the 2019 Summary Compensation Table above based on specified company and individual performance metrics which were approved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shareholders with those of our employees and consultants, including our executive officers. As of the date of this prospectus, share option awards were the only form of equity awards we have granted to any of our executive officers.</w:t>
      </w:r>
    </w:p>
    <w:p>
      <w:pPr>
        <w:spacing w:after="0" w:line="184" w:lineRule="exact"/>
        <w:rPr>
          <w:sz w:val="20"/>
          <w:szCs w:val="20"/>
          <w:color w:val="auto"/>
        </w:rPr>
      </w:pPr>
    </w:p>
    <w:p>
      <w:pPr>
        <w:ind w:right="360" w:firstLine="449"/>
        <w:spacing w:after="0" w:line="272" w:lineRule="auto"/>
        <w:rPr>
          <w:sz w:val="20"/>
          <w:szCs w:val="20"/>
          <w:color w:val="auto"/>
        </w:rPr>
      </w:pPr>
      <w:r>
        <w:rPr>
          <w:rFonts w:ascii="Arial" w:cs="Arial" w:eastAsia="Arial" w:hAnsi="Arial"/>
          <w:sz w:val="17"/>
          <w:szCs w:val="17"/>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Vesting of equity awards is generally tied to each officer’s continuous service with us and serves as an additional retention measure.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this offering, we have granted all share options pursuant to our Repare Therapeutics Inc. Amended and Restated Option Plan, or the Existing Plan. Following this offering, we will grant equity incentive awards under the terms of the 2020 Equity Incentive Plan, or the 2020 Plan. The terms of our equity plans are described below under “— Equity Incentive Plans.”</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All options are granted with an exercise price per share that is no less than the fair market value of our common shares on the date of grant of such award. Our share option awards generally vest over a four-year period and may be subject to acceleration of vesting and exercisability under certain termination and change in control events. See “— Outstanding Equity Awards at Fiscal Year-End.”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following table provides certain information regarding the outstanding equity awards granted to our named executive officers that remain outstanding as of December 31, 2019. All awards were granted pursuant to the Existing Plan. See “—Equity Incentive Plans– Existing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 xml:space="preserve">OPTION AWARDS </w:t>
            </w:r>
            <w:r>
              <w:rPr>
                <w:rFonts w:ascii="Arial" w:cs="Arial" w:eastAsia="Arial" w:hAnsi="Arial"/>
                <w:sz w:val="10"/>
                <w:szCs w:val="10"/>
                <w:b w:val="1"/>
                <w:bCs w:val="1"/>
                <w:color w:val="auto"/>
              </w:rPr>
              <w:t>(1)</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tcPr>
          <w:p>
            <w:pPr>
              <w:jc w:val="center"/>
              <w:ind w:right="360"/>
              <w:spacing w:after="0" w:line="110" w:lineRule="exact"/>
              <w:rPr>
                <w:sz w:val="20"/>
                <w:szCs w:val="20"/>
                <w:color w:val="auto"/>
              </w:rPr>
            </w:pPr>
            <w:r>
              <w:rPr>
                <w:rFonts w:ascii="Arial" w:cs="Arial" w:eastAsia="Arial" w:hAnsi="Arial"/>
                <w:sz w:val="12"/>
                <w:szCs w:val="12"/>
                <w:b w:val="1"/>
                <w:bCs w:val="1"/>
                <w:color w:val="auto"/>
              </w:rPr>
              <w:t>NUMBER OF</w:t>
            </w:r>
          </w:p>
        </w:tc>
        <w:tc>
          <w:tcPr>
            <w:tcW w:w="1720" w:type="dxa"/>
            <w:vAlign w:val="bottom"/>
            <w:gridSpan w:val="2"/>
          </w:tcPr>
          <w:p>
            <w:pPr>
              <w:jc w:val="center"/>
              <w:ind w:right="451"/>
              <w:spacing w:after="0" w:line="110"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SECURITIES</w:t>
            </w:r>
          </w:p>
        </w:tc>
        <w:tc>
          <w:tcPr>
            <w:tcW w:w="1720" w:type="dxa"/>
            <w:vAlign w:val="bottom"/>
            <w:gridSpan w:val="2"/>
          </w:tcPr>
          <w:p>
            <w:pPr>
              <w:jc w:val="center"/>
              <w:ind w:right="451"/>
              <w:spacing w:after="0" w:line="135" w:lineRule="exact"/>
              <w:rPr>
                <w:sz w:val="20"/>
                <w:szCs w:val="20"/>
                <w:color w:val="auto"/>
              </w:rPr>
            </w:pPr>
            <w:r>
              <w:rPr>
                <w:rFonts w:ascii="Arial" w:cs="Arial" w:eastAsia="Arial" w:hAnsi="Arial"/>
                <w:sz w:val="13"/>
                <w:szCs w:val="13"/>
                <w:b w:val="1"/>
                <w:bCs w:val="1"/>
                <w:color w:val="auto"/>
                <w:w w:val="97"/>
              </w:rPr>
              <w:t>SECURITIES</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UNDERLYING</w:t>
            </w:r>
          </w:p>
        </w:tc>
        <w:tc>
          <w:tcPr>
            <w:tcW w:w="1720" w:type="dxa"/>
            <w:vAlign w:val="bottom"/>
            <w:gridSpan w:val="2"/>
          </w:tcPr>
          <w:p>
            <w:pPr>
              <w:jc w:val="center"/>
              <w:ind w:right="451"/>
              <w:spacing w:after="0" w:line="135" w:lineRule="exact"/>
              <w:rPr>
                <w:sz w:val="20"/>
                <w:szCs w:val="20"/>
                <w:color w:val="auto"/>
              </w:rPr>
            </w:pPr>
            <w:r>
              <w:rPr>
                <w:rFonts w:ascii="Arial" w:cs="Arial" w:eastAsia="Arial" w:hAnsi="Arial"/>
                <w:sz w:val="13"/>
                <w:szCs w:val="13"/>
                <w:b w:val="1"/>
                <w:bCs w:val="1"/>
                <w:color w:val="auto"/>
                <w:w w:val="97"/>
              </w:rPr>
              <w:t>UNDERLYING</w:t>
            </w: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rPr>
              <w:t>OPTION</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VESTING</w:t>
            </w: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720" w:type="dxa"/>
            <w:vAlign w:val="bottom"/>
            <w:gridSpan w:val="2"/>
          </w:tcPr>
          <w:p>
            <w:pPr>
              <w:jc w:val="center"/>
              <w:ind w:right="451"/>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0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4"/>
              </w:rPr>
              <w:t>EXERCISE</w:t>
            </w:r>
          </w:p>
        </w:tc>
        <w:tc>
          <w:tcPr>
            <w:tcW w:w="8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OPTION</w:t>
            </w:r>
          </w:p>
        </w:tc>
        <w:tc>
          <w:tcPr>
            <w:tcW w:w="0" w:type="dxa"/>
            <w:vAlign w:val="bottom"/>
          </w:tcPr>
          <w:p>
            <w:pPr>
              <w:spacing w:after="0"/>
              <w:rPr>
                <w:sz w:val="1"/>
                <w:szCs w:val="1"/>
                <w:color w:val="auto"/>
              </w:rPr>
            </w:pPr>
          </w:p>
        </w:tc>
      </w:tr>
      <w:tr>
        <w:trPr>
          <w:trHeight w:val="126"/>
        </w:trPr>
        <w:tc>
          <w:tcPr>
            <w:tcW w:w="33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jc w:val="right"/>
              <w:ind w:right="520"/>
              <w:spacing w:after="0" w:line="126" w:lineRule="exact"/>
              <w:rPr>
                <w:sz w:val="20"/>
                <w:szCs w:val="20"/>
                <w:color w:val="auto"/>
              </w:rPr>
            </w:pPr>
            <w:r>
              <w:rPr>
                <w:rFonts w:ascii="Arial" w:cs="Arial" w:eastAsia="Arial" w:hAnsi="Arial"/>
                <w:sz w:val="13"/>
                <w:szCs w:val="13"/>
                <w:b w:val="1"/>
                <w:bCs w:val="1"/>
                <w:color w:val="auto"/>
              </w:rPr>
              <w:t>GRANT</w:t>
            </w:r>
          </w:p>
        </w:tc>
        <w:tc>
          <w:tcPr>
            <w:tcW w:w="150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rPr>
              <w:t>COMMENCEMENT</w:t>
            </w:r>
          </w:p>
        </w:tc>
        <w:tc>
          <w:tcPr>
            <w:tcW w:w="136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94"/>
              </w:rPr>
              <w:t>OPTIONS (#)</w:t>
            </w:r>
          </w:p>
        </w:tc>
        <w:tc>
          <w:tcPr>
            <w:tcW w:w="1720" w:type="dxa"/>
            <w:vAlign w:val="bottom"/>
            <w:gridSpan w:val="2"/>
          </w:tcPr>
          <w:p>
            <w:pPr>
              <w:jc w:val="center"/>
              <w:ind w:right="471"/>
              <w:spacing w:after="0" w:line="126" w:lineRule="exact"/>
              <w:rPr>
                <w:sz w:val="20"/>
                <w:szCs w:val="20"/>
                <w:color w:val="auto"/>
              </w:rPr>
            </w:pPr>
            <w:r>
              <w:rPr>
                <w:rFonts w:ascii="Arial" w:cs="Arial" w:eastAsia="Arial" w:hAnsi="Arial"/>
                <w:sz w:val="13"/>
                <w:szCs w:val="13"/>
                <w:b w:val="1"/>
                <w:bCs w:val="1"/>
                <w:color w:val="auto"/>
                <w:w w:val="94"/>
              </w:rPr>
              <w:t>OPTIONS (#)</w:t>
            </w:r>
          </w:p>
        </w:tc>
        <w:tc>
          <w:tcPr>
            <w:tcW w:w="100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rPr>
              <w:t>PRICE</w:t>
            </w:r>
          </w:p>
        </w:tc>
        <w:tc>
          <w:tcPr>
            <w:tcW w:w="84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320" w:type="dxa"/>
            <w:vAlign w:val="bottom"/>
          </w:tcPr>
          <w:p>
            <w:pPr>
              <w:spacing w:after="0"/>
              <w:rPr>
                <w:sz w:val="12"/>
                <w:szCs w:val="12"/>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DATE</w:t>
            </w:r>
          </w:p>
        </w:tc>
        <w:tc>
          <w:tcPr>
            <w:tcW w:w="15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DATE</w:t>
            </w: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(EXERCISABLE)</w:t>
            </w:r>
          </w:p>
        </w:tc>
        <w:tc>
          <w:tcPr>
            <w:tcW w:w="1720" w:type="dxa"/>
            <w:vAlign w:val="bottom"/>
            <w:gridSpan w:val="2"/>
          </w:tcPr>
          <w:p>
            <w:pPr>
              <w:jc w:val="center"/>
              <w:ind w:right="451"/>
              <w:spacing w:after="0"/>
              <w:rPr>
                <w:sz w:val="20"/>
                <w:szCs w:val="20"/>
                <w:color w:val="auto"/>
              </w:rPr>
            </w:pPr>
            <w:r>
              <w:rPr>
                <w:rFonts w:ascii="Arial" w:cs="Arial" w:eastAsia="Arial" w:hAnsi="Arial"/>
                <w:sz w:val="13"/>
                <w:szCs w:val="13"/>
                <w:b w:val="1"/>
                <w:bCs w:val="1"/>
                <w:color w:val="auto"/>
                <w:w w:val="96"/>
              </w:rPr>
              <w:t>(UNEXERCISABLE)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360" w:type="dxa"/>
            <w:vAlign w:val="bottom"/>
          </w:tcPr>
          <w:p>
            <w:pPr>
              <w:spacing w:after="0"/>
              <w:rPr>
                <w:sz w:val="12"/>
                <w:szCs w:val="12"/>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DATE</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Lloyd M. Segal</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12/1/2017</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6/22/2017</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1,093,750</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656,250</w:t>
            </w:r>
          </w:p>
        </w:tc>
        <w:tc>
          <w:tcPr>
            <w:tcW w:w="540" w:type="dxa"/>
            <w:vAlign w:val="bottom"/>
            <w:shd w:val="clear" w:color="auto" w:fill="CCEEFF"/>
          </w:tcPr>
          <w:p>
            <w:pPr>
              <w:jc w:val="right"/>
              <w:ind w:right="311"/>
              <w:spacing w:after="0" w:line="155" w:lineRule="exact"/>
              <w:rPr>
                <w:sz w:val="20"/>
                <w:szCs w:val="20"/>
                <w:color w:val="auto"/>
              </w:rPr>
            </w:pPr>
            <w:r>
              <w:rPr>
                <w:rFonts w:ascii="Arial" w:cs="Arial" w:eastAsia="Arial" w:hAnsi="Arial"/>
                <w:sz w:val="14"/>
                <w:szCs w:val="14"/>
                <w:color w:val="auto"/>
                <w:w w:val="81"/>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6/22/2027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gridSpan w:val="2"/>
          </w:tcPr>
          <w:p>
            <w:pPr>
              <w:ind w:left="340"/>
              <w:spacing w:after="0"/>
              <w:rPr>
                <w:sz w:val="20"/>
                <w:szCs w:val="20"/>
                <w:color w:val="auto"/>
              </w:rPr>
            </w:pPr>
            <w:r>
              <w:rPr>
                <w:rFonts w:ascii="Arial" w:cs="Arial" w:eastAsia="Arial" w:hAnsi="Arial"/>
                <w:sz w:val="16"/>
                <w:szCs w:val="16"/>
                <w:i w:val="1"/>
                <w:iCs w:val="1"/>
                <w:color w:val="auto"/>
              </w:rPr>
              <w:t>President and Chief Executive Officer</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3/29/2019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11"/>
              <w:spacing w:after="0" w:line="202" w:lineRule="exact"/>
              <w:rPr>
                <w:sz w:val="20"/>
                <w:szCs w:val="20"/>
                <w:color w:val="auto"/>
              </w:rPr>
            </w:pPr>
            <w:r>
              <w:rPr>
                <w:rFonts w:ascii="Arial" w:cs="Arial" w:eastAsia="Arial" w:hAnsi="Arial"/>
                <w:sz w:val="14"/>
                <w:szCs w:val="14"/>
                <w:color w:val="auto"/>
              </w:rPr>
              <w:t>1,650,000</w:t>
            </w:r>
            <w:r>
              <w:rPr>
                <w:rFonts w:ascii="Arial" w:cs="Arial" w:eastAsia="Arial" w:hAnsi="Arial"/>
                <w:sz w:val="23"/>
                <w:szCs w:val="23"/>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12/16/2019</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12/16/2019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311"/>
              <w:spacing w:after="0" w:line="202" w:lineRule="exact"/>
              <w:rPr>
                <w:sz w:val="20"/>
                <w:szCs w:val="20"/>
                <w:color w:val="auto"/>
              </w:rPr>
            </w:pPr>
            <w:r>
              <w:rPr>
                <w:rFonts w:ascii="Arial" w:cs="Arial" w:eastAsia="Arial" w:hAnsi="Arial"/>
                <w:sz w:val="14"/>
                <w:szCs w:val="14"/>
                <w:color w:val="auto"/>
              </w:rPr>
              <w:t>2,950,000</w:t>
            </w:r>
            <w:r>
              <w:rPr>
                <w:rFonts w:ascii="Arial" w:cs="Arial" w:eastAsia="Arial" w:hAnsi="Arial"/>
                <w:sz w:val="23"/>
                <w:szCs w:val="23"/>
                <w:color w:val="auto"/>
                <w:vertAlign w:val="superscript"/>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12/16/2029</w:t>
            </w:r>
          </w:p>
        </w:tc>
        <w:tc>
          <w:tcPr>
            <w:tcW w:w="0" w:type="dxa"/>
            <w:vAlign w:val="bottom"/>
          </w:tcPr>
          <w:p>
            <w:pPr>
              <w:spacing w:after="0"/>
              <w:rPr>
                <w:sz w:val="1"/>
                <w:szCs w:val="1"/>
                <w:color w:val="auto"/>
              </w:rPr>
            </w:pPr>
          </w:p>
        </w:tc>
      </w:tr>
      <w:tr>
        <w:trPr>
          <w:trHeight w:val="311"/>
        </w:trPr>
        <w:tc>
          <w:tcPr>
            <w:tcW w:w="3360" w:type="dxa"/>
            <w:vAlign w:val="bottom"/>
            <w:gridSpan w:val="2"/>
          </w:tcPr>
          <w:p>
            <w:pPr>
              <w:spacing w:after="0"/>
              <w:rPr>
                <w:sz w:val="20"/>
                <w:szCs w:val="20"/>
                <w:color w:val="auto"/>
              </w:rPr>
            </w:pPr>
            <w:r>
              <w:rPr>
                <w:rFonts w:ascii="Arial" w:cs="Arial" w:eastAsia="Arial" w:hAnsi="Arial"/>
                <w:sz w:val="16"/>
                <w:szCs w:val="16"/>
                <w:color w:val="auto"/>
              </w:rPr>
              <w:t>Michael Zinda, Ph.D.</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12/1/2017</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6/14/2017</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125,000</w:t>
            </w:r>
          </w:p>
        </w:tc>
        <w:tc>
          <w:tcPr>
            <w:tcW w:w="1720" w:type="dxa"/>
            <w:vAlign w:val="bottom"/>
            <w:gridSpan w:val="2"/>
          </w:tcPr>
          <w:p>
            <w:pPr>
              <w:jc w:val="right"/>
              <w:ind w:right="311"/>
              <w:spacing w:after="0"/>
              <w:rPr>
                <w:sz w:val="20"/>
                <w:szCs w:val="20"/>
                <w:color w:val="auto"/>
              </w:rPr>
            </w:pPr>
            <w:r>
              <w:rPr>
                <w:rFonts w:ascii="Arial" w:cs="Arial" w:eastAsia="Arial" w:hAnsi="Arial"/>
                <w:sz w:val="16"/>
                <w:szCs w:val="16"/>
                <w:color w:val="auto"/>
              </w:rPr>
              <w:t>75,000</w:t>
            </w:r>
            <w:r>
              <w:rPr>
                <w:rFonts w:ascii="Arial" w:cs="Arial" w:eastAsia="Arial" w:hAnsi="Arial"/>
                <w:sz w:val="27"/>
                <w:szCs w:val="27"/>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0.27</w:t>
            </w:r>
          </w:p>
        </w:tc>
        <w:tc>
          <w:tcPr>
            <w:tcW w:w="3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6/14/2027</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Scientific</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12/1/2017</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6/22/2017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359,375</w:t>
            </w:r>
          </w:p>
        </w:tc>
        <w:tc>
          <w:tcPr>
            <w:tcW w:w="1720" w:type="dxa"/>
            <w:vAlign w:val="bottom"/>
            <w:gridSpan w:val="2"/>
            <w:shd w:val="clear" w:color="auto" w:fill="CCEEFF"/>
          </w:tcPr>
          <w:p>
            <w:pPr>
              <w:jc w:val="right"/>
              <w:ind w:right="311"/>
              <w:spacing w:after="0" w:line="202" w:lineRule="exact"/>
              <w:rPr>
                <w:sz w:val="20"/>
                <w:szCs w:val="20"/>
                <w:color w:val="auto"/>
              </w:rPr>
            </w:pPr>
            <w:r>
              <w:rPr>
                <w:rFonts w:ascii="Arial" w:cs="Arial" w:eastAsia="Arial" w:hAnsi="Arial"/>
                <w:sz w:val="14"/>
                <w:szCs w:val="14"/>
                <w:color w:val="auto"/>
              </w:rPr>
              <w:t>215,625</w:t>
            </w:r>
            <w:r>
              <w:rPr>
                <w:rFonts w:ascii="Arial" w:cs="Arial" w:eastAsia="Arial" w:hAnsi="Arial"/>
                <w:sz w:val="23"/>
                <w:szCs w:val="23"/>
                <w:color w:val="auto"/>
                <w:vertAlign w:val="superscript"/>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6/22/2027</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500"/>
              <w:spacing w:after="0"/>
              <w:rPr>
                <w:sz w:val="20"/>
                <w:szCs w:val="20"/>
                <w:color w:val="auto"/>
              </w:rPr>
            </w:pPr>
            <w:r>
              <w:rPr>
                <w:rFonts w:ascii="Arial" w:cs="Arial" w:eastAsia="Arial" w:hAnsi="Arial"/>
                <w:sz w:val="16"/>
                <w:szCs w:val="16"/>
                <w:i w:val="1"/>
                <w:iCs w:val="1"/>
                <w:color w:val="auto"/>
              </w:rPr>
              <w:t>Officer</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3/29/2019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11"/>
              <w:spacing w:after="0" w:line="202" w:lineRule="exact"/>
              <w:rPr>
                <w:sz w:val="20"/>
                <w:szCs w:val="20"/>
                <w:color w:val="auto"/>
              </w:rPr>
            </w:pPr>
            <w:r>
              <w:rPr>
                <w:rFonts w:ascii="Arial" w:cs="Arial" w:eastAsia="Arial" w:hAnsi="Arial"/>
                <w:sz w:val="14"/>
                <w:szCs w:val="14"/>
                <w:color w:val="auto"/>
              </w:rPr>
              <w:t>570,000</w:t>
            </w:r>
            <w:r>
              <w:rPr>
                <w:rFonts w:ascii="Arial" w:cs="Arial" w:eastAsia="Arial" w:hAnsi="Arial"/>
                <w:sz w:val="23"/>
                <w:szCs w:val="23"/>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2"/>
        </w:trPr>
        <w:tc>
          <w:tcPr>
            <w:tcW w:w="6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12/16/2019</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12/16/2019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311"/>
              <w:spacing w:after="0" w:line="202" w:lineRule="exact"/>
              <w:rPr>
                <w:sz w:val="20"/>
                <w:szCs w:val="20"/>
                <w:color w:val="auto"/>
              </w:rPr>
            </w:pPr>
            <w:r>
              <w:rPr>
                <w:rFonts w:ascii="Arial" w:cs="Arial" w:eastAsia="Arial" w:hAnsi="Arial"/>
                <w:sz w:val="14"/>
                <w:szCs w:val="14"/>
                <w:color w:val="auto"/>
              </w:rPr>
              <w:t>1,200,000</w:t>
            </w:r>
            <w:r>
              <w:rPr>
                <w:rFonts w:ascii="Arial" w:cs="Arial" w:eastAsia="Arial" w:hAnsi="Arial"/>
                <w:sz w:val="23"/>
                <w:szCs w:val="23"/>
                <w:color w:val="auto"/>
                <w:vertAlign w:val="superscript"/>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12/16/2029</w:t>
            </w:r>
          </w:p>
        </w:tc>
        <w:tc>
          <w:tcPr>
            <w:tcW w:w="0" w:type="dxa"/>
            <w:vAlign w:val="bottom"/>
          </w:tcPr>
          <w:p>
            <w:pPr>
              <w:spacing w:after="0"/>
              <w:rPr>
                <w:sz w:val="1"/>
                <w:szCs w:val="1"/>
                <w:color w:val="auto"/>
              </w:rPr>
            </w:pPr>
          </w:p>
        </w:tc>
      </w:tr>
      <w:tr>
        <w:trPr>
          <w:trHeight w:val="310"/>
        </w:trPr>
        <w:tc>
          <w:tcPr>
            <w:tcW w:w="3360" w:type="dxa"/>
            <w:vAlign w:val="bottom"/>
            <w:gridSpan w:val="2"/>
          </w:tcPr>
          <w:p>
            <w:pPr>
              <w:spacing w:after="0"/>
              <w:rPr>
                <w:sz w:val="20"/>
                <w:szCs w:val="20"/>
                <w:color w:val="auto"/>
              </w:rPr>
            </w:pPr>
            <w:r>
              <w:rPr>
                <w:rFonts w:ascii="Arial" w:cs="Arial" w:eastAsia="Arial" w:hAnsi="Arial"/>
                <w:sz w:val="16"/>
                <w:szCs w:val="16"/>
                <w:color w:val="auto"/>
              </w:rPr>
              <w:t>Maria Koehler, M.D., Ph.D.</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5/1/2019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11"/>
              <w:spacing w:after="0"/>
              <w:rPr>
                <w:sz w:val="20"/>
                <w:szCs w:val="20"/>
                <w:color w:val="auto"/>
              </w:rPr>
            </w:pPr>
            <w:r>
              <w:rPr>
                <w:rFonts w:ascii="Arial" w:cs="Arial" w:eastAsia="Arial" w:hAnsi="Arial"/>
                <w:sz w:val="16"/>
                <w:szCs w:val="16"/>
                <w:color w:val="auto"/>
              </w:rPr>
              <w:t>1,175,000</w:t>
            </w:r>
            <w:r>
              <w:rPr>
                <w:rFonts w:ascii="Arial" w:cs="Arial" w:eastAsia="Arial" w:hAnsi="Arial"/>
                <w:sz w:val="27"/>
                <w:szCs w:val="27"/>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5/1/2029</w:t>
            </w:r>
          </w:p>
        </w:tc>
        <w:tc>
          <w:tcPr>
            <w:tcW w:w="0" w:type="dxa"/>
            <w:vAlign w:val="bottom"/>
          </w:tcPr>
          <w:p>
            <w:pPr>
              <w:spacing w:after="0"/>
              <w:rPr>
                <w:sz w:val="1"/>
                <w:szCs w:val="1"/>
                <w:color w:val="auto"/>
              </w:rPr>
            </w:pPr>
          </w:p>
        </w:tc>
      </w:tr>
      <w:tr>
        <w:trPr>
          <w:trHeight w:val="193"/>
        </w:trPr>
        <w:tc>
          <w:tcPr>
            <w:tcW w:w="33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Medical</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12/16/2019</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12/16/2019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311"/>
              <w:spacing w:after="0" w:line="192" w:lineRule="exact"/>
              <w:rPr>
                <w:sz w:val="20"/>
                <w:szCs w:val="20"/>
                <w:color w:val="auto"/>
              </w:rPr>
            </w:pPr>
            <w:r>
              <w:rPr>
                <w:rFonts w:ascii="Arial" w:cs="Arial" w:eastAsia="Arial" w:hAnsi="Arial"/>
                <w:sz w:val="14"/>
                <w:szCs w:val="14"/>
                <w:color w:val="auto"/>
              </w:rPr>
              <w:t>675,000</w:t>
            </w:r>
            <w:r>
              <w:rPr>
                <w:rFonts w:ascii="Arial" w:cs="Arial" w:eastAsia="Arial" w:hAnsi="Arial"/>
                <w:sz w:val="22"/>
                <w:szCs w:val="22"/>
                <w:color w:val="auto"/>
                <w:vertAlign w:val="superscript"/>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12/16/2029</w:t>
            </w: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ind w:left="500"/>
              <w:spacing w:after="0"/>
              <w:rPr>
                <w:sz w:val="20"/>
                <w:szCs w:val="20"/>
                <w:color w:val="auto"/>
              </w:rPr>
            </w:pPr>
            <w:r>
              <w:rPr>
                <w:rFonts w:ascii="Arial" w:cs="Arial" w:eastAsia="Arial" w:hAnsi="Arial"/>
                <w:sz w:val="16"/>
                <w:szCs w:val="16"/>
                <w:i w:val="1"/>
                <w:iCs w:val="1"/>
                <w:color w:val="auto"/>
              </w:rPr>
              <w:t>Officer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360" w:type="dxa"/>
            <w:vAlign w:val="bottom"/>
            <w:gridSpan w:val="2"/>
          </w:tcPr>
          <w:p>
            <w:pPr>
              <w:spacing w:after="0"/>
              <w:rPr>
                <w:sz w:val="20"/>
                <w:szCs w:val="20"/>
                <w:color w:val="auto"/>
              </w:rPr>
            </w:pPr>
            <w:r>
              <w:rPr>
                <w:rFonts w:ascii="Arial" w:cs="Arial" w:eastAsia="Arial" w:hAnsi="Arial"/>
                <w:sz w:val="16"/>
                <w:szCs w:val="16"/>
                <w:color w:val="auto"/>
              </w:rPr>
              <w:t>Katina Dorton</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4/15/2019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393,750</w:t>
            </w:r>
          </w:p>
        </w:tc>
        <w:tc>
          <w:tcPr>
            <w:tcW w:w="1720" w:type="dxa"/>
            <w:vAlign w:val="bottom"/>
            <w:gridSpan w:val="2"/>
          </w:tcPr>
          <w:p>
            <w:pPr>
              <w:jc w:val="right"/>
              <w:ind w:right="47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4/10/2020</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Former Executive Vice President, Chief</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ind w:left="500"/>
              <w:spacing w:after="0"/>
              <w:rPr>
                <w:sz w:val="20"/>
                <w:szCs w:val="20"/>
                <w:color w:val="auto"/>
              </w:rPr>
            </w:pPr>
            <w:r>
              <w:rPr>
                <w:rFonts w:ascii="Arial" w:cs="Arial" w:eastAsia="Arial" w:hAnsi="Arial"/>
                <w:sz w:val="16"/>
                <w:szCs w:val="16"/>
                <w:i w:val="1"/>
                <w:iCs w:val="1"/>
                <w:color w:val="auto"/>
              </w:rPr>
              <w:t>Financial Officer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All of the awards in this table were granted under the Existing Plan, the terms of which are described below under “—Equity Incentive Plans – Existing Plan.”</w:t>
      </w:r>
    </w:p>
    <w:p>
      <w:pPr>
        <w:spacing w:after="0" w:line="33" w:lineRule="exact"/>
        <w:rPr>
          <w:rFonts w:ascii="Arial" w:cs="Arial" w:eastAsia="Arial" w:hAnsi="Arial"/>
          <w:sz w:val="15"/>
          <w:szCs w:val="15"/>
          <w:color w:val="auto"/>
        </w:rPr>
      </w:pPr>
    </w:p>
    <w:p>
      <w:pPr>
        <w:ind w:left="460" w:right="60" w:hanging="452"/>
        <w:spacing w:after="0" w:line="264"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All of the option awards listed in the table were granted with an exercise price per share that is no less than the fair market value of our common shares on the date of grant of such award, as determined in good faith by our board of directors.</w:t>
      </w:r>
    </w:p>
    <w:p>
      <w:pPr>
        <w:ind w:left="460" w:right="20" w:hanging="452"/>
        <w:spacing w:after="0" w:line="264"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36 equal monthly installments thereafter, subject to the officer’s continued service through each vesting date.</w:t>
      </w:r>
    </w:p>
    <w:p>
      <w:pPr>
        <w:ind w:left="460" w:right="20" w:hanging="452"/>
        <w:spacing w:after="0" w:line="264"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39 equal monthly installments thereafter, subject to the officer’s continued service through each vesting date.</w:t>
      </w:r>
    </w:p>
    <w:p>
      <w:pPr>
        <w:ind w:left="460" w:right="520" w:hanging="452"/>
        <w:spacing w:after="0" w:line="288"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vesting of Ms. Dorton’s option award accelerated upon her termination of employment effective October 10, 2019, pursuant to the terms of her separation agreement with us.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On and after this offering, we may, on an annual basis or otherwise, grant additional equity awards to our executive officers pursuant to our 2020 Equity Incentive Plan, or the 2020 Plan, the terms of which are described below under “—Equity Incentive Plans—2020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set forth the initial terms and conditions of the executive’s employment with us, including initial base salary, bonus opportunity, eligibility for employee benefits and severance benefits upon a qualifying termination of employment, subject to certain non-solicitation and non-competition provisions. Any potential payments and benefits due upon a qualifying termination of employment or a change in control are further described below under “— Potential Payments and Benefits upon Termination or Change in Control.”</w:t>
      </w:r>
    </w:p>
    <w:p>
      <w:pPr>
        <w:spacing w:after="0" w:line="18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The employment of each of our named executive officers is “at will” and may be terminated at any time. In addition, each of our named executive officers has executed a form of our standard proprietary information and inventions agreement. The material terms of each agreement are described below.</w:t>
      </w:r>
    </w:p>
    <w:p>
      <w:pPr>
        <w:spacing w:after="0" w:line="124"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In connection with this offering, we intend to enter new employment agreements with each of our named executive officers that will replace and supersede the agreements described below.</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Lloyd M. Segal. </w:t>
      </w:r>
      <w:r>
        <w:rPr>
          <w:rFonts w:ascii="Arial" w:cs="Arial" w:eastAsia="Arial" w:hAnsi="Arial"/>
          <w:sz w:val="17"/>
          <w:szCs w:val="17"/>
          <w:color w:val="auto"/>
        </w:rPr>
        <w:t>We entered into an employment agreement with Mr. Segal in January 2018, effective July 1, 2017, in connection with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President and Chief Executive Officer. The employment agreement provides for a base salary and target bonus opportunity, which shall be reviewed and may be adjusted by the Compensation Committee of our board of directors on an annual basis. Mr. Segal’s compensation has been subsequently increased to the amounts described above. To qualify for the annual target bonus set at a percentage of his adjusted base salary, in respect of any calendar year, Mr. Segal must remain continuously employed with us through the date that such bonus is paid, which will be before the end of February of the following year. Under the employment agreement, we agreed to grant Mr. Segal an option to acquire 1,750,000 shares of our common shares pursuant to the terms of the Existing Plan, at an exercise price of $0.27 per share; 25% of the shares vested on the one-year anniversary of the grant date, with the remainder vesting monthly in equal installments over the following 36 months such that the share options vested in full on the four-year anniversary of the grant date, subject to Mr. Segal’s continuous employment through such vesting dates. Mr. Segal is also eligible for additional equity awards under our equity compensation plans, as may be granted from time to time.</w:t>
      </w:r>
    </w:p>
    <w:p>
      <w:pPr>
        <w:spacing w:after="0" w:line="185"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b w:val="1"/>
          <w:bCs w:val="1"/>
          <w:i w:val="1"/>
          <w:iCs w:val="1"/>
          <w:color w:val="auto"/>
        </w:rPr>
        <w:t xml:space="preserve">Michael Zinda, Ph.D. </w:t>
      </w:r>
      <w:r>
        <w:rPr>
          <w:rFonts w:ascii="Arial" w:cs="Arial" w:eastAsia="Arial" w:hAnsi="Arial"/>
          <w:sz w:val="16"/>
          <w:szCs w:val="16"/>
          <w:color w:val="auto"/>
        </w:rPr>
        <w:t>We entered into an employment agreement with Dr. Zinda in August 2017, effective June 14, 2017, in connection with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appointment as our Executive Vice President, Head of Research and Development from June 2017 to May 2019. He subsequently was promoted to the role of our Executive Vice President, Chief Scientific Officer in May 2019. The employment agreement provides for a base salary and target bonus opportunity, which shall be reviewed and may be adjusted by the Compensation Committee of our board of directors on an annual basis. Dr. Zinda’s compensation has been subsequently increased to the amounts described above, including in connection with his promotion. To qualify for the annual target bonus set at a percentage of his adjusted base salary in respect of any calendar year, Dr. Zinda must remain continuously employed with us through the end of the applicable calendar year. Under the employment agreement, we granted Dr. Zinda an initial option to acquire 200,000 shares of our common shares. In addition, under the employment agreement, we granted Dr. Zinda an option to acquire 575,000 shares of our common shares upon the initial closing of our Series A preferred share financing. Each grant is pursuant to the terms of the Existing Plan, has an exercise price of $0.27 per share; 25% of the shares vested on the one-year anniversary of the grant date, with the remainder vesting monthly in equal installments over the following 36 months such that share options will be vested in full on the four-year anniversary of the grant date, subject to Dr. Zinda’s continuous employment through such vesting dates.</w:t>
      </w:r>
    </w:p>
    <w:p>
      <w:pPr>
        <w:spacing w:after="0" w:line="4"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Dr. Zinda is also eligible for additional equity awards under our equity compensation plans, as may be granted from time to time. Under the agreement, we agreed to annually contribute 7.5% of Dr. Zinda’s base salary as in effect to an individual retirement account maintained for the benefit of Dr. Zinda or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similar pension program, to be selected at his direction. The employment agreement provided that until we provided standardized, group medical, dental, and vision insurance, Dr. Zinda could submit reimbursements for personal and dental insurance coverage, up to $2,500 per month. Such obligation to provide reimbursement ended June 30, 2019 when we began to provide these health and welfare benefits for U.S. employees, as discussed further under “-Health and Welfare and Retirement Benefits; Perquisites.”</w:t>
      </w:r>
    </w:p>
    <w:p>
      <w:pPr>
        <w:spacing w:after="0" w:line="187" w:lineRule="exact"/>
        <w:rPr>
          <w:sz w:val="20"/>
          <w:szCs w:val="20"/>
          <w:color w:val="auto"/>
        </w:rPr>
      </w:pPr>
    </w:p>
    <w:p>
      <w:pPr>
        <w:ind w:right="180" w:firstLine="449"/>
        <w:spacing w:after="0" w:line="284" w:lineRule="auto"/>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We entered into an employment agreement with Dr. Koehler in April 2019, effective May 1, 2019,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 appointment as our Executive Vice President, Chief Medical Officer. The employment agreement provides for a base salary and target bonus opportunity, which shall be reviewed and may be adjusted by the Compensation Committee of our board of directors on an annual basis. Dr. Koehler’s compensation has been subsequently increased to the amounts described above. To qualify for the annual target bonus set at a percentage of his adjusted base salary in respect of any calendar year, Dr. Koehler must remain continuously employed with us through the date that the annual target bonus is approved by the Compensation Committee, which will be prior to March 15 of the following year. Under the employment agreement, we granted</w:t>
      </w:r>
    </w:p>
    <w:p>
      <w:pPr>
        <w:spacing w:after="0" w:line="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Dr. Koehler an option to acquire 1,175,000 shares of our common shares pursuant to the Existing Plan, at an exercise price of $0.34 per share; 25% of the shares vested on the one-year anniversary of the grant date, with the remainder vesting monthly in equal installments over the following 36 months such that it will be vested in full on the four-year anniversary of the grant date, subject to Dr. Koehler’s continuous employment through such vesting dates. The employment agreement provided that until we provided standardized, group medical, dental, and vision insurance, Dr. Koehler could submit reimbursements for personal and dental insurance coverage, up to $2,500 per month. Such obligation to provide reimbursement ended June 30, 2019 when we began to provide these health and welfare benefits for U.S. employees, as discussed further under “- Health and Welfare and Retirement Benefits; Perquisites.” As of July 1, 2019, we now pay the employee portion of her medical and dental insurance premiums.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Katina Dorton</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terminated Ms. Dorton’s employment as our Executive Vice President, Chief Financial Officer effective October 10, 2019. In connection with her termination, we entered into a separation agreement with Ms. Dorton and an independent contractor agreement with Ms. Dorton, pursuant to which</w:t>
      </w:r>
    </w:p>
    <w:p>
      <w:pPr>
        <w:ind w:right="180"/>
        <w:spacing w:after="0" w:line="281" w:lineRule="auto"/>
        <w:rPr>
          <w:sz w:val="20"/>
          <w:szCs w:val="20"/>
          <w:color w:val="auto"/>
        </w:rPr>
      </w:pPr>
      <w:r>
        <w:rPr>
          <w:rFonts w:ascii="Arial" w:cs="Arial" w:eastAsia="Arial" w:hAnsi="Arial"/>
          <w:sz w:val="16"/>
          <w:szCs w:val="16"/>
          <w:color w:val="auto"/>
        </w:rPr>
        <w:t>Ms. Dorton agreed to provide us with certain consulting services following her termination and through December 31, 2019. In connection with the separation agreement, she entered into a full and final release of any claims relating to her employment with us or termination therefrom. Pursuant to her separation agreement, Ms. Dorton received the following severance benefits: (i) her fully earned but unpaid base salary through the date of termination at the rate then in effect, plus accrued vacation and any other reimbursements or expenses to which she was entitled; (ii) a cash payment, payable in nine equal monthly installments, in the amount of $354,375, reduced dollar-for-dollar by the $9,000 in consulting fees paid to Ms. Dorton pursuant to her independent contractor agreement; (iii) continuation of health benefits for a period of nine months following her termination date; and (iv) the automatic acceleration of the vesting and exercisability of 393,750 outstanding but unvested stock options. The remaining 956,250 stock options then held by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Ms. Dorton were immediately forfeited on her termination date. Ms. Dorton may exercise her vested options within six months following her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 subsequently exercised all of her vested options on January 8,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Prior to the completion of this offering, we intend to enter into change in control and severance agreements with each of Mr. Segal, Dr. Zinda and Dr. Koehler, respectively, which will supersede all previous severance and change in control arrangements we had entered into with these executive officers.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and Retirement Benefits; Perquisites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These payments and benefits discussed above are in addition to eligibility to participate in benefits available generally to salaried employees, including accrued benefits under our health and welfare plans and arrangements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and vacation pay or other accrued benefits under our medical and dental insurance plans, that are not generally described. Since 2017, we have offered medical, dental, vision, life and accidental death and dismemberment insurance to our Canadian employees. Prior to July 1, 2019, we did not provide any health or welfare benefits to our U.S. employees. We also did provide reimbursements to employees to cover COBRA monthly payments. Now, we offer medical, dental, vision, life and accidental death and dismemberment insurance to our U.S. employees. We only provide limited perquisites or personal benefits to our named executive officers. Our board of directors may elect to adopt qualified or nonqualified benefit plans in the future, if it determines that doing so is in our best interests.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intends to adopt the 2020 Plan in connection with this offering, which will be subsequently approved by our shareholders. Our</w:t>
      </w:r>
    </w:p>
    <w:p>
      <w:pPr>
        <w:spacing w:after="0" w:line="46"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2020 Plan will be a successor to and continuation of our Existing Plan. The 2020 Plan will become effective upon, and no share awards may be granted under the 2020 Plan until, the date of the underwriting agreement related to this offering. Once the 2020 Plan is effective, no further grants will be made under the Existing Plan.</w:t>
      </w:r>
    </w:p>
    <w:p>
      <w:pPr>
        <w:spacing w:after="0" w:line="190" w:lineRule="exact"/>
        <w:rPr>
          <w:sz w:val="20"/>
          <w:szCs w:val="20"/>
          <w:color w:val="auto"/>
        </w:rPr>
      </w:pPr>
    </w:p>
    <w:p>
      <w:pPr>
        <w:ind w:right="380" w:firstLine="449"/>
        <w:spacing w:after="0" w:line="259"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Our 2020 Plan provides for the grant of incentive share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 nonstatutory share options, or NSOs, share appreciation rights, restricted share awards, restricted share unit awards, performance share awards, performance cash awards and other forms of share awards to employees, directors and consultants, including employees and consultants of our affiliates.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maximum number of our common shares that may be issued under our 2020 Plan after it becomes effective will be</w:t>
      </w:r>
    </w:p>
    <w:p>
      <w:pPr>
        <w:spacing w:after="0" w:line="46" w:lineRule="exact"/>
        <w:rPr>
          <w:sz w:val="20"/>
          <w:szCs w:val="20"/>
          <w:color w:val="auto"/>
        </w:rPr>
      </w:pPr>
    </w:p>
    <w:p>
      <w:pPr>
        <w:ind w:firstLine="765"/>
        <w:spacing w:after="0" w:line="281" w:lineRule="auto"/>
        <w:rPr>
          <w:sz w:val="20"/>
          <w:szCs w:val="20"/>
          <w:color w:val="auto"/>
        </w:rPr>
      </w:pPr>
      <w:r>
        <w:rPr>
          <w:rFonts w:ascii="Arial" w:cs="Arial" w:eastAsia="Arial" w:hAnsi="Arial"/>
          <w:sz w:val="16"/>
          <w:szCs w:val="16"/>
          <w:color w:val="auto"/>
        </w:rPr>
        <w:t>shares, which is the sum of (1) new shares, plus (2) the number of shares (not to exceed shares) (i) that remain available for the issuance of awards under our Existing Plan at the time our 2020 Plan becomes effective, and (ii) any shares subject to outstanding options or other share awards that were granted under our Existing Plan that terminate or expire prior to exercise or settlement; are forfeited because of the failure to vest; or are reacquired or withheld (or not issued) to satisfy a tax withholding obligation or the purchase or exercise price. In addition, the number of our common shares reserved for issuance under our 2020 Plan will automatically increase on January 1 of each calendar year, starting on January 1, 2021 (assuming the</w:t>
      </w:r>
    </w:p>
    <w:p>
      <w:pPr>
        <w:spacing w:after="0" w:line="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2020 Plan becomes effective in 2020) through January 1, 2030, in an amount equal to % of the total number of our capital shares outstanding on the last day of the calendar month before the date of each automatic increase, or a lesser number of shares determined by our board of directors. The maximum</w:t>
      </w:r>
    </w:p>
    <w:p>
      <w:pPr>
        <w:spacing w:after="0" w:line="1"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number of our common shares that may be issued on the exercise of ISOs under our 2020 Plan is</w:t>
      </w:r>
      <w:r>
        <w:rPr>
          <w:sz w:val="20"/>
          <w:szCs w:val="20"/>
          <w:color w:val="auto"/>
        </w:rPr>
        <w:tab/>
      </w:r>
      <w:r>
        <w:rPr>
          <w:rFonts w:ascii="Arial" w:cs="Arial" w:eastAsia="Arial" w:hAnsi="Arial"/>
          <w:sz w:val="13"/>
          <w:szCs w:val="13"/>
          <w:color w:val="auto"/>
        </w:rPr>
        <w:t>shares.</w:t>
      </w:r>
    </w:p>
    <w:p>
      <w:pPr>
        <w:spacing w:after="0" w:line="21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Shares subject to share awards granted under our 2020 Plan that expire or terminate without being exercised in full or that are paid out in cash rather than in shares do not reduce the number of shares available for issuance under our 2020 Plan. If any common shares issued pursuant to a share award are forfeited back to or repurchased or reacquired by us for any reason, the shares that are forfeited or repurchased or reacquired will revert to and again become available for issuance under the 2020 Plan. Any shares reacquired in satisfaction of tax withholding obligations or as consideration for the exercise or purchase price of a share award will again become available for issuance under the 2020 Plan.</w:t>
      </w:r>
    </w:p>
    <w:p>
      <w:pPr>
        <w:spacing w:after="0" w:line="176" w:lineRule="exact"/>
        <w:rPr>
          <w:sz w:val="20"/>
          <w:szCs w:val="20"/>
          <w:color w:val="auto"/>
        </w:rPr>
      </w:pPr>
    </w:p>
    <w:p>
      <w:pPr>
        <w:ind w:right="260" w:firstLine="449"/>
        <w:spacing w:after="0" w:line="291" w:lineRule="auto"/>
        <w:rPr>
          <w:sz w:val="20"/>
          <w:szCs w:val="20"/>
          <w:color w:val="auto"/>
        </w:rPr>
      </w:pPr>
      <w:r>
        <w:rPr>
          <w:rFonts w:ascii="Arial" w:cs="Arial" w:eastAsia="Arial" w:hAnsi="Arial"/>
          <w:sz w:val="16"/>
          <w:szCs w:val="16"/>
          <w:color w:val="auto"/>
        </w:rPr>
        <w:t>The maximum number of common shares subject to share awards granted under the 2020 Plan or otherwise during any one calendar year to any non-employee director, taken together with any cash fees paid by us to such non-employee director during such calendar year for service on the board of</w:t>
      </w:r>
    </w:p>
    <w:p>
      <w:pPr>
        <w:ind w:right="80"/>
        <w:spacing w:after="0" w:line="281" w:lineRule="auto"/>
        <w:rPr>
          <w:sz w:val="20"/>
          <w:szCs w:val="20"/>
          <w:color w:val="auto"/>
        </w:rPr>
      </w:pPr>
      <w:r>
        <w:rPr>
          <w:rFonts w:ascii="Arial" w:cs="Arial" w:eastAsia="Arial" w:hAnsi="Arial"/>
          <w:sz w:val="16"/>
          <w:szCs w:val="16"/>
          <w:color w:val="auto"/>
        </w:rPr>
        <w:t>directors, will not exceed $ in total value (calculating the value of any such share awards based on the grant date fair value of such share awards for financial reporting purposes), or, with respect to the calendar year in which a non-employee director is first appointed or elected to our board of directors,</w:t>
      </w:r>
    </w:p>
    <w:p>
      <w:pPr>
        <w:spacing w:after="0" w:line="1" w:lineRule="exact"/>
        <w:rPr>
          <w:sz w:val="20"/>
          <w:szCs w:val="20"/>
          <w:color w:val="auto"/>
        </w:rPr>
      </w:pPr>
    </w:p>
    <w:p>
      <w:pPr>
        <w:ind w:left="680" w:hanging="672"/>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or a duly authorized committee of our board of directors, will administer our 2020 Plan and is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as the “plan administrator” herein. Our board of directors may also delegate to one or more of our officers the authority to (1) designate employees (other than officers) to receive specified share awards and (2) determine the number of shares subject to such share awards. Under our 2020 Plan, our board of directors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spacing w:after="0" w:line="16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Under the 2020 Plan, the board of directors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4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ISOs and NSOs are granted under option agreements adopted by the plan administrator. The plan administrator determines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options, within the terms and conditions of the 2020 Plan, provided that the exercise price of an option generally cannot be less than 100% of the fair market value of our common shares on the date of grant. Options granted under the 2020 Plan vest at the rate specified in the option agreement as determined by the plan administrator.</w:t>
      </w:r>
    </w:p>
    <w:p>
      <w:pPr>
        <w:spacing w:after="0" w:line="187"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plan administrator determines the term of options granted under the 2020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1"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Acceptable consideration for the purchase of common shares issued upon the exercise of an option will be determined by the plan administrator and may include (1) cash, check, bank draft or money order, (2) a broker-assisted cashless exercise, (3) the tender of our common shares previously owned by the optionholder, (4) a net exercise of the option if it is an NSO, or (5) other legal consideration approved by the plan administrator.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shares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i w:val="1"/>
          <w:iCs w:val="1"/>
          <w:color w:val="auto"/>
        </w:rPr>
        <w:t xml:space="preserve">Restricted Share Unit Awards. </w:t>
      </w:r>
      <w:r>
        <w:rPr>
          <w:rFonts w:ascii="Arial" w:cs="Arial" w:eastAsia="Arial" w:hAnsi="Arial"/>
          <w:sz w:val="16"/>
          <w:szCs w:val="16"/>
          <w:color w:val="auto"/>
        </w:rPr>
        <w:t>Restricted share unit awards are granted under restricted share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share unit awards may be granted in consideration for any form of legal consideration that may be acceptable to our board of directors and permissible under applicable 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spacing w:after="0" w:line="16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Restricted share awards are granted under restricted share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Share appreciation rights are granted under share appreciation right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share appreciation right, which generally cannot be less than 100% of the fair market value of our common shares on the date of grant. A share appreciation right granted under the 2020 Plan vests at the rate specified in the share appreciation right agreement as determined by the plan administrator.</w:t>
      </w:r>
    </w:p>
    <w:p>
      <w:pPr>
        <w:spacing w:after="0" w:line="187"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The plan administrator determines the term of share appreciation rights granted under the 2020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spacing w:after="0" w:line="196"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2020 Plan permits the grant of performance-based share and cash awards. Our compensation committee may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so that the share or cash will be issued or paid only following the achievement of certain pre-established performance goals during a designated performance period.</w:t>
      </w:r>
    </w:p>
    <w:p>
      <w:pPr>
        <w:spacing w:after="0" w:line="184" w:lineRule="exact"/>
        <w:rPr>
          <w:sz w:val="20"/>
          <w:szCs w:val="20"/>
          <w:color w:val="auto"/>
        </w:rPr>
      </w:pPr>
    </w:p>
    <w:p>
      <w:pPr>
        <w:jc w:val="both"/>
        <w:ind w:right="520" w:firstLine="449"/>
        <w:spacing w:after="0" w:line="287" w:lineRule="auto"/>
        <w:rPr>
          <w:sz w:val="20"/>
          <w:szCs w:val="20"/>
          <w:color w:val="auto"/>
        </w:rPr>
      </w:pPr>
      <w:r>
        <w:rPr>
          <w:rFonts w:ascii="Arial" w:cs="Arial" w:eastAsia="Arial" w:hAnsi="Arial"/>
          <w:sz w:val="16"/>
          <w:szCs w:val="16"/>
          <w:color w:val="auto"/>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w:t>
      </w:r>
    </w:p>
    <w:p>
      <w:pPr>
        <w:spacing w:after="0" w:line="2" w:lineRule="exact"/>
        <w:rPr>
          <w:sz w:val="20"/>
          <w:szCs w:val="20"/>
          <w:color w:val="auto"/>
        </w:rPr>
      </w:pPr>
    </w:p>
    <w:p>
      <w:pPr>
        <w:ind w:left="420" w:hanging="412"/>
        <w:spacing w:after="0"/>
        <w:tabs>
          <w:tab w:leader="none" w:pos="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net income or net income per common share (basic or diluted); (ix) return on equity, investment, capital or assets; (x) one or more operating ratios;</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w:t>
      </w:r>
    </w:p>
    <w:p>
      <w:pPr>
        <w:spacing w:after="0" w:line="1" w:lineRule="exact"/>
        <w:rPr>
          <w:rFonts w:ascii="Arial" w:cs="Arial" w:eastAsia="Arial" w:hAnsi="Arial"/>
          <w:sz w:val="16"/>
          <w:szCs w:val="16"/>
          <w:color w:val="auto"/>
        </w:rPr>
      </w:pPr>
    </w:p>
    <w:p>
      <w:pPr>
        <w:ind w:firstLine="8"/>
        <w:spacing w:after="0" w:line="323" w:lineRule="auto"/>
        <w:tabs>
          <w:tab w:leader="none" w:pos="44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459"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 of directors.</w:t>
      </w:r>
    </w:p>
    <w:p>
      <w:pPr>
        <w:spacing w:after="0" w:line="182"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of directors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 of director’s assessment of our business strategy, performance of comparable organizations, economic and business conditions, and any other circumstances deemed relevant. Specifically, the board of directors is authorized to make adjustment in the method of calculating attainment of performance goals and objectives for a performance period as follows: (i) to exclude the dilutive effects of acquisitions or joint ventures;</w:t>
      </w:r>
    </w:p>
    <w:p>
      <w:pPr>
        <w:spacing w:after="0" w:line="6" w:lineRule="exact"/>
        <w:rPr>
          <w:sz w:val="20"/>
          <w:szCs w:val="20"/>
          <w:color w:val="auto"/>
        </w:rPr>
      </w:pPr>
    </w:p>
    <w:p>
      <w:pPr>
        <w:ind w:firstLine="8"/>
        <w:spacing w:after="0" w:line="286" w:lineRule="auto"/>
        <w:tabs>
          <w:tab w:leader="none" w:pos="2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of directors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 of directors.</w:t>
      </w:r>
    </w:p>
    <w:p>
      <w:pPr>
        <w:spacing w:after="0" w:line="172" w:lineRule="exact"/>
        <w:rPr>
          <w:sz w:val="20"/>
          <w:szCs w:val="20"/>
          <w:color w:val="auto"/>
        </w:rPr>
      </w:pPr>
    </w:p>
    <w:p>
      <w:pPr>
        <w:ind w:right="680" w:firstLine="449"/>
        <w:spacing w:after="0" w:line="308" w:lineRule="auto"/>
        <w:rPr>
          <w:sz w:val="20"/>
          <w:szCs w:val="20"/>
          <w:color w:val="auto"/>
        </w:rPr>
      </w:pPr>
      <w:r>
        <w:rPr>
          <w:rFonts w:ascii="Arial" w:cs="Arial" w:eastAsia="Arial" w:hAnsi="Arial"/>
          <w:sz w:val="17"/>
          <w:szCs w:val="17"/>
          <w:i w:val="1"/>
          <w:iCs w:val="1"/>
          <w:color w:val="auto"/>
        </w:rPr>
        <w:t>Other Share Awards</w:t>
      </w:r>
      <w:r>
        <w:rPr>
          <w:rFonts w:ascii="Arial" w:cs="Arial" w:eastAsia="Arial" w:hAnsi="Arial"/>
          <w:sz w:val="17"/>
          <w:szCs w:val="17"/>
          <w:color w:val="auto"/>
        </w:rPr>
        <w:t>. The plan administrator may grant other awards based in whole or in part by reference to our common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share award and all other terms and conditions of such awards.</w:t>
      </w:r>
    </w:p>
    <w:p>
      <w:pPr>
        <w:spacing w:after="0" w:line="146"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share split, reverse share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2020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share awards.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320" w:top="459" w:right="3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2020 Plan provides that in the event of certain specified significant corporate transactions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unless otherwise provided in an award agreement or other written agreement between us and the award holder, the plan administrator may take one or more of the following actions with respect to such share awards:</w:t>
      </w:r>
    </w:p>
    <w:p>
      <w:pPr>
        <w:spacing w:after="0" w:line="89" w:lineRule="exact"/>
        <w:rPr>
          <w:sz w:val="20"/>
          <w:szCs w:val="20"/>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share award by a successor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share award and provide for its termination if not exercised (if applicable) at or before the effective time of the transaction;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cancel or arrange for the cancellation of the share award, to the extent not vested or not exercised before the effective time of the transaction, in exchange for a cash payment, if any; or</w:t>
      </w:r>
    </w:p>
    <w:p>
      <w:pPr>
        <w:spacing w:after="0" w:line="75" w:lineRule="exact"/>
        <w:rPr>
          <w:rFonts w:ascii="Arial" w:cs="Arial" w:eastAsia="Arial" w:hAnsi="Arial"/>
          <w:sz w:val="18"/>
          <w:szCs w:val="18"/>
          <w:color w:val="auto"/>
        </w:rPr>
      </w:pPr>
    </w:p>
    <w:p>
      <w:pPr>
        <w:ind w:left="1000" w:right="400" w:hanging="547"/>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plan administrator is not obligated to treat all share awards or portions of share awards in the same manner and is not obligated to take the same actions with respect to all participants.</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the 2020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the plan administrator may take any of the above-mentioned actions. Awards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2020 Plan, a change in control is generally (1) the acquisition by any person or company of more than 50% of the combined voting power of our then outstanding shares, (2) a merger,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7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shareholders. No ISOs may be granted after the tenth anniversary of the date our board of directors adopts our 2020 Plan. No share awards may be granted under our 2020 Plan while it is suspended or after it is terminated.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Plan</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i w:val="1"/>
          <w:iCs w:val="1"/>
          <w:color w:val="auto"/>
        </w:rPr>
        <w:t>Genera</w:t>
      </w:r>
      <w:r>
        <w:rPr>
          <w:rFonts w:ascii="Arial" w:cs="Arial" w:eastAsia="Arial" w:hAnsi="Arial"/>
          <w:sz w:val="18"/>
          <w:szCs w:val="18"/>
          <w:color w:val="auto"/>
        </w:rPr>
        <w:t>l. Our board of directors originally adopted and our shareholders initially approved our Existing Plan in December 2016.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amended and restated our Existing Plan, most recently in September 2019, the purpose of which was to increase the number of shares available for issuance under our Existing Plan. Our shareholders approved this recent amendment and restatement in August 2019. Following the closing of this offering and upon the adoption of our 2020 Plan, no further awards will be granted under the Existing Plan; however, awards outstanding under our Existing Plan will continue in full effect in accordance with their existing terms. Our Existing Plan provides for the grant of incentive share options and nonstatutory share options to purchase common shares of our share capital to employees, members of our board of directors and consultants. Incentive share options may be granted only to employees.</w:t>
      </w:r>
    </w:p>
    <w:p>
      <w:pPr>
        <w:spacing w:after="0" w:line="19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No common shares will be available for future issuance under the Existing Plan following the effectiveness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which this prospectus forms a part. The maximum number of common shares reserved for issuance under our Existing Plan is 24,697,408. As of December 31, 2019, options to purchase 21,248,158 common shares, at exercise prices ranging from $0.27 to $0.40 per share, or a weighted-average exercise price of $0.34 per share, were outstanding under our Existing Plan.</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our Existing Plan. Our board of directors has full authority and discretion to take any actions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advisable for the administration of our Existing Plan. Our board of directors may generally cancel, amend, adjust or otherwise change any outstanding options under such circumstances as it may consider appropriate in accordance with the provisions of the Existing Plan, unless the optionholder would be adversely affected.</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our Existing Plan will be equal to or exceed the fair market value of a common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on the grant date. Options expire at the time determined by the administrator, but in no event more than ten years after they are granted, and generally expire earlier if the optionholder’s service terminates.</w:t>
      </w:r>
    </w:p>
    <w:p>
      <w:pPr>
        <w:spacing w:after="0" w:line="184" w:lineRule="exact"/>
        <w:rPr>
          <w:sz w:val="20"/>
          <w:szCs w:val="20"/>
          <w:color w:val="auto"/>
        </w:rPr>
      </w:pPr>
    </w:p>
    <w:p>
      <w:pPr>
        <w:jc w:val="both"/>
        <w:ind w:right="20" w:firstLine="449"/>
        <w:spacing w:after="0" w:line="286" w:lineRule="auto"/>
        <w:rPr>
          <w:sz w:val="20"/>
          <w:szCs w:val="20"/>
          <w:color w:val="auto"/>
        </w:rPr>
      </w:pPr>
      <w:r>
        <w:rPr>
          <w:rFonts w:ascii="Arial" w:cs="Arial" w:eastAsia="Arial" w:hAnsi="Arial"/>
          <w:sz w:val="17"/>
          <w:szCs w:val="17"/>
          <w:i w:val="1"/>
          <w:iCs w:val="1"/>
          <w:color w:val="auto"/>
        </w:rPr>
        <w:t>Capital Reorganization</w:t>
      </w:r>
      <w:r>
        <w:rPr>
          <w:rFonts w:ascii="Arial" w:cs="Arial" w:eastAsia="Arial" w:hAnsi="Arial"/>
          <w:sz w:val="17"/>
          <w:szCs w:val="17"/>
          <w:color w:val="auto"/>
        </w:rPr>
        <w:t>. If we effect a subdivision, consolidation, or similar reorganization, or any other change in capitalization that, in the 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warrants the replacement or amendment of any existing options, the administrator may adjust: (i) the number of common shares that may be acquired on the exercise of any options; and/or (ii) the exercise price of any outstanding options, as necessary.</w:t>
      </w:r>
    </w:p>
    <w:p>
      <w:pPr>
        <w:spacing w:after="0" w:line="165"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i w:val="1"/>
          <w:iCs w:val="1"/>
          <w:color w:val="auto"/>
        </w:rPr>
        <w:t>Liquidity Event</w:t>
      </w:r>
      <w:r>
        <w:rPr>
          <w:rFonts w:ascii="Arial" w:cs="Arial" w:eastAsia="Arial" w:hAnsi="Arial"/>
          <w:sz w:val="18"/>
          <w:szCs w:val="18"/>
          <w:color w:val="auto"/>
        </w:rPr>
        <w:t>. Upon a liquidity event, our board of directors shall have the power to accelerate the vesting of any unvested options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liquidity event in its sole discretion and/or to make such changes to the terms of the options as it considers fair and appropriate in the circumstances, acting reasonably.</w:t>
      </w:r>
    </w:p>
    <w:p>
      <w:pPr>
        <w:spacing w:after="0" w:line="18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In general, a “liquidity event” means the acquisition of the company by another entity by means of any transaction or series of related transactions, which results in one person, together with any related entities of such person, acquiring beneficial ownership, or exercising direction or control, over more than 50% of the combined voting power attached to all of our outstanding securities; a sale, lease, transfer, exclusive license or disposition of all or substantially all of our assets; our adoption of a plan of liquidation providing for the distribution of all or substantially all of our assets; or any other event so specified by our board of directors, subject to certain exceptions.</w:t>
      </w:r>
    </w:p>
    <w:p>
      <w:pPr>
        <w:spacing w:after="0" w:line="188"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options under our Existing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Existing Plan.</w:t>
      </w:r>
    </w:p>
    <w:p>
      <w:pPr>
        <w:spacing w:after="0" w:line="170" w:lineRule="exact"/>
        <w:rPr>
          <w:sz w:val="20"/>
          <w:szCs w:val="20"/>
          <w:color w:val="auto"/>
        </w:rPr>
      </w:pPr>
    </w:p>
    <w:p>
      <w:pPr>
        <w:jc w:val="both"/>
        <w:ind w:right="60" w:firstLine="449"/>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Subject to any shareholders agreement, our board of directors may terminate the Existing Plan at any time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Our board of directors has the authority to amend our Existing Plan, provided that such action is approved by our shareholders to the extent shareholder approval is necessary. As described above, our Existing Plan will terminate upon the effective date of our 2020 Plan.</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Share Purchase Plan</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Our board of directors intends to adopt the 2020 Employee Share Purchase Plan, or the ESPP, in connection with this offering.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177" w:lineRule="exact"/>
        <w:rPr>
          <w:sz w:val="20"/>
          <w:szCs w:val="20"/>
          <w:color w:val="auto"/>
        </w:rPr>
      </w:pPr>
    </w:p>
    <w:p>
      <w:pPr>
        <w:ind w:right="160" w:firstLine="449"/>
        <w:spacing w:after="0" w:line="285"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authorizes the issuance of common shares of our share capital under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share capital reserved for issuance will automatically increase on January 1 of each calendar year, beginning on January 1, 2021 (assuming the ESPP becomes effective in 2020) through January 1, 2030, by the lesser of (1) % of the total number of shares of our share capital outstanding on the last day of the calendar month before the date of the automatic increase and (2) shares; provided that before the date of any such increase, our board of directors may determine that such</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increase will be less than the amount set forth in clauses (1) and (2). As of the date hereof, no shares of our share capital have been purchased under the ESPP.</w:t>
      </w:r>
    </w:p>
    <w:p>
      <w:pPr>
        <w:spacing w:after="0" w:line="185"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administers the ESPP and may delegate its authority to administer the ESPP to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is implemented through a series of offerings under which eligible employees are granted purchase rights to purchase shares of our share capital on specified dates during such offerings. Under the ESPP, we may specify offerings with durations of not more than 27 months, and may specify shorter purchase periods within each offering. Each offering will have one or more purchase dates on which shares of our share capital will be purchased for employees participating in the offering. An offering under the ESPP may be terminated under certain circumstances.</w:t>
      </w:r>
    </w:p>
    <w:p>
      <w:pPr>
        <w:spacing w:after="0" w:line="176"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share capital under the ESPP. Unless otherwise determined by our board of directors, common shares will be purchased for the accounts of employees participating in the ESPP at a price per share that is at least the lesser of (1) 85% of the fair market value of a share of our share capital on the first date of an offering or (2) 85% of the fair market value of a share of our share capital on the date of purchase.</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share of our common shares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shares measured by vote or value under Section 424(d) of the Code.</w:t>
      </w:r>
    </w:p>
    <w:p>
      <w:pPr>
        <w:spacing w:after="0" w:line="177" w:lineRule="exact"/>
        <w:rPr>
          <w:sz w:val="20"/>
          <w:szCs w:val="20"/>
          <w:color w:val="auto"/>
        </w:rPr>
      </w:pPr>
    </w:p>
    <w:p>
      <w:pPr>
        <w:ind w:right="380" w:firstLine="449"/>
        <w:spacing w:after="0" w:line="311"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share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share dividend, dividend in property other than cash, large nonrecurring cash dividend, liquidating dividend, combination of shares, exchange of shares, change in corporate structure, or similar transaction, the board of directors will make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459"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4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any then-outstanding rights to purchase our shares under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share capital within 10 business days before such corporate transaction, and such purchase rights will terminate immediately.</w:t>
      </w:r>
    </w:p>
    <w:p>
      <w:pPr>
        <w:spacing w:after="0" w:line="15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share capital outstanding immediately before such transaction are converted or exchanged into other property by virtue of the transaction.</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shareholder approval of any amendment to our ESPP as required by applicable law or listing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Under the CBCA and our amended and restated articles of incorporation to be in effect upon the completion of this offering, we must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 The CBCA also provides that we may advance moneys to a director, officer or other individual for costs, charges and expenses reasonably incurred in connection with such a proceeding; provided that such individual shall repay the moneys if the individual does not fulfill the conditions described below.</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indemnification is prohibited under the CBCA unless the individual:</w:t>
      </w:r>
    </w:p>
    <w:p>
      <w:pPr>
        <w:spacing w:after="0" w:line="131" w:lineRule="exact"/>
        <w:rPr>
          <w:sz w:val="20"/>
          <w:szCs w:val="20"/>
          <w:color w:val="auto"/>
        </w:rPr>
      </w:pPr>
    </w:p>
    <w:p>
      <w:pPr>
        <w:ind w:left="1000" w:right="360" w:hanging="547"/>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acted honestly and in good faith with a view to our best interests, or the best interests of the other entity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a criminal or administrative action or proceeding that is enforced by a monetary penalty, the individual had reasonable grounds for believing that his or her conduct was lawful.</w:t>
      </w:r>
    </w:p>
    <w:p>
      <w:pPr>
        <w:spacing w:after="0" w:line="170"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The CBCA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We maintain a directors’ and officers’ insurance policy pursuant to which our directors and officers are insured against liability for actions taken in their capacities as directors and officers. We believe that these provisions in our amended and restated articles of incorporation and amended and restated bylaws and these indemnity agreements are necessary to attract and retain qualified persons as directors and officers.</w:t>
      </w:r>
    </w:p>
    <w:p>
      <w:pPr>
        <w:spacing w:after="0" w:line="165"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0"/>
          </w:cols>
          <w:pgMar w:left="320" w:top="459" w:right="5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includes a summary of transactions since January 1, 2017 and any currently proposed transactions, to which we were or are to be a participant, in which:</w:t>
      </w:r>
    </w:p>
    <w:p>
      <w:pPr>
        <w:spacing w:after="0" w:line="76" w:lineRule="exact"/>
        <w:rPr>
          <w:sz w:val="20"/>
          <w:szCs w:val="20"/>
          <w:color w:val="auto"/>
        </w:rPr>
      </w:pPr>
    </w:p>
    <w:p>
      <w:pPr>
        <w:ind w:left="1000" w:right="30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amount involved exceeds the lesser of $120,000 or one percent of the average of our total assets at year end for the last two completed fiscal years,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share capital, or any affiliate or member of the immediate family of the foregoing persons, had or will have a direct or indirect material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Financings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Share Financing</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In June 2017 and January 2019, we sold an aggregate of 61,728,395 of our Series A preferred shares in multiple closings at a purchase price of $0.81 per share for an aggregate amount of $50.0 million. The following table summarizes purchases of our Series A preferred shares by related parties. Each Series A preferred share in the table below will automatically convert into one common share upon the completion of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220" w:type="dxa"/>
            <w:vAlign w:val="bottom"/>
            <w:gridSpan w:val="3"/>
          </w:tcPr>
          <w:p>
            <w:pPr>
              <w:jc w:val="center"/>
              <w:ind w:left="1798"/>
              <w:spacing w:after="0"/>
              <w:rPr>
                <w:sz w:val="20"/>
                <w:szCs w:val="20"/>
                <w:color w:val="auto"/>
              </w:rPr>
            </w:pPr>
            <w:r>
              <w:rPr>
                <w:rFonts w:ascii="Arial" w:cs="Arial" w:eastAsia="Arial" w:hAnsi="Arial"/>
                <w:sz w:val="14"/>
                <w:szCs w:val="14"/>
                <w:b w:val="1"/>
                <w:bCs w:val="1"/>
                <w:color w:val="auto"/>
                <w:w w:val="89"/>
              </w:rPr>
              <w:t>Series A</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Aggregate Cash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220" w:type="dxa"/>
            <w:vAlign w:val="bottom"/>
            <w:gridSpan w:val="3"/>
          </w:tcPr>
          <w:p>
            <w:pPr>
              <w:jc w:val="center"/>
              <w:ind w:left="1798"/>
              <w:spacing w:after="0" w:line="149" w:lineRule="exact"/>
              <w:rPr>
                <w:sz w:val="20"/>
                <w:szCs w:val="20"/>
                <w:color w:val="auto"/>
              </w:rPr>
            </w:pPr>
            <w:r>
              <w:rPr>
                <w:rFonts w:ascii="Arial" w:cs="Arial" w:eastAsia="Arial" w:hAnsi="Arial"/>
                <w:sz w:val="14"/>
                <w:szCs w:val="14"/>
                <w:b w:val="1"/>
                <w:bCs w:val="1"/>
                <w:color w:val="auto"/>
                <w:w w:val="93"/>
              </w:rPr>
              <w:t>Preferred</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3220" w:type="dxa"/>
            <w:vAlign w:val="bottom"/>
            <w:gridSpan w:val="3"/>
          </w:tcPr>
          <w:p>
            <w:pPr>
              <w:jc w:val="center"/>
              <w:ind w:left="1798"/>
              <w:spacing w:after="0" w:line="149"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6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23,504,274</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19,038,662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10,921,178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(3)</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10,921,178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8,309,591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6,730,769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hanging="452"/>
        <w:spacing w:after="0" w:line="283"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(i) 7,625,795 Series A preferred shares purchased by Versant Venture Capital V, L.P., or Versant V, (ii) 580,361 Series A preferred shares purchased by Versant Venture Capital V (Canada) LP, or Versant V Canada, (iii) 253,915 Series A preferred shares purchased by Versant Ophthalmic Affiliates Fund I, L.P., or Versant Ophthalmic, (iv) 229,388 Series A preferred shares purchased by Versant Affiliates Fund V, L.P., or Versant Affiliates V, and (v) 14,814,815 Series A preferred shares purchased by Versant Venture Capital VI, L.P., or Versant VI. Versant V, Versant V Canada, Versant Ophthalmic, Versant Affiliates V, Versant VI and Versant Vantage (as defined below) are collectively referred to as the Versant Entities. Versant Ventures V LLC is the general partner of each of Versant V, Versant Ophthalmic and Versant Affiliates V and has voting and dispositive control over the shares held by such Entities. Jerel Davis, Ph.D., a member of our board of directors, is a managing director of Versant Ventures V, and, as a result, may be deemed to share voting and investment power with respect to the shares held by each of Versant V, Versant Ophthalmic and Versant Affiliates V. Versant Ventures V (Canada), L.P. is the general partner of Versant V Canada and Versant Ventures V GP-GP (Canada), Inc. is the sole general partner of Versant Ventures V (Canada), L.P. and has voting and dispositive control over the shares held by Versant V Canada.</w:t>
      </w:r>
    </w:p>
    <w:p>
      <w:pPr>
        <w:spacing w:after="0" w:line="4"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Davis is a director of Versant Ventures V GP-GP (Canada), Inc. and, as a result, may be deemed to share voting and investment power with respect to the shares held by Versant Ventures Canada. Versant Ventures VI GP, L.P. is the sole general partner of Versant VI and Versant Ventures VI GP-GP, LLC is the sole general partner of Versant Ventures VI GP, L.P. and has voting and dispositive control over the shares held by Versant VI. Dr. Davis is a managing director of Versant Ventures VI GP-GP, LLC, and, as a result, may be deemed to share voting and investment power with respect to the shares held by Versant VI. The Versant Entities collectively hold more than 5% of our share capital.</w:t>
      </w:r>
    </w:p>
    <w:p>
      <w:pPr>
        <w:spacing w:after="0" w:line="2" w:lineRule="exact"/>
        <w:rPr>
          <w:rFonts w:ascii="Arial" w:cs="Arial" w:eastAsia="Arial" w:hAnsi="Arial"/>
          <w:sz w:val="16"/>
          <w:szCs w:val="16"/>
          <w:color w:val="auto"/>
        </w:rPr>
      </w:pPr>
    </w:p>
    <w:p>
      <w:pPr>
        <w:jc w:val="both"/>
        <w:ind w:left="460" w:right="100" w:hanging="452"/>
        <w:spacing w:after="0" w:line="277"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Represents (i) 9,918,254 Series A preferred shares purchased by MPM Bioventures 2014, L.P., or MPM 2014, (ii) 661,531 Series A preferred shares purchased by MPM Bioventures 2014 (B), L.P., or MPM B 2014 and (iii) 341,393 Series A preferred shares purchased by MPM Asset Management Investors BV2014 LLC, or MPM LLC. MPM 2014, MPM B 2014 and MPM LLC are collectively referred to as the MPM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color w:val="auto"/>
        </w:rPr>
        <w:t>Entities. Todd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Entities. The MPM Entities collectively hold more than 5% of our share capital.</w:t>
      </w:r>
    </w:p>
    <w:p>
      <w:pPr>
        <w:spacing w:after="0" w:line="2"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and as partial consideration for the Series A preferred share financing described above, an aggregate principal amount of</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$2.75 million of convertible promissory notes held by certain of the Versant Entities were redeemed and converted into 5,500,000 Series A preferred shares at a price of $0.50 per share. Following the issuance of the 5,500,000 Series A preferred shares and the payment of accrued interest of $45,589, the convertible promissory notes were cancelled and are of no further force or effect.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B Preferred Share Financing</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September 2019, we sold an aggregate of 63,458,580 of our Series B preferred shares at a purchase price of $1.30 per share for an aggregate amount of $82.5 million. The following table summarizes purchases of our Series B preferred shares by related parties. Each Series B preferred share in the table below will automatically convert into one common share upon the completion of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220" w:type="dxa"/>
            <w:vAlign w:val="bottom"/>
            <w:gridSpan w:val="3"/>
          </w:tcPr>
          <w:p>
            <w:pPr>
              <w:jc w:val="center"/>
              <w:ind w:left="1795"/>
              <w:spacing w:after="0"/>
              <w:rPr>
                <w:sz w:val="20"/>
                <w:szCs w:val="20"/>
                <w:color w:val="auto"/>
              </w:rPr>
            </w:pPr>
            <w:r>
              <w:rPr>
                <w:rFonts w:ascii="Arial" w:cs="Arial" w:eastAsia="Arial" w:hAnsi="Arial"/>
                <w:sz w:val="14"/>
                <w:szCs w:val="14"/>
                <w:b w:val="1"/>
                <w:bCs w:val="1"/>
                <w:color w:val="auto"/>
                <w:w w:val="89"/>
              </w:rPr>
              <w:t>Series B</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Aggregate Cash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220" w:type="dxa"/>
            <w:vAlign w:val="bottom"/>
            <w:gridSpan w:val="3"/>
          </w:tcPr>
          <w:p>
            <w:pPr>
              <w:jc w:val="center"/>
              <w:ind w:left="1795"/>
              <w:spacing w:after="0" w:line="149" w:lineRule="exact"/>
              <w:rPr>
                <w:sz w:val="20"/>
                <w:szCs w:val="20"/>
                <w:color w:val="auto"/>
              </w:rPr>
            </w:pPr>
            <w:r>
              <w:rPr>
                <w:rFonts w:ascii="Arial" w:cs="Arial" w:eastAsia="Arial" w:hAnsi="Arial"/>
                <w:sz w:val="14"/>
                <w:szCs w:val="14"/>
                <w:b w:val="1"/>
                <w:bCs w:val="1"/>
                <w:color w:val="auto"/>
                <w:w w:val="93"/>
              </w:rPr>
              <w:t>Preferred</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3220" w:type="dxa"/>
            <w:vAlign w:val="bottom"/>
            <w:gridSpan w:val="3"/>
          </w:tcPr>
          <w:p>
            <w:pPr>
              <w:jc w:val="center"/>
              <w:ind w:left="1795"/>
              <w:spacing w:after="0" w:line="149"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60" w:type="dxa"/>
            <w:vAlign w:val="bottom"/>
            <w:gridSpan w:val="2"/>
          </w:tcPr>
          <w:p>
            <w:pPr>
              <w:jc w:val="center"/>
              <w:ind w:left="495"/>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(1)</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15,769,231</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20,500,000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Cowen Healthcare Investments</w:t>
            </w:r>
            <w:r>
              <w:rPr>
                <w:rFonts w:ascii="Arial" w:cs="Arial" w:eastAsia="Arial" w:hAnsi="Arial"/>
                <w:sz w:val="15"/>
                <w:szCs w:val="15"/>
                <w:color w:val="auto"/>
              </w:rPr>
              <w:t>(2)</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11,538,462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Biopharma Investments II, L.P.</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9,615,385</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(3)</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8,855,029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11,511,538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(4)</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5,772,189</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7,503,846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2,322,486</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3,019,232</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(5)</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2,041,420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2,653,846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4"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shares purchase by OrbiMed Private Investments VII, L.P., or OrbiMed. OrbiMed Advisors LLC, or OrbiMed Advisors, is the managing member of OrbiMed Capital GP VII LLC, or OrbiMed GP VII. OrbiMed GP VII is the general partner of OrbiMed. David Bonita, M.D., a member of our board of directors, is a member of OrbiMed Advisors, and, as a result, may be deemed to share voting and investment power with respect to the shares held by OrbiMed. OrbiMed is a holder of more than 5% of our share capital.</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Represents (i) 10,749,200 Series B preferred shares purchased by CHI II and (ii) 789,262 Series B preferred shares purchased by CHI EF. CHI II and CHI EF are collectively referred to as the Cowen Entities. Cowen Healthcare Investments II GP LLC is the sole general partner of CHI II and CHI EF. As managing partner of Cowen Healthcare Investments II GP LLC, Kevin J. Raidy, a member of our board of directors, exercises sole voting and investment power over the securities held by Cowen Entities. The Cowen Entities collectively hold more than 5% of our share capital.</w:t>
      </w:r>
    </w:p>
    <w:p>
      <w:pPr>
        <w:spacing w:after="0" w:line="2" w:lineRule="exact"/>
        <w:rPr>
          <w:rFonts w:ascii="Arial" w:cs="Arial" w:eastAsia="Arial" w:hAnsi="Arial"/>
          <w:sz w:val="16"/>
          <w:szCs w:val="16"/>
          <w:color w:val="auto"/>
        </w:rPr>
      </w:pPr>
    </w:p>
    <w:p>
      <w:pPr>
        <w:ind w:left="460" w:right="160" w:hanging="452"/>
        <w:spacing w:after="0" w:line="290"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Represents (i) 675,071 Series B preferred shares purchased by Versant V, (ii) 51,376 Series B preferred shares purchased by Versant V Canada, (iii) 22,478 Series B preferred shares purchased by Versant Ophthalmic, (iv) 20,306 Series B preferred shares purchased by Versant Affiliates V, (v) 5,307,692 Series B preferred shares purchased by Versant VI and (vi) 2,778,106 Series B preferred shares purchased by Versant Vantage I, L.P., or Versant Vantage. As described above, Dr. Davis may be deemed to share voting and investment power with respect to the shares held by each of Versant V, Versant V Canada, Versant Ophthalmic, Versant Affiliates V and Versant VI. Versant Vantage I GP, L.P. is the sole general partner of Versant Vantage and Versant Vantage I GP-GP, LLC is the sole general partner of Versant Vantage I GP,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L.P. and has voting and dispositive control over the shares held by Versant Vantage. Dr. Davis is a managing director of Versant Vantage I GP-GP, LLC, and, as a result, may be deemed to share voting and investment power with respect to the shares held by Versant Vantage. The Versant Entities collectively hold more than 5% of our share capital.</w:t>
      </w:r>
    </w:p>
    <w:p>
      <w:pPr>
        <w:spacing w:after="0" w:line="3" w:lineRule="exact"/>
        <w:rPr>
          <w:sz w:val="20"/>
          <w:szCs w:val="20"/>
          <w:color w:val="auto"/>
        </w:rPr>
      </w:pPr>
    </w:p>
    <w:p>
      <w:pPr>
        <w:ind w:left="46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(i) 5,242,111 Series B preferred shares purchased by MPM 2014, (ii) 349,641 Series B preferred shares purchased by MPM B 2014 and (iii) 180,437 Series B preferred shares purchased by MPM LLC. Mr. Foley, a member of our board of directors, is a Managing Director of MPM BioVentures 2014 LLC, or BV2014 LLC. BV2014 LLC is the Managing Member of MPM BioVentures 2014 GP LLC, which is the General Partner of MPM 2014 and MPM B 2014. MPM LLC invests alongside MPM 2014 and MPM B 2014.As a result, Todd Foley may be deemed to share voting and investment power with respect to the shares held by each of the MPM Funds. The MPM Entities collectively hold more than 5% of our share capital.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Services</w:t>
      </w:r>
    </w:p>
    <w:p>
      <w:pPr>
        <w:spacing w:after="0" w:line="121"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From September 2018 to February 2020, we engaged Inception Sciences Canada, Inc., an affiliate of Versant, a holder of more than 5% of our share capital, for certain research services. For the years ended December 31, 2018 and 2019 and the three months ended March 31, 2020, we recorded expenses to Inception Sciences Canada of $321,989, $1,180,284 and $11,023 for such research services,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are party to an amended and restated registration rights agreement, or the registration rights agreement, dated September 3, 2019, with all holders of our preferred shares. The registration rights agreement provides that these holders are entitled to certain registration rights, including the right to demand that we file a registration statement or request that their shares be covered by a registration statement that we otherwise file. The registration rights will terminate upon the earliest of (i) the occurrence of certain mergers, amalgamations, consolidations, reorganizations, arrangements, business combinations or similar transactions that result in a change of control of our company, or a sale of all or substantially all of our assets, or a dissolution, liquidation or winding up of our company, (ii) three years after the completion of this offering or (iii) with respect to any particular holder, at such time that such holder can sell its preferred shares under Rule 144 of the Securities Act during any three-month period. For a description of the registration rights granted under the registration rights agreement, see the section titled “Description of Share Capital—Registration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party to a second amended and restated unanimous shareholders’ agreement, or the shareholders’ agreement, dated September 3, 2019, with all of our shareholders. The shareholders’ agreement provides, among other things, that these holders will vote in accordance with the terms of the agreement, including in matters related to the composition of our board of directors, as well as for certain transfer restrictions, information rights and preemptive rights in favor of certain holders of our preferred shares with regard to certain issuances of our share capital. The shareholders’ agreement will terminate upon the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We have entered into employment agreements with certain of our executive officers. For more information regarding these agreements with our named executive officers, see the sections titled “Executive Compensation—Agreements with our Named Executive Officers”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employment agreements and offer letter agreements we have entered into with certain of our executive officers provide for certain severance arrangements. For more information regarding these arrangements with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459"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 see “Executive Compensation—Potential Payments upon Termination or Change of Control.”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have granted options to certain of our executive officers and directors. See the sections titled “Non-Employee Director Compensation” and “Executive Compensation” for a description of these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and intend to continue to enter, into separate indemnity agreements with each of our directors and officers, in addition to the indemnification provided for in our bylaws. These indemnity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For more information regarding these indemnity agreements, see “—Limitation on Liability and Indemnification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connection with this offering, we intend to adopt a written related party transaction policy that sets forth our procedures for the identification, review, consideration and approval or ratification of related party transactions. This policy will become effective upon the effectiveness of the registration statement of which this prospectus is a part. For purposes of this policy only, a “related 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share capital, or any affiliate or member of the immediate family of the foregoing.</w:t>
      </w:r>
    </w:p>
    <w:p>
      <w:pPr>
        <w:spacing w:after="0" w:line="17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Under the policy, where a transaction has been identified as a related-person transaction, management will be required to present information regarding the proposed related-person transaction to our audit committee or, where review by our audit committee would be inappropriate due to a conflict of interest, to another independent body of our board of directors, for review. The presentation will need to include a description of, among other things, all of the parties,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 management’s recommendation. To identify related-person transactions in advance, we will rely on information supplied by our executive officers, directors and certain significant shareholders. In considering related-person transactions, our audit committee or another independent body of our board of directors will take into account the relevant available facts and circumstances including, but not limited to:</w:t>
      </w:r>
    </w:p>
    <w:p>
      <w:pPr>
        <w:spacing w:after="0" w:line="71" w:lineRule="exact"/>
        <w:rPr>
          <w:sz w:val="20"/>
          <w:szCs w:val="20"/>
          <w:color w:val="auto"/>
        </w:rPr>
      </w:pPr>
    </w:p>
    <w:p>
      <w:pPr>
        <w:ind w:left="1000" w:hanging="547"/>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under the same or similar circumstances.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320" w:top="459" w:right="3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shareholders.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beneficial ownership of our share capital as of March 31, 2020 by:</w:t>
      </w:r>
    </w:p>
    <w:p>
      <w:pPr>
        <w:spacing w:after="0" w:line="131" w:lineRule="exact"/>
        <w:rPr>
          <w:sz w:val="20"/>
          <w:szCs w:val="20"/>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460"/>
        <w:spacing w:after="0"/>
        <w:tabs>
          <w:tab w:leader="none" w:pos="8140" w:val="left"/>
        </w:tabs>
        <w:rPr>
          <w:sz w:val="20"/>
          <w:szCs w:val="20"/>
          <w:color w:val="auto"/>
        </w:rPr>
      </w:pPr>
      <w:r>
        <w:rPr>
          <w:rFonts w:ascii="Arial" w:cs="Arial" w:eastAsia="Arial" w:hAnsi="Arial"/>
          <w:sz w:val="18"/>
          <w:szCs w:val="18"/>
          <w:color w:val="auto"/>
        </w:rPr>
        <w:t>The percentage ownership information under the column titled “Before Offering” is based on</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March 31, 2020, assuming the automatic conversion of all outstanding preferred shares into an aggregate of 130,686,975 common shares immediately prior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completion of this offering. The percentage ownership information under the column titled “After Offering” is based on the sale of</w:t>
      </w:r>
    </w:p>
    <w:p>
      <w:pPr>
        <w:spacing w:after="0" w:line="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common shares in this offering (assuming an initial public offering price of $ per share, the midpoint of the price range set forth on the cover page of this prospectus). The percentage ownership information assumes no exercise of the underwriters’ option to purchase additional shares and no purchases of any common shares in this offering by the beneficial owners identified in the table below.</w:t>
      </w:r>
    </w:p>
    <w:p>
      <w:pPr>
        <w:spacing w:after="0" w:line="19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within 60 days of March 31, 2020.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Repare Therapeutics Inc., 7210 Frederick-Banting, Suite 100, St-Laurent, Québec, Canada H4S 2A1.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50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0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rPr>
              <w:t>NUMBER OF</w:t>
            </w:r>
          </w:p>
        </w:tc>
        <w:tc>
          <w:tcPr>
            <w:tcW w:w="2540" w:type="dxa"/>
            <w:vAlign w:val="bottom"/>
            <w:gridSpan w:val="7"/>
          </w:tcPr>
          <w:p>
            <w:pPr>
              <w:jc w:val="center"/>
              <w:ind w:right="4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5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9"/>
              </w:rPr>
              <w:t>SHARES</w:t>
            </w: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51"/>
              <w:spacing w:after="0"/>
              <w:rPr>
                <w:sz w:val="20"/>
                <w:szCs w:val="20"/>
                <w:color w:val="auto"/>
              </w:rPr>
            </w:pPr>
            <w:r>
              <w:rPr>
                <w:rFonts w:ascii="Arial" w:cs="Arial" w:eastAsia="Arial" w:hAnsi="Arial"/>
                <w:sz w:val="14"/>
                <w:szCs w:val="14"/>
                <w:b w:val="1"/>
                <w:bCs w:val="1"/>
                <w:color w:val="auto"/>
              </w:rPr>
              <w:t>OWNED</w:t>
            </w:r>
          </w:p>
        </w:tc>
        <w:tc>
          <w:tcPr>
            <w:tcW w:w="440" w:type="dxa"/>
            <w:vAlign w:val="bottom"/>
            <w:gridSpan w:val="2"/>
          </w:tcPr>
          <w:p>
            <w:pPr>
              <w:spacing w:after="0"/>
              <w:rPr>
                <w:sz w:val="14"/>
                <w:szCs w:val="14"/>
                <w:color w:val="auto"/>
              </w:rPr>
            </w:pPr>
          </w:p>
        </w:tc>
      </w:tr>
      <w:tr>
        <w:trPr>
          <w:trHeight w:val="119"/>
        </w:trPr>
        <w:tc>
          <w:tcPr>
            <w:tcW w:w="5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90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BENEFICIALLY</w:t>
            </w:r>
          </w:p>
        </w:tc>
        <w:tc>
          <w:tcPr>
            <w:tcW w:w="94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BEFORE</w:t>
            </w:r>
          </w:p>
        </w:tc>
        <w:tc>
          <w:tcPr>
            <w:tcW w:w="780" w:type="dxa"/>
            <w:vAlign w:val="bottom"/>
          </w:tcPr>
          <w:p>
            <w:pPr>
              <w:spacing w:after="0"/>
              <w:rPr>
                <w:sz w:val="10"/>
                <w:szCs w:val="10"/>
                <w:color w:val="auto"/>
              </w:rPr>
            </w:pPr>
          </w:p>
        </w:tc>
        <w:tc>
          <w:tcPr>
            <w:tcW w:w="8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50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OWNED</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OFFERING</w:t>
            </w:r>
          </w:p>
        </w:tc>
        <w:tc>
          <w:tcPr>
            <w:tcW w:w="7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OFFERING</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7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42,459,303</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30.1%</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16,693,367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(3)</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15,769,231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(4)</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12,962,598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Cowen</w:t>
            </w:r>
            <w:r>
              <w:rPr>
                <w:rFonts w:ascii="Arial" w:cs="Arial" w:eastAsia="Arial" w:hAnsi="Arial"/>
                <w:sz w:val="15"/>
                <w:szCs w:val="15"/>
                <w:color w:val="auto"/>
              </w:rPr>
              <w:t>(5)</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11,538,462</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Fonds de solidarité des travailleurs et travailleuses du Québec</w:t>
            </w:r>
            <w:r>
              <w:rPr>
                <w:rFonts w:ascii="Arial" w:cs="Arial" w:eastAsia="Arial" w:hAnsi="Arial"/>
                <w:sz w:val="15"/>
                <w:szCs w:val="15"/>
                <w:color w:val="auto"/>
                <w:w w:val="97"/>
              </w:rPr>
              <w:t>(6)</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10,632,077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Redmile Biopharma Investments II, L.P.</w:t>
            </w:r>
            <w:r>
              <w:rPr>
                <w:rFonts w:ascii="Arial" w:cs="Arial" w:eastAsia="Arial" w:hAnsi="Arial"/>
                <w:sz w:val="15"/>
                <w:szCs w:val="15"/>
                <w:color w:val="auto"/>
              </w:rPr>
              <w:t>(7)</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9,615,385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Lloyd M. Segal</w:t>
            </w:r>
            <w:r>
              <w:rPr>
                <w:rFonts w:ascii="Arial" w:cs="Arial" w:eastAsia="Arial" w:hAnsi="Arial"/>
                <w:sz w:val="15"/>
                <w:szCs w:val="15"/>
                <w:color w:val="auto"/>
              </w:rPr>
              <w:t>(8)</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2,657,288</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(9)</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731,356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Maria Koehler, M.D., Ph.D.</w:t>
            </w:r>
            <w:r>
              <w:rPr>
                <w:rFonts w:ascii="Arial" w:cs="Arial" w:eastAsia="Arial" w:hAnsi="Arial"/>
                <w:sz w:val="15"/>
                <w:szCs w:val="15"/>
                <w:color w:val="auto"/>
              </w:rPr>
              <w:t>(10)</w:t>
            </w:r>
          </w:p>
        </w:tc>
        <w:tc>
          <w:tcPr>
            <w:tcW w:w="3640" w:type="dxa"/>
            <w:vAlign w:val="bottom"/>
            <w:gridSpan w:val="3"/>
          </w:tcPr>
          <w:p>
            <w:pPr>
              <w:jc w:val="right"/>
              <w:ind w:right="800"/>
              <w:spacing w:after="0"/>
              <w:rPr>
                <w:sz w:val="20"/>
                <w:szCs w:val="20"/>
                <w:color w:val="auto"/>
              </w:rPr>
            </w:pPr>
            <w:r>
              <w:rPr>
                <w:rFonts w:ascii="Arial" w:cs="Arial" w:eastAsia="Arial" w:hAnsi="Arial"/>
                <w:sz w:val="18"/>
                <w:szCs w:val="18"/>
                <w:color w:val="auto"/>
              </w:rPr>
              <w:t>293,750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(11)</w:t>
            </w:r>
          </w:p>
        </w:tc>
        <w:tc>
          <w:tcPr>
            <w:tcW w:w="36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393,750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65"/>
        </w:trPr>
        <w:tc>
          <w:tcPr>
            <w:tcW w:w="5060" w:type="dxa"/>
            <w:vAlign w:val="bottom"/>
          </w:tcPr>
          <w:p>
            <w:pPr>
              <w:spacing w:after="0"/>
              <w:rPr>
                <w:sz w:val="24"/>
                <w:szCs w:val="24"/>
                <w:color w:val="auto"/>
              </w:rPr>
            </w:pPr>
          </w:p>
        </w:tc>
        <w:tc>
          <w:tcPr>
            <w:tcW w:w="1740" w:type="dxa"/>
            <w:vAlign w:val="bottom"/>
          </w:tcPr>
          <w:p>
            <w:pPr>
              <w:jc w:val="right"/>
              <w:ind w:right="950"/>
              <w:spacing w:after="0"/>
              <w:rPr>
                <w:sz w:val="20"/>
                <w:szCs w:val="20"/>
                <w:color w:val="auto"/>
              </w:rPr>
            </w:pPr>
            <w:r>
              <w:rPr>
                <w:rFonts w:ascii="Arial" w:cs="Arial" w:eastAsia="Arial" w:hAnsi="Arial"/>
                <w:sz w:val="18"/>
                <w:szCs w:val="18"/>
                <w:color w:val="auto"/>
              </w:rPr>
              <w:t>172</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7060" w:type="dxa"/>
            <w:vAlign w:val="bottom"/>
          </w:tcPr>
          <w:p>
            <w:pPr>
              <w:spacing w:after="0"/>
              <w:rPr>
                <w:sz w:val="13"/>
                <w:szCs w:val="13"/>
                <w:color w:val="auto"/>
              </w:rPr>
            </w:pPr>
          </w:p>
        </w:tc>
        <w:tc>
          <w:tcPr>
            <w:tcW w:w="184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3"/>
                <w:szCs w:val="13"/>
                <w:color w:val="auto"/>
              </w:rPr>
            </w:pPr>
          </w:p>
        </w:tc>
        <w:tc>
          <w:tcPr>
            <w:tcW w:w="2040" w:type="dxa"/>
            <w:vAlign w:val="bottom"/>
            <w:gridSpan w:val="6"/>
          </w:tcPr>
          <w:p>
            <w:pPr>
              <w:jc w:val="center"/>
              <w:ind w:right="34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7060" w:type="dxa"/>
            <w:vAlign w:val="bottom"/>
          </w:tcPr>
          <w:p>
            <w:pPr>
              <w:spacing w:after="0"/>
              <w:rPr>
                <w:sz w:val="14"/>
                <w:szCs w:val="14"/>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9"/>
              </w:rPr>
              <w:t>SHARES</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431"/>
              <w:spacing w:after="0"/>
              <w:rPr>
                <w:sz w:val="20"/>
                <w:szCs w:val="20"/>
                <w:color w:val="auto"/>
              </w:rPr>
            </w:pPr>
            <w:r>
              <w:rPr>
                <w:rFonts w:ascii="Arial" w:cs="Arial" w:eastAsia="Arial" w:hAnsi="Arial"/>
                <w:sz w:val="14"/>
                <w:szCs w:val="14"/>
                <w:b w:val="1"/>
                <w:bCs w:val="1"/>
                <w:color w:val="auto"/>
              </w:rPr>
              <w:t>OWNED</w:t>
            </w:r>
          </w:p>
        </w:tc>
        <w:tc>
          <w:tcPr>
            <w:tcW w:w="340" w:type="dxa"/>
            <w:vAlign w:val="bottom"/>
            <w:gridSpan w:val="2"/>
          </w:tcPr>
          <w:p>
            <w:pPr>
              <w:spacing w:after="0"/>
              <w:rPr>
                <w:sz w:val="14"/>
                <w:szCs w:val="14"/>
                <w:color w:val="auto"/>
              </w:rPr>
            </w:pPr>
          </w:p>
        </w:tc>
      </w:tr>
      <w:tr>
        <w:trPr>
          <w:trHeight w:val="119"/>
        </w:trPr>
        <w:tc>
          <w:tcPr>
            <w:tcW w:w="7060" w:type="dxa"/>
            <w:vAlign w:val="bottom"/>
          </w:tcPr>
          <w:p>
            <w:pPr>
              <w:spacing w:after="0"/>
              <w:rPr>
                <w:sz w:val="10"/>
                <w:szCs w:val="10"/>
                <w:color w:val="auto"/>
              </w:rPr>
            </w:pPr>
          </w:p>
        </w:tc>
        <w:tc>
          <w:tcPr>
            <w:tcW w:w="184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BENEFICIALLY</w:t>
            </w:r>
          </w:p>
        </w:tc>
        <w:tc>
          <w:tcPr>
            <w:tcW w:w="8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BEFORE</w:t>
            </w:r>
          </w:p>
        </w:tc>
        <w:tc>
          <w:tcPr>
            <w:tcW w:w="700" w:type="dxa"/>
            <w:vAlign w:val="bottom"/>
          </w:tcPr>
          <w:p>
            <w:pPr>
              <w:spacing w:after="0"/>
              <w:rPr>
                <w:sz w:val="10"/>
                <w:szCs w:val="10"/>
                <w:color w:val="auto"/>
              </w:rPr>
            </w:pPr>
          </w:p>
        </w:tc>
        <w:tc>
          <w:tcPr>
            <w:tcW w:w="82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70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7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(1)</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42,459,303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15,769,231</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(2)</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16,693,367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Samarth Kulkarni</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(12)</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202,712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Kevin Raidy</w:t>
            </w:r>
            <w:r>
              <w:rPr>
                <w:rFonts w:ascii="Arial" w:cs="Arial" w:eastAsia="Arial" w:hAnsi="Arial"/>
                <w:sz w:val="15"/>
                <w:szCs w:val="15"/>
                <w:color w:val="auto"/>
              </w:rPr>
              <w:t>(5)</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11,538,462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Carol Schafer</w:t>
            </w:r>
            <w:r>
              <w:rPr>
                <w:rFonts w:ascii="Arial" w:cs="Arial" w:eastAsia="Arial" w:hAnsi="Arial"/>
                <w:sz w:val="15"/>
                <w:szCs w:val="15"/>
                <w:color w:val="auto"/>
              </w:rPr>
              <w:t>(13)</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67,084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060" w:type="dxa"/>
            <w:vAlign w:val="bottom"/>
          </w:tcPr>
          <w:p>
            <w:pPr>
              <w:spacing w:after="0"/>
              <w:rPr>
                <w:sz w:val="20"/>
                <w:szCs w:val="20"/>
                <w:color w:val="auto"/>
              </w:rPr>
            </w:pPr>
            <w:r>
              <w:rPr>
                <w:rFonts w:ascii="Arial" w:cs="Arial" w:eastAsia="Arial" w:hAnsi="Arial"/>
                <w:sz w:val="18"/>
                <w:szCs w:val="18"/>
                <w:b w:val="1"/>
                <w:bCs w:val="1"/>
                <w:color w:val="auto"/>
              </w:rPr>
              <w:t>All current executive officers and directors as a group (11 persons)</w:t>
            </w:r>
            <w:r>
              <w:rPr>
                <w:rFonts w:ascii="Arial" w:cs="Arial" w:eastAsia="Arial" w:hAnsi="Arial"/>
                <w:sz w:val="15"/>
                <w:szCs w:val="15"/>
                <w:b w:val="1"/>
                <w:bCs w:val="1"/>
                <w:color w:val="auto"/>
              </w:rPr>
              <w:t>(14)</w:t>
            </w:r>
          </w:p>
        </w:tc>
        <w:tc>
          <w:tcPr>
            <w:tcW w:w="1840" w:type="dxa"/>
            <w:vAlign w:val="bottom"/>
            <w:gridSpan w:val="2"/>
          </w:tcPr>
          <w:p>
            <w:pPr>
              <w:jc w:val="right"/>
              <w:ind w:right="740"/>
              <w:spacing w:after="0"/>
              <w:rPr>
                <w:sz w:val="20"/>
                <w:szCs w:val="20"/>
                <w:color w:val="auto"/>
              </w:rPr>
            </w:pPr>
            <w:r>
              <w:rPr>
                <w:rFonts w:ascii="Arial" w:cs="Arial" w:eastAsia="Arial" w:hAnsi="Arial"/>
                <w:sz w:val="18"/>
                <w:szCs w:val="18"/>
                <w:color w:val="auto"/>
              </w:rPr>
              <w:t>90,412,553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62.7</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jc w:val="both"/>
        <w:ind w:left="460" w:right="560" w:hanging="452"/>
        <w:spacing w:after="0" w:line="281"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Consists of (a)(i) 3,949,161 common shares, (ii) 12,452,548 common shares issuable upon the conversion of Class A preferred shares and (iii) 675,071 common shares issuable upon the conversion of Class B preferred shares held by Versant Venture Capital V, L.P., or Versant V; (b)(i)</w:t>
      </w:r>
    </w:p>
    <w:p>
      <w:pPr>
        <w:spacing w:after="0" w:line="1" w:lineRule="exact"/>
        <w:rPr>
          <w:rFonts w:ascii="Arial" w:cs="Arial" w:eastAsia="Arial" w:hAnsi="Arial"/>
          <w:sz w:val="16"/>
          <w:szCs w:val="16"/>
          <w:color w:val="auto"/>
        </w:rPr>
      </w:pPr>
    </w:p>
    <w:p>
      <w:pPr>
        <w:ind w:left="460"/>
        <w:spacing w:after="0" w:line="283" w:lineRule="auto"/>
        <w:rPr>
          <w:rFonts w:ascii="Arial" w:cs="Arial" w:eastAsia="Arial" w:hAnsi="Arial"/>
          <w:sz w:val="16"/>
          <w:szCs w:val="16"/>
          <w:color w:val="auto"/>
        </w:rPr>
      </w:pPr>
      <w:r>
        <w:rPr>
          <w:rFonts w:ascii="Arial" w:cs="Arial" w:eastAsia="Arial" w:hAnsi="Arial"/>
          <w:sz w:val="16"/>
          <w:szCs w:val="16"/>
          <w:color w:val="auto"/>
        </w:rPr>
        <w:t>300,551 common shares, (ii) 947,702 common shares issuable upon the conversion of Class A preferred shares and (iii) 51,376 common shares issuable upon the conversion of Class B preferred shares held by Versant Venture Capital V (Canada) LP, or Versant V Canada; (c)(i) 131,495 common shares, (ii) 414,630 common shares issuable upon the conversion of Class A preferred shares and (iii) 22,478 common shares issuable upon the conversion of Class B preferred shares held by Versant Ophthalmic Affiliates Fund I, L.P., or Versant Ophthalmic; (d)(i) 118,793 common shares, (ii) 374,579 common shares issuable upon the conversion of Class A preferred shares and (iii) 20,306 common shares issuable upon the conversion of Class B preferred shares held by Versant Affiliates Fund V, L.P., or Versant Affiliates V; (e)(i) 14,814,815 common shares issuable upon the conversion of Class A preferred shares and (ii) 5,307,692 common shares issuable upon the conversion of Class B preferred shares held by Versant Venture Capital VI, L.P., or Versant VI; (f) 2,778,106 common shares issuable upon the conversion of Class B preferred shares held by Versant Vantage I, L.P., or Versant Vantage; and (g) 100,000 common shares held by one individual associated with Versant Venture Management, LLC or VVM. VVM, Versant V, Versant V Canada, Versant Ophthalmic, Versant Affiliates V, Versant VI and Versant Vantage are collectively referred to as the Versant Entities. Versant Ventures V, LLC is the general partner of each of Versant V, Versant Ophthalmic and Versant Affiliates V and has voting and dispositive control over the shares held by such entities. Versant Ventures V (Canada), L.P. is the general partner of Versant V Canada and Versant Ventures V GP-GP (Canada), Inc. is the sole general partner of Versant Ventures V (Canada), L.P. and has voting and dispositive control over the shares held by Versant V Canada. Dr. Davis, Brad Bolzon, Tom Woiwode, William Link, Samuel Colella, Kirk Nielsen and Robin Praeger, the managing directors of Versant Ventures V, LLC and the directors of Versant Ventures V GP-GP (Canada), Inc., may be deemed to possess voting and dispositive control over the shares held by Versant V, Versant V Canada, Versant Ophthalmic and Versant Affiliates V and may be deemed to have indirect beneficial ownership of the shares held by Versant V, Versant V Canada, Versant Ophthalmic and Versant Affiliates V but disclaims beneficial ownership of such securities, except to the extent of their respective pecuniary interest therein, if any. Versant Ventures VI GP, L.P. is the sole general partner of Versant VI and Versant Ventures VI GP-GP, LLC is the sole general partner of Versant Ventures VI GP, L.P. and has voting and dispositive control over the shares held by Versant VI. Dr.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 GP, L.P. is the sole general partner of Versant Vantage and Versant Vantage I GP-GP, LLC is the sole general partner of Versant Vantage I GP, L.P. and has voting and dispositive control over the shares held by Versant Vantage. Dr. Davis, Brad Bolzon, Tom Woiwode, Clare Ozawa and Robin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Praeger, the managing directors of Versant Vantage I GP-GP, LLC, may be deemed to possess voting and dispositive control over the shares held by Versant Vantage and may be deemed to have indirect beneficial ownership of the shares held by Versant Vantage but disclaims beneficial ownership of such securities, except to the extent of their respective pecuniary interest therein, if any. The address for the Versant Entities is One Sansome Street, Suite 3630, San Francisco, CA 94104.</w:t>
      </w:r>
    </w:p>
    <w:p>
      <w:pPr>
        <w:spacing w:after="0" w:line="2" w:lineRule="exact"/>
        <w:rPr>
          <w:sz w:val="20"/>
          <w:szCs w:val="20"/>
          <w:color w:val="auto"/>
        </w:rPr>
      </w:pPr>
    </w:p>
    <w:p>
      <w:pPr>
        <w:ind w:left="460" w:right="120" w:hanging="452"/>
        <w:spacing w:after="0" w:line="265" w:lineRule="auto"/>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Consists of (a)(i) 9,918,254 common shares issuable upon the conversion of Class A preferred shares and (ii) 5,242,111 common shares issuable upon the conversion of Class B preferred shares held by MPM Bioventures 2014, L.P., or MPM 2014; (b)(i) 661,531 common shares issuable upon the conversion of Class A preferred shares and (ii) 349,641 common shares issuable upon the conversion of Class B preferred shares held by MPM Bioventures 2014 (B), L.P., or MPM B 2014; and (c)(i) 341,393 common shares issuable upon the conversion of Class A preferred shares and (ii) 180,437 common shares issuable upon the conversion of Class B preferred shares held by MPM Asset Management Investors BV2014 LLC, or MPM LLC. MPM 2014, MPM B 2014 and MPM LLC are collectively referred to as the MPM Entities. Todd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collectively with the other members of such entities, be deemed to share voting and investment power with respect to the shares held by each of the MPM Entities. Each of the entities and individuals listed above expressly disclaims beneficial ownership of the securities listed above except to the extent of any pecuniary interest therein. The address of each of the MPM Entities is 450 Kendall Street, Cambridge, MA 02142.</w:t>
      </w:r>
    </w:p>
    <w:p>
      <w:pPr>
        <w:spacing w:after="0" w:line="1" w:lineRule="exact"/>
        <w:rPr>
          <w:rFonts w:ascii="Arial" w:cs="Arial" w:eastAsia="Arial" w:hAnsi="Arial"/>
          <w:sz w:val="17"/>
          <w:szCs w:val="17"/>
          <w:color w:val="auto"/>
        </w:rPr>
      </w:pPr>
    </w:p>
    <w:p>
      <w:pPr>
        <w:ind w:left="460" w:hanging="452"/>
        <w:spacing w:after="0" w:line="281"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Consists of 5,242,111 common shares issuable upon the conversion of Class B preferred shares held by OrbiMed Private Investments VII, L.P., or OrbiMed. OrbiMed Advisors LLC, or Advisors, is the managing member of OrbiMed Capital GP VII LLC, or GP VII. GP VII is the general partner of OrbiMed. David Bonita, M.D., a member of our board of directors, is a member of Advisors. By virtue of such relationships, GP VII and Advisors may be deemed to have voting power and investment power over the securities held by OrbiMed and as a result, may be deemed to have beneficial ownership over such securities. Advisors exercises voting and investment power through a management committee comprised of Carl L. Gordon, Sven H. Borho, and Jonathan T. Silverstein, each of whom disclaims beneficial ownership of the shares held by OrbiMed. OrbiMed holds more than 5% of our share capital prior to this offering. The address of OrbiMed is 601 Lexington Avenue, 54th Floor, New York, NY 10022.</w:t>
      </w:r>
    </w:p>
    <w:p>
      <w:pPr>
        <w:spacing w:after="0" w:line="4"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Consists of (i) 10,921,178 common shares issuable upon the conversion of Class A preferred shares and (ii) 2,041,420 common shares issuable upon the conversion of Class B preferred shares held by UBS Oncology Impact Fund, L.P. The general partner of UBS Oncology Impact Fund, L.P. is Oncology Impact Fund (Cayman) Management L.P. The general partner of Oncology Impact Fund (Cayman) Management L.P. is MPM Oncology Impact Management LP. The general partner of MPM Oncology Impact Management LP is MPM Oncology Impact Management GP LLC. The address of UBS Oncology Impact Fund, L.P. is Durell House, 28 New Street, St Helier, Jersey, JE1 4FS.</w:t>
      </w:r>
    </w:p>
    <w:p>
      <w:pPr>
        <w:spacing w:after="0" w:line="2" w:lineRule="exact"/>
        <w:rPr>
          <w:rFonts w:ascii="Arial" w:cs="Arial" w:eastAsia="Arial" w:hAnsi="Arial"/>
          <w:sz w:val="16"/>
          <w:szCs w:val="16"/>
          <w:color w:val="auto"/>
        </w:rPr>
      </w:pPr>
    </w:p>
    <w:p>
      <w:pPr>
        <w:ind w:left="460" w:right="40" w:hanging="452"/>
        <w:spacing w:after="0" w:line="265" w:lineRule="auto"/>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Consists of (a) 10,749,200 common shares issuable upon the conversion of Class B preferred shares held by Cowen Healthcare Investments II LP, or CHI II, and (b) 789,262 common shares issuable upon the conversion of Class B preferred shares held by CHI EF II LP, or CHI EF. CHI II and CHI EF are collectively referred to as the Cowen Entities. Cowen Healthcare Investments II GP LLC is the sole general partner of CHI II and CHI EF. As managing partner of Cowen Healthcare Investments II GP LLC, Kevin J. Raidy, a member of our board of directors, exercises sole voting and investment power over the securities held by Cowen Healthcare Investments II GP LLC and CHI EF. Mr. Raidy disclaims beneficial ownership of the shares held by CHI II and CHI EF II LP, except to the extent of any actual pecuniary interest. The address of each of the Cowen Entities is CHI Advisors LLC, 599 Lexington Avenue, 19th Floor, New York, NY 10022.</w:t>
      </w:r>
    </w:p>
    <w:p>
      <w:pPr>
        <w:spacing w:after="0" w:line="1" w:lineRule="exact"/>
        <w:rPr>
          <w:rFonts w:ascii="Arial" w:cs="Arial" w:eastAsia="Arial" w:hAnsi="Arial"/>
          <w:sz w:val="17"/>
          <w:szCs w:val="17"/>
          <w:color w:val="auto"/>
        </w:rPr>
      </w:pPr>
    </w:p>
    <w:p>
      <w:pPr>
        <w:ind w:left="460" w:right="40" w:hanging="452"/>
        <w:spacing w:after="0" w:line="253"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(a) 8,309,591 common shares issuable upon the conversion of Class A preferred shares held by Fonds de solidarité des travailleurs et travailleuses du Québec, or FTQ, and (b) 2,322,486 common shares issuable upon the conversion of Class B preferred shares held by FTQ. The FTQ investment committee, consisting of Christine Beaubien, Anouk Collet, Loïc Breton, Chantal Laberge, Hubert Manseau, Roger A. Renaud, Michelle Savoie and Jacques Simard, may be deemed to have voting and dispositive power over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459" w:right="3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common shares held by FTQ. Investment decisions with respect to the common shares held by FTQ can be made by its investment committee.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FTQ is 545 Blvd. Crémazie East, Suite 200, Montréal (QC) Canada, H2M 2W4.</w:t>
      </w:r>
    </w:p>
    <w:p>
      <w:pPr>
        <w:spacing w:after="0" w:line="9" w:lineRule="exact"/>
        <w:rPr>
          <w:sz w:val="20"/>
          <w:szCs w:val="20"/>
          <w:color w:val="auto"/>
        </w:rPr>
      </w:pPr>
    </w:p>
    <w:p>
      <w:pPr>
        <w:ind w:left="460" w:right="8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9,615,385 common shares issuable upon the conversion of Class B preferred shares held by Redmile Biopharma Investments II, L.P. Redmile Group, LLC is the investment manager/adviser to Redmile Biopharma Investments II, L.P. and, in such capacity, exercises sole voting and investment power over the shares held by Redmile Biopharma Investments II, L.P. and may be deemed to be the beneficial owner of these shares. The reported securities may also be deemed beneficially owned by Jeremy C. Green as the principal of Redmile Group, LLC. Redmile Group, LLC and Mr. Green each disclaim beneficial ownership of these shares, except to the extent of its or his pecuniary interest in such shares, if any. The address of Redmile Biopharma Investments II, L.P. is Letterman Digital Arts Center, One Letterman Drive, Suite D3-300, San Francisco, California 94129.</w:t>
      </w:r>
    </w:p>
    <w:p>
      <w:pPr>
        <w:spacing w:after="0" w:line="2" w:lineRule="exact"/>
        <w:rPr>
          <w:rFonts w:ascii="Arial" w:cs="Arial" w:eastAsia="Arial" w:hAnsi="Arial"/>
          <w:sz w:val="18"/>
          <w:szCs w:val="18"/>
          <w:color w:val="auto"/>
        </w:rPr>
      </w:pPr>
    </w:p>
    <w:p>
      <w:pPr>
        <w:ind w:left="460" w:right="60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(a) 900,000 common shares held by Mr. Segal and (b) 1,757,288 common shares issuable upon the exercise of options granted to Mr. Segal that are exercisable within 60 days of March 31, 2020.</w:t>
      </w:r>
    </w:p>
    <w:p>
      <w:pPr>
        <w:ind w:left="46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(a) 516,666 common shares held by Dr. Zinda and (b) 214,690 common shares issuable upon the exercise of options granted to Dr. Zinda that are exercisable within 60 days of March 31, 2020.</w:t>
      </w:r>
    </w:p>
    <w:p>
      <w:pPr>
        <w:ind w:left="460" w:right="24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293,750 common shares issuable upon the exercise of options granted to Dr. Koehler that are exercisable within 60 days of March 31, 2020.</w:t>
      </w: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393,750 common shares held by Ms. Dorton. Ms. Dorton’s employment was terminated on October 10, 2019.</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202,712 common shares issuable upon the exercise of options granted to Dr. Morrison that are exercisable within 60 days of March 31, 2020.</w:t>
      </w:r>
    </w:p>
    <w:p>
      <w:pPr>
        <w:ind w:left="460" w:right="32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67,084 common shares issuable upon the exercise of options granted to Ms. Schafer that are exercisable within 60 days of March 31, 2020.</w:t>
      </w:r>
    </w:p>
    <w:p>
      <w:pPr>
        <w:ind w:left="460" w:right="100" w:hanging="452"/>
        <w:spacing w:after="0" w:line="255"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Consists of (i) 6,016,666 common shares, (ii) 39,925,452 common shares issuable upon the conversion of Class A preferred shares, (iii) 41,934,911 common shares issuable upon the conversion of Class B preferred shares and (iv) 2,535,524 common shares issuable upon the exercise of options. The shares held by Ms. Dorton have been excluded as she is not a current executive officer.</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320" w:top="459" w:right="3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i w:val="1"/>
          <w:iCs w:val="1"/>
          <w:color w:val="auto"/>
        </w:rPr>
        <w:t>The following is a description of the material terms of our common shares and preferred shares will be forth in our amended and restated articles of incorporation, as will be in effect upon the closing of this offering. The following description of our share capital is intended as a summary only. For more detailed information, please see our amended and restated articles of incorporation, which is filed as an exhibit to the registration statement of which this prospectus is a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Following the completion of this offering, based upon shares outstanding as of March 31, 2020 and assuming the automatic conversion of all outstanding preferred shares immediately prior to the completion of this offering, our share capital will consist of an unlimited number of common shares,</w:t>
      </w:r>
    </w:p>
    <w:p>
      <w:pPr>
        <w:ind w:right="220"/>
        <w:spacing w:after="0" w:line="260" w:lineRule="auto"/>
        <w:rPr>
          <w:sz w:val="20"/>
          <w:szCs w:val="20"/>
          <w:color w:val="auto"/>
        </w:rPr>
      </w:pPr>
      <w:r>
        <w:rPr>
          <w:rFonts w:ascii="Arial" w:cs="Arial" w:eastAsia="Arial" w:hAnsi="Arial"/>
          <w:sz w:val="18"/>
          <w:szCs w:val="18"/>
          <w:color w:val="auto"/>
        </w:rPr>
        <w:t>no par value per share, of which shares will be issued and outstanding, and an unlimited number of preferred shares, no par value per share, none of which will be issued and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As of March 31, 2020, we had 141,051,141 common shares outstanding, which were held by approximately 30 shareholders of record, assuming the automatic conversion of all outstanding preferred shares into 130,686,975 common shares immediately prior to the completion of this offering.</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Under our amended and restated articles of incorporation to be in effect following the completion of this offering, the holders of common shares will be entitled to one vote for each share held at any meeting of the shareholders.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Subject to the prior rights of the holders of our preferred shares, the holders of common shares will be entitled to receive dividends as and when declared by our board of directors. See “Dividend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 xml:space="preserve">Subject to the prior payment to the holders of our preferred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holders of common shares will have no preemptive, conversion rights or other subscription rights. There will be no redemption or sinking fund provisions applicable to our common shares. There will be no provision in our amended and restated articles of incorporation to be in effect following the closing of this offering requiring the holders of common shares to contribute additional capital or permitting or restricting the issuance of additional securities or any other material restrictions. The rights, preferences and privileges of the holders of common shares will be subject to and may be adversely affected by, the rights of the holders of any series of preferred shares that we may designate in the future.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80"/>
          </w:cols>
          <w:pgMar w:left="320" w:top="459" w:right="3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Upon the completion of this offering, all outstanding preferred shares will convert into common shares on a one-to-one basis. As of March 31, 2020, we had 130,686,975 preferred shares outstanding, held of record by 22 shareholders. Under our amended and restated articles of incorporation to be in effect following the completion of this offering, we will be authorized to issue, without shareholder approval, an unlimited number of preferred shares, issuable in one or more series, and, subject to the provisions of the Canada Business Corporations Act, or CBCA, having such designations, rights, privileges, restrictions and conditions, including dividend and voting rights, as our board of directors may determine, and such rights and privileges, including dividend and voting rights, may be superior to those of the common shares. The issuance of preferred shares, while providing flexibility in connection with possible acquisitions and other corporate purposes, could, among other things, have the effect of delaying, deferring or preventing a change in control of our company and might adversely affect the market price of our common shares and the voting and other rights of the holders of common shares. We have no current plans to issue any preferred shares following the completion of this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of March 31, 2020, 20,148,992 common shares were issuable upon the exercise of outstanding share options, at a weighted-average exercise price of $0.34 per common share. For additional information regarding terms of our equity incentive plans, see the section titled “Executive and Director Compensation—Equity Incentive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Upon the completion of this offering, holders of the common shares issued upon the conversion of our preferred shares, including any accrued dividends thereon, will be entitled to certain rights with respect to registration of such shares under the Securities Act, pursuant to the terms of the registration rights agreement by and among us and certain of our holders. We refer to these shares as registrable securities. The registration of common shares pursuant to the exercise of the registration rights described below would enable the holders to trade these shares without restriction under the Securities Act when the applicable registration statement is declared effective.</w:t>
      </w:r>
    </w:p>
    <w:p>
      <w:pPr>
        <w:spacing w:after="0" w:line="17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will pay the registration expenses, other than underwriting fees, selling commissions and share transfer taxes for the shares registered pursuant to the demand, piggyback and short-form registrations described below. Expenses relating to underwriting fees, selling commissions and share transfer taxes for the shares registered will be borne by us and the participating holders in proportion to the number of common shares sold by each, or, as between the participating holders, as such participating holders may otherwise agree.</w:t>
      </w:r>
    </w:p>
    <w:p>
      <w:pPr>
        <w:spacing w:after="0" w:line="18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 of March 31, 2020, holders of an aggregate of 135,186,975 registrable securities were entitled to these demand, piggyback and short-form registration rights. Under the terms of the registration rights agreement, holders of registrable securities will have equivalent registration rights with respect to any of our common shares acquired by these holders.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the holders of at least a majority of the registrable securities then outstanding have the right to make up to two demands that we file a registration statement under the Securities Act, subject to specified conditions and exceptions.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459"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820"/>
        <w:spacing w:after="0" w:line="342" w:lineRule="auto"/>
        <w:rPr>
          <w:sz w:val="20"/>
          <w:szCs w:val="20"/>
          <w:color w:val="auto"/>
        </w:rPr>
      </w:pPr>
      <w:r>
        <w:rPr>
          <w:rFonts w:ascii="Arial" w:cs="Arial" w:eastAsia="Arial" w:hAnsi="Arial"/>
          <w:sz w:val="16"/>
          <w:szCs w:val="16"/>
          <w:color w:val="auto"/>
        </w:rPr>
        <w:t>statement, subject to specified exceptions. The underwriters of any underwritten offering will have the right to limit the number of shares having registration rights to be included in such registration statement, but not below 30% of the total amount of securities included in such registration.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if we are eligible to file a registration statement on Form S-3 under the Securities Act or Form 44-101F1 under National Instrument 44-101 of the Canadian Securities Administrators, as applicable, the holders of our registrable securities then outstanding will have the right to demand that we file a registration statement on Form S-3 or Form 44-101F1, as applicable, provided that the aggregate amount of securities to be sold under such short-form registration statement is at least $5.0 million. We are not obligated to effect a demand for registration on Form S-3 or Form 44-101 by holders of our registrable securities more than two times during any 12-month period. The right to have such shares registered on Form S-3 or Form 44-101 is further subject to other specified conditions and limitations.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demand, piggyback and short-form registration rights described below will expire upon the earliest of (i) the occurrence of certain mergers, amalgamations, consolidations, reorganizations, arrangements, business combinations or similar transactions that result in a change of control, or a sale of all or substantially all of our assets, or a dissolution, liquidation or winding up of our company, (ii) three years after the completion this offering or (iii) with respect to any particular holder, at such time that such holder can sell its preferred shares under Rule 144 of the Securities Act during any three-month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registration rights agreement contains customary cross-indemnification provisions, pursuant to which we are obligated to indemnify the selling shareholders in the event of material misstatements or omissions in the registration statement attributable to us, and they are obligated to indemnify us for material misstatements or omissions in the registration statement attributable to them.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6060" w:val="left"/>
          <w:tab w:leader="none" w:pos="9280" w:val="left"/>
        </w:tabs>
        <w:rPr>
          <w:sz w:val="20"/>
          <w:szCs w:val="20"/>
          <w:color w:val="auto"/>
        </w:rPr>
      </w:pPr>
      <w:r>
        <w:rPr>
          <w:rFonts w:ascii="Arial" w:cs="Arial" w:eastAsia="Arial" w:hAnsi="Arial"/>
          <w:sz w:val="18"/>
          <w:szCs w:val="18"/>
          <w:color w:val="auto"/>
        </w:rPr>
        <w:t>The transfer agent and registrar for our common shares will be</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3"/>
          <w:szCs w:val="13"/>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Global Market under the trading symbol “RPTX.”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our common shares, and a liquid trading market for our common shares may not develop or be sustained after this offering. Future sales of our common shares, including shares issued upon the exercise of outstanding options, in the public market after the completion of this offering, or the perception that those sales may occur, could adversely affect the prevailing market price for our common shares from time to time or impair our ability to raise equity capital in the future. As described below, only a limited number of our common shares will be available for sale in the public market for a period of several months after the completion of this offering due to contractual and legal restrictions on resale described below. Future sales of our common shares in the public market either before or after restrictions lapse, or the perception that those sales may occur, could adversely affect the prevailing market price of our common shares at such time and our ability to raise equity capital at a time and price we deem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right="460" w:firstLine="449"/>
        <w:spacing w:after="0" w:line="287" w:lineRule="auto"/>
        <w:rPr>
          <w:sz w:val="20"/>
          <w:szCs w:val="20"/>
          <w:color w:val="auto"/>
        </w:rPr>
      </w:pPr>
      <w:r>
        <w:rPr>
          <w:rFonts w:ascii="Arial" w:cs="Arial" w:eastAsia="Arial" w:hAnsi="Arial"/>
          <w:sz w:val="16"/>
          <w:szCs w:val="16"/>
          <w:color w:val="auto"/>
        </w:rPr>
        <w:t>Based on the number of common shares outstanding as of March 31, 2020, upon the closing of this offering and assuming (i) the automatic conversion of our outstanding preferred shares into an aggregate of 130,686,975 common shares immediately prior to the completion of this offering, (ii) no exercise of the underwriters’ option to purchase additional common shares, and (iii) no exercise of outstanding options, we will have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outstanding common shares as of such date. Of these shares, all of the common shares to be sold in this offering will be freely tradable in the public market without restriction or further registration under the Securities Act, unless the shares are held by any of our “affiliates” as such term is defined in Rule 144 of the Securities Act, or Rule 144 or subject to lock-up agreements. All remaining common shares held by existing shareholders immediately prior to the consummation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9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our common shares outstanding as of March 31, 2020, the common shares (excluding the shares sold in this offering) that will be available for sale in the public market are as follows:</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Number of Shares</w:t>
            </w:r>
          </w:p>
        </w:tc>
        <w:tc>
          <w:tcPr>
            <w:tcW w:w="8740" w:type="dxa"/>
            <w:vAlign w:val="bottom"/>
            <w:gridSpan w:val="3"/>
          </w:tcPr>
          <w:p>
            <w:pPr>
              <w:ind w:left="60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95"/>
        </w:trPr>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1"/>
              </w:rPr>
              <w:t>shares</w:t>
            </w:r>
          </w:p>
        </w:tc>
        <w:tc>
          <w:tcPr>
            <w:tcW w:w="600" w:type="dxa"/>
            <w:vAlign w:val="bottom"/>
          </w:tcPr>
          <w:p>
            <w:pPr>
              <w:spacing w:after="0"/>
              <w:rPr>
                <w:sz w:val="16"/>
                <w:szCs w:val="16"/>
                <w:color w:val="auto"/>
              </w:rPr>
            </w:pPr>
          </w:p>
        </w:tc>
        <w:tc>
          <w:tcPr>
            <w:tcW w:w="2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181 days after the date of this prospectus,</w:t>
            </w:r>
          </w:p>
        </w:tc>
        <w:tc>
          <w:tcPr>
            <w:tcW w:w="5200" w:type="dxa"/>
            <w:vAlign w:val="bottom"/>
          </w:tcPr>
          <w:p>
            <w:pPr>
              <w:ind w:left="100"/>
              <w:spacing w:after="0" w:line="195" w:lineRule="exact"/>
              <w:rPr>
                <w:sz w:val="20"/>
                <w:szCs w:val="20"/>
                <w:color w:val="auto"/>
              </w:rPr>
            </w:pPr>
            <w:r>
              <w:rPr>
                <w:rFonts w:ascii="Arial" w:cs="Arial" w:eastAsia="Arial" w:hAnsi="Arial"/>
                <w:sz w:val="18"/>
                <w:szCs w:val="18"/>
                <w:color w:val="auto"/>
                <w:w w:val="90"/>
              </w:rPr>
              <w:t>upon expiration of the lock-up agreements referred to below, subject in</w:t>
            </w:r>
          </w:p>
        </w:tc>
      </w:tr>
      <w:tr>
        <w:trPr>
          <w:trHeight w:val="230"/>
        </w:trPr>
        <w:tc>
          <w:tcPr>
            <w:tcW w:w="1960" w:type="dxa"/>
            <w:vAlign w:val="bottom"/>
          </w:tcPr>
          <w:p>
            <w:pPr>
              <w:spacing w:after="0"/>
              <w:rPr>
                <w:sz w:val="20"/>
                <w:szCs w:val="20"/>
                <w:color w:val="auto"/>
              </w:rPr>
            </w:pPr>
          </w:p>
        </w:tc>
        <w:tc>
          <w:tcPr>
            <w:tcW w:w="8740" w:type="dxa"/>
            <w:vAlign w:val="bottom"/>
            <w:gridSpan w:val="3"/>
          </w:tcPr>
          <w:p>
            <w:pPr>
              <w:ind w:left="600"/>
              <w:spacing w:after="0"/>
              <w:rPr>
                <w:sz w:val="20"/>
                <w:szCs w:val="20"/>
                <w:color w:val="auto"/>
              </w:rPr>
            </w:pPr>
            <w:r>
              <w:rPr>
                <w:rFonts w:ascii="Arial" w:cs="Arial" w:eastAsia="Arial" w:hAnsi="Arial"/>
                <w:sz w:val="18"/>
                <w:szCs w:val="18"/>
                <w:color w:val="auto"/>
              </w:rPr>
              <w:t>some cases to applicable volume, manner of sale and other limitations under Rule 144 and Rule 701.</w:t>
            </w:r>
          </w:p>
        </w:tc>
      </w:tr>
    </w:tbl>
    <w:p>
      <w:pPr>
        <w:spacing w:after="0" w:line="20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We may issue common shares from time to time as consideration for future acquisitions, investments or other corporate purposes. In the event that any such acquisition, investment or other transaction is significant, the number of common shares that we may issue may in turn be significant. We may also grant registration rights covering those common shares issued in connection with any such acquisition and investment.</w:t>
      </w:r>
    </w:p>
    <w:p>
      <w:pPr>
        <w:spacing w:after="0" w:line="16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 addition, the common shares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In general, persons who have beneficially owned restricted common shares for at least six months, and any affiliate of the company who owns common shares, are entitled to sell their securities without registration with the SEC under an exemption from registration provided by Rule 144.</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9"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w:t>
      </w:r>
    </w:p>
    <w:p>
      <w:pPr>
        <w:spacing w:after="0" w:line="1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92" w:lineRule="exact"/>
        <w:rPr>
          <w:sz w:val="20"/>
          <w:szCs w:val="20"/>
          <w:color w:val="auto"/>
        </w:rPr>
      </w:pPr>
    </w:p>
    <w:p>
      <w:pPr>
        <w:ind w:left="1000" w:right="20" w:hanging="539"/>
        <w:spacing w:after="0" w:line="26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common shares immediately upon the completion of this offering (calculated as of March 31, 2020 on the basis of the assumptions described above and assuming no exercise of the underwriter’s option to purchase additional shares and no exercise of outstanding options); or</w:t>
      </w:r>
    </w:p>
    <w:p>
      <w:pPr>
        <w:spacing w:after="0" w:line="89" w:lineRule="exact"/>
        <w:rPr>
          <w:sz w:val="20"/>
          <w:szCs w:val="20"/>
          <w:color w:val="auto"/>
        </w:rPr>
      </w:pPr>
    </w:p>
    <w:p>
      <w:pPr>
        <w:ind w:left="1000" w:right="40" w:hanging="547"/>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Nasdaq during the four calendar weeks preceding the filing of a notice on Form 144 with respect to such sale.</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shares from us in connection with a written compensatory share or option plan or other written agreement in compliance with Rule 701 before the effective date of the registration statement of which this prospectus is a part (to the extent such common shares are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Rule 144’s minimum holding period requirements (subject to the terms of the lock-up agreement referred to below, if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In connection with this offering, we, our directors, our executive officers and holders of substantially all of our outstanding common shares or securities convertible into or exchangeable for common shares, have agreed, subject to certain exceptions, with the underwriters not to directly or indirectly offer, sell, contract to sell, pledge, grant any option to purchase, make any short sale or otherwise dispose of or hedge any common shares 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459"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options to purchase common shares, or any securities convertible into or exchangeable for common shares during the period from the date of the lock-up agreement continuing through the date 180 days after the date of this prospectus, except with the prior written consent of Morgan Stanley &amp; Co. LLC, Goldman Sachs &amp; Co. LLC and Cowen and Company, LLC may waive the restrictions contained in such lock-up agreements at any time in their sole discretion. See the section entitled “Underwriting” appearing elsewhere in this prospectus for more information. These agreements are described in the section titled “Underwriting.”</w:t>
      </w:r>
    </w:p>
    <w:p>
      <w:pPr>
        <w:spacing w:after="0" w:line="18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and that there is no extension of the lock-up period, all of the common shares that are restricted securities or are held by our affiliates as of the date of this prospectus will be eligible for sale in the public market in compliance with Rule 144.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Upon the completion of this offering, the holders of 135,186,975 common shares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shareholders could have a material adverse effect on the trading price of our common shares. See the section titled “Description of Share Capital—Registration Rights.”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360" w:firstLine="449"/>
        <w:spacing w:after="0" w:line="279" w:lineRule="auto"/>
        <w:rPr>
          <w:sz w:val="20"/>
          <w:szCs w:val="20"/>
          <w:color w:val="auto"/>
        </w:rPr>
      </w:pPr>
      <w:r>
        <w:rPr>
          <w:rFonts w:ascii="Arial" w:cs="Arial" w:eastAsia="Arial" w:hAnsi="Arial"/>
          <w:sz w:val="17"/>
          <w:szCs w:val="17"/>
          <w:color w:val="auto"/>
        </w:rPr>
        <w:t>We intend to file with the SEC a registration statement on Form S-8 under the Securities Act covering the common shares reserved for issuance under our equity incentive plans. The registration statement on Form S-8 is expected to be filed and become effective as soon as practicable after the completion of this offering. Accordingly, shares registered under the registration statement will be available for sale in the open market following its effective date, subject to Rule 144 volume limitations and the lock-up agreements described above, if applicable.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60"/>
          </w:cols>
          <w:pgMar w:left="32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80"/>
        <w:spacing w:after="0" w:line="282" w:lineRule="auto"/>
        <w:rPr>
          <w:sz w:val="20"/>
          <w:szCs w:val="20"/>
          <w:color w:val="auto"/>
        </w:rPr>
      </w:pPr>
      <w:r>
        <w:rPr>
          <w:rFonts w:ascii="Arial" w:cs="Arial" w:eastAsia="Arial" w:hAnsi="Arial"/>
          <w:sz w:val="18"/>
          <w:szCs w:val="18"/>
          <w:b w:val="1"/>
          <w:bCs w:val="1"/>
          <w:color w:val="auto"/>
        </w:rPr>
        <w:t>MATERIAL DIFFERENCES BETWEEN THE CANADA BUSINESS CORPORATIONS ACT AND THE DELAWARE GENERAL CORPORATION LAW</w:t>
      </w:r>
    </w:p>
    <w:p>
      <w:pPr>
        <w:spacing w:after="0" w:line="16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are governed by the Canada Business Corporations Act, or the CBCA, which is generally similar to laws applicable to U.S. corporations. Significant differences between the CBCA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w:t>
      </w:r>
    </w:p>
    <w:p>
      <w:pPr>
        <w:sectPr>
          <w:pgSz w:w="11900" w:h="16838" w:orient="portrait"/>
          <w:cols w:equalWidth="0" w:num="1">
            <w:col w:w="11240"/>
          </w:cols>
          <w:pgMar w:left="320" w:top="459" w:right="339" w:bottom="1440" w:gutter="0" w:footer="0" w:header="0"/>
        </w:sectPr>
      </w:pPr>
    </w:p>
    <w:p>
      <w:pPr>
        <w:spacing w:after="0" w:line="205"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Number and Election of Directors</w:t>
      </w:r>
      <w:r>
        <w:rPr>
          <w:sz w:val="20"/>
          <w:szCs w:val="20"/>
          <w:color w:val="auto"/>
        </w:rPr>
        <w:tab/>
      </w:r>
      <w:r>
        <w:rPr>
          <w:rFonts w:ascii="Arial" w:cs="Arial" w:eastAsia="Arial" w:hAnsi="Arial"/>
          <w:sz w:val="16"/>
          <w:szCs w:val="16"/>
          <w:color w:val="auto"/>
        </w:rPr>
        <w:t>Under the DGCL, the board of directors must consist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at least one director. The number of directors shall be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fixed by the bylaws of the corporation, unless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certificate of incorporation fixes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in which case a change in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directors shall only be made by an amendment of the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certificate of incorporation. Under the DGCL, directors</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are elected at annual stockholder meetings by plurality</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vote of the stockholders, unless a shareholder-adopted</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bylaw prescribes a different required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Constitution and Residency of</w:t>
      </w:r>
      <w:r>
        <w:rPr>
          <w:sz w:val="20"/>
          <w:szCs w:val="20"/>
          <w:color w:val="auto"/>
        </w:rPr>
        <w:tab/>
      </w:r>
      <w:r>
        <w:rPr>
          <w:rFonts w:ascii="Arial" w:cs="Arial" w:eastAsia="Arial" w:hAnsi="Arial"/>
          <w:sz w:val="16"/>
          <w:szCs w:val="16"/>
          <w:color w:val="auto"/>
        </w:rPr>
        <w:t>The DGCL does not have residency requirements, but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corporation may prescribe qualifications for directors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under its certificate of incorporation or bylaws.</w:t>
      </w:r>
    </w:p>
    <w:p>
      <w:pPr>
        <w:spacing w:after="0" w:line="200" w:lineRule="exact"/>
        <w:rPr>
          <w:sz w:val="20"/>
          <w:szCs w:val="20"/>
          <w:color w:val="auto"/>
        </w:rPr>
      </w:pPr>
    </w:p>
    <w:p>
      <w:pPr>
        <w:spacing w:after="0" w:line="22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Removal of Directors</w:t>
      </w:r>
      <w:r>
        <w:rPr>
          <w:sz w:val="20"/>
          <w:szCs w:val="20"/>
          <w:color w:val="auto"/>
        </w:rPr>
        <w:tab/>
      </w:r>
      <w:r>
        <w:rPr>
          <w:rFonts w:ascii="Arial" w:cs="Arial" w:eastAsia="Arial" w:hAnsi="Arial"/>
          <w:sz w:val="16"/>
          <w:szCs w:val="16"/>
          <w:color w:val="auto"/>
        </w:rPr>
        <w:t>Under the DGCL, any director or the entire board of</w:t>
      </w:r>
    </w:p>
    <w:p>
      <w:pPr>
        <w:spacing w:after="0" w:line="23" w:lineRule="exact"/>
        <w:rPr>
          <w:sz w:val="20"/>
          <w:szCs w:val="20"/>
          <w:color w:val="auto"/>
        </w:rPr>
      </w:pPr>
    </w:p>
    <w:p>
      <w:pPr>
        <w:ind w:left="3060" w:right="160"/>
        <w:spacing w:after="0" w:line="288" w:lineRule="auto"/>
        <w:rPr>
          <w:sz w:val="20"/>
          <w:szCs w:val="20"/>
          <w:color w:val="auto"/>
        </w:rPr>
      </w:pPr>
      <w:r>
        <w:rPr>
          <w:rFonts w:ascii="Arial" w:cs="Arial" w:eastAsia="Arial" w:hAnsi="Arial"/>
          <w:sz w:val="16"/>
          <w:szCs w:val="16"/>
          <w:color w:val="auto"/>
        </w:rPr>
        <w:t>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w:t>
      </w:r>
    </w:p>
    <w:p>
      <w:pPr>
        <w:spacing w:after="0" w:line="3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Under the CBCA, a corporation whose securities are publicly traded must have not fewer than three directors, at least two of whom are not officers or employees of the corporation or its affiliates.</w:t>
      </w:r>
    </w:p>
    <w:p>
      <w:pPr>
        <w:spacing w:after="0" w:line="1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CBCA, shareholders of a corporation shall, by ordinary resolution at the first meeting of shareholders and at each succeeding annual meeting at which an election of directors is required, elect directors to hold office for a term expiring not later than the close of the third annual meeting of shareholders following the election.</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length of the directors’ mandates can be set out in the bylaws. If no term is stated, as is the case for us, directors hold office until the next meeting of shareholders.</w:t>
      </w:r>
    </w:p>
    <w:p>
      <w:pPr>
        <w:spacing w:after="0" w:line="20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the CBCA, subject to certain limited exceptions, at least 25% of the directors (or if a corporation has less than four directors, at least one director) of a corporation must be resident Canadians.</w:t>
      </w:r>
    </w:p>
    <w:p>
      <w:pPr>
        <w:spacing w:after="0" w:line="15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Under the CBCA, unless the articles of a corporation provide for cumulative voting which is not the case for us, shareholders of the corporation may, by ordinary resolution passed at a special meeting of shareholders, remove any director or directors from office and may elect any qualified person to fill the resulting vacancy.</w:t>
      </w:r>
    </w:p>
    <w:p>
      <w:pPr>
        <w:spacing w:after="0" w:line="1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Ordinary resolution means a resolution passed by a majority of the votes cast</w:t>
      </w:r>
    </w:p>
    <w:p>
      <w:pPr>
        <w:sectPr>
          <w:pgSz w:w="11900" w:h="16838" w:orient="portrait"/>
          <w:cols w:equalWidth="0" w:num="2">
            <w:col w:w="7080" w:space="120"/>
            <w:col w:w="4040"/>
          </w:cols>
          <w:pgMar w:left="320" w:top="459" w:right="339" w:bottom="1440" w:gutter="0" w:footer="0" w:header="0"/>
          <w:type w:val="continuous"/>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320" w:top="459" w:right="37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right="80"/>
        <w:spacing w:after="0" w:line="291" w:lineRule="auto"/>
        <w:rPr>
          <w:sz w:val="20"/>
          <w:szCs w:val="20"/>
          <w:color w:val="auto"/>
        </w:rPr>
      </w:pPr>
      <w:r>
        <w:rPr>
          <w:rFonts w:ascii="Arial" w:cs="Arial" w:eastAsia="Arial" w:hAnsi="Arial"/>
          <w:sz w:val="16"/>
          <w:szCs w:val="16"/>
          <w:color w:val="auto"/>
        </w:rPr>
        <w:t>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21" w:lineRule="exact"/>
        <w:rPr>
          <w:sz w:val="20"/>
          <w:szCs w:val="20"/>
          <w:color w:val="auto"/>
        </w:rPr>
      </w:pPr>
    </w:p>
    <w:p>
      <w:pPr>
        <w:jc w:val="both"/>
        <w:ind w:left="3060" w:right="620" w:hanging="3050"/>
        <w:spacing w:after="0" w:line="286" w:lineRule="auto"/>
        <w:tabs>
          <w:tab w:leader="none" w:pos="3040" w:val="left"/>
        </w:tabs>
        <w:rPr>
          <w:sz w:val="20"/>
          <w:szCs w:val="20"/>
          <w:color w:val="auto"/>
        </w:rPr>
      </w:pPr>
      <w:r>
        <w:rPr>
          <w:rFonts w:ascii="Arial" w:cs="Arial" w:eastAsia="Arial" w:hAnsi="Arial"/>
          <w:sz w:val="18"/>
          <w:szCs w:val="18"/>
          <w:b w:val="1"/>
          <w:bCs w:val="1"/>
          <w:i w:val="1"/>
          <w:iCs w:val="1"/>
          <w:color w:val="auto"/>
        </w:rPr>
        <w:t>Vacancies on the Board of Directors</w:t>
      </w:r>
      <w:r>
        <w:rPr>
          <w:sz w:val="20"/>
          <w:szCs w:val="20"/>
          <w:color w:val="auto"/>
        </w:rPr>
        <w:tab/>
      </w:r>
      <w:r>
        <w:rPr>
          <w:rFonts w:ascii="Arial" w:cs="Arial" w:eastAsia="Arial" w:hAnsi="Arial"/>
          <w:sz w:val="16"/>
          <w:szCs w:val="16"/>
          <w:color w:val="auto"/>
        </w:rPr>
        <w:t>Under the DGCL,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3060" w:hanging="1"/>
        <w:spacing w:after="0" w:line="290" w:lineRule="auto"/>
        <w:tabs>
          <w:tab w:leader="none" w:pos="327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164"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Board of Director Quorum and Vote</w:t>
      </w:r>
      <w:r>
        <w:rPr>
          <w:sz w:val="20"/>
          <w:szCs w:val="20"/>
          <w:color w:val="auto"/>
        </w:rPr>
        <w:tab/>
      </w:r>
      <w:r>
        <w:rPr>
          <w:rFonts w:ascii="Arial" w:cs="Arial" w:eastAsia="Arial" w:hAnsi="Arial"/>
          <w:sz w:val="16"/>
          <w:szCs w:val="16"/>
          <w:color w:val="auto"/>
        </w:rPr>
        <w:t>Under the DGCL, a majority of the total number of</w:t>
      </w:r>
    </w:p>
    <w:p>
      <w:pPr>
        <w:spacing w:after="0" w:line="23" w:lineRule="exact"/>
        <w:rPr>
          <w:sz w:val="20"/>
          <w:szCs w:val="20"/>
          <w:color w:val="auto"/>
        </w:rPr>
      </w:pPr>
    </w:p>
    <w:p>
      <w:pPr>
        <w:ind w:left="3060" w:right="200" w:hanging="3059"/>
        <w:spacing w:after="0" w:line="292" w:lineRule="auto"/>
        <w:tabs>
          <w:tab w:leader="none" w:pos="3040" w:val="left"/>
        </w:tabs>
        <w:rPr>
          <w:sz w:val="20"/>
          <w:szCs w:val="20"/>
          <w:color w:val="auto"/>
        </w:rPr>
      </w:pPr>
      <w:r>
        <w:rPr>
          <w:rFonts w:ascii="Arial" w:cs="Arial" w:eastAsia="Arial" w:hAnsi="Arial"/>
          <w:sz w:val="16"/>
          <w:szCs w:val="16"/>
          <w:b w:val="1"/>
          <w:bCs w:val="1"/>
          <w:i w:val="1"/>
          <w:iCs w:val="1"/>
          <w:color w:val="auto"/>
        </w:rPr>
        <w:t>Requirements</w:t>
      </w:r>
      <w:r>
        <w:rPr>
          <w:sz w:val="20"/>
          <w:szCs w:val="20"/>
          <w:color w:val="auto"/>
        </w:rPr>
        <w:tab/>
      </w:r>
      <w:r>
        <w:rPr>
          <w:rFonts w:ascii="Arial" w:cs="Arial" w:eastAsia="Arial" w:hAnsi="Arial"/>
          <w:sz w:val="16"/>
          <w:szCs w:val="16"/>
          <w:color w:val="auto"/>
        </w:rPr>
        <w:t>directors shall constitute a quorum for the transaction of business unless the certificate of incorporation or bylaws require a greater number. The bylaws may lower the number required for a quorum to one-third the number of directors, but no less.</w:t>
      </w:r>
    </w:p>
    <w:p>
      <w:pPr>
        <w:spacing w:after="0" w:line="189" w:lineRule="exact"/>
        <w:rPr>
          <w:sz w:val="20"/>
          <w:szCs w:val="20"/>
          <w:color w:val="auto"/>
        </w:rPr>
      </w:pPr>
    </w:p>
    <w:p>
      <w:pPr>
        <w:ind w:left="3060" w:right="100"/>
        <w:spacing w:after="0" w:line="257" w:lineRule="auto"/>
        <w:rPr>
          <w:sz w:val="20"/>
          <w:szCs w:val="20"/>
          <w:color w:val="auto"/>
        </w:rPr>
      </w:pPr>
      <w:r>
        <w:rPr>
          <w:rFonts w:ascii="Arial" w:cs="Arial" w:eastAsia="Arial" w:hAnsi="Arial"/>
          <w:sz w:val="18"/>
          <w:szCs w:val="18"/>
          <w:color w:val="auto"/>
        </w:rPr>
        <w:t>Under the DGCL, the board of directors may take action by the majority vote of the directors present at a meeting at which a quorum is present unless the certificate of incorporation or bylaws require a greater vote.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color w:val="auto"/>
        </w:rPr>
        <w:t>by the shareholders who voted in respect of that resolution.</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holders of a class or series of shares have the exclusive right to elect one or more directors, a director elected by them may only be removed by an ordinary resolution at a meeting of the shareholders of that class or series.</w:t>
      </w:r>
    </w:p>
    <w:p>
      <w:pPr>
        <w:spacing w:after="0" w:line="20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CBCA, a vacancy among the directors created by the removal of a director may be filled by the shareholders at the meeting at which the director is removed or, if not so filled, a quorum of directors may fill a vacancy among the directors unless the vacancy results from an increase in the number of the minimum or maximum number of directors or a failure to elect the number or minimum number of directors provided for in the articles.</w:t>
      </w:r>
    </w:p>
    <w:p>
      <w:pPr>
        <w:spacing w:after="0" w:line="3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CBCA, subject to the articles or bylaws, a majority of the number of directors or minimum number of directors required by the articles constitutes a quorum at any meeting of directors, and, notwithstanding any vacancy among the directors, a quorum of directors may exercise all the powers of the directors.</w:t>
      </w:r>
    </w:p>
    <w:p>
      <w:pPr>
        <w:spacing w:after="0" w:line="1313" w:lineRule="exact"/>
        <w:rPr>
          <w:sz w:val="20"/>
          <w:szCs w:val="20"/>
          <w:color w:val="auto"/>
        </w:rPr>
      </w:pPr>
    </w:p>
    <w:p>
      <w:pPr>
        <w:sectPr>
          <w:pgSz w:w="11900" w:h="16838" w:orient="portrait"/>
          <w:cols w:equalWidth="0" w:num="2">
            <w:col w:w="7100" w:space="100"/>
            <w:col w:w="4000"/>
          </w:cols>
          <w:pgMar w:left="320" w:top="459" w:right="379" w:bottom="1440" w:gutter="0" w:footer="0" w:header="0"/>
          <w:type w:val="continuous"/>
        </w:sectPr>
      </w:pPr>
    </w:p>
    <w:p>
      <w:pPr>
        <w:spacing w:after="0" w:line="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Transactions with Directors and</w:t>
      </w:r>
      <w:r>
        <w:rPr>
          <w:sz w:val="20"/>
          <w:szCs w:val="20"/>
          <w:color w:val="auto"/>
        </w:rPr>
        <w:tab/>
      </w:r>
      <w:r>
        <w:rPr>
          <w:rFonts w:ascii="Arial" w:cs="Arial" w:eastAsia="Arial" w:hAnsi="Arial"/>
          <w:sz w:val="16"/>
          <w:szCs w:val="16"/>
          <w:color w:val="auto"/>
        </w:rPr>
        <w:t>The DGCL generally provides that no transaction</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between a corporation and one or more of its directors</w:t>
      </w:r>
    </w:p>
    <w:p>
      <w:pPr>
        <w:spacing w:after="0" w:line="32" w:lineRule="exact"/>
        <w:rPr>
          <w:sz w:val="20"/>
          <w:szCs w:val="20"/>
          <w:color w:val="auto"/>
        </w:rPr>
      </w:pPr>
    </w:p>
    <w:p>
      <w:pPr>
        <w:ind w:left="3060"/>
        <w:spacing w:after="0" w:line="255" w:lineRule="auto"/>
        <w:rPr>
          <w:sz w:val="20"/>
          <w:szCs w:val="20"/>
          <w:color w:val="auto"/>
        </w:rPr>
      </w:pPr>
      <w:r>
        <w:rPr>
          <w:rFonts w:ascii="Arial" w:cs="Arial" w:eastAsia="Arial" w:hAnsi="Arial"/>
          <w:sz w:val="18"/>
          <w:szCs w:val="18"/>
          <w:color w:val="auto"/>
        </w:rPr>
        <w:t>or officers, or between a corporation and any other corporation or other organization in which one or more of its directors or</w:t>
      </w:r>
    </w:p>
    <w:p>
      <w:pPr>
        <w:spacing w:after="0" w:line="12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Under the CBCA, a director or an officer of a corporation must disclose to the corporation, in writing or by requesting to have it entered in the minutes of meetings of directors or of meetings of committees of directors,</w:t>
      </w:r>
    </w:p>
    <w:p>
      <w:pPr>
        <w:sectPr>
          <w:pgSz w:w="11900" w:h="16838" w:orient="portrait"/>
          <w:cols w:equalWidth="0" w:num="2">
            <w:col w:w="7020" w:space="180"/>
            <w:col w:w="4000"/>
          </w:cols>
          <w:pgMar w:left="320" w:top="459" w:right="379" w:bottom="1440" w:gutter="0" w:footer="0" w:header="0"/>
          <w:type w:val="continuous"/>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82" w:lineRule="auto"/>
        <w:rPr>
          <w:sz w:val="20"/>
          <w:szCs w:val="20"/>
          <w:color w:val="auto"/>
        </w:rPr>
      </w:pPr>
      <w:r>
        <w:rPr>
          <w:rFonts w:ascii="Arial" w:cs="Arial" w:eastAsia="Arial" w:hAnsi="Arial"/>
          <w:sz w:val="16"/>
          <w:szCs w:val="16"/>
          <w:color w:val="auto"/>
        </w:rPr>
        <w:t>officers, are directors or officers, or have a financial interest, shall be void or voidable solely for this reason, or solely because the director or officer is present at or participates in the meeting of the board or committee which authorizes the transaction, or solely because any such director’s or 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w:t>
      </w:r>
    </w:p>
    <w:p>
      <w:pPr>
        <w:spacing w:after="0" w:line="9" w:lineRule="exact"/>
        <w:rPr>
          <w:sz w:val="20"/>
          <w:szCs w:val="20"/>
          <w:color w:val="auto"/>
        </w:rPr>
      </w:pPr>
    </w:p>
    <w:p>
      <w:pPr>
        <w:jc w:val="both"/>
        <w:ind w:left="3060" w:right="20" w:hanging="1"/>
        <w:spacing w:after="0" w:line="277" w:lineRule="auto"/>
        <w:tabs>
          <w:tab w:leader="none" w:pos="337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transaction is fair as to the corporation as of the time it is authorized, approved or ratified, by the board of directors, a committee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jc w:val="both"/>
        <w:ind w:right="120"/>
        <w:spacing w:after="0" w:line="285" w:lineRule="auto"/>
        <w:rPr>
          <w:sz w:val="20"/>
          <w:szCs w:val="20"/>
          <w:color w:val="auto"/>
        </w:rPr>
      </w:pPr>
      <w:r>
        <w:rPr>
          <w:rFonts w:ascii="Arial" w:cs="Arial" w:eastAsia="Arial" w:hAnsi="Arial"/>
          <w:sz w:val="16"/>
          <w:szCs w:val="16"/>
          <w:color w:val="auto"/>
        </w:rPr>
        <w:t>the nature and extent of any interest that he or she has in a material contract or material transaction, whether made or proposed, with the corporation, if the director or officer (a) is a party to the contract or transaction;</w:t>
      </w:r>
    </w:p>
    <w:p>
      <w:pPr>
        <w:spacing w:after="0" w:line="2" w:lineRule="exact"/>
        <w:rPr>
          <w:sz w:val="20"/>
          <w:szCs w:val="20"/>
          <w:color w:val="auto"/>
        </w:rPr>
      </w:pPr>
    </w:p>
    <w:p>
      <w:pPr>
        <w:ind w:right="100" w:firstLine="3"/>
        <w:spacing w:after="0" w:line="253" w:lineRule="auto"/>
        <w:tabs>
          <w:tab w:leader="none" w:pos="2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is a director or an officer, or an individual acting in a similar capacity, of a party to the contract or transaction; or (c) has a material interest in a party to the contract or transaction.</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a material contract or material transaction, whether entered into or proposed, is one that, in the ordinary course of the corporation’s business, would not require approval by the directors or shareholders, a director or officer shall disclose, in writing to the corporation or request to have it entered in the minutes of meetings of directors or of meetings of committees of directors, the nature and extent of his or her interest immediately after he or she becomes aware of the contract or transaction.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director required to make a disclosure shall not vote on any resolution to approve the contract or transaction unless the contract or transaction (a) relates primarily to his or her remuneration as a director, officer, employee, agent or mandatary of the corporation or an affiliate;</w:t>
      </w:r>
    </w:p>
    <w:p>
      <w:pPr>
        <w:spacing w:after="0" w:line="2" w:lineRule="exact"/>
        <w:rPr>
          <w:sz w:val="20"/>
          <w:szCs w:val="20"/>
          <w:color w:val="auto"/>
        </w:rPr>
      </w:pPr>
    </w:p>
    <w:p>
      <w:pPr>
        <w:ind w:left="260" w:hanging="257"/>
        <w:spacing w:after="0"/>
        <w:tabs>
          <w:tab w:leader="none" w:pos="2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is for indemnity or insurance under the CBCA; or</w:t>
      </w:r>
    </w:p>
    <w:p>
      <w:pPr>
        <w:spacing w:after="0" w:line="20" w:lineRule="exact"/>
        <w:rPr>
          <w:rFonts w:ascii="Arial" w:cs="Arial" w:eastAsia="Arial" w:hAnsi="Arial"/>
          <w:sz w:val="17"/>
          <w:szCs w:val="17"/>
          <w:color w:val="auto"/>
        </w:rPr>
      </w:pPr>
    </w:p>
    <w:p>
      <w:pPr>
        <w:ind w:left="240" w:hanging="237"/>
        <w:spacing w:after="0"/>
        <w:tabs>
          <w:tab w:leader="none" w:pos="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is with an affiliate.</w:t>
      </w:r>
    </w:p>
    <w:p>
      <w:pPr>
        <w:spacing w:after="0" w:line="23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contract or transaction for which disclosure is required is not invalid, and the director or officer is not accountable to the corporation or its shareholders for any profit realized from the contract or transaction, because of the director’s or officer’s interest in the contract or transaction or because the director was present or was counted to determine whether a quorum existed at the meeting of directors or committee of directors that considered the contract or transaction,</w:t>
      </w:r>
    </w:p>
    <w:p>
      <w:pPr>
        <w:sectPr>
          <w:pgSz w:w="11900" w:h="16838" w:orient="portrait"/>
          <w:cols w:equalWidth="0" w:num="2">
            <w:col w:w="7080" w:space="120"/>
            <w:col w:w="4040"/>
          </w:cols>
          <w:pgMar w:left="320" w:top="459" w:right="33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if (a) disclosure of the interest was made; (b) the</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directors approved the contract or transaction; and</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 the contract or transaction was reasonable and fair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to the corporation when it was approved.</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Even if the above conditions are not met, a director or</w:t>
      </w:r>
    </w:p>
    <w:p>
      <w:pPr>
        <w:spacing w:after="0" w:line="4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officer, acting honestly and in good faith, is not</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accountable to the corporation or to its shareholders for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any profit realized from a contract or transaction for</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which disclosure is required and the contract 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transaction is not invalid by reason only of the interest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of the director or officer in the contract or transaction,</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if (a) the contract or transaction is approved 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confirmed by special resolution at a meeting of the</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shareholders; (b) disclosure of the interest was made to</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the shareholders in a manner sufficient to indicate its</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nature before the contract or transaction was approved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or confirmed; and (c) the contract or transaction was</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reasonable and fair to the corporation when it was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approved or confirmed.</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If a director or an officer of a corporation fails to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comply with this section, a court may, on application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corporation or any of its shareholders, set aside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contract or transaction on any terms that it thinks fit, 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require the director or officer to account to the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corporation for any profit or gain realized on it, or do</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both those things.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320" w:top="459" w:right="3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 on Liability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DGCL,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67" w:lineRule="exact"/>
        <w:rPr>
          <w:sz w:val="20"/>
          <w:szCs w:val="20"/>
          <w:color w:val="auto"/>
        </w:rPr>
      </w:pPr>
    </w:p>
    <w:p>
      <w:pPr>
        <w:ind w:left="540" w:right="240" w:hanging="361"/>
        <w:spacing w:after="0" w:line="277" w:lineRule="auto"/>
        <w:tabs>
          <w:tab w:leader="none" w:pos="5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75" w:lineRule="exact"/>
        <w:rPr>
          <w:rFonts w:ascii="Arial" w:cs="Arial" w:eastAsia="Arial" w:hAnsi="Arial"/>
          <w:sz w:val="18"/>
          <w:szCs w:val="18"/>
          <w:color w:val="auto"/>
        </w:rPr>
      </w:pPr>
    </w:p>
    <w:p>
      <w:pPr>
        <w:ind w:left="540" w:right="220" w:hanging="361"/>
        <w:spacing w:after="0" w:line="263" w:lineRule="auto"/>
        <w:tabs>
          <w:tab w:leader="none" w:pos="52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89" w:lineRule="exact"/>
        <w:rPr>
          <w:rFonts w:ascii="Arial" w:cs="Arial" w:eastAsia="Arial" w:hAnsi="Arial"/>
          <w:sz w:val="18"/>
          <w:szCs w:val="18"/>
          <w:color w:val="auto"/>
        </w:rPr>
      </w:pPr>
    </w:p>
    <w:p>
      <w:pPr>
        <w:ind w:left="540" w:hanging="361"/>
        <w:spacing w:after="0" w:line="342" w:lineRule="auto"/>
        <w:tabs>
          <w:tab w:leader="none" w:pos="52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540" w:right="360" w:hanging="361"/>
        <w:spacing w:after="0" w:line="342" w:lineRule="auto"/>
        <w:tabs>
          <w:tab w:leader="none" w:pos="52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CBCA, a director or officer of a corporation must (i) act honestly and in good faith with a view to the best interests of the corporation; (ii) exercise the care, diligence and skill that a reasonably prudent individual would exercise in comparable circumstances; and (iii) comply with the CBCA, the regulations thereunder and the corporation’s articles, bylaws and any unanimous shareholder agreement.</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statutory duties are in addition to duties under common law and equity.</w:t>
      </w:r>
    </w:p>
    <w:p>
      <w:pPr>
        <w:spacing w:after="0" w:line="197"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No provision in a contract or the articles, bylaws, or resolution of a corporation may relieve a director or officer of a corporation from the duty to act in accordance with the CBCA and the regulations thereunder, or from any liability for failing to do so.</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CBCA does not permit any limitation of a director’s liability other than in connection with the adoption of a unanimous shareholder agreement that restricts certain powers of the directors. If such a unanimous shareholder agreement were adopted, the parties who are given the power to manage or supervise the management of the business and affairs of the corporation under such agreement assume all of the liabilities of a director under the CBCA.</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CBCA, a director is not liable for certain acts if the director has otherwise complied with his or her duties and otherwise exercised the degree of care, diligence and skill that a reasonably prudent person would have exercised in comparable circumstances, including relying in good faith, on (i) financial statements of the corporation represented to the director by an officer of the corporation or in a written report of the auditor of the corporation to fairly reflect the financial condition of the corporation; or (ii) a report of a person whose profession lends credibility to a statement made by the professional person.</w:t>
      </w:r>
    </w:p>
    <w:p>
      <w:pPr>
        <w:sectPr>
          <w:pgSz w:w="11900" w:h="16838" w:orient="portrait"/>
          <w:cols w:equalWidth="0" w:num="3">
            <w:col w:w="2620" w:space="440"/>
            <w:col w:w="3980" w:space="160"/>
            <w:col w:w="4020"/>
          </w:cols>
          <w:pgMar w:left="320" w:top="459" w:right="35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Indemnification of Directors and</w:t>
            </w:r>
          </w:p>
        </w:tc>
        <w:tc>
          <w:tcPr>
            <w:tcW w:w="40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Delaware</w:t>
            </w:r>
          </w:p>
        </w:tc>
        <w:tc>
          <w:tcPr>
            <w:tcW w:w="0" w:type="dxa"/>
            <w:vAlign w:val="bottom"/>
          </w:tcPr>
          <w:p>
            <w:pPr>
              <w:spacing w:after="0"/>
              <w:rPr>
                <w:sz w:val="1"/>
                <w:szCs w:val="1"/>
                <w:color w:val="auto"/>
              </w:rPr>
            </w:pPr>
          </w:p>
        </w:tc>
      </w:tr>
      <w:tr>
        <w:trPr>
          <w:trHeight w:val="182"/>
        </w:trPr>
        <w:tc>
          <w:tcPr>
            <w:tcW w:w="3060" w:type="dxa"/>
            <w:vAlign w:val="bottom"/>
            <w:vMerge w:val="continue"/>
          </w:tcPr>
          <w:p>
            <w:pPr>
              <w:spacing w:after="0"/>
              <w:rPr>
                <w:sz w:val="15"/>
                <w:szCs w:val="15"/>
                <w:color w:val="auto"/>
              </w:rPr>
            </w:pPr>
          </w:p>
        </w:tc>
        <w:tc>
          <w:tcPr>
            <w:tcW w:w="4040" w:type="dxa"/>
            <w:vAlign w:val="bottom"/>
          </w:tcPr>
          <w:p>
            <w:pPr>
              <w:spacing w:after="0" w:line="182" w:lineRule="exact"/>
              <w:rPr>
                <w:sz w:val="20"/>
                <w:szCs w:val="20"/>
                <w:color w:val="auto"/>
              </w:rPr>
            </w:pPr>
            <w:r>
              <w:rPr>
                <w:rFonts w:ascii="Arial" w:cs="Arial" w:eastAsia="Arial" w:hAnsi="Arial"/>
                <w:sz w:val="18"/>
                <w:szCs w:val="18"/>
                <w:color w:val="auto"/>
                <w:w w:val="94"/>
              </w:rPr>
              <w:t>The DGCL permits indemnification for derivative suits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b w:val="1"/>
                <w:bCs w:val="1"/>
                <w:i w:val="1"/>
                <w:iCs w:val="1"/>
                <w:color w:val="auto"/>
              </w:rPr>
              <w:t>Officers</w:t>
            </w:r>
          </w:p>
        </w:tc>
        <w:tc>
          <w:tcPr>
            <w:tcW w:w="4040" w:type="dxa"/>
            <w:vAlign w:val="bottom"/>
          </w:tcPr>
          <w:p>
            <w:pPr>
              <w:spacing w:after="0"/>
              <w:rPr>
                <w:sz w:val="20"/>
                <w:szCs w:val="20"/>
                <w:color w:val="auto"/>
              </w:rPr>
            </w:pPr>
            <w:r>
              <w:rPr>
                <w:rFonts w:ascii="Arial" w:cs="Arial" w:eastAsia="Arial" w:hAnsi="Arial"/>
                <w:sz w:val="18"/>
                <w:szCs w:val="18"/>
                <w:color w:val="auto"/>
                <w:w w:val="93"/>
              </w:rPr>
              <w:t>only for expenses (including legal fees) and only if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person is not found liable, unless a court determines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person is fairly and reasonably entitled to the</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indemnification.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Call and Notice of Stockholder</w:t>
      </w:r>
      <w:r>
        <w:rPr>
          <w:sz w:val="20"/>
          <w:szCs w:val="20"/>
          <w:color w:val="auto"/>
        </w:rPr>
        <w:tab/>
      </w:r>
      <w:r>
        <w:rPr>
          <w:rFonts w:ascii="Arial" w:cs="Arial" w:eastAsia="Arial" w:hAnsi="Arial"/>
          <w:sz w:val="16"/>
          <w:szCs w:val="16"/>
          <w:color w:val="auto"/>
        </w:rPr>
        <w:t>Under the DGCL, an annual or special stockholder</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Meetings</w:t>
      </w:r>
      <w:r>
        <w:rPr>
          <w:sz w:val="20"/>
          <w:szCs w:val="20"/>
          <w:color w:val="auto"/>
        </w:rPr>
        <w:tab/>
      </w:r>
      <w:r>
        <w:rPr>
          <w:rFonts w:ascii="Arial" w:cs="Arial" w:eastAsia="Arial" w:hAnsi="Arial"/>
          <w:sz w:val="16"/>
          <w:szCs w:val="16"/>
          <w:color w:val="auto"/>
        </w:rPr>
        <w:t>meeting is held on such date, at such time and at such</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place as may be designated by the board of directors or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any other person authorized to call such meeting under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the corporation’s certificate of incorporation or bylaws.</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If an annual meeting for election of directors is not held</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on the date designated or an action by written consent</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to elect</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in lieu of an annual meeting has not been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taken within 30 days after the date designated for the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annual</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CBCA, a corporation may indemnify its current or former directors or officers or another individual who acts or acted at the corporation’s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corporation or another entity.</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CBCA also provides that a corporation may advance moneys to a director, officer or other individual for costs, charges and expenses incurred in connection with such a proceeding.</w:t>
      </w:r>
    </w:p>
    <w:p>
      <w:pPr>
        <w:spacing w:after="0" w:line="21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However, indemnification is prohibited under the CBCA unless the individual (i) acted honestly and in good faith with a view to the corporation’s best interests, or the best interests of the other entity for which the individual acted as director or officer or in a similar capacity at the corporation’s request; and (ii) in the case of a criminal or administrative action or proceeding that is enforced by a monetary penalty, the individual had reasonable grounds for believing that his or her conduct was lawful.</w:t>
      </w:r>
    </w:p>
    <w:p>
      <w:pPr>
        <w:spacing w:after="0" w:line="19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CBCA, an annual meeting of shareholders must be held not later than fifteen months after holding the last preceding annual meeting but no later than six months after the end of the corporation’s preceding financial year.</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directors of a corporation may at any time call a special meeting of shareholders.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under the CBCA, the holders of not less than 5% of the</w:t>
      </w:r>
    </w:p>
    <w:p>
      <w:pPr>
        <w:sectPr>
          <w:pgSz w:w="11900" w:h="16838" w:orient="portrait"/>
          <w:cols w:equalWidth="0" w:num="2">
            <w:col w:w="7100" w:space="100"/>
            <w:col w:w="4040"/>
          </w:cols>
          <w:pgMar w:left="320" w:top="459" w:right="339" w:bottom="1440" w:gutter="0" w:footer="0" w:header="0"/>
          <w:type w:val="continuous"/>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jc w:val="center"/>
        <w:ind w:left="31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93" w:lineRule="auto"/>
        <w:rPr>
          <w:sz w:val="20"/>
          <w:szCs w:val="20"/>
          <w:color w:val="auto"/>
        </w:rPr>
      </w:pPr>
      <w:r>
        <w:rPr>
          <w:rFonts w:ascii="Arial" w:cs="Arial" w:eastAsia="Arial" w:hAnsi="Arial"/>
          <w:sz w:val="16"/>
          <w:szCs w:val="16"/>
          <w:color w:val="auto"/>
        </w:rPr>
        <w:t>meeting, or if no date has been designated, for a period of 13 months after the later of the last annual meeting or the last action by written consent to elect directors in lieu of an annual meeting, the Delaware Court of Chancery may summarily order a meeting to be held upon the application of any stockholder 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Action by Written Consent</w:t>
      </w:r>
      <w:r>
        <w:rPr>
          <w:sz w:val="20"/>
          <w:szCs w:val="20"/>
          <w:color w:val="auto"/>
        </w:rPr>
        <w:tab/>
      </w:r>
      <w:r>
        <w:rPr>
          <w:rFonts w:ascii="Arial" w:cs="Arial" w:eastAsia="Arial" w:hAnsi="Arial"/>
          <w:sz w:val="16"/>
          <w:szCs w:val="16"/>
          <w:color w:val="auto"/>
        </w:rPr>
        <w:t>Under the DGCL, a majority of the stockholders of a</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corporation may act by written consent without a</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unless such action is prohibited by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corporation’s certificate of incorporation.</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Nominations and</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issued shares of a corporation that carry the right to vote at a meeting of shareholders may requisition that the directors call a meeting of shareholders for the purpose of transacting any business that may be transacted at a shareholders meeting. Upon receiving a requisition that complies with the technical requirements set out in the CBCA, the directors must, subject to certain limited exceptions, call a meeting of shareholders. If the directors do not call such a meeting within 21 days after receiving the requisition, the requisitioning shareholders or any of them may call the meeting.</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CBCA, a written resolution signed by all the shareholders of a corporation who would have been entitled to vote on the resolution at a meeting is effective to approve the resolution.</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CBCA, proposals with respect to the nomination of candidates for election to the board of directors may be made by certain registered or beneficial holders of shares entitled to be voted at an annual meeting of shareholders. To be eligible to submit a proposal, a shareholder must be the registered or beneficial holder of, or have support of the registered or beneficial holders of, (i) at least 1% of the total number of outstanding voting shares of the corporation, or (ii) voting shares whose fair market value is at least $2,000 and such registered or beneficial holder(s) must have held such shares for at least six months immediately prior to the day upon which the shareholder submits the proposal.</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order for a proposal to include nominations of directors, it must be signed by one or more holders of shares representing not less than 5% of</w:t>
      </w:r>
    </w:p>
    <w:p>
      <w:pPr>
        <w:sectPr>
          <w:pgSz w:w="11900" w:h="16838" w:orient="portrait"/>
          <w:cols w:equalWidth="0" w:num="2">
            <w:col w:w="7060" w:space="140"/>
            <w:col w:w="4040"/>
          </w:cols>
          <w:pgMar w:left="320" w:top="459" w:right="33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shares (or shares of a class) entitled to vote at the</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special meeting.</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If the proposal is submitted at least 90 days before the</w:t>
      </w:r>
    </w:p>
    <w:p>
      <w:pPr>
        <w:spacing w:after="0" w:line="4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anniversary date of the notice of meeting sent to</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shareholders in connection with the previous annual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meeting and the proposal meets other specified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requirements, then the corporation shall either set out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proposal in the proxy circular of the corporation 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attach the proposal thereto. In addition, if so requested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by the person submitting the proposal, the corporation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shall include in or attach to the proxy circular a</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statement in support of the proposal by the person and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name and address of the person.</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If a corporation refuses to include a proposal in 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management proxy circular, the corporation shall notify</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the person in writing within 21 days after its receipt of</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the proposal (or proof of the person’s ownership of</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securities) of its intention to omit the proposal and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reasons therefor. In any such event, the person</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submitting the proposal may make application to a</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court for an order permitting the corporation to omit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proposal from the management proxy circular and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court may make such order as it determines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appropriate.</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Any registered shareholder entitled to vote, or any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beneficial shareholder whose shares are entitled to be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voted, at a meeting of shareholders may also discuss at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meeting any matter in respect of which such</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shareholder would have been entitled to submit a</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proposal.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Stockholder Quorum and Vote Requirements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DGCL, quorum for a stock corporation is a majority of the shares entitled to vote at the meeting 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CBCA, unless the bylaws otherwise provide, a quorum of shareholders is present at a meeting of shareholders, irrespective of the number of persons actually present at the meeting, if the holders of a majority of the shares entitled to vote at the meeting are present in person or represented by proxy.</w:t>
      </w:r>
    </w:p>
    <w:p>
      <w:pPr>
        <w:spacing w:after="0" w:line="1026" w:lineRule="exact"/>
        <w:rPr>
          <w:sz w:val="20"/>
          <w:szCs w:val="20"/>
          <w:color w:val="auto"/>
        </w:rPr>
      </w:pPr>
    </w:p>
    <w:p>
      <w:pPr>
        <w:sectPr>
          <w:pgSz w:w="11900" w:h="16838" w:orient="portrait"/>
          <w:cols w:equalWidth="0" w:num="3">
            <w:col w:w="2340" w:space="720"/>
            <w:col w:w="4000" w:space="140"/>
            <w:col w:w="4020"/>
          </w:cols>
          <w:pgMar w:left="320" w:top="459" w:right="35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Certificate of</w:t>
      </w:r>
      <w:r>
        <w:rPr>
          <w:sz w:val="20"/>
          <w:szCs w:val="20"/>
          <w:color w:val="auto"/>
        </w:rPr>
        <w:tab/>
      </w:r>
      <w:r>
        <w:rPr>
          <w:rFonts w:ascii="Arial" w:cs="Arial" w:eastAsia="Arial" w:hAnsi="Arial"/>
          <w:sz w:val="16"/>
          <w:szCs w:val="16"/>
          <w:color w:val="auto"/>
        </w:rPr>
        <w:t>Generally, under the DGCL, the affirmative vote of the</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Incorporation</w:t>
      </w:r>
      <w:r>
        <w:rPr>
          <w:sz w:val="20"/>
          <w:szCs w:val="20"/>
          <w:color w:val="auto"/>
        </w:rPr>
        <w:tab/>
      </w:r>
      <w:r>
        <w:rPr>
          <w:rFonts w:ascii="Arial" w:cs="Arial" w:eastAsia="Arial" w:hAnsi="Arial"/>
          <w:sz w:val="17"/>
          <w:szCs w:val="17"/>
          <w:color w:val="auto"/>
        </w:rPr>
        <w:t>holders of a majority of the outstanding stock entitled</w:t>
      </w:r>
    </w:p>
    <w:p>
      <w:pPr>
        <w:spacing w:after="0" w:line="21"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Bylaws</w:t>
      </w:r>
      <w:r>
        <w:rPr>
          <w:sz w:val="20"/>
          <w:szCs w:val="20"/>
          <w:color w:val="auto"/>
        </w:rPr>
        <w:tab/>
      </w:r>
      <w:r>
        <w:rPr>
          <w:rFonts w:ascii="Arial" w:cs="Arial" w:eastAsia="Arial" w:hAnsi="Arial"/>
          <w:sz w:val="16"/>
          <w:szCs w:val="16"/>
          <w:color w:val="auto"/>
        </w:rPr>
        <w:t>Under the DGCL, after a corporation has received any</w:t>
      </w:r>
    </w:p>
    <w:p>
      <w:pPr>
        <w:spacing w:after="0" w:line="23"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payment for any of its stock, the power to adopt, amend or repeal bylaws shall be vested in the stockholders entitled to vote; provided, however, that any corporation may, in its certificate of incorporation, provide that bylaws may be adopted, amended or repealed by the board of directors. The fact that such power has been conferred upon the board of directors shall not divest the stockholders of the power nor limit their power to adopt, amend or repeal the bylaws.</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Under the CBCA, any amendment to the articles of a corporation generally requires shareholder approval by special resolution.</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a proposed amendment requires approval by special resolution (which requires the approval of not less than two-thirds of the votes cast by the shareholders), the holders of shares of a class (or of a series of a class, if the proposed amendment would affect such series differently from the other series of shares of such class) are entitled to vote separately as a class or series if the proposed amendment affects the class or series as specified in the CBCA, whether or not the class or series otherwise carries the right to vote.</w:t>
      </w:r>
    </w:p>
    <w:p>
      <w:pPr>
        <w:spacing w:after="0" w:line="18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the CBCA, unless the articles or bylaws otherwise provide, the board of directors of a corporation may, by resolution, make, amend or repeal bylaws that regulate the business or affairs of a corporation provided that any such bylaw, amendment or repeal of a bylaw must be confirmed at the next meeting of shareholders by the affirmative vote of a majority of the shareholders entitled to vote thereat.</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bylaw or amendment is effective when made by the board of directors</w:t>
      </w:r>
    </w:p>
    <w:p>
      <w:pPr>
        <w:sectPr>
          <w:pgSz w:w="11900" w:h="16838" w:orient="portrait"/>
          <w:cols w:equalWidth="0" w:num="2">
            <w:col w:w="7080" w:space="120"/>
            <w:col w:w="4020"/>
          </w:cols>
          <w:pgMar w:left="320" w:top="459" w:right="35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Votes on Mergers, Consolidations and Sales of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DGCL provides that, unless otherwise provided in the certificate of incorporation or bylaws, the adoption of a merger agreement requires the approval of a majority of the outstanding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but ceases to be effective if not confirmed by the shareholders. If a bylaw, amendment or repeal is rejected by shareholders, or the directors of a corporation do not submit a bylaw, an amendment or a repeal to the shareholders at the next meeting of shareholders, then such bylaw, amendment or repeal will cease to be effective and no subsequent resolution of the directors to make, amend or repeal a bylaw having substantially the same purpose or effect is effective until it is confirmed or confirmed as amended by the shareholders.</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CBCA, certain fundamental changes, such as amendments to the articles, certain bylaw amendments, continuances to another jurisdiction, certain amalgamations, a lease, sale or transfer of all or substantially all of the property of a corporation other than in the ordinary course of business, liquidations, dissolutions, and certain arrangements are required to be approved by special resolution.</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 special resolution is a resolution (i) passed by not less than two-thirds of the votes cast by the shareholders who voted in respect of the resolution at a meeting duly called and held for that purpose; or</w:t>
      </w:r>
    </w:p>
    <w:p>
      <w:pPr>
        <w:spacing w:after="0" w:line="2" w:lineRule="exact"/>
        <w:rPr>
          <w:sz w:val="20"/>
          <w:szCs w:val="20"/>
          <w:color w:val="auto"/>
        </w:rPr>
      </w:pPr>
    </w:p>
    <w:p>
      <w:pPr>
        <w:ind w:right="260" w:firstLine="3"/>
        <w:spacing w:after="0" w:line="260" w:lineRule="auto"/>
        <w:tabs>
          <w:tab w:leader="none" w:pos="2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signed by all shareholders entitled to vote on the resolution.</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specified cases, a special resolution to approve an extraordinary corporate action is also required to be approved separately by the holders of a class or series of shares, including in certain cases a class or series of shares not otherwise carrying voting rights. In specified extraordinary corporate actions, all shares have a vote, whether or not they generally vote and, in certain cases, have separate class votes.</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the CBCA provides that, where it is not practicable for a</w:t>
      </w:r>
    </w:p>
    <w:p>
      <w:pPr>
        <w:sectPr>
          <w:pgSz w:w="11900" w:h="16838" w:orient="portrait"/>
          <w:cols w:equalWidth="0" w:num="3">
            <w:col w:w="2820" w:space="240"/>
            <w:col w:w="3940" w:space="200"/>
            <w:col w:w="4020"/>
          </w:cols>
          <w:pgMar w:left="320" w:top="459" w:right="3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corporation (that is not an insolvent corporation) to</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effect such a fundamental change under any other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provision contemplated under the CBCA, the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corporation may apply to a court for an order approving</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 arrangement.</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Under the CBCA, arrangements are permitted, and a</w:t>
      </w:r>
    </w:p>
    <w:p>
      <w:pPr>
        <w:spacing w:after="0" w:line="3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corporation may make any proposal it considers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appropriate. In general, a plan of arrangement is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approved by a corporation’s board of directors and then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is submitted to a court for approval. It is customary for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 corporation in such circumstances to apply to a court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initially for an interim order governing various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procedural matters prior to calling any security holder</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meeting to consider the proposed arrangement. Plans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arrangement involving shareholders must be approved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by a special resolution of shareholders, (or such higher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approval that a court may require) and may provide that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holders of shares not normally entitled to vote may vote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on the arrangement. The court determines, among other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things, to whom notice shall be given and whether, and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 what manner, approval of any person is to be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obtained and also determines whether any shareholders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may dissent from the proposed arrangement and receive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payment of the fair value of their shares. Following</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compliance with the procedural steps contemplated in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any such interim order (including as to obtaining</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security holder approval), the court would conduct a</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final hearing and approve or reject the proposed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arrangement.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Dissenter’s Rights of 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Under the DGCL, a stockholder of a Delaware corporation generally has the right to dissent flume, merger or consolidation in which the Delaware corporation is participating, subject to specified procedural requirements, including that such dissenting stockholder does not vote in favor of the merger or consolidation. However, the DGCL does not confer appraisal rights, in certain circumstances, 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CBCA provides that shareholders of a corporation are entitled to exercise dissent rights and to be paid the fair value of their shares in respect of which such shareholders dissent in connection with specified matters, including:</w:t>
      </w:r>
    </w:p>
    <w:p>
      <w:pPr>
        <w:spacing w:after="0" w:line="217" w:lineRule="exact"/>
        <w:rPr>
          <w:sz w:val="20"/>
          <w:szCs w:val="20"/>
          <w:color w:val="auto"/>
        </w:rPr>
      </w:pPr>
    </w:p>
    <w:p>
      <w:pPr>
        <w:ind w:right="200" w:firstLine="3"/>
        <w:spacing w:after="0" w:line="277" w:lineRule="auto"/>
        <w:tabs>
          <w:tab w:leader="none" w:pos="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amalgamation with another corporation (other than with certain affiliated corporations);</w:t>
      </w:r>
    </w:p>
    <w:p>
      <w:pPr>
        <w:spacing w:after="0" w:line="197" w:lineRule="exact"/>
        <w:rPr>
          <w:rFonts w:ascii="Arial" w:cs="Arial" w:eastAsia="Arial" w:hAnsi="Arial"/>
          <w:sz w:val="18"/>
          <w:szCs w:val="18"/>
          <w:color w:val="auto"/>
        </w:rPr>
      </w:pPr>
    </w:p>
    <w:p>
      <w:pPr>
        <w:ind w:right="160" w:firstLine="3"/>
        <w:spacing w:after="0" w:line="257" w:lineRule="auto"/>
        <w:tabs>
          <w:tab w:leader="none" w:pos="2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amendment to the corporation’s articles to add, change or remove any provisions restricting or constraining the issue, transfer or ownership of shares of the class in respect of which a shareholder is dissenting;</w:t>
      </w:r>
    </w:p>
    <w:p>
      <w:pPr>
        <w:spacing w:after="0" w:line="214" w:lineRule="exact"/>
        <w:rPr>
          <w:rFonts w:ascii="Arial" w:cs="Arial" w:eastAsia="Arial" w:hAnsi="Arial"/>
          <w:sz w:val="18"/>
          <w:szCs w:val="18"/>
          <w:color w:val="auto"/>
        </w:rPr>
      </w:pPr>
    </w:p>
    <w:p>
      <w:pPr>
        <w:jc w:val="both"/>
        <w:ind w:right="120" w:firstLine="3"/>
        <w:spacing w:after="0" w:line="311" w:lineRule="auto"/>
        <w:tabs>
          <w:tab w:leader="none" w:pos="31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 amendment to the corporation’s articles to add, change or remove any restriction upon the business or businesses that the corporation may carry on;</w:t>
      </w:r>
    </w:p>
    <w:p>
      <w:pPr>
        <w:spacing w:after="0" w:line="175" w:lineRule="exact"/>
        <w:rPr>
          <w:rFonts w:ascii="Arial" w:cs="Arial" w:eastAsia="Arial" w:hAnsi="Arial"/>
          <w:sz w:val="16"/>
          <w:szCs w:val="16"/>
          <w:color w:val="auto"/>
        </w:rPr>
      </w:pPr>
    </w:p>
    <w:p>
      <w:pPr>
        <w:ind w:right="860" w:firstLine="3"/>
        <w:spacing w:after="0" w:line="277" w:lineRule="auto"/>
        <w:tabs>
          <w:tab w:leader="none" w:pos="3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continuance under the laws of another jurisdiction;</w:t>
      </w:r>
    </w:p>
    <w:p>
      <w:pPr>
        <w:spacing w:after="0" w:line="197" w:lineRule="exact"/>
        <w:rPr>
          <w:rFonts w:ascii="Arial" w:cs="Arial" w:eastAsia="Arial" w:hAnsi="Arial"/>
          <w:sz w:val="18"/>
          <w:szCs w:val="18"/>
          <w:color w:val="auto"/>
        </w:rPr>
      </w:pPr>
    </w:p>
    <w:p>
      <w:pPr>
        <w:ind w:right="120" w:firstLine="3"/>
        <w:spacing w:after="0" w:line="263"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sale, lease or exchange of all, or substantially all, the property of the corporation other than in the ordinary course of business;</w:t>
      </w:r>
    </w:p>
    <w:p>
      <w:pPr>
        <w:spacing w:after="0" w:line="210" w:lineRule="exact"/>
        <w:rPr>
          <w:rFonts w:ascii="Arial" w:cs="Arial" w:eastAsia="Arial" w:hAnsi="Arial"/>
          <w:sz w:val="18"/>
          <w:szCs w:val="18"/>
          <w:color w:val="auto"/>
        </w:rPr>
      </w:pPr>
    </w:p>
    <w:p>
      <w:pPr>
        <w:ind w:right="40" w:firstLine="3"/>
        <w:spacing w:after="0" w:line="259" w:lineRule="auto"/>
        <w:tabs>
          <w:tab w:leader="none" w:pos="3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pursuant to a court order permitting a shareholder to dissent in connection with an application to the court for an order approving an arrangement proposed by the corporation;</w:t>
      </w:r>
    </w:p>
    <w:p>
      <w:pPr>
        <w:spacing w:after="0" w:line="213" w:lineRule="exact"/>
        <w:rPr>
          <w:rFonts w:ascii="Arial" w:cs="Arial" w:eastAsia="Arial" w:hAnsi="Arial"/>
          <w:sz w:val="18"/>
          <w:szCs w:val="18"/>
          <w:color w:val="auto"/>
        </w:rPr>
      </w:pPr>
    </w:p>
    <w:p>
      <w:pPr>
        <w:ind w:right="60" w:firstLine="3"/>
        <w:spacing w:after="0" w:line="277" w:lineRule="auto"/>
        <w:tabs>
          <w:tab w:leader="none" w:pos="3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carrying out of a going-private transaction or a squeeze-out transaction; and</w:t>
      </w:r>
    </w:p>
    <w:p>
      <w:pPr>
        <w:spacing w:after="0" w:line="197" w:lineRule="exact"/>
        <w:rPr>
          <w:rFonts w:ascii="Arial" w:cs="Arial" w:eastAsia="Arial" w:hAnsi="Arial"/>
          <w:sz w:val="18"/>
          <w:szCs w:val="18"/>
          <w:color w:val="auto"/>
        </w:rPr>
      </w:pPr>
    </w:p>
    <w:p>
      <w:pPr>
        <w:ind w:firstLine="3"/>
        <w:spacing w:after="0" w:line="289" w:lineRule="auto"/>
        <w:tabs>
          <w:tab w:leader="none" w:pos="4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certain amendments to the articles of a corporation which require a separate class or series vote by a holder of shares of any class or series, including in certain cases a class or series of shares not otherwise carrying voting rights; provided that, a shareholder is not entitled to dissent if any amendment to the articles is effected by a court order (a) approving a reorganization; or (b) made in connection with an action for an oppression remedy, described below.</w:t>
      </w:r>
    </w:p>
    <w:p>
      <w:pPr>
        <w:sectPr>
          <w:pgSz w:w="11900" w:h="16838" w:orient="portrait"/>
          <w:cols w:equalWidth="0" w:num="3">
            <w:col w:w="2340" w:space="720"/>
            <w:col w:w="4020" w:space="120"/>
            <w:col w:w="4040"/>
          </w:cols>
          <w:pgMar w:left="320" w:top="459" w:right="33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Oppression Remedy</w:t>
      </w:r>
      <w:r>
        <w:rPr>
          <w:sz w:val="20"/>
          <w:szCs w:val="20"/>
          <w:color w:val="auto"/>
        </w:rPr>
        <w:tab/>
      </w:r>
      <w:r>
        <w:rPr>
          <w:rFonts w:ascii="Arial" w:cs="Arial" w:eastAsia="Arial" w:hAnsi="Arial"/>
          <w:sz w:val="16"/>
          <w:szCs w:val="16"/>
          <w:color w:val="auto"/>
        </w:rPr>
        <w:t>The DGCL does not provide for a similar remedy.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CBCA’s oppression remedy enables a court to make an order (interim or final) to rectify the matters complained of if the court is satisfied upon application by a complainant (as defined below) that (i) any act or omission of the corporation or any of its affiliates effects or threatens to effect a result, (ii) the business and affairs of the corporation or its affiliates are, have been or are threatened to be carried on or conducted in a manner, or (iii) the powers of the directors of the corporation or any of its affiliates are or have been exercised in a manner, that is, oppressive or unfairly prejudicial to, or that unfairly disregards, the interests of any security holder, creditor, director or officer of the corporation.</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CBCA, a “complainant” includes a current or former shareholder (including a current or former beneficial shareholder) of a corporation or any of its affiliates, a current or former director or officer of a corporation or any of its affiliates, the “Director” appointed under the CBCA or any other person who, in the discretion of the court, is a proper person to bring the application.</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oppression remedy provides the court with extremely broad and flexible jurisdiction to intervene in corporate affairs to protect shareholders and other complainants.</w:t>
      </w:r>
    </w:p>
    <w:p>
      <w:pPr>
        <w:spacing w:after="0" w:line="133" w:lineRule="exact"/>
        <w:rPr>
          <w:sz w:val="20"/>
          <w:szCs w:val="20"/>
          <w:color w:val="auto"/>
        </w:rPr>
      </w:pPr>
    </w:p>
    <w:p>
      <w:pPr>
        <w:sectPr>
          <w:pgSz w:w="11900" w:h="16838" w:orient="portrait"/>
          <w:cols w:equalWidth="0" w:num="2">
            <w:col w:w="6660" w:space="540"/>
            <w:col w:w="404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40"/>
          </w:cols>
          <w:pgMar w:left="320" w:top="459" w:right="3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Shareholder Derivative 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DGCL, stockholders may bring derivative 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 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CBCA, a current or former shareholder (including a current or former beneficial shareholder) of a corporation or any of its affiliates, a current or former director or officer of a corporation or any of its affiliates the “Director” appointed under the CBCA, or any other person who, in the discretion of the court, is a proper person may make an application to the court (each a “complainant”) for leave to bring an action in the name and on behalf of the corporation or any of its subsidiaries, or intervene in an action to which the corporation or any of its subsidiaries is a party, to prosecute or defend an action on behalf of a corporation (a derivative action).</w:t>
      </w:r>
    </w:p>
    <w:p>
      <w:pPr>
        <w:spacing w:after="0" w:line="21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No derivative action may be brought unless the court is satisfied that (i) notice of the application for leave has been given to the directors of the corporation or its subsidiary of the complainant’s intention not less than fourteen days before bringing the application, or as otherwise ordered by the court, if the directors of the corporation or its subsidiary do not bring, diligently prosecute or defend or discontinue the action; (ii) the complainant is acting in good faith; and (iii) it appears to be in the interests of the corporation for the action to be prosecuted or defended.</w:t>
      </w:r>
    </w:p>
    <w:p>
      <w:pPr>
        <w:spacing w:after="0" w:line="1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the CBCA, upon the final disposition of a derivative action, the court may make any order it determines to be appropriate. In addition, under the CBCA, a court may order a corporation to pay the complainant’s reasonable legal fees and other costs reasonably incurred by the complainant in connection with the action.</w:t>
      </w:r>
    </w:p>
    <w:p>
      <w:pPr>
        <w:sectPr>
          <w:pgSz w:w="11900" w:h="16838" w:orient="portrait"/>
          <w:cols w:equalWidth="0" w:num="3">
            <w:col w:w="2340" w:space="720"/>
            <w:col w:w="3940" w:space="200"/>
            <w:col w:w="4040"/>
          </w:cols>
          <w:pgMar w:left="320" w:top="459"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Anti-Takeover and Ownership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an issuer opts out of the provisions of Section 203 of the DGCL, Section 203 generally 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 purposes, the term “business combination” includes mergers, assets sales and other similar transactions with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While the CBCA does not contain specific anti-takeover provisions with respect to “business combinations,” rules and policies of certain Canadian securities regulatory authorities, including Multilateral Instrument 61-101—Protection of Minority Security Holders in Special Transactions, or Multilateral Instrument 61-101, contain requirements in connection with, among other things, ‘related party transactions” and “business combinations”, including, among other 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Multilateral Instrument 61-101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61-101 also requires, subject to certain exceptions, that an issuer not engage in a related party transaction unless the shareholders of the issuer, other than the related parties, approve the transaction by a simple majority of the votes cast.</w:t>
      </w:r>
    </w:p>
    <w:p>
      <w:pPr>
        <w:sectPr>
          <w:pgSz w:w="11900" w:h="16838" w:orient="portrait"/>
          <w:cols w:equalWidth="0" w:num="3">
            <w:col w:w="2340" w:space="720"/>
            <w:col w:w="3980" w:space="160"/>
            <w:col w:w="40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common shares. It is not a comprehensive description of all tax considerations that may be relevant to a particular U.S. Holder. This discussion applies only to a U.S. Holder that holds our common shares as a capital asset for tax purposes (generally, property held for investment). In addition, it does not describe all of the tax consequences that may be relevant in light of a U.S. Holder’s particular circumstances, including state and local tax consequences, estate or gift tax consequences, alternative minimum tax consequences, the potential application of the Medicare contribution tax, and tax consequences applicable to U.S. Holders subject to special rules, such as:</w:t>
      </w:r>
    </w:p>
    <w:p>
      <w:pPr>
        <w:spacing w:after="0" w:line="98" w:lineRule="exact"/>
        <w:rPr>
          <w:sz w:val="20"/>
          <w:szCs w:val="20"/>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integrated transaction or persons entering into a constructive sale with respect to common shares;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persons who acquired our common shares pursuant to the exercise of any employee share option or otherwise as compensation;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that own or are deemed to own 10 percent or more of the voting power or value of our shares;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persons holding our common shares in connection with a trade or business, permanent establishment or fixed base outside the United States.</w:t>
      </w:r>
    </w:p>
    <w:p>
      <w:pPr>
        <w:spacing w:after="0" w:line="24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are encouraged to consult their tax advisors as to the particular U.S. federal income tax consequences of holding and disposing of common shares.</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discussion is based on the Internal Revenue Code of 1986, as amended, or the Code, existing, proposed and temporary U.S. Treasury Regulations promulgated thereunder and administrative and judicial interpretations thereof and the Convention Between Canada and the United States of America with Respect to Taxes on Income and Capital, signed September 26, 1980, as amended, or the Canada-U.S. Tax Treaty, all as of the date hereof, changes to any of which may affect the tax consequences described herein—possibly with retroactive effect. No ruling has been sought from the U.S. Internal Revenue Service, or the IRS, with respect to any of the U.S. federal income tax consequences described below, and there can be no assurances that the IRS will not take a contrary position concerning the tax consequences of the acquisition, ownership and disposition of our common shares or that such a position would not be sustained by a court.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Canada-U.S. Tax Treaty and is:</w:t>
      </w:r>
    </w:p>
    <w:p>
      <w:pPr>
        <w:spacing w:after="0" w:line="116" w:lineRule="exact"/>
        <w:rPr>
          <w:sz w:val="20"/>
          <w:szCs w:val="20"/>
          <w:color w:val="auto"/>
        </w:rPr>
      </w:pPr>
    </w:p>
    <w:p>
      <w:pPr>
        <w:ind w:left="1120" w:hanging="667"/>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20" w:right="140" w:hanging="667"/>
        <w:spacing w:after="0" w:line="277" w:lineRule="auto"/>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20" w:right="220" w:hanging="667"/>
        <w:spacing w:after="0" w:line="263" w:lineRule="auto"/>
        <w:tabs>
          <w:tab w:leader="none" w:pos="11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foreign tax consequences of owning and disposing of our common shares in their particular circumstances.</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THESE PARAGRAPHS ARE A SUMMARY OF CERTAIN U.S. TAX CONSIDERATIONS AND ARE INTENDED AS A GENERAL GUIDE ONLY. IT IS RECOMMENDED THAT ALL HOLDERS OF COMMON SHARES OBTAIN ADVICE AS TO THE CONSEQUENCES OF THE ACQUISITION, OWNERSHIP AND DISPOSITION OF THE COMMON SHARES IN THEIR OWN SPECIFIC CIRCUMSTANCES FROM THEIR OWN TAX ADVISORS.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31" w:lineRule="exact"/>
        <w:rPr>
          <w:sz w:val="20"/>
          <w:szCs w:val="20"/>
          <w:color w:val="auto"/>
        </w:rPr>
      </w:pPr>
    </w:p>
    <w:p>
      <w:pPr>
        <w:ind w:left="1000" w:hanging="547"/>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purposes of these tests, passive income includes dividends, interest, gains from the sale or exchange of investment property and certain rents and royalties. We will be treated as owning our proportionate share of the assets and earning our proportionate share of the income of any other corporation, the equity of which we own, directly or indirectly, 25% or more (by value).</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the application of the PFIC rules is subject to uncertainty in several respects, and therefore, no assurances can be provided with respect to our PFIC status for any past, current or future taxable years.</w:t>
      </w:r>
    </w:p>
    <w:p>
      <w:pPr>
        <w:spacing w:after="0" w:line="17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from year to year. The total value of our assets for purposes of the asset test generally may be determined in part by reference to the market price of the common shares, which may fluctuate considerably. Fluctuations in the market price of the common shares may result in our being a PFIC for any taxable year. Even if we determine that we are not a PFIC for a taxable year, there can be no assurance that the IRS will agree with our conclusion and that the IRS would not successfully challenge our position. Because of the uncertainties involved in establishing our PFIC status, our United States tax counsel expresses no opinion regarding our PFIC status.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320" w:top="459" w:right="3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If we are classified as a PFIC in any year with respect to which a U.S. Holder owns common shares, we will continue to be treated as a PFIC with respect to such U.S. Holder in all succeeding years during which the U.S. Holder owns the common shares, regardless of whether we continue to meet the tests described above unless (i) we cease to be a PFIC and the U.S. Holder has made a valid “deemed sale” election under the PFIC rules, (ii) we cease to be a PFIC and the U.S. Holder has a valid mark-to-market election in effect (as described below) or (iii) the U.S. Holder makes a valid Qualified Electing Fund Election, or QEF Election, with respect to all taxable years during such U.S. Holders holding period in which we are a PFIC. However, a U.S. Holder may make a QEF Election with respect to our common shares only if we annually provide such U.S. Holder with certain tax information, and we currently do not intend to prepare or provide such information. As a result, the QEF Election is not expected to be available to a U.S. Holder and the remainder of this discussion assumes that such election will not be available. If the “deemed sale” election is made, a U.S. Holder will be deemed to have sold the common shares the U.S. Holder holds at their fair market value and any gain from such deemed sale would be subject to the rules described below. After the deemed sale election, so long as we do not become a PFIC in a subsequent taxable year, the U.S. Holder’s common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common shares. U.S. Holders should consult their tax advisors as to the possibility and consequences of making a deemed sale election if we cease to be a PFIC and such election becomes available.</w:t>
      </w:r>
    </w:p>
    <w:p>
      <w:pPr>
        <w:spacing w:after="0" w:line="17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For each taxable year we are treated as a PFIC, U.S. Holders will be subject to special tax rules with respect to any “excess distribution” such U.S. Holder receives and any gain such U.S. Holder recognizes from a sale or other disposition (including a pledge) of our common shares, unless (i) such U.S. Holder makes a QEF Election with respect to all taxable years of a U.S. Holder’s holding period during which we are a PFIC or makes a purging election to cause a deemed sale of the common shares at their fair market value in conjunction with a QEF Election (however, as discussed above, such elections are expected and assumed not to be available) or (ii) our common shares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common shares will be treated as an excess distribution. Under these special tax rules:</w:t>
      </w:r>
    </w:p>
    <w:p>
      <w:pPr>
        <w:spacing w:after="0" w:line="84" w:lineRule="exact"/>
        <w:rPr>
          <w:sz w:val="20"/>
          <w:szCs w:val="20"/>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common shares;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taxable as ordinary income; and</w:t>
      </w:r>
    </w:p>
    <w:p>
      <w:pPr>
        <w:spacing w:after="0" w:line="75" w:lineRule="exact"/>
        <w:rPr>
          <w:rFonts w:ascii="Arial" w:cs="Arial" w:eastAsia="Arial" w:hAnsi="Arial"/>
          <w:sz w:val="18"/>
          <w:szCs w:val="18"/>
          <w:color w:val="auto"/>
        </w:rPr>
      </w:pPr>
    </w:p>
    <w:p>
      <w:pPr>
        <w:ind w:left="1000" w:right="780" w:hanging="547"/>
        <w:spacing w:after="0" w:line="308"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 U.S. Holder’s tax liability for amounts allocated to years prior to the year of disposition or the year of an “excess distribution” cannot be offset by any net operating losses for such years, and gains (but not losses) realized on the sale of the common shares cannot be treated as capital, even if the U.S. Holder holds the common shares as capital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shares of, any of our direct or indirect subsidiaries that also are PFICs, as if such distributions were indirectly received by, and/or dispositions were indirectly carried out by, such U.S. Holder. U.S. Holders should consult their tax advisors regarding the potential application of the PFIC rules if we were to form or acquire any non-U.S. subsidiaries in the future.</w:t>
      </w:r>
    </w:p>
    <w:p>
      <w:pPr>
        <w:spacing w:after="0" w:line="187" w:lineRule="exact"/>
        <w:rPr>
          <w:sz w:val="20"/>
          <w:szCs w:val="20"/>
          <w:color w:val="auto"/>
        </w:rPr>
      </w:pPr>
    </w:p>
    <w:p>
      <w:pPr>
        <w:ind w:right="1080" w:firstLine="449"/>
        <w:spacing w:after="0" w:line="277" w:lineRule="auto"/>
        <w:rPr>
          <w:sz w:val="20"/>
          <w:szCs w:val="20"/>
          <w:color w:val="auto"/>
        </w:rPr>
      </w:pPr>
      <w:r>
        <w:rPr>
          <w:rFonts w:ascii="Arial" w:cs="Arial" w:eastAsia="Arial" w:hAnsi="Arial"/>
          <w:sz w:val="18"/>
          <w:szCs w:val="18"/>
          <w:color w:val="auto"/>
        </w:rPr>
        <w:t>If we are a PFIC, U.S. Holders can avoid the interest charge on excess distributions or gain relating to the common shares by making a mark-to-market election with respect to the common shares, provided that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common shares are “marketable.” Common shares will be marketable if they are “regularly traded” on certain U.S. stock exchanges or on a foreign stock exchange that meets certain conditions. For these purposes, the common shares will be considered regularly traded during any calendar year during which they are traded, other than in de minimis quantities, on at least 15 days during each calendar quarter. Any trades that have as their principal purpose meeting this requirement will be disregarded. Our common shares will be listed on Nasdaq, which is a qualified exchange for these purposes. Consequently, if our common shares remain listed on Nasdaq and are regularly traded, and you are a U.S. Holder that holds our common shares, we expect the mark-to-market election would be available to you if we are a PFIC. Each U.S. Holder should consult its tax advisor as to the whether a mark-to-market election is available or advisable with respect to the common shares.</w:t>
      </w:r>
    </w:p>
    <w:p>
      <w:pPr>
        <w:spacing w:after="0" w:line="17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 U.S. Holder that makes a mark-to-market election must include as ordinary income for each year an amount equal to the excess, if any, of the fair market value of the common shares at the close of the taxable year over the U.S. Holder’s adjusted tax basis in the common shares. Accordingly, such mark-to-market election may accelerate the recognition of income without a corresponding receipt of cash. An electing holder may also claim an ordinary loss deduction for the excess, if any, of the U.S. Holder’s adjusted basis in the common shares over the fair market value of the common shares at the close of the taxable year, but this deduction is allowable only to the extent of any net mark-to-market gains for prior years. The U.S. Holder’s tax basis in our common shares would be adjusted to reflect any income or loss recognized as a result of the mark-to-market election. Gains from an actual sale or other disposition of the common shares will be treated as ordinary income, and any losses incurred on a sale or other disposition of the common shares will be treated first as an ordinary loss (to the extent of any net mark-to-market gains for prior years) and thereafter as a capital loss. Once made, the election cannot be revoked without the consent of the IRS, unless the common shares cease to be marketable.</w:t>
      </w:r>
    </w:p>
    <w:p>
      <w:pPr>
        <w:spacing w:after="0" w:line="16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any year in which we are classified as a PFIC, a U.S. Holder will be required to file an annual information return on IRS Form 8621 containing such information as the Treasury Regulations and/or other IRS guidance may require. A U.S. Holder’s failure to file IRS Form 8621 could result in the imposition of penalties and the extension of the statute of limitations with respect to U.S. federal income tax. U.S. Holders should consult their tax advisors regarding the requirements of filing such information returns under these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As described in the section above entitled “Dividend Policy,” we do not anticipate declaring or paying dividends to holders of our common shares in the foreseeable future. However, if we make a distribution contrary to this expectation, subject to the discussion above under “Passive Foreign Investment Company Rules,” distributions paid to a U.S. Holder in respect to our common shares (including any amounts withheld in respect of foreign taxes), other than certain pro rata distributions of common shares, will generally be treated as dividends to the extent paid out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Because we may not calculate our earnings and profits under U.S. federal income tax principles, we expect that distributions generally will be reported to U.S. Holders as dividends.</w:t>
      </w:r>
    </w:p>
    <w:p>
      <w:pPr>
        <w:spacing w:after="0" w:line="18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Subject to applicable limitations, dividends paid by a “qualified foreign corporation” to certain non-corporate U.S. Holders may be taxable at preferential rates provided that certain requirements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459"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an established securities market in the United States. Our common shares will generally be considered to be readily tradable on an established securities market in the United States for so long as they are listed on the Nasdaq Global Market.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common shares or rights to acquire common shares) will be the fair market value of such property on the date of distribution.</w:t>
      </w:r>
    </w:p>
    <w:p>
      <w:pPr>
        <w:spacing w:after="0" w:line="18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foreign tax credit limitation purposes, our dividends will generally be treated as passive category income. 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Common Shares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Subject to the discussion above under “Passive Foreign Investment Company Rules,” gain or loss realized on the sale or other taxable disposition of common shares will be capital gain or loss, and will be a long-term capital gain or loss if the U.S. Holder held the common shares for more than one year. The amount of the gain or loss will equal the difference between the U.S. Holder’s adjusted tax basis in the common shares disposed of and the amount realized on the disposition, in each case as determined in U.S. dollars. This gain or loss will generally be U.S.-source gain or loss for foreign tax credit purposes, which will generally limit the availability of foreign tax credits. The deductibility of capital losses is subject to limitations.</w:t>
      </w:r>
    </w:p>
    <w:p>
      <w:pPr>
        <w:spacing w:after="0" w:line="16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common shares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1"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COMMON SHARES AS WELL AS THE APPLICATION OF THE PFIC RULES TO YOUR INVESTMENT IN THE COMMON SHARES.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withholding, the U.S. Holder provides a correct taxpayer identification number and certifies that it is not subject to backup withholding (generally, by providing an IRS Form W-9).</w:t>
      </w:r>
    </w:p>
    <w:p>
      <w:pPr>
        <w:spacing w:after="0" w:line="170"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2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discussion of reporting requirements set forth above is not intended to constitute a complete description of all reporting requirements that may apply to a U.S. Holder. Each U.S. Holder should consult its own tax advisors regarding the information reporting and backup withholding rules.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Certain U.S. Holders who are individuals (and, under regulations, certain entities) may be required to report information relating to the common shares, subject to certain exceptions (including an exception for common shares held in accounts maintained by certain U.S. financial institutions).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Each U.S. Holder should consult its own tax advisors regarding its reporting obligations with respect to its ownership and disposition of the common shares.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20"/>
          </w:cols>
          <w:pgMar w:left="320" w:top="459" w:right="5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The following is, as of the date hereof, a summary of the principal Canadian federal income tax considerations generally applicable under the Income Tax Act (Canada) and the regulations promulgated thereunder, collectively the Tax Act, to a purchaser who acquires, as beneficial owner, the common shares under this offering, and who, for purposes of the Tax Act and at all relevant times, (i) is not, and is not deemed to be, resident in Canada, (ii) holds the common shares as capital property, (iii) deals at arm’s length with, and is not affiliated with, the Company or the underwriters, and (iv) does not use or hold and will not be deemed to use or hold, the common shares in a business carried on in Canada, hereinafter, a Non-Resident Holder. Special rules, which are not discussed in this summary, may apply to an insurer that carries on an insurance business in Canada and elsewhere.</w:t>
      </w:r>
    </w:p>
    <w:p>
      <w:pPr>
        <w:spacing w:after="0" w:line="1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summary is based upon the provisions of the Tax Act in force as of the date hereof, all specific proposals to amend the Tax Act that have been publicly announced by or on behalf of the Minister of Finance (Canada) prior to the date hereof, or the Proposed Amendments, the Canada-U.S. Tax Treaty, and an understanding of the current administrative policies and assessing practices of the Canada Revenue Agency, or the CRA,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assessing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16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This summary is not applicable to a Non-Resident Holder who makes or has made a “functional currency” reporting election; or that has entered or enters into a “derivative forward agreement” with respect to the common shares (each as defined in the Tax Act). </w:t>
      </w:r>
      <w:r>
        <w:rPr>
          <w:rFonts w:ascii="Arial" w:cs="Arial" w:eastAsia="Arial" w:hAnsi="Arial"/>
          <w:sz w:val="16"/>
          <w:szCs w:val="16"/>
          <w:b w:val="1"/>
          <w:bCs w:val="1"/>
          <w:color w:val="auto"/>
        </w:rPr>
        <w:t>Any such Non-Resident Holder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consult its own tax advisor with respect to an investment in the common shares. This summary is of a general nature only and is not intended to be, nor should it be construed to be, legal or tax advice to any prospective purchaser or holder of the common shares, and no representations with respect to the income tax consequences to any prospective purchaser or holder are made. Consequently, prospective purchasers or holders of the common shares should consult their own tax advisors with respect to their particular circumstances.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Currency Conversion</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Generally, for purposes of the Tax Act, all amounts relating to the acquisition, holding or disposition of the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 Non-Resident Holder will not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Provided the common shares are listed on a “designated stock exchange,” as defined in the Tax Act (which currently includes the Nasdaq Stock Market) at the time of disposition, the common shares will generally not constitute taxable Canadian property of a Non-Resident Holder at that time, unless at any time during the 60-month period immediately preceding the disposition the following two conditions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the shares of the Company; and (ii) more than 50% of the fair market value of the shares of the Company was derived directly or indirectly from one or any combination of: real or immovable property situated in Canada, “Canadian resource properties”, “timber resource properties” (each as defined in the Tax Act), and options in respect of, or interests in or for civil law rights in, any such property whether or not the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such as the Canada-U.S. Tax Treaty. </w:t>
      </w:r>
      <w:r>
        <w:rPr>
          <w:rFonts w:ascii="Arial" w:cs="Arial" w:eastAsia="Arial" w:hAnsi="Arial"/>
          <w:sz w:val="16"/>
          <w:szCs w:val="16"/>
          <w:b w:val="1"/>
          <w:bCs w:val="1"/>
          <w:color w:val="auto"/>
        </w:rPr>
        <w:t>A Non-Resident Holder contemplating a</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common shares that may constitute taxable Canadian property should consult a tax advisor prior to such disposition.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Dividends paid or credited on the common shares or deemed to be paid or credited on the common shares to a Non-Resident Holder will be subject to Canadian withholding tax under the Tax Act at the rate of 25%, although such rate may be reduced under the provisions of an applicable income tax convention between Canada and the Non-Resident Holder’s country of residence. For example, under the Canada-U.S. Tax Treaty, the rate of Canadian withholding tax applicable to a dividend paid on a common share to a Non-Resident Holder that is a resident of the United States for purposes of the Canada-U.S. Tax Treaty, beneficially owns the dividend and is fully entitled to the benefits of the Canada-U.S. Tax Treaty is generally reduced to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Cowen and Company, LLC and Piper Sandler &amp; Co.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490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5715</wp:posOffset>
            </wp:positionV>
            <wp:extent cx="5575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spacing w:after="0" w:line="25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common shares subject to their receipt and acceptance of the shares from us and subject to prior sale. The offering of the shares by the underwriters is also subject to the underwriters’ right to reject any order in whole or in part. The underwriting agreement provides that the obligations of the several underwriters to pay for and accept delivery of the common shares offered by this prospectus are subject to the approval of certain legal matters by their counsel and to certain other conditions. The underwriters are obligated to take and pay for all of the common shares offered by this prospectus if any such shares are taken. However, the underwriters are not required to take or pay for the shares covered by the underwriters’ option to purchase additional shares described below.</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initially propose to offer part of the common shares directly to the public at the offering price listed on the cover page of this</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prospectus and part to certain dealers at a price that represents a concession not in excess of $ per share under the public offering price. After the initial offering of the common shares, the offering price and other selling terms may from time to time be varied by the representatives.</w:t>
      </w:r>
    </w:p>
    <w:p>
      <w:pPr>
        <w:spacing w:after="0" w:line="16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additional common shares at the public offering price listed on the cover page of this prospectus, less underwriting commissions. To the extent the option is exercised, each underwriter will become obligated, subject to certain conditions, to purchase about the same percentage of the additional common shares as the number listed next to the underwriter’s name in the preceding table bears to the total number of common shares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per share and total public offering price, underwriting commissions, and proceeds before expenses to us. These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7"/>
          </w:tcPr>
          <w:p>
            <w:pPr>
              <w:spacing w:after="0"/>
              <w:rPr>
                <w:sz w:val="20"/>
                <w:szCs w:val="20"/>
                <w:color w:val="auto"/>
              </w:rPr>
            </w:pPr>
            <w:r>
              <w:rPr>
                <w:rFonts w:ascii="Arial" w:cs="Arial" w:eastAsia="Arial" w:hAnsi="Arial"/>
                <w:sz w:val="18"/>
                <w:szCs w:val="18"/>
                <w:color w:val="auto"/>
                <w:w w:val="91"/>
              </w:rPr>
              <w:t>amounts are shown assuming both no exercise and full exercise of the underwriters’ option to purchase up to an additional</w:t>
            </w:r>
          </w:p>
        </w:tc>
        <w:tc>
          <w:tcPr>
            <w:tcW w:w="140" w:type="dxa"/>
            <w:vAlign w:val="bottom"/>
          </w:tcPr>
          <w:p>
            <w:pPr>
              <w:spacing w:after="0"/>
              <w:rPr>
                <w:sz w:val="20"/>
                <w:szCs w:val="20"/>
                <w:color w:val="auto"/>
              </w:rPr>
            </w:pPr>
          </w:p>
        </w:tc>
        <w:tc>
          <w:tcPr>
            <w:tcW w:w="1700" w:type="dxa"/>
            <w:vAlign w:val="bottom"/>
            <w:gridSpan w:val="2"/>
          </w:tcPr>
          <w:p>
            <w:pPr>
              <w:ind w:left="520"/>
              <w:spacing w:after="0"/>
              <w:rPr>
                <w:sz w:val="20"/>
                <w:szCs w:val="20"/>
                <w:color w:val="auto"/>
              </w:rPr>
            </w:pPr>
            <w:r>
              <w:rPr>
                <w:rFonts w:ascii="Arial" w:cs="Arial" w:eastAsia="Arial" w:hAnsi="Arial"/>
                <w:sz w:val="18"/>
                <w:szCs w:val="18"/>
                <w:color w:val="auto"/>
                <w:w w:val="87"/>
              </w:rPr>
              <w:t>common shares.</w:t>
            </w:r>
          </w:p>
        </w:tc>
        <w:tc>
          <w:tcPr>
            <w:tcW w:w="0" w:type="dxa"/>
            <w:vAlign w:val="bottom"/>
          </w:tcPr>
          <w:p>
            <w:pPr>
              <w:spacing w:after="0"/>
              <w:rPr>
                <w:sz w:val="1"/>
                <w:szCs w:val="1"/>
                <w:color w:val="auto"/>
              </w:rPr>
            </w:pPr>
          </w:p>
        </w:tc>
      </w:tr>
      <w:tr>
        <w:trPr>
          <w:trHeight w:val="377"/>
        </w:trPr>
        <w:tc>
          <w:tcPr>
            <w:tcW w:w="1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w:t>
            </w:r>
          </w:p>
        </w:tc>
        <w:tc>
          <w:tcPr>
            <w:tcW w:w="2700" w:type="dxa"/>
            <w:vAlign w:val="bottom"/>
            <w:gridSpan w:val="5"/>
          </w:tcPr>
          <w:p>
            <w:pPr>
              <w:ind w:lef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14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6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No</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4"/>
                <w:szCs w:val="14"/>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Underwriting commissions:</w:t>
            </w:r>
          </w:p>
        </w:tc>
        <w:tc>
          <w:tcPr>
            <w:tcW w:w="23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5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88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commissions, are approximately $ . We have agreed to reimburse the underwriters for expense relating to clearance of this offering with the Financial Industry Regulatory Authority up to $ .</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common shares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Global Market under the trading symbol “RPTX.”</w:t>
      </w:r>
    </w:p>
    <w:p>
      <w:pPr>
        <w:spacing w:after="0" w:line="22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all of our directors and officers, and the holders of substantially all of our common shares and securities convertible into or exchangeable for our common shares have entered into lock-up agreements with the underwriters and/or are subject to market standoff agreements or other agreements with us under which they agreed, subject to specific exceptions, that without the prior written consent of Morgan Stanley &amp; Co. LLC, Goldman Sachs &amp; Co. LLC and Cowen and Company, LLC on behalf of the underwriters, we and they will not, during the period ending at least 180 days, or the restricted period, after the date of this prospectus:</w:t>
      </w:r>
    </w:p>
    <w:p>
      <w:pPr>
        <w:spacing w:after="0" w:line="93" w:lineRule="exact"/>
        <w:rPr>
          <w:sz w:val="20"/>
          <w:szCs w:val="20"/>
          <w:color w:val="auto"/>
        </w:rPr>
      </w:pPr>
    </w:p>
    <w:p>
      <w:pPr>
        <w:jc w:val="both"/>
        <w:ind w:left="1000" w:right="240" w:hanging="547"/>
        <w:spacing w:after="0" w:line="263"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other securities convertible into or exercisable or exchangeable for common shares;</w:t>
      </w:r>
    </w:p>
    <w:p>
      <w:pPr>
        <w:spacing w:after="0" w:line="89"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common shares or any securities convertible into or exercisable or exchangeable for common shares; or</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common shares or such other securities, in cash or otherwise. In addition, we and each such person agrees that, without the prior written consent of Morgan Stanley &amp; Co. LLC, Goldman Sachs &amp; Co. LLC and Cowen and Company, LLC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5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Morgan Stanley &amp; Co. LLC, Goldman Sachs &amp; Co. LLC and Cowen and Company, LLC, in their joint discretion, may release the common shares and other securities subject to the lock-up agreements described above in whole or in part at any time.</w:t>
      </w:r>
    </w:p>
    <w:p>
      <w:pPr>
        <w:spacing w:after="0" w:line="170"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order to facilitate the offering of the common shares, the underwriters may engage in transactions that stabilize, maintain or otherwise affect the price of the common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 As an additional means of facilitating this offering, the underwriters may bid for, and purchase, common shares in the open market to stabilize the price of the common shares.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86"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representatives have repurchased shares sold by or for the account of such underwriter in stabilizing or short covering transactions.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320" w:top="459" w:right="3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common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Certain affiliates of Cowen and Company, LLC purchased 11,538,462 of our Series B convertible preferred shares in our September 2019 Series B preferred share financing. Those Series B preferred shares will automatically convert into 11,538,462 common shares immediately prior to and in connection with the completion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Regulation, or each, a Relevant Member State, an offer to the public of any of our common shares may not be made in that Relevant Member State, except that an offer to the public in that Relevant Member State of any of our common shares may be made at any time under the following exemptions under the Prospectus Regulation, if they have been implemented in that Relevant Member State:</w:t>
      </w:r>
    </w:p>
    <w:p>
      <w:pPr>
        <w:spacing w:after="0" w:line="92" w:lineRule="exact"/>
        <w:rPr>
          <w:sz w:val="20"/>
          <w:szCs w:val="20"/>
          <w:color w:val="auto"/>
        </w:rPr>
      </w:pPr>
    </w:p>
    <w:p>
      <w:pPr>
        <w:ind w:left="1120" w:hanging="667"/>
        <w:spacing w:after="0"/>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120" w:right="160" w:hanging="667"/>
        <w:spacing w:after="0" w:line="277" w:lineRule="auto"/>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320" w:top="459" w:right="3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provided that no such offer of our common shares shall result in a requirement for the publication by us or any underwriter of a prospectus pursuant to Article 3 of the Prospectus Regulation.</w:t>
      </w:r>
    </w:p>
    <w:p>
      <w:pPr>
        <w:spacing w:after="0" w:line="170"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common shares in any Relevant Member State means the communication in any form and by any means of sufficient information on the terms of the offer and any of our common shares to be offered so as to enable an investor to decide to purchase any of our common shares, and the expression “Prospectus Regulation” means Regulation (EU) 2017/1129.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22"/>
        <w:spacing w:after="0" w:line="259"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our common shares in circumstances in which Section 21(1) of the FSMA does not apply to us; and</w:t>
      </w:r>
    </w:p>
    <w:p>
      <w:pPr>
        <w:spacing w:after="0" w:line="92" w:lineRule="exact"/>
        <w:rPr>
          <w:rFonts w:ascii="Arial" w:cs="Arial" w:eastAsia="Arial" w:hAnsi="Arial"/>
          <w:sz w:val="18"/>
          <w:szCs w:val="18"/>
          <w:color w:val="auto"/>
        </w:rPr>
      </w:pPr>
    </w:p>
    <w:p>
      <w:pPr>
        <w:ind w:left="1000" w:right="520" w:hanging="432"/>
        <w:spacing w:after="0" w:line="277"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of our common shares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sale or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our shares.</w:t>
      </w:r>
    </w:p>
    <w:p>
      <w:pPr>
        <w:spacing w:after="0" w:line="17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Accordingly, our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our shares. Our shares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“small number private placement” or a “small number private secondary distribution” (each as is described in Paragraph 4, Article 23-13 of the FIEL).</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Disclosure regarding any such solicitation, as is otherwise prescribed in Paragraph 1, Article 4 of the FIEL, has not been made in relation to our shares. Our shares may only be transferred en bloc without subdivision to a single investor.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320" w:top="459" w:right="3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transfer is by operation of law, (5) as specified in Section 276(7) of the SFA, or (6) as specified in Regulation 32 of the Securities and Futures (Offers of Investments) (Shares and Debentures) Regulations 2005 of Singapore, or Regulation 32.</w:t>
      </w:r>
    </w:p>
    <w:p>
      <w:pPr>
        <w:spacing w:after="0" w:line="170" w:lineRule="exact"/>
        <w:rPr>
          <w:sz w:val="20"/>
          <w:szCs w:val="20"/>
          <w:color w:val="auto"/>
        </w:rPr>
      </w:pPr>
    </w:p>
    <w:p>
      <w:pPr>
        <w:ind w:right="220" w:firstLine="449"/>
        <w:spacing w:after="0" w:line="286"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legal matters in connection with this offering relating to U.S. law will be passed upon for us by Cooley LLP, Boston, Massachusetts. The validity of the issuance of our common shares offered in this prospectus and certain other matters of Canadian law will be passed upon for us by Stikeman Elliott LLP, Montréal, Québec, Canada. Certain legal matters in connection with this offering will be passed upon for the underwriters by Goodwin Procter LLP, Boston, Massachusetts, with respect to U.S. law.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Repare Therapeutics Inc. at December 31, 2018 and 2019 and for each of the three years in the period ended December 31, 2019,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are incorporated under the laws of Canada. Substantially all of our assets are located outside the United States. In addition, several of our directors and officers are nationals and/or residents of countries other than the United States, and all or a substantial portion of such persons’ assets may be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 In addition, investors should not assume that the courts of Canada (i) would enforce judgments of U.S. courts obtained in actions against us, our officers or directors, or other said persons, predicated upon the civil liability provisions of the U.S. federal securities laws or other laws of the United States or (ii) would enforce, in original actions, liabilities against us or such directors, officers or experts predicated upon the United States federal securities laws or any securities or other laws of any state or jurisdiction of the United States.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there is doubt as to the applicability of the civil liability provisions of U.S. federal securities law to original actions instituted in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may be difficult for an investor, or any other person or entity, to assert U.S. securities laws claims in original actions instituted in Canada.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us and the common shares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on the website of the SEC referred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320" w:top="459" w:right="3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above. We also maintain a website at </w:t>
      </w:r>
      <w:r>
        <w:rPr>
          <w:rFonts w:ascii="Arial" w:cs="Arial" w:eastAsia="Arial" w:hAnsi="Arial"/>
          <w:sz w:val="17"/>
          <w:szCs w:val="17"/>
          <w:i w:val="1"/>
          <w:iCs w:val="1"/>
          <w:color w:val="auto"/>
        </w:rPr>
        <w:t>www.reparerx.com</w:t>
      </w:r>
      <w:r>
        <w:rPr>
          <w:rFonts w:ascii="Arial" w:cs="Arial" w:eastAsia="Arial" w:hAnsi="Arial"/>
          <w:sz w:val="17"/>
          <w:szCs w:val="17"/>
          <w:color w:val="auto"/>
        </w:rPr>
        <w:t>,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80"/>
          </w:cols>
          <w:pgMar w:left="320" w:top="459" w:right="3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78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Consolidated Balance Sheets as of December 31,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Consolidated Statements of Operations and Comprehensive Loss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2"/>
              </w:rPr>
            </w:pPr>
            <w:hyperlink w:anchor="page220">
              <w:r>
                <w:rPr>
                  <w:rFonts w:ascii="Arial" w:cs="Arial" w:eastAsia="Arial" w:hAnsi="Arial"/>
                  <w:sz w:val="18"/>
                  <w:szCs w:val="18"/>
                  <w:u w:val="single" w:color="auto"/>
                  <w:color w:val="0000EE"/>
                  <w:w w:val="92"/>
                </w:rPr>
                <w:t>Consolidated Statements of Convertible Preferred Shares and Shareholders’ Deficit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Consolidated Statements of Cash Flows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5"/>
        </w:trPr>
        <w:tc>
          <w:tcPr>
            <w:tcW w:w="31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1"/>
              </w:rPr>
              <w:t>Unaudited Interim Financial Statements</w:t>
            </w:r>
          </w:p>
        </w:tc>
        <w:tc>
          <w:tcPr>
            <w:tcW w:w="7660" w:type="dxa"/>
            <w:vAlign w:val="bottom"/>
            <w:gridSpan w:val="2"/>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gridSpan w:val="4"/>
            <w:vMerge w:val="continue"/>
          </w:tcPr>
          <w:p>
            <w:pPr>
              <w:spacing w:after="0"/>
              <w:rPr>
                <w:sz w:val="13"/>
                <w:szCs w:val="13"/>
                <w:color w:val="auto"/>
              </w:rPr>
            </w:pPr>
          </w:p>
        </w:tc>
        <w:tc>
          <w:tcPr>
            <w:tcW w:w="76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Condensed Consolidated Balance Sheets as of December 31, 2019 and March 31,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7"/>
              </w:rPr>
            </w:pPr>
            <w:hyperlink w:anchor="page251">
              <w:r>
                <w:rPr>
                  <w:rFonts w:ascii="Arial" w:cs="Arial" w:eastAsia="Arial" w:hAnsi="Arial"/>
                  <w:sz w:val="18"/>
                  <w:szCs w:val="18"/>
                  <w:u w:val="single" w:color="auto"/>
                  <w:color w:val="0000EE"/>
                  <w:w w:val="97"/>
                </w:rPr>
                <w:t>Condensed Consolidated Statements of Operations and Comprehensive Loss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190"/>
        </w:trPr>
        <w:tc>
          <w:tcPr>
            <w:tcW w:w="10780" w:type="dxa"/>
            <w:vAlign w:val="bottom"/>
            <w:gridSpan w:val="6"/>
          </w:tcPr>
          <w:p>
            <w:pPr>
              <w:spacing w:after="0" w:line="190"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Condensed Consolidated Statements of Convertible Preferred Shares and Shareholders’ Deficit for the three-month periods ended March 31, 2019</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52">
              <w:r>
                <w:rPr>
                  <w:rFonts w:ascii="Arial" w:cs="Arial" w:eastAsia="Arial" w:hAnsi="Arial"/>
                  <w:sz w:val="18"/>
                  <w:szCs w:val="18"/>
                  <w:color w:val="0000EE"/>
                  <w:w w:val="87"/>
                </w:rPr>
                <w:t>and 2020</w:t>
              </w:r>
            </w:hyperlink>
          </w:p>
        </w:tc>
        <w:tc>
          <w:tcPr>
            <w:tcW w:w="966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53">
              <w:r>
                <w:rPr>
                  <w:rFonts w:ascii="Arial" w:cs="Arial" w:eastAsia="Arial" w:hAnsi="Arial"/>
                  <w:sz w:val="18"/>
                  <w:szCs w:val="18"/>
                  <w:u w:val="single" w:color="auto"/>
                  <w:color w:val="0000EE"/>
                </w:rPr>
                <w:t>Condensed Consolidated Statements of Cash Flows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60" w:type="dxa"/>
            <w:vAlign w:val="bottom"/>
            <w:gridSpan w:val="2"/>
          </w:tcPr>
          <w:p>
            <w:pPr>
              <w:ind w:left="2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Repare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Repare Therapeutics Inc. (the “Company”) as of December 31, 2018 and 2019, the related consolidated statements of operations and comprehensive loss, convertible preferred shares and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each of the three years in the period ended December 31, 2019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Montréal,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2020</w:t>
      </w: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137"/>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Tranche obligation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A convertible Preferred Shares, no par value per share; unlimited shares authorized as of December 31, 2018 and 2019;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41,302,469 shares and 67,228,395 shares issued and outstanding as of December 31, 2018 and 2019,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and redemption value of $31,750 and $52,750 as of December 31, 2018 and 2019, respectively</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Shares, no par value per share; 0 shares and unlimited shares authorized as of December 31,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4"/>
              </w:rPr>
              <w:t>2018 and 2019, respectively; 0 shares and 63,458,580 shares issued and outstanding as of December 31, 2018 and 2019,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180"/>
              <w:spacing w:after="0"/>
              <w:rPr>
                <w:sz w:val="20"/>
                <w:szCs w:val="20"/>
                <w:color w:val="auto"/>
              </w:rPr>
            </w:pPr>
            <w:r>
              <w:rPr>
                <w:rFonts w:ascii="Arial" w:cs="Arial" w:eastAsia="Arial" w:hAnsi="Arial"/>
                <w:sz w:val="18"/>
                <w:szCs w:val="18"/>
                <w:color w:val="auto"/>
              </w:rPr>
              <w:t>respectively; liquidation and redemption value of $0 and $82,496 as of December 31, 2018 and 2019, respectively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135,997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shares, no par value per share; unlimited shares authorized as of December 31, 2018 and 2019; 9,265,000 shares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as of December 31, 2018, and 2019</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(49,941)</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(22,384)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4,401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9,906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(12,820)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(loss) gain on foreign exchange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9,229,658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7"/>
              </w:rPr>
              <w:t>9,265,000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9,265,000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w w:val="93"/>
              </w:rPr>
              <w:t>Pro forma net loss per share attributable to common shareholders—basic and diluted (unaudited)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95,722,801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24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3"/>
                <w:szCs w:val="13"/>
                <w:b w:val="1"/>
                <w:bCs w:val="1"/>
                <w:color w:val="auto"/>
              </w:rPr>
              <w:t>Convertible Preferred Shares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w w:val="96"/>
              </w:rPr>
              <w:t>Common 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000" w:type="dxa"/>
            <w:vAlign w:val="bottom"/>
            <w:tcBorders>
              <w:bottom w:val="single" w:sz="8" w:color="auto"/>
            </w:tcBorders>
            <w:gridSpan w:val="4"/>
          </w:tcPr>
          <w:p>
            <w:pPr>
              <w:ind w:left="500"/>
              <w:spacing w:after="0" w:line="129" w:lineRule="exact"/>
              <w:rPr>
                <w:sz w:val="20"/>
                <w:szCs w:val="20"/>
                <w:color w:val="auto"/>
              </w:rPr>
            </w:pPr>
            <w:r>
              <w:rPr>
                <w:rFonts w:ascii="Arial" w:cs="Arial" w:eastAsia="Arial" w:hAnsi="Arial"/>
                <w:sz w:val="13"/>
                <w:szCs w:val="13"/>
                <w:b w:val="1"/>
                <w:bCs w:val="1"/>
                <w:color w:val="auto"/>
                <w:w w:val="92"/>
              </w:rPr>
              <w:t>Series A</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Series B</w:t>
            </w:r>
          </w:p>
        </w:tc>
        <w:tc>
          <w:tcPr>
            <w:tcW w:w="4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Accumulated</w:t>
            </w:r>
          </w:p>
        </w:tc>
        <w:tc>
          <w:tcPr>
            <w:tcW w:w="6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82"/>
              </w:rPr>
              <w:t>Shares</w:t>
            </w:r>
          </w:p>
        </w:tc>
        <w:tc>
          <w:tcPr>
            <w:tcW w:w="5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8,665,000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A convertible Preferred Shares,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net of issuance costs of $42</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41,302,469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600,000</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(7,796)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2017</w:t>
            </w: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vMerge w:val="continue"/>
          </w:tcPr>
          <w:p>
            <w:pPr>
              <w:spacing w:after="0"/>
              <w:rPr>
                <w:sz w:val="17"/>
                <w:szCs w:val="17"/>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w w:val="89"/>
              </w:rPr>
              <w:t>41,302,469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(8,442)</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(14,283)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(14,283)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41,302,469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Issuance of Series A convertible Preferred Shares, net of</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25,925,926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auto"/>
              </w:rPr>
              <w:t>21,876</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Series A Tranche 3 termination</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B convertible Preferred Shares, net of</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$248</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63,458,580</w:t>
            </w: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(27,216)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67,228,395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53,749</w:t>
            </w:r>
          </w:p>
        </w:tc>
        <w:tc>
          <w:tcPr>
            <w:tcW w:w="8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63,458,580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(49,941)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loss and comprehensive loss for the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(7,796)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(27,216)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Shares tranche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(6,007)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(12,618)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Proceeds from issuance of Series B Preferred Shares,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(13,460)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24,389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and restricted cash at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to Series A Preferred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Right-of-use assets obtained in exchange for operating lease obligation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40" w:firstLine="8"/>
        <w:spacing w:after="0" w:line="378" w:lineRule="auto"/>
        <w:tabs>
          <w:tab w:leader="none" w:pos="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incomes and expenses are eliminated in full upon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share-based compensation and the measurement of the fair value of the Company’s Series A Preferred Share Tranche Obligation (as defined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320" w:top="459" w:right="3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3). Estimates are periodically reviewed in light of changes in circumstances, facts and experience. Changes in estimates are recorded in the period in which they become known. Actual results could differ from those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2018 and 2019, restricted cash consisted of $198 and $208, respectively, used to secure a letter of credit denominated in a foreign currency for the benefit of the landlord in connection with one of the Company’s lease agreements (Note 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The Company maintains deposits in accredited financial institutions which may periodically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exposure to foreign exchange risk is primarily related to fluctuations between the Canadian dollar and the USD. There are balances in Canadian dollars which are subject to foreign currency fluctuations relating to the impact of translating to USD for financial statement presentation.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and 2019, the Company had no significant off-balance sheet risk, such as foreign exchange contracts, option contracts or other foreign hedging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Comprehensive loss includes net loss as well as other changes in shareholders’ deficit that result from transactions and economic events other than those with shareholders. For each of the years ended December 31, 2017, 2018 and 2019, comprehensive loss was equal to net loss.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00" w:hanging="439"/>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320" w:top="459"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of the Company’s cash, restricted cash, other assets, accounts payable and accrued expenses and other current liabilities approximate their carrying values.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Company’s Series A Preferred Share Tranche Obligation liabilities are carried at fair value, determined according to Level 3 inputs in the fair value hierarchy described above. In January 2019, in connection with the closing of the second tranche of Series A Preferred Shares, the liability related to the Series A second tranche obligation was settled. In September 2019, in connection with the Company’s issuance and sale of Series B Preferred Shares, the liability related to the Series A third tranche obligation was terminated (Notes 3 and 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Category</w:t>
            </w:r>
          </w:p>
        </w:tc>
        <w:tc>
          <w:tcPr>
            <w:tcW w:w="2800" w:type="dxa"/>
            <w:vAlign w:val="bottom"/>
          </w:tcPr>
          <w:p>
            <w:pPr>
              <w:spacing w:after="0"/>
              <w:rPr>
                <w:sz w:val="16"/>
                <w:szCs w:val="16"/>
                <w:color w:val="auto"/>
              </w:rPr>
            </w:pPr>
          </w:p>
        </w:tc>
        <w:tc>
          <w:tcPr>
            <w:tcW w:w="6600" w:type="dxa"/>
            <w:vAlign w:val="bottom"/>
            <w:gridSpan w:val="2"/>
          </w:tcPr>
          <w:p>
            <w:pPr>
              <w:ind w:left="1940"/>
              <w:spacing w:after="0"/>
              <w:rPr>
                <w:sz w:val="20"/>
                <w:szCs w:val="20"/>
                <w:color w:val="auto"/>
              </w:rPr>
            </w:pPr>
            <w:r>
              <w:rPr>
                <w:rFonts w:ascii="Arial" w:cs="Arial" w:eastAsia="Arial" w:hAnsi="Arial"/>
                <w:sz w:val="14"/>
                <w:szCs w:val="14"/>
                <w:b w:val="1"/>
                <w:bCs w:val="1"/>
                <w:color w:val="auto"/>
              </w:rPr>
              <w:t>Estimated Useful Lives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94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 years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5 years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6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the shorter of the lease term and the useful life</w:t>
            </w:r>
          </w:p>
        </w:tc>
      </w:tr>
    </w:tbl>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Convertible Notes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elected the fair value option to account for its convertible notes issued during 2017 (the “Convertible Notes”). The Company recorded the Convertible Notes at fair value and subsequently remeasured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them to fair value at each reporting date. Changes in fair value were recognized as a component of other income (expense), net in the consolidated statements of operations and comprehensive loss. As a result of applying the fair value option, direct costs and fees related to the Convertible Notes were recognized in earnings as incurred and not deferred.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January 1, 2019, the Company elected to early adopt ASU No. 2016-02, Leases (Topic 842), (“ASU No. 2016-02” or “ASC 842”), using the modified retrospective approach and utilized the effective date as its date of initial application, with prior periods presented in accordance with the previous guidance under ASC 840, Leases (“ASC 840”).</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has elected not to recognize leases with an original term of one year or less on the consolidated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leases that existed prior to the date of initial application of ASC 842 (which were previously classified as operating leases), a lessee may elect to use either the total lease term measured at lease inception under ASC 840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w:t>
      </w:r>
    </w:p>
    <w:p>
      <w:pPr>
        <w:spacing w:after="0" w:line="2" w:lineRule="exact"/>
        <w:rPr>
          <w:sz w:val="20"/>
          <w:szCs w:val="20"/>
          <w:color w:val="auto"/>
        </w:rPr>
      </w:pPr>
    </w:p>
    <w:p>
      <w:pPr>
        <w:ind w:right="80" w:firstLine="8"/>
        <w:spacing w:after="0" w:line="252" w:lineRule="auto"/>
        <w:tabs>
          <w:tab w:leader="none" w:pos="2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 The Company’s collaborations primarily represent revenue arrangements. For the arrangements or arrangement components that are subject to revenue accounting guidance,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the Company’s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74"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and license agreements generally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the Company to benefit the collaboration partner. For performance obligations that include research and development services,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For a complete discussion of accounting for collaboration revenues, see Note 10. F-13</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fully-refundable research and development tax credits.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entered into various research and development contracts. The payments to these agreements are recorded as research and development expenses as incurred. The Company records accrued liabilities for estimated ongoing research costs. When evaluating the adequacy of the accrued liabilities, the Company analyzes progress of the studies, including the phase or completion of events, invoices received and contracted costs. Significant judgements and estimates are made in determining the accrued balances at the end of any reporting period.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all share-based awards granted to employees and non-employees as share-based compensation expense at fair value.</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engages an independent valuation firm to determine the fair value of the underlying common shares. The independent valuation firm uses valuation techniques and methods that comply with guidance provided by the American Institute of Certified Public Accountants in its Accounting &amp; Valuation Guide. Each valuation methodology includes estimates and assumptions that require the Company’s judgment. These estimates and assumptions include a number of objective and subjective factors in determining the value of the Company’s common shares at each grant date, including: (1) prices paid for the Company’s convertible preferred shares, which the Company has sold to outside investors in arm’s-length transactions, and the rights, preferences and privileges of the Company’s convertible preferred shares and common shares; (2) valuations performed by an independent valuation specialist; (3) the Company’s stage of development; (4) the fact that grants of share-based awards involved illiquid securities in a private company; and (5) the likelihood of achieving a liquidity event for the common shares underlying the share-based awards, such as an initial public offering or sale of the Company, given prevailing market conditions.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measurement date for employee and non-employee awards is the date of grant, and share-based compensation costs are recognized over the employees’ requisite service period, which is the vesting period, on a straight-line basis.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is no public market for its common shares,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companies. The Company expects to continue to do so until such time as it has adequate historical data regarding the volatility of its own traded share price.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Share-based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Convertible Preferred Shares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convertible preferred shares are classified outside of shareholders’ deficit because the holders of such shares have liquidation rights in the event of a deemed liquidation that, in certain situations, are not solely within the control of the Company. The Company records convertible preferred shares at fair value upon issuance, net of any issuance costs or discounts.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and Unaudited Pro Forma Loss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 securities outstanding during the period determined using the treasury-stock and if-converted methods. For purposes of the diluted net loss per share calculation, convertible preferred shares and stock options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Under this method, deferred tax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which modifies how all entities recognize revenue, and consolidates into one ASC (ASC 606) the current guidance found in ASC Topic 605, and various other revenue accounting standards for specialized transactions and industries. ASU No.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No. 2014-09 may be applied using either a full retrospective approach, under which all years included in the consolidated financial statements will be presented under the revised guidance, or a modified retrospective approach, under which consolidated financial statements will be prepared under the revised guidance for the year of adoption, but not for prior years. The Company elected to early adopt this pronouncement as of January 1, 2017. The adoption of ASU No. 2014-09 had no impact on its consolidated financial statements.</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2016, the FASB issued ASU No. 2016-02, which requires an entity to recognize assets and liabilities arising from a lease for both financing and operating leases on their balance sheet date. In July 2018,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 Additionally, in March 2019, the FASB issued ASU No. 2019-01, Leases (Topic 842): Codification Improvements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 The Company elected to early adopt Topic 842 on January 1, 2019 using a cumulative-effect adjustment on the effective date of the standard, for which comparative periods are presented in accordance with the previous guidance under ASC 840.</w:t>
      </w:r>
    </w:p>
    <w:p>
      <w:pPr>
        <w:spacing w:after="0" w:line="18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adopting ASC 842, the Company elected to utilize the available package of practical expedients permitted under the transition guidance within the new standard, which does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keep leases with a term of 12 months or less off its consolidated balance sheet.</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Adoption of this standard resulted in the recording of operating lease liabilities and right-of-use assets of $306 and $347, respectively, on the Company’s consolidated balance sheet on the effective date. The adoption of the standard did not have a material effect on the Company’s consolidated statements of operations and comprehensive loss, consolidated statements of cash flows or accumulated deficit. Refer to Note 7 for right-of-use asset and liabilities recorded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August 2016, the FASB issued ASU No. 2016-15, Statement of Cash Flows: Classification of Certain Cash Receipts and Cash Payments (“ASU</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2016-15”), to address diversity in practice in how certain cash receipts and cash payments are presented and classified in the consolidated statement of cash flows. The Company elected to early adopt ASU No. 2016-15 as of January 1, 2019. The adoption of ASU No. 2016-15 did not have a material impact on its consolidated financial statements.</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2016, FASB issued ASU No. 2016-18, Statements of Cash Flows (Topic 230): Restricted Cash (“ASU No. 2016-18”). The Amendments in ASU No.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 period total amounts shown on the statement of cash flows. The Company elected to early adopt ASU No. 2016-18 as of January 1, 2017. The adoption of ASU No. 2016-18 did not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No.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elected to early adopt ASU No. 2017-09 as of January 1, 2017. The adoption of ASU No. 2017-09 had no impact on its consolidated financial statements.</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2018, the FASB issued ASU No. 2018-07, which aligns the measurement and classification guidance for share-based payments to non-employees with that for employees, with certain exceptions. It expands the scope of ASC 718 to include share-based payments granted to non-employees in exchange for goods or services used or consumed in the entity’s own operations and supersedes the guidance in ASC 505-50. ASU No. 2018-07 retains the existing cost attribution guidance, which requires entities to recognize compensation cost for non-employee awards in the same period and in the same manner (i.e., capitalize or expense) they would if they paid cash for the goods or services, but it moves the guidance to ASC 718. The guidance also allows nonpublic entities to account for non-employee awards using certain practical expedients that are already available for employee awards, but the same accounting policies must be used for awards to both employees and non-employees. ASU No. 2018-07 is effective for fiscal years beginning after December 15, 2018, and interim periods within those fiscal years. Early adoption is permitted. The Company elected to early adopt ASU No. 2018-07 as of January 1, 2017. The adoption of ASU No. 2018-07 did not have an impact on the Company’s consolidated financial statements as the Company had not yet granted any non-employee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the FASB issued ASU No. 2019-12, Income Taxes-Simplifying the Accounting for Income Taxes (“ASU No. 2019-12”). ASU No. 2019-12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public entities, ASU No. 2019-12 is effective for annual periods beginning after December 15, 2020, including interim periods within. For all other entities, this pronouncement is effective for fiscal years beginning after December 15, 2021, including interim periods within fiscal years beginning after December 15, 2022. Early adoption is permitted for all entities. Adoption of the standard requires certain changes to be made prospectively, with some changes to be made retrospectively. The Company is currently assessing the impact of this standard on its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7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7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vMerge w:val="restart"/>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16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Observable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72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0"/>
              </w:rPr>
              <w:t>Assets (Level 1)</w:t>
            </w:r>
          </w:p>
        </w:tc>
        <w:tc>
          <w:tcPr>
            <w:tcW w:w="174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90"/>
        </w:trPr>
        <w:tc>
          <w:tcPr>
            <w:tcW w:w="5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Series A Preferred Share Tranche Obligation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there were no transfers between fair value measure levels. The Company’s Series A Preferred Share Tranche Obligation is carried at fair value measured using Level 3 inputs in the fair value hierarchy as described above. In connection with the Company’s issuance and sale of Series B Preferred Shares in September 2019, the Series A Preferred Share Tranche Obligation was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and liabilities carried at fair value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 Tranche Obligation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determined that its obligation to issue, and the Company’s investors’ obligation to purchase, additional Series A Preferred Shares at a fixed price (i.e., the issuance price) in subsequent tranches following the initial closing of the Series A Preferred Share financing represented a freestanding financial instrument, the Series A Preferred Share Tranche Obligation. The freestanding financial instrument was classified as an asset or liability on the Company’s consolidated balance sheets and initially recorded at fair value, with changes in fair value for each reporting period recognized in other income (expense), net in the consolidated statements of operations and comprehensive loss (Note 8).</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Company’s issuance of the Series A Preferred Shares in June 2017 (Note 8), the Company recognized the Series A Preferred Share Tranche Obligation at the initial fair value which was determined based on significant inputs not observable in the market, which represents a Level 3 measurement within the fair value hierarchy. The fair value of the obligation was estimated based on results of a third-party valuation. This obligation is remeasured prior to the issuance of subsequent tranches and at each subsequent reporting period. As such, the proceeds from the Series A Preferred Share financing were allocated between the Series A Preferred Share Tranche Obligation and Series A Preferred Shares using the residual method, with the Series A Preferred Share Tranche Obligation being recorded at its fair value and the Series A Preferred Shares at the residual value.</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tranche obligation is valued as a forward contract. The values were determined using a probability-weighted present value calculation. In determining the fair values of the tranche obligations, estimates and assumptions impacting fair value included the estimated future values of the Company’s Series A Preferred Shares, discount rates, estimated time to liquidity and probability of each tranche closing. The Company determined the per share future value of the Series A Preferred Shares by back-solving to the initial proceeds of the Series A Preferred Share financing. The Company remeasured each tranche obligation at each reporting period and prior to settlement. The following reflects the significant quantitative inputs used in the valuation of the Series A Preferred Share Tranche Obligation:</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future value of Series A Preferred Shares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0.80</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Discount rate</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(years)</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Probability of tranche closing</w:t>
            </w:r>
          </w:p>
        </w:tc>
        <w:tc>
          <w:tcPr>
            <w:tcW w:w="1660" w:type="dxa"/>
            <w:vAlign w:val="bottom"/>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90% –</w:t>
            </w:r>
          </w:p>
        </w:tc>
        <w:tc>
          <w:tcPr>
            <w:tcW w:w="980" w:type="dxa"/>
            <w:vAlign w:val="bottom"/>
          </w:tcPr>
          <w:p>
            <w:pPr>
              <w:spacing w:after="0"/>
              <w:rPr>
                <w:sz w:val="17"/>
                <w:szCs w:val="17"/>
                <w:color w:val="auto"/>
              </w:rPr>
            </w:pP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90% –</w:t>
            </w:r>
          </w:p>
        </w:tc>
      </w:tr>
      <w:tr>
        <w:trPr>
          <w:trHeight w:val="230"/>
        </w:trPr>
        <w:tc>
          <w:tcPr>
            <w:tcW w:w="5360" w:type="dxa"/>
            <w:vAlign w:val="bottom"/>
          </w:tcPr>
          <w:p>
            <w:pPr>
              <w:spacing w:after="0"/>
              <w:rPr>
                <w:sz w:val="20"/>
                <w:szCs w:val="20"/>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change in the assumptions related to the valuation of the Series A Preferred Share Tranche Obligation could have a significant impact on the value of the obligation.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recorded other income of $180 and other expense of $1,130 and $1,350 for changes in the fair value of the Series A Preferred Share Tranche Obligation in the consolidated statements of operations and comprehensive loss for the years ended December 31, 2017, 2018 and 2019,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elected the fair value option to account for its Convertible Notes issued during 2016 and 2017. The fair value of the Convertible Notes was determined based on significant inputs not observable in the market, which represents a Level 3 measurement within the fair value hierarchy.</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the fair value of the Convertible Notes based on the proceeds received for the Convertible Notes, the terms of the Convertible Notes, including the rate at which the notes convert into qualified equity financing securities, the probability and timing of a qualified equity financing and the fair value of the underlying preferred shares. Estimates and assumptions impacting the fair value measurement include the probability of a qualified equity financing as defined in the convertible notes agreement, the expected timing of such event and the then fair value of the Company’s Series A Preferred Shares. The Company estimated the probability and timing of the qualified equity financing based on management’s assumptions and knowledge of specified events at issuance and as of each reporting date. The Company determined the fair value per share of the Series A Preferred Shares as described above.</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2017, in connection with the Company’s issuance and sale of Series A Preferred Shares, the outstanding principal under the Convertible Notes was automatically converted into shares of Series A Preferred Shares and the Convertible Notes liability was extinguished. The Company recorded other expense of $1,615 for changes in the fair value of the Convertible Notes in the consolidated statements of operations and comprehensive loss for the year ended December 31,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roll forward of the aggregate fair value of the Company’s Series A Preferred Share Tranche Obligation and Convertible Notes, for which fair value was determined using Level 3 inputs:</w:t>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Balance as of January 1, 2017</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Issuance of obligation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Change in fair value plus accrued interest</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Settlement of obligation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Accrued interest to accounts payable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Series A</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Preferred Share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Convertible Notes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Tranche Obligation</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1,540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-693420</wp:posOffset>
            </wp:positionV>
            <wp:extent cx="5417820" cy="146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17820" cy="14605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-410845</wp:posOffset>
            </wp:positionV>
            <wp:extent cx="54178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-136525</wp:posOffset>
            </wp:positionV>
            <wp:extent cx="54178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20"/>
          </w:cols>
          <w:pgMar w:left="320" w:top="459" w:right="399" w:bottom="1440" w:gutter="0" w:footer="0" w:header="0"/>
          <w:type w:val="continuous"/>
        </w:sectPr>
      </w:pPr>
    </w:p>
    <w:tbl>
      <w:tblPr>
        <w:tblLayout w:type="fixed"/>
        <w:tblInd w:w="1360" w:type="dxa"/>
        <w:tblCellMar>
          <w:top w:w="0" w:type="dxa"/>
          <w:left w:w="0" w:type="dxa"/>
          <w:bottom w:w="0" w:type="dxa"/>
          <w:right w:w="0" w:type="dxa"/>
        </w:tblCellMar>
      </w:tblP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220" w:type="dxa"/>
            <w:vAlign w:val="bottom"/>
            <w:gridSpan w:val="2"/>
          </w:tcPr>
          <w:p>
            <w:pPr>
              <w:jc w:val="right"/>
              <w:ind w:right="269"/>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1,360</w:t>
            </w:r>
          </w:p>
        </w:tc>
        <w:tc>
          <w:tcPr>
            <w:tcW w:w="90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Tranche 2 settlement of obligation</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(880)</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Tranche 3 termination</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(2,960)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220" w:type="dxa"/>
            <w:vAlign w:val="bottom"/>
            <w:gridSpan w:val="2"/>
          </w:tcPr>
          <w:p>
            <w:pPr>
              <w:jc w:val="right"/>
              <w:ind w:right="1109"/>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2,142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3,486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(1,096)</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2,390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recognized depreciation expense of $102, of which $95 was included in research and development expense and $7 was included in general and administrative expense, $407, of which $380 was included in research and development expense and $27 was included in general and administrative expense, and $606, of which $539 was included in research and development expense and $67 was included in general and administrative expense,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r>
      <w:tr>
        <w:trPr>
          <w:trHeight w:val="20"/>
        </w:trPr>
        <w:tc>
          <w:tcPr>
            <w:tcW w:w="5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$6,713 in the aggregate upon 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potential future milestone or royalty payment amounts have not been accrued at December 31, 2019 due to the uncertainty related to the successful achievement of these milestones.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459" w:right="3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historically entered into lease arrangements for its facilities and certain equipment. As of December 31, 2019, the Company had three operating leases with required future minimum payments. In applying the transition guidance under ASC 842, the Company determined the classifications of these leases to be operating leases and recorded right-of-use assets and leases liabilities as of the effective date. The Company’s leases generally do not include termination or purchase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2017, the Company entered into a lease agreement for office and laboratory space in Montreal, Quebec, for a four-year term, ending in July 2021. As required under the terms of the lease agreement, the lease requires a standby letter of credit in the amount of $208, which remains unused as of December 31, 2019.</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November 2017, and further amended in April 2018, January 2019 and August 2019, the Company entered into a lease agreement for office and laboratory space located in Montreal, Quebec, for a three-year term ending in October 2020 with the option to extend through October 2022.</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and further amended in August 2019, the Company entered into a lease agreement for office space in Cambridge, Massachusetts, for a two-year term, ending in May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the Company entered into a lease agreement for office and laboratory space located in Montreal, Quebec that has not commenced as of December 31, 2019. As required under the terms of the lease agreement, the Company had prepaid rent of $522 as of December 31, 2019 and a commitment to prepay an additional $522 prior to lease commencement, which the current portion was accounted for within prepaid expenses and other current assets and the long-term portion was accounted for within other assets.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 ended December 31, 2019:</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700" w:type="dxa"/>
            <w:vAlign w:val="bottom"/>
          </w:tcPr>
          <w:p>
            <w:pPr>
              <w:spacing w:after="0"/>
              <w:rPr>
                <w:sz w:val="14"/>
                <w:szCs w:val="14"/>
                <w:color w:val="auto"/>
              </w:rPr>
            </w:pPr>
          </w:p>
        </w:tc>
        <w:tc>
          <w:tcPr>
            <w:tcW w:w="172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1440" w:type="dxa"/>
            <w:vAlign w:val="bottom"/>
            <w:gridSpan w:val="4"/>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700" w:type="dxa"/>
            <w:vAlign w:val="bottom"/>
          </w:tcPr>
          <w:p>
            <w:pPr>
              <w:spacing w:after="0"/>
              <w:rPr>
                <w:sz w:val="24"/>
                <w:szCs w:val="24"/>
                <w:color w:val="auto"/>
              </w:rPr>
            </w:pPr>
          </w:p>
        </w:tc>
        <w:tc>
          <w:tcPr>
            <w:tcW w:w="19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44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obligations</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Weighted-average remaining lease term</w:t>
            </w:r>
          </w:p>
        </w:tc>
        <w:tc>
          <w:tcPr>
            <w:tcW w:w="88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color w:val="auto"/>
                <w:w w:val="97"/>
              </w:rPr>
              <w:t>1.79 years</w:t>
            </w: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7.6%</w:t>
            </w:r>
          </w:p>
        </w:tc>
        <w:tc>
          <w:tcPr>
            <w:tcW w:w="40" w:type="dxa"/>
            <w:vAlign w:val="bottom"/>
            <w:shd w:val="clear" w:color="auto" w:fill="CCEEFF"/>
          </w:tcPr>
          <w:p>
            <w:pPr>
              <w:spacing w:after="0"/>
              <w:rPr>
                <w:sz w:val="18"/>
                <w:szCs w:val="18"/>
                <w:color w:val="auto"/>
              </w:rPr>
            </w:pPr>
          </w:p>
        </w:tc>
      </w:tr>
      <w:tr>
        <w:trPr>
          <w:trHeight w:val="365"/>
        </w:trPr>
        <w:tc>
          <w:tcPr>
            <w:tcW w:w="5700" w:type="dxa"/>
            <w:vAlign w:val="bottom"/>
          </w:tcPr>
          <w:p>
            <w:pPr>
              <w:ind w:left="364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variable lease costs for the year ended December 31, 2019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leases as of December 31, 2019 were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Maturity of Lease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table above excludes $3,222 of legally binding minimum lease payments for the lease in Montreal, Quebec that has been executed but not yet commenced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future minimum lease payments under the Company’s lease obligations under ASC 840 were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5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Shares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June 2017, the Company authorized the issuance of an unlimited number of Series A Preferred Shares with no par value in connection with the sale and issuance of up to 80,246,915 Series A Preferred Shares. The Series A Preferred Share financing was structured to close in three tranches, each contingent upon the achievement of certain specified milestones.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2017, in connection with the closing of the first tranche of Series A Preferred Shares, the Company issued 35,802,469 Series A Preferred Shares at $0.81 per share for total proceeds of $28,958, net of issuance costs of $42 and converted previously issued and outstanding Convertible Notes amounting to $4,455 issued in October 2016 and April 2017 into 5,500,000 Series A Preferred Shares. The terms included the obligation of the investors to purchase, and the Company to sell, up to 44,444,445 additional Series A Preferred Shares contingent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achievement of certain specified milestones. The Company concluded that the obligation and right to make future issuances of Series A Preferred Shares met the definition of a freestanding financial instrument, as the rights were legally detachable from the Series A Preferred Shares (Note 3). In January 2019, in connection with the closing of the second tranche of Series A Preferred Shares, the Company issued 25,925,926 Series A Preferred Shares at $0.81 per share for total gross proceeds of $21,000, and the liability related to the Series A second tranche obligation was settled and recognized at fair value as Series A Preferred Shares.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2019, the Company authorized the issuance of an unlimited number of Series B Preferred Shares with no par value. In September 2019, the Company issued 63,458,580 Series B Preferred Shares to existing and new investors at $1.30 per share for total proceeds of $82,496. In connection with the issuance and sale of Series B Preferred Shares, the Series A third tranche obligation liability was terminated and recognized as additional paid-in-capital.</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carrying value of the Series A Preferred Shares is based on the net proceeds received at initial issuance net of the fair value of the Series A Preferred Share Tranche Obligation. At issuance of the first and second tranches, no beneficial conversion features were present. The carrying value of the Series B Preferred Shares is based on the net proceeds received. At initial issuance, no beneficial conversion features were present.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preferred shares consisted of the following in the table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Liquidation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Liquidation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12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Liquidation</w:t>
            </w: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63,458,580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82,248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63,458,580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130,686,975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135,246</w:t>
            </w:r>
          </w:p>
        </w:tc>
        <w:tc>
          <w:tcPr>
            <w:tcW w:w="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130,686,975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rights and privileges of the holders of the preferred shares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holders of preferred shares are entitled to vote, together with the holders of common shares, on all matters submitted to the shareholders for a vote and are entitled to the number of votes equal to the number of whole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320" w:top="459" w:right="3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common shares into which the preferred shares held by such holders could convert on the record date for determination of shareholders entitled to vote. Except for meetings at which only holders of another specified class are entitled to vote, the holders of preferred shares shall vote together with the holders of common shares and vote as a single class.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holders of the preferred shares are entitled to receive, prior and in preference to any dividends on any other common shares of the Company, noncumulative dividends of 8% per annum of the sum of the preferred shares issuance price and all declared but unpaid dividends accrued thereon only when and if declared by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preferred shares were convertible into common shares on a one-to-one basis.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preferred share is convertible into common shares, at any time, at the option of the holder, and without the payment of additional consideration, at the applicable conversion ratio in effect for preferred shares, which is initially one-to-one and subject to adjustment for certain anti-dilutive events. In addition, each preferred share will be automatically converted into common shares at the applicable conversion ratio in effect for preferred shares upon either (i) the closing of a qualified initial public offering of its common shares at a price per share of at least $2.60 per share (subject to adjustment for any share split, combination or dividend or distribution payable) resulting in $50,000 or more in gross proceeds to the Company, or (ii) the election to convert the preferred shares by at least 70% of the holders of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event of any liquidation, dissolution or winding-up of the affairs of the Company, or unless waived by 70% of the holders of preferred shares, a sale of the Company that results in a change of control or a sale of substantially all of the Company’s assets or intellectual property, the holders of preferred shares are entitled to be paid, in priority to the holders of any other class of shares, a liquidation preference equal to the aggregate of all accrued but unpaid dividends on the preferred shares. After satisfying the liquidation preference, the holders of record of preferred shares shall be entitled to receive ratably with the holders of common shares the residual assets of the Company on an as-converted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authorized capital shares of the Company was unlimited with no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historical common share transactions of the Company from its incorporation through December 31, 2019:</w:t>
      </w:r>
    </w:p>
    <w:p>
      <w:pPr>
        <w:spacing w:after="0" w:line="131" w:lineRule="exact"/>
        <w:rPr>
          <w:sz w:val="20"/>
          <w:szCs w:val="20"/>
          <w:color w:val="auto"/>
        </w:rPr>
      </w:pPr>
    </w:p>
    <w:p>
      <w:pPr>
        <w:ind w:left="1000" w:hanging="439"/>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2016, the Company issued 8,300,000 common shares for total proceeds of $1.</w:t>
      </w:r>
    </w:p>
    <w:p>
      <w:pPr>
        <w:spacing w:after="0" w:line="130" w:lineRule="exact"/>
        <w:rPr>
          <w:rFonts w:ascii="Arial" w:cs="Arial" w:eastAsia="Arial" w:hAnsi="Arial"/>
          <w:sz w:val="18"/>
          <w:szCs w:val="18"/>
          <w:color w:val="auto"/>
        </w:rPr>
      </w:pPr>
    </w:p>
    <w:p>
      <w:pPr>
        <w:ind w:left="1000" w:right="380" w:hanging="439"/>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2016, the Company issued 365,000 common shares in exchange for the license of certain intellectual property, which was recorded as research and development expense upon issuance.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2017, the Company issued 600,000 common shares in exchange of no consideration.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320" w:top="459" w:right="3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common share entitles the holder to one vote, together with the holders of Series A Preferred Shares, on all matters submitted to the shareholders for a vote. The holders of common shares are entitled to receive dividends, as may be declared by the board of directors, if any, subject to the preferential dividend rights of convertible preferred shares. Through December 31, 2019, no cash dividends have been declared or paid.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2018 and 2019, the Company has reserved common shares for the potential conversion of outstanding Series A Preferred Shares, Series B Preferred Shares and exercise of stock options in the table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3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63,458,580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4,987,000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5,500,208</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21,248,158</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46,289,469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46,802,677</w:t>
            </w:r>
          </w:p>
        </w:tc>
        <w:tc>
          <w:tcPr>
            <w:tcW w:w="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151,935,133</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2019, the Company entered into a research services, license and collaboration agreement (the “Ono Agreement”) with Ono Pharmaceutical Co., Ltd. (“Ono”), a Japanese pharmaceutical company, pursuant to which the Company and Ono have agreed to collaborate in the research of potential product candidates targeting Polq and the development of the Company’s small molecule Polq inhibitor program. The Company is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elects to collaborate on the subsequent development and commercialization of the proposed product candidate, Ono will be then responsible for such activities in Japan, South Korea, Taiwan, Hong-Kong, Macau and the Association of Southeast Asian Nations (collectively, the “Ono territory”), and the Company will be responsible for all such activities in the rest of the world outside the Ono territory, including the United States, Canada and European Union.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terms of the Ono Agreement, the Company received non-refundable upfront payments of ¥900,000 ($8,142), consisting of an initial upfront fee payment of ¥110 million ($995) and an initial upfront research service payment of ¥790 million ($7,147). Additionally, in connection with the research activities to be conducted pursuant to the Ono Agreement, the Company is eligible to receive additional research service payments of up to an aggregate of ¥750,000 ($6,878) upon the occurrence of certain specified research triggers. The Company is also entitled to receive clinical, regulatory and commercial milestone payments of up to ¥17,210,000 ($157,818) in the aggregate, plus a tiered percentage royalty on annual net sales in Ono’s Territory ranging from high-single digits to low teens, subject to certain specified reductions. All future milestone payments and royalties are payable in USD. Additionally, upon election by Ono to collaborate on the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Polq and associated research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determined that the transaction price at the onset of the arrangement is the total upfront payments received in the aggregate amount of $8,142 which is recorded as deferred revenue as of December 31, 2019. The future milestone payments represent variable consideration that is fully constrained at inception of the arrangement as the achievement of the milestone events are highly uncertain. The Company will reevaluate the likelihood of achievement of the milestones at the end of each reporting period and as uncertain events are resolved or other changes in circumstances occur, and, if necessary, adjust its estimate of the transaction price.</w:t>
      </w:r>
    </w:p>
    <w:p>
      <w:pPr>
        <w:spacing w:after="0" w:line="292" w:lineRule="exact"/>
        <w:rPr>
          <w:sz w:val="20"/>
          <w:szCs w:val="20"/>
          <w:color w:val="auto"/>
        </w:rPr>
      </w:pPr>
    </w:p>
    <w:p>
      <w:pPr>
        <w:ind w:right="8860" w:firstLine="8"/>
        <w:spacing w:after="0" w:line="378" w:lineRule="auto"/>
        <w:tabs>
          <w:tab w:leader="none" w:pos="2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Option Plan</w:t>
      </w:r>
    </w:p>
    <w:p>
      <w:pPr>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24,697,408 shares of the Company’s common shares to be issued. At December 31, 2019, there were 3,449,250 shares available for future grant under the Option Plan.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Option Plan is administered by the board of directors. The exercise prices, vesting and other restrictions are determined by the board of directors, except that the exercise price per share of stock option may not be less than 100% of the fair value of the common share on the date of grant. Stock options awarded under the Option Plan expire 10 years after the grant and generally have vesting conditions of 25% on the first anniversary of the date of grant and 75% on a monthly basis at a rate of 1/36</w:t>
      </w:r>
      <w:r>
        <w:rPr>
          <w:rFonts w:ascii="Arial" w:cs="Arial" w:eastAsia="Arial" w:hAnsi="Arial"/>
          <w:sz w:val="15"/>
          <w:szCs w:val="15"/>
          <w:color w:val="auto"/>
        </w:rPr>
        <w:t>th</w:t>
      </w:r>
      <w:r>
        <w:rPr>
          <w:rFonts w:ascii="Arial" w:cs="Arial" w:eastAsia="Arial" w:hAnsi="Arial"/>
          <w:sz w:val="18"/>
          <w:szCs w:val="18"/>
          <w:color w:val="auto"/>
        </w:rPr>
        <w:t xml:space="preserve"> unless otherwise decided by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16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80" w:type="dxa"/>
            <w:vAlign w:val="bottom"/>
            <w:gridSpan w:val="3"/>
          </w:tcPr>
          <w:p>
            <w:pPr>
              <w:jc w:val="right"/>
              <w:ind w:right="460"/>
              <w:spacing w:after="0"/>
              <w:rPr>
                <w:sz w:val="20"/>
                <w:szCs w:val="20"/>
                <w:color w:val="auto"/>
              </w:rPr>
            </w:pPr>
            <w:r>
              <w:rPr>
                <w:rFonts w:ascii="Arial" w:cs="Arial" w:eastAsia="Arial" w:hAnsi="Arial"/>
                <w:sz w:val="18"/>
                <w:szCs w:val="18"/>
                <w:color w:val="auto"/>
              </w:rPr>
              <w:t>6.08</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67.77%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67.32%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71.41%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80" w:type="dxa"/>
            <w:vAlign w:val="bottom"/>
            <w:gridSpan w:val="3"/>
          </w:tcPr>
          <w:p>
            <w:pPr>
              <w:jc w:val="right"/>
              <w:ind w:right="32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3160" w:type="dxa"/>
            <w:vAlign w:val="bottom"/>
          </w:tcPr>
          <w:p>
            <w:pPr>
              <w:spacing w:after="0"/>
              <w:rPr>
                <w:sz w:val="24"/>
                <w:szCs w:val="24"/>
                <w:color w:val="auto"/>
              </w:rPr>
            </w:pPr>
          </w:p>
        </w:tc>
        <w:tc>
          <w:tcPr>
            <w:tcW w:w="4680" w:type="dxa"/>
            <w:vAlign w:val="bottom"/>
            <w:gridSpan w:val="3"/>
          </w:tcPr>
          <w:p>
            <w:pPr>
              <w:jc w:val="right"/>
              <w:ind w:right="296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Weighted-</w:t>
            </w:r>
          </w:p>
        </w:tc>
        <w:tc>
          <w:tcPr>
            <w:tcW w:w="17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2"/>
              </w:rPr>
              <w:t>Weighted-Average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Exercise Price</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580" w:type="dxa"/>
            <w:vAlign w:val="bottom"/>
            <w:gridSpan w:val="4"/>
          </w:tcPr>
          <w:p>
            <w:pPr>
              <w:ind w:left="6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4,987,000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(62,792)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5,500,208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0.36</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16,737,450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(989,500)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21,248,158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8.47</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1,833,744</w:t>
            </w: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Options unvested as of December 31, 2018</w:t>
            </w:r>
          </w:p>
        </w:tc>
        <w:tc>
          <w:tcPr>
            <w:tcW w:w="860" w:type="dxa"/>
            <w:vAlign w:val="bottom"/>
          </w:tcPr>
          <w:p>
            <w:pPr>
              <w:jc w:val="right"/>
              <w:spacing w:after="0"/>
              <w:rPr>
                <w:sz w:val="20"/>
                <w:szCs w:val="20"/>
                <w:color w:val="auto"/>
              </w:rPr>
            </w:pPr>
            <w:r>
              <w:rPr>
                <w:rFonts w:ascii="Arial" w:cs="Arial" w:eastAsia="Arial" w:hAnsi="Arial"/>
                <w:sz w:val="18"/>
                <w:szCs w:val="18"/>
                <w:color w:val="auto"/>
              </w:rPr>
              <w:t>3,656,256</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17,543,158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grant date fair value of the Company’s stock options granted during the years ended December 31, 2017, 2018 and 2019 was $0.17, $0.22 and $0.21,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2017, 2018 and 2019 was $0, $314 and $284,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80" w:type="dxa"/>
            <w:vAlign w:val="bottom"/>
            <w:gridSpan w:val="2"/>
          </w:tcPr>
          <w:p>
            <w:pPr>
              <w:jc w:val="right"/>
              <w:ind w:right="133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2017, 2018 and 2019, there was $814, $625 and $3,557 of unrecognized share-based compensation expense related to unvested stock options, respectively. The unrecognized share-based compensation expense is expected to be recognized over a weighted-average remaining vesting period of 3.5, 2.6 and 3.2 years at December 31, 2017,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the provision for income taxes for the years ended December 31, 2017, 2018 and 2019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$(7,208)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(27,355)</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2960" w:type="dxa"/>
            <w:vAlign w:val="bottom"/>
          </w:tcPr>
          <w:p>
            <w:pPr>
              <w:spacing w:after="0"/>
              <w:rPr>
                <w:sz w:val="18"/>
                <w:szCs w:val="18"/>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7"/>
        </w:trPr>
        <w:tc>
          <w:tcPr>
            <w:tcW w:w="3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(27,021)</w:t>
            </w:r>
          </w:p>
        </w:tc>
      </w:tr>
      <w:tr>
        <w:trPr>
          <w:trHeight w:val="20"/>
        </w:trPr>
        <w:tc>
          <w:tcPr>
            <w:tcW w:w="3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between tax expense and the product of accounting income multiplied by the statutory income tax rate for years ended December 31, 2017, 2018 and 2019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(7,796)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(14,248)</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Computed income tax recovery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Effect on income tax resulting from:</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 investment tax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Accounting charges not deductible for tax purposes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2019, the Company had tax losses of approximately $31,481, which are available to offset future taxable income in Canada. The Company has not recognized the tax benefit of these losses. These losses expire as follows: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2039</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$ 19,550</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2038</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6,460</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2037</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2036</w:t>
            </w:r>
          </w:p>
        </w:tc>
        <w:tc>
          <w:tcPr>
            <w:tcW w:w="3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r>
      <w:tr>
        <w:trPr>
          <w:trHeight w:val="216"/>
        </w:trPr>
        <w:tc>
          <w:tcPr>
            <w:tcW w:w="3820" w:type="dxa"/>
            <w:vAlign w:val="bottom"/>
            <w:shd w:val="clear" w:color="auto" w:fill="CCEEFF"/>
          </w:tcPr>
          <w:p>
            <w:pPr>
              <w:jc w:val="right"/>
              <w:ind w:right="3010"/>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$ 31,481</w:t>
            </w:r>
          </w:p>
        </w:tc>
        <w:tc>
          <w:tcPr>
            <w:tcW w:w="6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December 31, 2019, the Company had Scientific Research and Experimental Development (“SR&amp;ED”) expenditures of approximately $15,829, respectively, for Canadian federal and Quebec purposes, which have not been deducted. These expenditures are available to reduce future taxable income and have an unlimited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carryforward period. SR&amp;ED expenditures are subject to verification by the tax authorities and, accordingly, the amounts may vary.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2019, the Company had non-refundable Canadian federal investment tax credits of approximately $2,553, which may be utilized to reduce Canadian federal income taxes payable. The Company has not recognized the tax benefits related to the non-refundable investment tax credits. The investment tax credits expire as follows: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2038</w:t>
            </w: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6"/>
        </w:trPr>
        <w:tc>
          <w:tcPr>
            <w:tcW w:w="700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for the years ended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research and development expenditures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federal investment tax credits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basis of property and equipment in excess of carrying values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expense and other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7"/>
        </w:trPr>
        <w:tc>
          <w:tcPr>
            <w:tcW w:w="5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5,810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14,557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(5,810)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(14,425)</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0"/>
        </w:trPr>
        <w:tc>
          <w:tcPr>
            <w:tcW w:w="5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2016, 2017, 2018 and 2019 due to unexpired statute of limitation periods.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information is available. As of December 31, 2018 and 2019, no uncertain tax positions have been recorded in the consolidated financial statements.</w:t>
      </w:r>
    </w:p>
    <w:p>
      <w:pPr>
        <w:spacing w:after="0" w:line="23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and comprehensive loss. As of December 31, 2018 and 2019, no accrued interest or penalties are included on the related tax liability line in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outstanding—basic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9,229,658</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9,265,000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9,265,000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stock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08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38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67,228,395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w w:val="95"/>
              </w:rPr>
              <w:t>63,458,580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4,987,000</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5,500,208</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21,248,158</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400" w:type="dxa"/>
            <w:vAlign w:val="bottom"/>
          </w:tcPr>
          <w:p>
            <w:pPr>
              <w:spacing w:after="0"/>
              <w:rPr>
                <w:sz w:val="14"/>
                <w:szCs w:val="14"/>
                <w:color w:val="auto"/>
              </w:rPr>
            </w:pPr>
          </w:p>
        </w:tc>
        <w:tc>
          <w:tcPr>
            <w:tcW w:w="102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(27,216)</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Reversal of the change in fair value of the Series A Tranche Obligation due to the automatic conversion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convertible preferred shares to common shares upon 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9,265,000</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 forma adjustment to reflect automatic conversion of convertible preferred shares to common shares upon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86,457,801</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95,722,801</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Government Assistance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incurred research and development expenditures which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for an amount of $162, $330 and $566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25, 2019, the Company entered into an agreement with The Broad Institute, Inc. (“Broad”). Broad will perform specialty screening services at the Company’s request over the course of a three-year term. In exchange for the specialty screening services, the Company will pay Broad $500 per year, beginning on February 25, 2019, for a total of $1,500.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commitments for the Broad and other agreements as of December 31, 2019 are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20" w:type="dxa"/>
            <w:vAlign w:val="bottom"/>
            <w:gridSpan w:val="2"/>
          </w:tcPr>
          <w:p>
            <w:pPr>
              <w:jc w:val="right"/>
              <w:ind w:right="3107"/>
              <w:spacing w:after="0"/>
              <w:rPr>
                <w:sz w:val="20"/>
                <w:szCs w:val="20"/>
                <w:color w:val="auto"/>
              </w:rPr>
            </w:pPr>
            <w:r>
              <w:rPr>
                <w:rFonts w:ascii="Arial" w:cs="Arial" w:eastAsia="Arial" w:hAnsi="Arial"/>
                <w:sz w:val="18"/>
                <w:szCs w:val="18"/>
                <w:color w:val="auto"/>
              </w:rPr>
              <w:t>F-32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Currency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USD.</w:t>
      </w:r>
    </w:p>
    <w:p>
      <w:pPr>
        <w:spacing w:after="0" w:line="14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incurs a portion of its expenses in Canadian dollars, as well as other currencies to a lesser extent. A change in the currency exchange rates between the USD relative to the Canadian dollar could have a significant effect on the Company’s results of operations, financial position or cash flows. The Company does not enter into arrangements to hedge its currency risk exposure, although it maintains expected Canadian dollar cash requirements in Canadian dollars to form a natural hedge.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exposed to currency risk through its cash, research and development tax credits receivable, other receivables, accounts payable and accrued expenses and other current liabilities denominated in Canadian dollars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$29,983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receivable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receivables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6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financial position exposure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32,913</w:t>
            </w:r>
          </w:p>
        </w:tc>
      </w:tr>
      <w:tr>
        <w:trPr>
          <w:trHeight w:val="20"/>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above net exposure at December 31, 2019, and assuming that all other variables remain constant, a 10% depreciation of the USD against the Canadian dollar would result in an increase of $2,304 in the Company’s net loss for the year ended December 31, 2019.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also exposed to currency risk through the Ono Agreement as future payments receivable under its collaboration with Ono,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Details of transactions between the Company and other related parties are disclosed below and in other notes according to the nature of the transactions. All transactions are measured at the exchange amount, which is the amount of consideration determined and agreed to by the related parties.</w:t>
      </w:r>
    </w:p>
    <w:p>
      <w:pPr>
        <w:spacing w:after="0" w:line="12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years ended December 31, 2017, 2018 and 2019, the Company recorded expenses of $0, $322 and $1,271, respectively, for research services and rent paid by the Company to entities affiliated with a shareholder. As of December 31, 2017, 2018 and 2019, there was a total of $0, $122 and $170, respectively, in accounts payable and accrued expenses and other current liabilities owed to an entity affiliated with a shareholder.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459" w:right="3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net by location as of December 31, 2018 and 2019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The Company’s right-of-use assets by location were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up to April 3, 2020, the date that the consolidated financial statements were available to be issued.</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first quarter of 2020, an aggregate of 1,099,166 options were exercised at a weighted average exercise price of $0.30 per share, for aggregate proceeds of $324.</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2, 2020, the board of directors of the Company authorized the issuance of an aggregate of 1,137,500 stock options to employees, at an exercise price of $0.85 per share.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2020, the Company executed a strategic collaboration with The University of Texas M. D. Anderson Cancer Center (“MDACC”), a comprehensive cancer research, treatment and prevention center. The collaboration will consist of preclinical and clinical studies designed by the Company and MDACC with the research completed by MDACC. The Company has agreed to commit a total of $10,000 in funding for the performance of the study over a period of five years.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00"/>
          </w:cols>
          <w:pgMar w:left="320" w:top="459" w:right="3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94,797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w:t>
            </w:r>
          </w:p>
        </w:tc>
        <w:tc>
          <w:tcPr>
            <w:tcW w:w="0" w:type="dxa"/>
            <w:vAlign w:val="bottom"/>
          </w:tcPr>
          <w:p>
            <w:pPr>
              <w:spacing w:after="0"/>
              <w:rPr>
                <w:sz w:val="1"/>
                <w:szCs w:val="1"/>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color w:val="auto"/>
                <w:w w:val="96"/>
              </w:rPr>
              <w:t>Series A convertible Preferred Shares, no par value per share; unlimited shares authorized; 67,228,395 shares issues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w w:val="99"/>
              </w:rPr>
              <w:t>and outstanding as of December 31, 2019 and March 31, 2020; liquidation value of $52,750 as of December 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2019 and March 31, 2020</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53,749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Shares, no par value per share; unlimited shares authorized; 63,458,580 shares issued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outstanding as of December 31, 2019 and March 31, 2020; liquidation and redemption value of $82,496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March 31, 2020</w:t>
            </w: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82,248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135,997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shares, no par value per share; unlimited shares authorized as of December 31, 2019 and March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540"/>
              <w:spacing w:after="0"/>
              <w:rPr>
                <w:sz w:val="20"/>
                <w:szCs w:val="20"/>
                <w:color w:val="auto"/>
              </w:rPr>
            </w:pPr>
            <w:r>
              <w:rPr>
                <w:rFonts w:ascii="Arial" w:cs="Arial" w:eastAsia="Arial" w:hAnsi="Arial"/>
                <w:sz w:val="18"/>
                <w:szCs w:val="18"/>
                <w:color w:val="auto"/>
                <w:w w:val="95"/>
              </w:rPr>
              <w:t>2020; 9,265,000 and 10,364,166 shares issued and outstanding as of December 31, 2019, and March 31, 2020,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(49,941)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(62,542)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(58,135)</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102,695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1"/>
              <w:spacing w:after="0"/>
              <w:rPr>
                <w:sz w:val="20"/>
                <w:szCs w:val="20"/>
                <w:color w:val="auto"/>
              </w:rPr>
            </w:pPr>
            <w:r>
              <w:rPr>
                <w:rFonts w:ascii="Arial" w:cs="Arial" w:eastAsia="Arial" w:hAnsi="Arial"/>
                <w:sz w:val="18"/>
                <w:szCs w:val="18"/>
                <w:color w:val="auto"/>
              </w:rPr>
              <w:t>3,703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(4,779)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00" w:type="dxa"/>
            <w:vAlign w:val="bottom"/>
          </w:tcPr>
          <w:p>
            <w:pPr>
              <w:spacing w:after="0"/>
              <w:rPr>
                <w:sz w:val="18"/>
                <w:szCs w:val="18"/>
                <w:color w:val="auto"/>
              </w:rPr>
            </w:pPr>
          </w:p>
        </w:tc>
        <w:tc>
          <w:tcPr>
            <w:tcW w:w="1360" w:type="dxa"/>
            <w:vAlign w:val="bottom"/>
            <w:gridSpan w:val="2"/>
          </w:tcPr>
          <w:p>
            <w:pPr>
              <w:jc w:val="right"/>
              <w:ind w:right="50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(4,729)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360" w:type="dxa"/>
            <w:vAlign w:val="bottom"/>
            <w:gridSpan w:val="2"/>
          </w:tcPr>
          <w:p>
            <w:pPr>
              <w:jc w:val="right"/>
              <w:ind w:right="501"/>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(4,838)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9,265,000</w:t>
            </w: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140,593,948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Convertible Preferred Shares and Shareholders’ Deficit</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months ended March 31, 2019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data)</w:t>
      </w:r>
    </w:p>
    <w:p>
      <w:pPr>
        <w:sectPr>
          <w:pgSz w:w="11900" w:h="16838" w:orient="portrait"/>
          <w:cols w:equalWidth="0" w:num="1">
            <w:col w:w="11180"/>
          </w:cols>
          <w:pgMar w:left="320" w:top="459" w:right="39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20" w:type="dxa"/>
            <w:vAlign w:val="bottom"/>
          </w:tcPr>
          <w:p>
            <w:pPr>
              <w:spacing w:after="0"/>
              <w:rPr>
                <w:sz w:val="13"/>
                <w:szCs w:val="13"/>
                <w:color w:val="auto"/>
              </w:rPr>
            </w:pPr>
          </w:p>
        </w:tc>
        <w:tc>
          <w:tcPr>
            <w:tcW w:w="236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3"/>
                <w:szCs w:val="13"/>
                <w:b w:val="1"/>
                <w:bCs w:val="1"/>
                <w:color w:val="auto"/>
              </w:rPr>
              <w:t>Convertible Preferred Shares</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20" w:type="dxa"/>
            <w:vAlign w:val="bottom"/>
          </w:tcPr>
          <w:p>
            <w:pPr>
              <w:spacing w:after="0"/>
              <w:rPr>
                <w:sz w:val="10"/>
                <w:szCs w:val="10"/>
                <w:color w:val="auto"/>
              </w:rPr>
            </w:pPr>
          </w:p>
        </w:tc>
        <w:tc>
          <w:tcPr>
            <w:tcW w:w="1440" w:type="dxa"/>
            <w:vAlign w:val="bottom"/>
            <w:gridSpan w:val="3"/>
          </w:tcPr>
          <w:p>
            <w:pPr>
              <w:jc w:val="right"/>
              <w:ind w:right="421"/>
              <w:spacing w:after="0" w:line="124" w:lineRule="exact"/>
              <w:rPr>
                <w:sz w:val="20"/>
                <w:szCs w:val="20"/>
                <w:color w:val="auto"/>
              </w:rPr>
            </w:pPr>
            <w:r>
              <w:rPr>
                <w:rFonts w:ascii="Arial" w:cs="Arial" w:eastAsia="Arial" w:hAnsi="Arial"/>
                <w:sz w:val="13"/>
                <w:szCs w:val="13"/>
                <w:b w:val="1"/>
                <w:bCs w:val="1"/>
                <w:color w:val="auto"/>
              </w:rPr>
              <w:t>Series A</w:t>
            </w:r>
          </w:p>
        </w:tc>
        <w:tc>
          <w:tcPr>
            <w:tcW w:w="160" w:type="dxa"/>
            <w:vAlign w:val="bottom"/>
          </w:tcPr>
          <w:p>
            <w:pPr>
              <w:spacing w:after="0"/>
              <w:rPr>
                <w:sz w:val="10"/>
                <w:szCs w:val="10"/>
                <w:color w:val="auto"/>
              </w:rPr>
            </w:pPr>
          </w:p>
        </w:tc>
        <w:tc>
          <w:tcPr>
            <w:tcW w:w="92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vMerge w:val="restart"/>
          </w:tcPr>
          <w:p>
            <w:pPr>
              <w:spacing w:after="0"/>
              <w:rPr>
                <w:sz w:val="20"/>
                <w:szCs w:val="20"/>
                <w:color w:val="auto"/>
              </w:rPr>
            </w:pPr>
            <w:r>
              <w:rPr>
                <w:rFonts w:ascii="Arial" w:cs="Arial" w:eastAsia="Arial" w:hAnsi="Arial"/>
                <w:sz w:val="16"/>
                <w:szCs w:val="16"/>
                <w:b w:val="1"/>
                <w:bCs w:val="1"/>
                <w:color w:val="auto"/>
              </w:rPr>
              <w:t>Balance, January 1, 2019</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760" w:type="dxa"/>
            <w:vAlign w:val="bottom"/>
          </w:tcPr>
          <w:p>
            <w:pPr>
              <w:jc w:val="right"/>
              <w:ind w:right="12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5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3920" w:type="dxa"/>
            <w:vAlign w:val="bottom"/>
            <w:vMerge w:val="continue"/>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41,302,469</w:t>
            </w: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$31,873</w:t>
            </w:r>
          </w:p>
        </w:tc>
        <w:tc>
          <w:tcPr>
            <w:tcW w:w="160" w:type="dxa"/>
            <w:vAlign w:val="bottom"/>
          </w:tcPr>
          <w:p>
            <w:pPr>
              <w:spacing w:after="0"/>
              <w:rPr>
                <w:sz w:val="16"/>
                <w:szCs w:val="16"/>
                <w:color w:val="auto"/>
              </w:rPr>
            </w:pP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w w:val="96"/>
              </w:rPr>
              <w:t>Issuance of Series A convertible Preferred Shares, net of</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25,925,926</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21,876</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6"/>
                <w:szCs w:val="16"/>
                <w:b w:val="1"/>
                <w:bCs w:val="1"/>
                <w:color w:val="auto"/>
              </w:rPr>
              <w:t>Balance, March 31, 2019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67,228,395</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67,228,395</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$53,749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63,458,580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spacing w:after="0"/>
              <w:rPr>
                <w:sz w:val="20"/>
                <w:szCs w:val="20"/>
                <w:color w:val="auto"/>
              </w:rPr>
            </w:pPr>
            <w:r>
              <w:rPr>
                <w:rFonts w:ascii="Arial" w:cs="Arial" w:eastAsia="Arial" w:hAnsi="Arial"/>
                <w:sz w:val="16"/>
                <w:szCs w:val="16"/>
                <w:color w:val="auto"/>
                <w:w w:val="93"/>
              </w:rPr>
              <w:t>82,248</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20" w:type="dxa"/>
            <w:vAlign w:val="bottom"/>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67,228,395</w:t>
            </w:r>
          </w:p>
        </w:tc>
        <w:tc>
          <w:tcPr>
            <w:tcW w:w="6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53,749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63,458,580</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480" w:type="dxa"/>
            <w:vAlign w:val="bottom"/>
            <w:gridSpan w:val="2"/>
          </w:tcPr>
          <w:p>
            <w:pPr>
              <w:spacing w:after="0"/>
              <w:rPr>
                <w:sz w:val="20"/>
                <w:szCs w:val="20"/>
                <w:color w:val="auto"/>
              </w:rPr>
            </w:pPr>
            <w:r>
              <w:rPr>
                <w:rFonts w:ascii="Arial" w:cs="Arial" w:eastAsia="Arial" w:hAnsi="Arial"/>
                <w:sz w:val="16"/>
                <w:szCs w:val="16"/>
                <w:color w:val="auto"/>
                <w:w w:val="93"/>
              </w:rPr>
              <w:t>82,248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-1791335</wp:posOffset>
            </wp:positionV>
            <wp:extent cx="7132320" cy="18002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4"/>
            <w:vMerge w:val="restart"/>
          </w:tcPr>
          <w:p>
            <w:pPr>
              <w:ind w:left="260"/>
              <w:spacing w:after="0"/>
              <w:rPr>
                <w:sz w:val="20"/>
                <w:szCs w:val="20"/>
                <w:color w:val="auto"/>
              </w:rPr>
            </w:pPr>
            <w:r>
              <w:rPr>
                <w:rFonts w:ascii="Arial" w:cs="Arial" w:eastAsia="Arial" w:hAnsi="Arial"/>
                <w:sz w:val="13"/>
                <w:szCs w:val="13"/>
                <w:b w:val="1"/>
                <w:bCs w:val="1"/>
                <w:color w:val="auto"/>
                <w:w w:val="83"/>
              </w:rPr>
              <w:t>Common 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1140" w:type="dxa"/>
            <w:vAlign w:val="bottom"/>
            <w:tcBorders>
              <w:bottom w:val="single" w:sz="8" w:color="auto"/>
            </w:tcBorders>
            <w:gridSpan w:val="4"/>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0"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2"/>
                <w:szCs w:val="12"/>
                <w:color w:val="auto"/>
              </w:rPr>
            </w:pPr>
          </w:p>
        </w:tc>
        <w:tc>
          <w:tcPr>
            <w:tcW w:w="9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29"/>
        </w:trPr>
        <w:tc>
          <w:tcPr>
            <w:tcW w:w="820" w:type="dxa"/>
            <w:vAlign w:val="bottom"/>
            <w:gridSpan w:val="2"/>
          </w:tcPr>
          <w:p>
            <w:pPr>
              <w:ind w:left="22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87"/>
              </w:rPr>
              <w:t>Capital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0"/>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9,265,000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w w:val="71"/>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(22,725)</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(4,838)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(4,838)</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right"/>
              <w:spacing w:after="0"/>
              <w:rPr>
                <w:sz w:val="20"/>
                <w:szCs w:val="20"/>
                <w:color w:val="auto"/>
              </w:rPr>
            </w:pPr>
            <w:r>
              <w:rPr>
                <w:rFonts w:ascii="Arial" w:cs="Arial" w:eastAsia="Arial" w:hAnsi="Arial"/>
                <w:sz w:val="16"/>
                <w:szCs w:val="16"/>
                <w:color w:val="auto"/>
              </w:rPr>
              <w:t>9,265,000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405</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(27,563)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(27,157)</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9,265,000</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3,811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(49,941)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3"/>
        </w:trPr>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1,099,166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3"/>
        </w:trPr>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800" w:type="dxa"/>
            <w:vAlign w:val="bottom"/>
          </w:tcPr>
          <w:p>
            <w:pPr>
              <w:ind w:left="5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(12,601)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right"/>
              <w:spacing w:after="0"/>
              <w:rPr>
                <w:sz w:val="20"/>
                <w:szCs w:val="20"/>
                <w:color w:val="auto"/>
              </w:rPr>
            </w:pPr>
            <w:r>
              <w:rPr>
                <w:rFonts w:ascii="Arial" w:cs="Arial" w:eastAsia="Arial" w:hAnsi="Arial"/>
                <w:sz w:val="16"/>
                <w:szCs w:val="16"/>
                <w:color w:val="auto"/>
                <w:w w:val="97"/>
              </w:rPr>
              <w:t>10,364,166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521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3,886</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(62,542)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(58,135)</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00" w:space="200"/>
            <w:col w:w="4080"/>
          </w:cols>
          <w:pgMar w:left="320" w:top="459" w:right="399" w:bottom="1440" w:gutter="0" w:footer="0" w:header="0"/>
          <w:type w:val="continuous"/>
        </w:sectPr>
      </w:pP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80"/>
          </w:cols>
          <w:pgMar w:left="320" w:top="459" w:right="399" w:bottom="1440" w:gutter="0" w:footer="0" w:header="0"/>
          <w:type w:val="continuous"/>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Net loss and comprehensive loss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(12,601)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Change in fair value of the Series A Preferred Shares tranche obligation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1,772</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(9,717)</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20,995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r>
      <w:tr>
        <w:trPr>
          <w:trHeight w:val="216"/>
        </w:trPr>
        <w:tc>
          <w:tcPr>
            <w:tcW w:w="95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Restricted Cash</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23,721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(11,102)</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95,005</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34,448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83,711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80" w:firstLine="8"/>
        <w:spacing w:after="0" w:line="378" w:lineRule="auto"/>
        <w:tabs>
          <w:tab w:leader="none" w:pos="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consolidated financial position as of March 31, 2020, and the consolidated results of its operations and its consolidated cash flows for the three months ended March 31, 2020 and 2019.</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accompanying condensed consolidated financial statements should be read in conjunction with the Company’s audited consolidated financial statements and the accompanying notes for the year ended December 31, 2019, which are included elsewhere in this prospectus. The condensed consolidated balance sheet data as of December 31, 2019 presented for comparative purposes was derived from the Company’s audited consolidated financial statements but does not include all disclosures required by U.S. GAAP. The results for the three months ended March 31, 2020 are not necessarily indicative of the operating results to be expected for the full year or for any other subsequent interim period.</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included elsewhere in this prospectus. Since the date of those financial statements, there have been no changes to its significant accounting policies except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and share-based compensation. Estimates are periodically reviewed in light of changes in circumstances, facts and experience. Changes in estimates are recorded in the period in which they become known.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the global spread of the ongoing COVID-19 pandemic in the first quarter of 2020, the Company has established a cross-functional task force and has implemented business continuity plans designed to address and mitigate the impact of the COVID-19 pandemic on its employees and its business, including its preclinical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studies and its planned clinical trials. The Company’s operations are considered as an essential business and the Company is continuing to operate during this period. The Company has taken measures to secure its research and development activities, while work in its laboratories and facilities has been organized to reduce risk of COVID-19 transmission. While the Company is experiencing limited financial impacts at this time, given the global economic slowdown, the overall disruption of global healthcare systems and the other risks and uncertainties associated the with pandemic, the Company’s business, consolidated financial condition and results of operations could be materially adversely affected. The Company continues to closely monitor the COVID-19 pandemic as it evolves its business continuity plans, clinical development plans and response strategy.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proceeds generated as a result of the offering. Deferred offering costs of $1,186 are capitalized and classified with other assets on the condensed consolidated balance sheet as of March 31, 2020. There were no deferred offering costs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December 31, 2019 and March 31, 2020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Agreements</w:t>
      </w:r>
    </w:p>
    <w:p>
      <w:pPr>
        <w:spacing w:after="0" w:line="121" w:lineRule="exact"/>
        <w:rPr>
          <w:sz w:val="20"/>
          <w:szCs w:val="20"/>
          <w:color w:val="auto"/>
        </w:rPr>
      </w:pPr>
    </w:p>
    <w:p>
      <w:pPr>
        <w:ind w:right="700"/>
        <w:spacing w:after="0" w:line="311" w:lineRule="auto"/>
        <w:rPr>
          <w:sz w:val="20"/>
          <w:szCs w:val="20"/>
          <w:color w:val="auto"/>
        </w:rPr>
      </w:pPr>
      <w:r>
        <w:rPr>
          <w:rFonts w:ascii="Arial" w:cs="Arial" w:eastAsia="Arial" w:hAnsi="Arial"/>
          <w:sz w:val="16"/>
          <w:szCs w:val="16"/>
          <w:color w:val="auto"/>
        </w:rPr>
        <w:t>In March 2020, the Company executed a strategic collaboration with The University of Texas M. D. Anderson Cancer Center (“MDACC”). The collaboration will consist of preclinical and clinical studies designed by the Company and MDACC with the research conducted by MDACC. The Company has agreed to commit $10,000 in funding for various studies over a period of five years, of which $2,000 was paid in April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has historically entered into lease arrangements for its facilities. As of March 31, 2020, the Company had three operating leases with required future minimum payments. The Company’s leases generally do not include termination or purchase options.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months ended March 31, 2020:</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6620" w:type="dxa"/>
            <w:vAlign w:val="bottom"/>
          </w:tcPr>
          <w:p>
            <w:pPr>
              <w:spacing w:after="0"/>
              <w:rPr>
                <w:sz w:val="24"/>
                <w:szCs w:val="24"/>
                <w:color w:val="auto"/>
              </w:rPr>
            </w:pPr>
          </w:p>
        </w:tc>
        <w:tc>
          <w:tcPr>
            <w:tcW w:w="1000" w:type="dxa"/>
            <w:vAlign w:val="bottom"/>
            <w:gridSpan w:val="6"/>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remaining lease term</w:t>
            </w:r>
          </w:p>
        </w:tc>
        <w:tc>
          <w:tcPr>
            <w:tcW w:w="100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1.55 years</w:t>
            </w: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right="8940" w:firstLine="8"/>
        <w:spacing w:after="0" w:line="400" w:lineRule="auto"/>
        <w:tabs>
          <w:tab w:leader="none" w:pos="18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Option Plan</w:t>
      </w:r>
    </w:p>
    <w:p>
      <w:pPr>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24,697,408 shares of the Company’s common shares to be issued. At March 31, 2020, there were 3,449,250 shares available for future grant under the Option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40" w:type="dxa"/>
            <w:vAlign w:val="bottom"/>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w:t>
            </w:r>
          </w:p>
        </w:tc>
        <w:tc>
          <w:tcPr>
            <w:tcW w:w="1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w:t>
            </w:r>
          </w:p>
        </w:tc>
        <w:tc>
          <w:tcPr>
            <w:tcW w:w="4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9"/>
              </w:rPr>
              <w:t>65</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271</w:t>
            </w:r>
          </w:p>
        </w:tc>
      </w:tr>
      <w:tr>
        <w:trPr>
          <w:trHeight w:val="20"/>
        </w:trPr>
        <w:tc>
          <w:tcPr>
            <w:tcW w:w="5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During the three months ended March 31, 2020, the Company did not grant options to purchase common shares. During the three months ended March 31, 2019 and 2020, the Company recorded share-based compensation expense for options granted of $65 and $271, respectively.</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three months ended March 31, 2020, an aggregate of 1,099,166 options were exercised at a weighted-average exercise price of $0.30 per share, for aggregate proceeds of $324. As a result, an amount of $196 previously included in additional paid-in capital related to the exercised options has been credited to common shares and deducted from additional paid-in capital.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31, 2020, there were 20,148,992 options outstanding. As of March 31, 2020, there was $3,286 of unrecognized share-based compensation expense related to unvested stock options to be recognized over a period of 3.0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4"/>
          </w:tcPr>
          <w:p>
            <w:pPr>
              <w:jc w:val="center"/>
              <w:ind w:right="54"/>
              <w:spacing w:after="0" w:line="123" w:lineRule="exact"/>
              <w:rPr>
                <w:sz w:val="20"/>
                <w:szCs w:val="20"/>
                <w:color w:val="auto"/>
              </w:rPr>
            </w:pPr>
            <w:r>
              <w:rPr>
                <w:rFonts w:ascii="Arial" w:cs="Arial" w:eastAsia="Arial" w:hAnsi="Arial"/>
                <w:sz w:val="14"/>
                <w:szCs w:val="14"/>
                <w:i w:val="1"/>
                <w:iCs w:val="1"/>
                <w:color w:val="auto"/>
                <w:w w:val="91"/>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i w:val="1"/>
                <w:iCs w:val="1"/>
                <w:color w:val="auto"/>
                <w:w w:val="92"/>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9,265,000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9,906,973</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6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63,458,580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8,871,908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20,148,992</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2020,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20"/>
          </w:cols>
          <w:pgMar w:left="320" w:top="459" w:right="3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6"/>
              <w:spacing w:after="0" w:line="123"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i w:val="1"/>
                <w:iCs w:val="1"/>
                <w:color w:val="auto"/>
                <w:w w:val="89"/>
              </w:rPr>
              <w:t>except share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i w:val="1"/>
                <w:iCs w:val="1"/>
                <w:color w:val="auto"/>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automatic conversion of convertible preferred shares to common shares upon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the completion of the proposed initial public offering</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130,686,975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140,593,948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Subsequent events have been evaluated up to May 8, 2020, the date that the condensed consolidated financial statements were available to be issued.</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April and May 2020, the board of directors of the Company authorized the issuance of an aggregate of 305,000 stock options to employees, at a weighted average exercise price of $1.02 per share.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May 2020, an aggregate of 293,750 options were exercised at a weighted average price of $0.34 per share, for aggregate proceeds of $100.</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0800"/>
          </w:cols>
          <w:pgMar w:left="320" w:top="459" w:right="7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88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335915</wp:posOffset>
            </wp:positionV>
            <wp:extent cx="1654175" cy="4972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1824355</wp:posOffset>
            </wp:positionV>
            <wp:extent cx="41319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163830</wp:posOffset>
            </wp:positionV>
            <wp:extent cx="41319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45" w:lineRule="exact"/>
        <w:rPr>
          <w:sz w:val="20"/>
          <w:szCs w:val="20"/>
          <w:color w:val="auto"/>
        </w:rPr>
      </w:pPr>
    </w:p>
    <w:p>
      <w:pPr>
        <w:ind w:left="560"/>
        <w:spacing w:after="0"/>
        <w:tabs>
          <w:tab w:leader="none" w:pos="3660" w:val="left"/>
          <w:tab w:leader="none" w:pos="7740" w:val="left"/>
          <w:tab w:leader="none" w:pos="950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Goldman Sachs &amp; Co. LLC</w:t>
      </w:r>
      <w:r>
        <w:rPr>
          <w:sz w:val="20"/>
          <w:szCs w:val="20"/>
          <w:color w:val="auto"/>
        </w:rPr>
        <w:tab/>
      </w:r>
      <w:r>
        <w:rPr>
          <w:rFonts w:ascii="Arial" w:cs="Arial" w:eastAsia="Arial" w:hAnsi="Arial"/>
          <w:sz w:val="22"/>
          <w:szCs w:val="22"/>
          <w:i w:val="1"/>
          <w:iCs w:val="1"/>
          <w:color w:val="auto"/>
        </w:rPr>
        <w:t>Cowen</w:t>
      </w:r>
      <w:r>
        <w:rPr>
          <w:sz w:val="20"/>
          <w:szCs w:val="20"/>
          <w:color w:val="auto"/>
        </w:rPr>
        <w:tab/>
      </w:r>
      <w:r>
        <w:rPr>
          <w:rFonts w:ascii="Arial" w:cs="Arial" w:eastAsia="Arial" w:hAnsi="Arial"/>
          <w:sz w:val="19"/>
          <w:szCs w:val="19"/>
          <w:i w:val="1"/>
          <w:i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60"/>
        <w:spacing w:after="0"/>
        <w:rPr>
          <w:sz w:val="20"/>
          <w:szCs w:val="20"/>
          <w:color w:val="auto"/>
        </w:rPr>
      </w:pPr>
      <w:r>
        <w:rPr>
          <w:rFonts w:ascii="Arial" w:cs="Arial" w:eastAsia="Arial" w:hAnsi="Arial"/>
          <w:sz w:val="18"/>
          <w:szCs w:val="18"/>
          <w:b w:val="1"/>
          <w:bCs w:val="1"/>
          <w:i w:val="1"/>
          <w:iCs w:val="1"/>
          <w:color w:val="auto"/>
        </w:rPr>
        <w:t>, 2020</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i w:val="1"/>
          <w:iCs w:val="1"/>
          <w:color w:val="auto"/>
        </w:rPr>
        <w:t>Through and including</w:t>
      </w:r>
      <w:r>
        <w:rPr>
          <w:sz w:val="20"/>
          <w:szCs w:val="20"/>
          <w:color w:val="auto"/>
        </w:rPr>
        <w:tab/>
      </w:r>
      <w:r>
        <w:rPr>
          <w:rFonts w:ascii="Arial" w:cs="Arial" w:eastAsia="Arial" w:hAnsi="Arial"/>
          <w:sz w:val="15"/>
          <w:szCs w:val="15"/>
          <w:b w:val="1"/>
          <w:bCs w:val="1"/>
          <w:i w:val="1"/>
          <w:iCs w:val="1"/>
          <w:color w:val="auto"/>
        </w:rPr>
        <w:t>, 2020 (the 25</w:t>
      </w:r>
      <w:r>
        <w:rPr>
          <w:rFonts w:ascii="Arial" w:cs="Arial" w:eastAsia="Arial" w:hAnsi="Arial"/>
          <w:sz w:val="12"/>
          <w:szCs w:val="12"/>
          <w:b w:val="1"/>
          <w:bCs w:val="1"/>
          <w:i w:val="1"/>
          <w:iCs w:val="1"/>
          <w:color w:val="auto"/>
        </w:rPr>
        <w:t>th</w:t>
      </w:r>
      <w:r>
        <w:rPr>
          <w:rFonts w:ascii="Arial" w:cs="Arial" w:eastAsia="Arial" w:hAnsi="Arial"/>
          <w:sz w:val="15"/>
          <w:szCs w:val="15"/>
          <w:b w:val="1"/>
          <w:bCs w:val="1"/>
          <w:i w:val="1"/>
          <w:iCs w:val="1"/>
          <w:color w:val="auto"/>
        </w:rPr>
        <w:t xml:space="preserve"> day after the commencement of this offering), all dealers that buy, sell or trade common shares,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following table sets forth the costs and expenses, other than the underwriting commissions, payable by the registrant in connection with the sale of our common shares being registered. All amounts are estimates except for the Securities and Exchange Commission, or SEC, registration fee, the Financial Industry Regulatory Authority, or FINRA, filing fee and the Nasdaq Global Market, or Nasdaq, listing fee.</w:t>
      </w:r>
    </w:p>
    <w:p>
      <w:pPr>
        <w:sectPr>
          <w:pgSz w:w="11900" w:h="16838" w:orient="portrait"/>
          <w:cols w:equalWidth="0" w:num="1">
            <w:col w:w="11200"/>
          </w:cols>
          <w:pgMar w:left="320" w:top="459" w:right="379" w:bottom="1440" w:gutter="0" w:footer="0" w:header="0"/>
        </w:sectPr>
      </w:pP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b w:val="1"/>
          <w:bCs w:val="1"/>
          <w:u w:val="single" w:color="auto"/>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46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Transfer agent fees and expenses</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886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
        <w:spacing w:after="0"/>
        <w:rPr>
          <w:sz w:val="20"/>
          <w:szCs w:val="20"/>
          <w:color w:val="auto"/>
        </w:rPr>
      </w:pPr>
      <w:r>
        <w:rPr>
          <w:rFonts w:ascii="Arial" w:cs="Arial" w:eastAsia="Arial" w:hAnsi="Arial"/>
          <w:sz w:val="14"/>
          <w:szCs w:val="14"/>
          <w:b w:val="1"/>
          <w:bCs w:val="1"/>
          <w:u w:val="single" w:color="auto"/>
          <w:color w:val="auto"/>
        </w:rPr>
        <w:t>AMOUNT</w:t>
      </w:r>
    </w:p>
    <w:p>
      <w:pPr>
        <w:spacing w:after="0" w:line="25" w:lineRule="exact"/>
        <w:rPr>
          <w:sz w:val="20"/>
          <w:szCs w:val="20"/>
          <w:color w:val="auto"/>
        </w:rPr>
      </w:pPr>
    </w:p>
    <w:p>
      <w:pPr>
        <w:ind w:left="661" w:hanging="661"/>
        <w:spacing w:after="0"/>
        <w:tabs>
          <w:tab w:leader="none" w:pos="66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03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2" w:lineRule="exact"/>
        <w:rPr>
          <w:sz w:val="20"/>
          <w:szCs w:val="20"/>
          <w:color w:val="auto"/>
        </w:rPr>
      </w:pPr>
    </w:p>
    <w:p>
      <w:pPr>
        <w:ind w:left="661" w:hanging="661"/>
        <w:spacing w:after="0"/>
        <w:tabs>
          <w:tab w:leader="none" w:pos="66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203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203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319" w:space="720"/>
            <w:col w:w="2161"/>
          </w:cols>
          <w:pgMar w:left="320" w:top="459" w:right="379" w:bottom="1440" w:gutter="0" w:footer="0" w:header="0"/>
          <w:type w:val="continuous"/>
        </w:sectPr>
      </w:pP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firstLine="449"/>
        <w:spacing w:after="0" w:line="272" w:lineRule="auto"/>
        <w:rPr>
          <w:sz w:val="20"/>
          <w:szCs w:val="20"/>
          <w:color w:val="auto"/>
        </w:rPr>
      </w:pPr>
      <w:r>
        <w:rPr>
          <w:rFonts w:ascii="Arial" w:cs="Arial" w:eastAsia="Arial" w:hAnsi="Arial"/>
          <w:sz w:val="17"/>
          <w:szCs w:val="17"/>
          <w:color w:val="auto"/>
        </w:rPr>
        <w:t>Under the Canada Business Corporations Act, or CBCA, and our amended and restated articles of incorporation to be in effect upon the completion of this offering, we must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 The CBCA also provides that we may advance moneys to a director, officer or other individual for costs, charges and expenses reasonably incurred in connection with such a proceeding; provided that such individual shall repay the moneys if the individual does not fulfill the conditions described below.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indemnification is prohibited under the CBCA unless the individual:</w:t>
      </w:r>
    </w:p>
    <w:p>
      <w:pPr>
        <w:spacing w:after="0" w:line="131" w:lineRule="exact"/>
        <w:rPr>
          <w:sz w:val="20"/>
          <w:szCs w:val="20"/>
          <w:color w:val="auto"/>
        </w:rPr>
      </w:pPr>
    </w:p>
    <w:p>
      <w:pPr>
        <w:ind w:left="1000" w:right="340" w:hanging="547"/>
        <w:spacing w:after="0" w:line="277"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acted honestly and in good faith with a view to our best interests, or the best interests of the other entity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case of a criminal or administrative action or proceeding that is enforced by a monetary penalty, the individual had reasonable grounds for believing that his or her conduct was lawful.</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CBCA and our bylaws authorize us to purchase and maintain insurance for the benefit of each of our current or former directors or officers and other agents and each person who acts or acted at our request as a director, officer or other agents or an individual acting in a similar capacity, of another entity.</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we have entered, or intend to enter, into separate indemnity agreements with each of our directors and officers pursuant to which we agree to indemnify and hold harmless our directors and officers against any and all liability, loss, damage, cost or expense in accordance with the terms and conditions of the CBCA and our bylaws.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459" w:right="379" w:bottom="1440" w:gutter="0" w:footer="0" w:header="0"/>
          <w:type w:val="continuous"/>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84"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since January 1, 2017 through the date of the prospectus that is a part of this registration statement: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Common Shares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 January 2017, we issued and sold an aggregate of 600,000 of our common shares to two accredited investors at $0.0001 per share for aggregate consideration of $60.</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Options to Purchase Common Shares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From January 1, 2017 through the date of this registration statement, we granted options under our Repare Therapeutics Inc. Amended and Restated Option Plan to purchase an aggregate of 23,432,950 common shares, with exercise prices ranging from $0.27 to $1.12 per share, to our employees, directors and consultants. Of these, 1,392,916 shares have been issued upon the exercise of options, at a weighted average exercise price of $0.30 per share, for aggregate proceeds of $0.4 million, and 1,067,792 options have been cancelled.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 Preferred Share Financing</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June 2017 and January 2019, we sold an aggregate of 61,728,395 of our Series A preferred shares in multiple closings to 12 accredited investors at a purchase price of $0.81 per share for aggregate consideration of $50.0 million. In connection with and as partial consideration for this financing, an aggregate principal amount of $2.75 million of convertible promissory notes held by certain investors were redeemed and converted into 5,500,000 Series A preferred shares at a price of $0.50 per share.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 Preferred Share Financing</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September 2019, we sold an aggregate of 63,458,580 of our Series B preferred shares to 21 accredited investors at a purchase price of $1.30 per share for aggregate consideration of $82.5 million.</w:t>
      </w:r>
    </w:p>
    <w:p>
      <w:pPr>
        <w:spacing w:after="0" w:line="17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8440" w:type="dxa"/>
            <w:vAlign w:val="bottom"/>
            <w:gridSpan w:val="3"/>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8440" w:type="dxa"/>
            <w:vAlign w:val="bottom"/>
            <w:gridSpan w:val="3"/>
            <w:vMerge w:val="continue"/>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9"/>
              </w:rPr>
              <w:t>1.1*</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Form of Underwriting Agreement.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1"/>
              </w:rPr>
              <w:t>3.1#</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Amended and Restated Articles of Incorporation, as currently in effect.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9"/>
              </w:rPr>
              <w:t>3.2*</w:t>
            </w:r>
          </w:p>
        </w:tc>
        <w:tc>
          <w:tcPr>
            <w:tcW w:w="10320" w:type="dxa"/>
            <w:vAlign w:val="bottom"/>
            <w:gridSpan w:val="4"/>
          </w:tcPr>
          <w:p>
            <w:pPr>
              <w:ind w:left="560"/>
              <w:spacing w:after="0"/>
              <w:rPr>
                <w:sz w:val="20"/>
                <w:szCs w:val="20"/>
                <w:color w:val="auto"/>
              </w:rPr>
            </w:pPr>
            <w:r>
              <w:rPr>
                <w:rFonts w:ascii="Arial" w:cs="Arial" w:eastAsia="Arial" w:hAnsi="Arial"/>
                <w:sz w:val="18"/>
                <w:szCs w:val="18"/>
                <w:color w:val="auto"/>
                <w:w w:val="99"/>
              </w:rPr>
              <w:t>Form of Amended and Restated Articles of Incorporation, to be effective immediately prior to the completion of this offering.</w:t>
            </w: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1"/>
              </w:rPr>
              <w:t>3.3#</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Bylaws, as currently in effect.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9"/>
              </w:rPr>
              <w:t>3.4*</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w w:val="92"/>
              </w:rPr>
              <w:t>Form of Amended and Restated Bylaws, to be effective immediately prior to the completion of this offering.</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9"/>
              </w:rPr>
              <w:t>4.1*</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Form of Common Share Certificate of the registrant.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1"/>
              </w:rPr>
              <w:t>4.2#</w:t>
            </w:r>
          </w:p>
        </w:tc>
        <w:tc>
          <w:tcPr>
            <w:tcW w:w="10320" w:type="dxa"/>
            <w:vAlign w:val="bottom"/>
            <w:gridSpan w:val="4"/>
          </w:tcPr>
          <w:p>
            <w:pPr>
              <w:ind w:left="560"/>
              <w:spacing w:after="0"/>
              <w:rPr>
                <w:sz w:val="20"/>
                <w:szCs w:val="20"/>
                <w:color w:val="auto"/>
              </w:rPr>
            </w:pPr>
            <w:r>
              <w:rPr>
                <w:rFonts w:ascii="Arial" w:cs="Arial" w:eastAsia="Arial" w:hAnsi="Arial"/>
                <w:sz w:val="18"/>
                <w:szCs w:val="18"/>
                <w:color w:val="auto"/>
                <w:w w:val="89"/>
              </w:rPr>
              <w:t>Amended and Restated Registration Rights Agreement, by and among the registrant and certain of its shareholders, dated September 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0" w:type="dxa"/>
            <w:vAlign w:val="bottom"/>
          </w:tcPr>
          <w:p>
            <w:pPr>
              <w:ind w:left="560"/>
              <w:spacing w:after="0"/>
              <w:rPr>
                <w:sz w:val="20"/>
                <w:szCs w:val="20"/>
                <w:color w:val="auto"/>
              </w:rPr>
            </w:pPr>
            <w:r>
              <w:rPr>
                <w:rFonts w:ascii="Arial" w:cs="Arial" w:eastAsia="Arial" w:hAnsi="Arial"/>
                <w:sz w:val="18"/>
                <w:szCs w:val="18"/>
                <w:color w:val="auto"/>
              </w:rPr>
              <w:t>2019.</w:t>
            </w:r>
          </w:p>
        </w:tc>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9"/>
              </w:rPr>
              <w:t>5.1*</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Opinion of Stikeman Elliott LLP.</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3"/>
              </w:rPr>
              <w:t>10.1+#</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Repare Therapeutics Inc. Amended and Restated Option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3"/>
              </w:rPr>
              <w:t>10.2+#</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w w:val="98"/>
              </w:rPr>
              <w:t>Form of Option Agreement under the Repare Therapeutics Inc. Amended and Restated Option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8"/>
              </w:rPr>
              <w:t>10.3+*</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Form of 2020 Equity Incentive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8"/>
              </w:rPr>
              <w:t>10.4+*</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w w:val="95"/>
              </w:rPr>
              <w:t>Form of Share Option Grant Notice and Share Option Agreement under the 2020 Equity Incentive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8"/>
              </w:rPr>
              <w:t>10.5+*</w:t>
            </w:r>
          </w:p>
        </w:tc>
        <w:tc>
          <w:tcPr>
            <w:tcW w:w="10320" w:type="dxa"/>
            <w:vAlign w:val="bottom"/>
            <w:gridSpan w:val="4"/>
          </w:tcPr>
          <w:p>
            <w:pPr>
              <w:ind w:left="560"/>
              <w:spacing w:after="0"/>
              <w:rPr>
                <w:sz w:val="20"/>
                <w:szCs w:val="20"/>
                <w:color w:val="auto"/>
              </w:rPr>
            </w:pPr>
            <w:r>
              <w:rPr>
                <w:rFonts w:ascii="Arial" w:cs="Arial" w:eastAsia="Arial" w:hAnsi="Arial"/>
                <w:sz w:val="18"/>
                <w:szCs w:val="18"/>
                <w:color w:val="auto"/>
                <w:w w:val="96"/>
              </w:rPr>
              <w:t>Form of Restricted Share Unit Grant Notice and Restricted Share Unit Award Agreement under the 2020 Equity Incentive Plan.</w:t>
            </w: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8"/>
              </w:rPr>
              <w:t>10.6+*</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Form of 2020 Employee Share Purchase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10.7*</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Form of Indemnity Agreement by and between the registrant and its directors and officers.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8"/>
              </w:rPr>
              <w:t>10.8+*</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Amended and Restated Employment Agreement between the registrant and Lloyd M. Segal, dated</w:t>
            </w:r>
          </w:p>
        </w:tc>
        <w:tc>
          <w:tcPr>
            <w:tcW w:w="1880" w:type="dxa"/>
            <w:vAlign w:val="bottom"/>
          </w:tcPr>
          <w:p>
            <w:pPr>
              <w:jc w:val="right"/>
              <w:ind w:right="1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08"/>
              <w:spacing w:after="0"/>
              <w:rPr>
                <w:sz w:val="20"/>
                <w:szCs w:val="20"/>
                <w:color w:val="auto"/>
              </w:rPr>
            </w:pPr>
            <w:r>
              <w:rPr>
                <w:rFonts w:ascii="Arial" w:cs="Arial" w:eastAsia="Arial" w:hAnsi="Arial"/>
                <w:sz w:val="18"/>
                <w:szCs w:val="18"/>
                <w:color w:val="auto"/>
                <w:w w:val="98"/>
              </w:rPr>
              <w:t>10.9+*</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Amended and Restated Employment Agreement between the registrant and Michael Zinda, dated</w:t>
            </w:r>
          </w:p>
        </w:tc>
        <w:tc>
          <w:tcPr>
            <w:tcW w:w="188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10.10+*</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Amended and Restated Employment Agreement between the registrant and Maria Koehler, dated</w:t>
            </w:r>
          </w:p>
        </w:tc>
        <w:tc>
          <w:tcPr>
            <w:tcW w:w="1880" w:type="dxa"/>
            <w:vAlign w:val="bottom"/>
          </w:tcPr>
          <w:p>
            <w:pPr>
              <w:jc w:val="right"/>
              <w:ind w:right="16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00" w:type="dxa"/>
            <w:vAlign w:val="bottom"/>
            <w:gridSpan w:val="2"/>
          </w:tcPr>
          <w:p>
            <w:pPr>
              <w:jc w:val="center"/>
              <w:ind w:right="228"/>
              <w:spacing w:after="0"/>
              <w:rPr>
                <w:sz w:val="20"/>
                <w:szCs w:val="20"/>
                <w:color w:val="auto"/>
              </w:rPr>
            </w:pPr>
            <w:r>
              <w:rPr>
                <w:rFonts w:ascii="Arial" w:cs="Arial" w:eastAsia="Arial" w:hAnsi="Arial"/>
                <w:sz w:val="18"/>
                <w:szCs w:val="18"/>
                <w:color w:val="auto"/>
                <w:w w:val="89"/>
              </w:rPr>
              <w:t>10.11+</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Separation Agreement between the registrant and Katina Dorton, dated October 21, 2019.</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10.12++#</w:t>
            </w:r>
          </w:p>
        </w:tc>
        <w:tc>
          <w:tcPr>
            <w:tcW w:w="10320" w:type="dxa"/>
            <w:vAlign w:val="bottom"/>
            <w:gridSpan w:val="4"/>
          </w:tcPr>
          <w:p>
            <w:pPr>
              <w:ind w:left="560"/>
              <w:spacing w:after="0"/>
              <w:rPr>
                <w:sz w:val="20"/>
                <w:szCs w:val="20"/>
                <w:color w:val="auto"/>
              </w:rPr>
            </w:pPr>
            <w:r>
              <w:rPr>
                <w:rFonts w:ascii="Arial" w:cs="Arial" w:eastAsia="Arial" w:hAnsi="Arial"/>
                <w:sz w:val="18"/>
                <w:szCs w:val="18"/>
                <w:color w:val="auto"/>
                <w:w w:val="89"/>
              </w:rPr>
              <w:t>Lease by and between CIG III Technoparc Nominee Inc. and Pharmascience Inc., dated May 15, 2014, as amended November 24, 2016</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and November 25, 2019.</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10.13++#</w:t>
            </w: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w w:val="92"/>
              </w:rPr>
              <w:t>Lease Assignment Agreement by and between the registrant and Pharmascience Inc., dated June 7, 2017.</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20" w:type="dxa"/>
            <w:vAlign w:val="bottom"/>
            <w:gridSpan w:val="4"/>
          </w:tcPr>
          <w:p>
            <w:pPr>
              <w:ind w:left="560"/>
              <w:spacing w:after="0"/>
              <w:rPr>
                <w:sz w:val="20"/>
                <w:szCs w:val="20"/>
                <w:color w:val="auto"/>
              </w:rPr>
            </w:pPr>
            <w:r>
              <w:rPr>
                <w:rFonts w:ascii="Arial" w:cs="Arial" w:eastAsia="Arial" w:hAnsi="Arial"/>
                <w:sz w:val="18"/>
                <w:szCs w:val="18"/>
                <w:color w:val="auto"/>
                <w:w w:val="94"/>
              </w:rPr>
              <w:t>Research Services, License and Collaboration Agreement by and between the registrant and Ono Pharmaceutical Co., Ltd., dated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40" w:type="dxa"/>
            <w:vAlign w:val="bottom"/>
            <w:gridSpan w:val="3"/>
          </w:tcPr>
          <w:p>
            <w:pPr>
              <w:ind w:left="560"/>
              <w:spacing w:after="0"/>
              <w:rPr>
                <w:sz w:val="20"/>
                <w:szCs w:val="20"/>
                <w:color w:val="auto"/>
              </w:rPr>
            </w:pPr>
            <w:r>
              <w:rPr>
                <w:rFonts w:ascii="Arial" w:cs="Arial" w:eastAsia="Arial" w:hAnsi="Arial"/>
                <w:sz w:val="18"/>
                <w:szCs w:val="18"/>
                <w:color w:val="auto"/>
              </w:rPr>
              <w:t>January 31, 2019.</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20" w:type="dxa"/>
            <w:vAlign w:val="bottom"/>
            <w:gridSpan w:val="4"/>
          </w:tcPr>
          <w:p>
            <w:pPr>
              <w:ind w:left="560"/>
              <w:spacing w:after="0"/>
              <w:rPr>
                <w:sz w:val="20"/>
                <w:szCs w:val="20"/>
                <w:color w:val="auto"/>
              </w:rPr>
            </w:pPr>
            <w:r>
              <w:rPr>
                <w:rFonts w:ascii="Arial" w:cs="Arial" w:eastAsia="Arial" w:hAnsi="Arial"/>
                <w:sz w:val="18"/>
                <w:szCs w:val="18"/>
                <w:color w:val="auto"/>
              </w:rPr>
              <w:t>Amended and Restated License Agreement by and between the registrant and New York University, dated July 9, 2018.</w:t>
            </w: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40" w:type="dxa"/>
            <w:vAlign w:val="bottom"/>
            <w:gridSpan w:val="3"/>
          </w:tcPr>
          <w:p>
            <w:pPr>
              <w:ind w:left="4680"/>
              <w:spacing w:after="0"/>
              <w:rPr>
                <w:sz w:val="20"/>
                <w:szCs w:val="20"/>
                <w:color w:val="auto"/>
              </w:rPr>
            </w:pPr>
            <w:r>
              <w:rPr>
                <w:rFonts w:ascii="Arial" w:cs="Arial" w:eastAsia="Arial" w:hAnsi="Arial"/>
                <w:sz w:val="18"/>
                <w:szCs w:val="18"/>
                <w:color w:val="auto"/>
              </w:rPr>
              <w:t>II-3</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16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6860" w:type="dxa"/>
            <w:vAlign w:val="bottom"/>
            <w:gridSpan w:val="3"/>
          </w:tcPr>
          <w:p>
            <w:pPr>
              <w:ind w:left="76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6860" w:type="dxa"/>
            <w:vAlign w:val="bottom"/>
            <w:gridSpan w:val="3"/>
          </w:tcPr>
          <w:p>
            <w:pPr>
              <w:ind w:left="760"/>
              <w:spacing w:after="0"/>
              <w:rPr>
                <w:sz w:val="20"/>
                <w:szCs w:val="20"/>
                <w:color w:val="auto"/>
              </w:rPr>
            </w:pPr>
            <w:r>
              <w:rPr>
                <w:rFonts w:ascii="Arial" w:cs="Arial" w:eastAsia="Arial" w:hAnsi="Arial"/>
                <w:sz w:val="18"/>
                <w:szCs w:val="18"/>
                <w:color w:val="auto"/>
                <w:w w:val="91"/>
              </w:rPr>
              <w:t>Consent of Ernst &amp; Young LLP, an Independent Registered Public Accounting Firm.</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6860" w:type="dxa"/>
            <w:vAlign w:val="bottom"/>
            <w:gridSpan w:val="3"/>
          </w:tcPr>
          <w:p>
            <w:pPr>
              <w:ind w:left="760"/>
              <w:spacing w:after="0"/>
              <w:rPr>
                <w:sz w:val="20"/>
                <w:szCs w:val="20"/>
                <w:color w:val="auto"/>
              </w:rPr>
            </w:pPr>
            <w:r>
              <w:rPr>
                <w:rFonts w:ascii="Arial" w:cs="Arial" w:eastAsia="Arial" w:hAnsi="Arial"/>
                <w:sz w:val="18"/>
                <w:szCs w:val="18"/>
                <w:color w:val="auto"/>
              </w:rPr>
              <w:t>Consent of Stikeman Elliott LLP (included in Exhibit 5.1).</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6860" w:type="dxa"/>
            <w:vAlign w:val="bottom"/>
            <w:gridSpan w:val="3"/>
          </w:tcPr>
          <w:p>
            <w:pPr>
              <w:ind w:left="760"/>
              <w:spacing w:after="0"/>
              <w:rPr>
                <w:sz w:val="20"/>
                <w:szCs w:val="20"/>
                <w:color w:val="auto"/>
              </w:rPr>
            </w:pPr>
            <w:r>
              <w:rPr>
                <w:rFonts w:ascii="Arial" w:cs="Arial" w:eastAsia="Arial" w:hAnsi="Arial"/>
                <w:sz w:val="18"/>
                <w:szCs w:val="18"/>
                <w:color w:val="auto"/>
                <w:w w:val="94"/>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460" w:right="160" w:hanging="452"/>
        <w:spacing w:after="0" w:line="250"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would likely cause competitive harm to Repare Therapeutics Inc. if publicly disclosed.</w:t>
      </w:r>
    </w:p>
    <w:p>
      <w:pPr>
        <w:spacing w:after="0" w:line="1" w:lineRule="exact"/>
        <w:rPr>
          <w:sz w:val="20"/>
          <w:szCs w:val="20"/>
          <w:color w:val="auto"/>
        </w:rPr>
      </w:pPr>
    </w:p>
    <w:p>
      <w:pPr>
        <w:ind w:left="460" w:right="500" w:hanging="452"/>
        <w:spacing w:after="0" w:line="260" w:lineRule="auto"/>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Certain schedules and exhibits to this exhibit have been omitted pursuant to Item 601(a)(5) of Regulation S-K. A copy of any omitted schedule and/or exhibit will be furnished to the SEC upon request.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00" w:right="60" w:hanging="357"/>
        <w:spacing w:after="0" w:line="291" w:lineRule="auto"/>
        <w:tabs>
          <w:tab w:leader="none" w:pos="10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20" w:hanging="357"/>
        <w:spacing w:after="0" w:line="263"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r>
              <w:rPr>
                <w:rFonts w:ascii="Arial" w:cs="Arial" w:eastAsia="Arial" w:hAnsi="Arial"/>
                <w:sz w:val="18"/>
                <w:szCs w:val="18"/>
                <w:color w:val="auto"/>
                <w:w w:val="96"/>
              </w:rPr>
              <w:t>behalf by the undersigned, thereunto duly authorized, in the City of Montréal, Province of Québec, Canada on</w:t>
            </w:r>
          </w:p>
        </w:tc>
        <w:tc>
          <w:tcPr>
            <w:tcW w:w="100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1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Lloyd M. Segal and Steve Forte,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spacing w:after="0" w:line="18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Lloyd M. Segal</w:t>
            </w:r>
          </w:p>
        </w:tc>
        <w:tc>
          <w:tcPr>
            <w:tcW w:w="120" w:type="dxa"/>
            <w:vAlign w:val="bottom"/>
          </w:tcPr>
          <w:p>
            <w:pPr>
              <w:spacing w:after="0"/>
              <w:rPr>
                <w:sz w:val="19"/>
                <w:szCs w:val="19"/>
                <w:color w:val="auto"/>
              </w:rPr>
            </w:pPr>
          </w:p>
        </w:tc>
        <w:tc>
          <w:tcPr>
            <w:tcW w:w="56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(Principal Executive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Chief Financial Officer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Steve Forte</w:t>
            </w:r>
          </w:p>
        </w:tc>
        <w:tc>
          <w:tcPr>
            <w:tcW w:w="120" w:type="dxa"/>
            <w:vAlign w:val="bottom"/>
          </w:tcPr>
          <w:p>
            <w:pPr>
              <w:spacing w:after="0"/>
              <w:rPr>
                <w:sz w:val="19"/>
                <w:szCs w:val="19"/>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Jerel Davis,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David Bonita,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Todd Foley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425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Samarth Kulkarni, Ph.D.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9"/>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4257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Briggs Morrison, M.D.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spacing w:after="0"/>
              <w:rPr>
                <w:sz w:val="20"/>
                <w:szCs w:val="20"/>
                <w:color w:val="auto"/>
              </w:rPr>
            </w:pPr>
          </w:p>
        </w:tc>
        <w:tc>
          <w:tcPr>
            <w:tcW w:w="4920" w:type="dxa"/>
            <w:vAlign w:val="bottom"/>
          </w:tcPr>
          <w:p>
            <w:pPr>
              <w:ind w:left="2520"/>
              <w:spacing w:after="0"/>
              <w:rPr>
                <w:sz w:val="20"/>
                <w:szCs w:val="20"/>
                <w:color w:val="auto"/>
              </w:rPr>
            </w:pPr>
            <w:r>
              <w:rPr>
                <w:rFonts w:ascii="Arial" w:cs="Arial" w:eastAsia="Arial" w:hAnsi="Arial"/>
                <w:sz w:val="18"/>
                <w:szCs w:val="18"/>
                <w:color w:val="auto"/>
              </w:rPr>
              <w:t>Director</w:t>
            </w:r>
          </w:p>
        </w:tc>
        <w:tc>
          <w:tcPr>
            <w:tcW w:w="224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Kevin J. Raidy</w:t>
            </w:r>
          </w:p>
        </w:tc>
        <w:tc>
          <w:tcPr>
            <w:tcW w:w="49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4920" w:type="dxa"/>
            <w:vAlign w:val="bottom"/>
          </w:tcPr>
          <w:p>
            <w:pPr>
              <w:ind w:left="2520"/>
              <w:spacing w:after="0"/>
              <w:rPr>
                <w:sz w:val="20"/>
                <w:szCs w:val="20"/>
                <w:color w:val="auto"/>
              </w:rPr>
            </w:pPr>
            <w:r>
              <w:rPr>
                <w:rFonts w:ascii="Arial" w:cs="Arial" w:eastAsia="Arial" w:hAnsi="Arial"/>
                <w:sz w:val="18"/>
                <w:szCs w:val="18"/>
                <w:color w:val="auto"/>
              </w:rPr>
              <w:t>Director</w:t>
            </w:r>
          </w:p>
        </w:tc>
        <w:tc>
          <w:tcPr>
            <w:tcW w:w="224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Carol A. Schafer</w:t>
            </w:r>
          </w:p>
        </w:tc>
        <w:tc>
          <w:tcPr>
            <w:tcW w:w="492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Securities Act, the undersigned, the duly authorized representative in the United States of the registrant has signed this registration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statement or amendment thereto on the</w:t>
            </w:r>
          </w:p>
        </w:tc>
        <w:tc>
          <w:tcPr>
            <w:tcW w:w="1240" w:type="dxa"/>
            <w:vAlign w:val="bottom"/>
          </w:tcPr>
          <w:p>
            <w:pPr>
              <w:ind w:left="400"/>
              <w:spacing w:after="0"/>
              <w:rPr>
                <w:sz w:val="20"/>
                <w:szCs w:val="20"/>
                <w:color w:val="auto"/>
              </w:rPr>
            </w:pPr>
            <w:r>
              <w:rPr>
                <w:rFonts w:ascii="Arial" w:cs="Arial" w:eastAsia="Arial" w:hAnsi="Arial"/>
                <w:sz w:val="18"/>
                <w:szCs w:val="18"/>
                <w:color w:val="auto"/>
              </w:rPr>
              <w:t>day of</w:t>
            </w:r>
          </w:p>
        </w:tc>
        <w:tc>
          <w:tcPr>
            <w:tcW w:w="2760" w:type="dxa"/>
            <w:vAlign w:val="bottom"/>
          </w:tcPr>
          <w:p>
            <w:pPr>
              <w:jc w:val="right"/>
              <w:ind w:right="1790"/>
              <w:spacing w:after="0"/>
              <w:rPr>
                <w:sz w:val="20"/>
                <w:szCs w:val="20"/>
                <w:color w:val="auto"/>
              </w:rPr>
            </w:pPr>
            <w:r>
              <w:rPr>
                <w:rFonts w:ascii="Arial" w:cs="Arial" w:eastAsia="Arial" w:hAnsi="Arial"/>
                <w:sz w:val="18"/>
                <w:szCs w:val="18"/>
                <w:color w:val="auto"/>
              </w:rPr>
              <w:t>, 2020.</w:t>
            </w:r>
          </w:p>
        </w:tc>
        <w:tc>
          <w:tcPr>
            <w:tcW w:w="4020" w:type="dxa"/>
            <w:vAlign w:val="bottom"/>
          </w:tcPr>
          <w:p>
            <w:pPr>
              <w:spacing w:after="0"/>
              <w:rPr>
                <w:sz w:val="20"/>
                <w:szCs w:val="20"/>
                <w:color w:val="auto"/>
              </w:rPr>
            </w:pPr>
          </w:p>
        </w:tc>
      </w:tr>
      <w:tr>
        <w:trPr>
          <w:trHeight w:val="445"/>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ind w:left="2300"/>
              <w:spacing w:after="0"/>
              <w:rPr>
                <w:sz w:val="20"/>
                <w:szCs w:val="20"/>
                <w:color w:val="auto"/>
              </w:rPr>
            </w:pPr>
            <w:r>
              <w:rPr>
                <w:rFonts w:ascii="Arial" w:cs="Arial" w:eastAsia="Arial" w:hAnsi="Arial"/>
                <w:sz w:val="18"/>
                <w:szCs w:val="18"/>
                <w:color w:val="auto"/>
              </w:rPr>
              <w:t>REPARE THERAPEUTICS USA INC.</w:t>
            </w:r>
          </w:p>
        </w:tc>
      </w:tr>
      <w:tr>
        <w:trPr>
          <w:trHeight w:val="432"/>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ind w:left="2300"/>
              <w:spacing w:after="0"/>
              <w:rPr>
                <w:sz w:val="20"/>
                <w:szCs w:val="20"/>
                <w:color w:val="auto"/>
              </w:rPr>
            </w:pPr>
            <w:r>
              <w:rPr>
                <w:rFonts w:ascii="Arial" w:cs="Arial" w:eastAsia="Arial" w:hAnsi="Arial"/>
                <w:sz w:val="18"/>
                <w:szCs w:val="18"/>
                <w:color w:val="auto"/>
              </w:rPr>
              <w:t>By:</w:t>
            </w:r>
          </w:p>
        </w:tc>
      </w:tr>
      <w:tr>
        <w:trPr>
          <w:trHeight w:val="209"/>
        </w:trPr>
        <w:tc>
          <w:tcPr>
            <w:tcW w:w="3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r>
      <w:tr>
        <w:trPr>
          <w:trHeight w:val="230"/>
        </w:trPr>
        <w:tc>
          <w:tcPr>
            <w:tcW w:w="3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4"/>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ind w:left="102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240"/>
          </w:cols>
          <w:pgMar w:left="320" w:top="459"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171450</wp:posOffset>
            </wp:positionV>
            <wp:extent cx="2177415" cy="6858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7741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PRIVATE AND CONFIDENTIAL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21,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Katina Dorton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Katina:</w:t>
      </w:r>
    </w:p>
    <w:p>
      <w:pPr>
        <w:spacing w:after="0" w:line="113" w:lineRule="exact"/>
        <w:rPr>
          <w:sz w:val="20"/>
          <w:szCs w:val="20"/>
          <w:color w:val="auto"/>
        </w:rPr>
      </w:pPr>
    </w:p>
    <w:p>
      <w:pPr>
        <w:ind w:left="4" w:right="180"/>
        <w:spacing w:after="0" w:line="261" w:lineRule="auto"/>
        <w:rPr>
          <w:sz w:val="20"/>
          <w:szCs w:val="20"/>
          <w:color w:val="auto"/>
        </w:rPr>
      </w:pPr>
      <w:r>
        <w:rPr>
          <w:rFonts w:ascii="Arial" w:cs="Arial" w:eastAsia="Arial" w:hAnsi="Arial"/>
          <w:sz w:val="18"/>
          <w:szCs w:val="18"/>
          <w:color w:val="auto"/>
        </w:rPr>
        <w:t>In accordance with our conversation on October 8, 2019, this letter (“</w:t>
      </w:r>
      <w:r>
        <w:rPr>
          <w:rFonts w:ascii="Arial" w:cs="Arial" w:eastAsia="Arial" w:hAnsi="Arial"/>
          <w:sz w:val="18"/>
          <w:szCs w:val="18"/>
          <w:b w:val="1"/>
          <w:bCs w:val="1"/>
          <w:color w:val="auto"/>
        </w:rPr>
        <w:t>Separation Agreement</w:t>
      </w:r>
      <w:r>
        <w:rPr>
          <w:rFonts w:ascii="Arial" w:cs="Arial" w:eastAsia="Arial" w:hAnsi="Arial"/>
          <w:sz w:val="18"/>
          <w:szCs w:val="18"/>
          <w:color w:val="auto"/>
        </w:rPr>
        <w:t>”) will confirm the decision of Repare Therapeutics USA Inc. (the “</w:t>
      </w:r>
      <w:r>
        <w:rPr>
          <w:rFonts w:ascii="Arial" w:cs="Arial" w:eastAsia="Arial" w:hAnsi="Arial"/>
          <w:sz w:val="18"/>
          <w:szCs w:val="18"/>
          <w:b w:val="1"/>
          <w:bCs w:val="1"/>
          <w:color w:val="auto"/>
        </w:rPr>
        <w:t>Company</w:t>
      </w:r>
      <w:r>
        <w:rPr>
          <w:rFonts w:ascii="Arial" w:cs="Arial" w:eastAsia="Arial" w:hAnsi="Arial"/>
          <w:sz w:val="18"/>
          <w:szCs w:val="18"/>
          <w:color w:val="auto"/>
        </w:rPr>
        <w:t>”) to terminate your employment effective October 10, 2019 (the “</w:t>
      </w:r>
      <w:r>
        <w:rPr>
          <w:rFonts w:ascii="Arial" w:cs="Arial" w:eastAsia="Arial" w:hAnsi="Arial"/>
          <w:sz w:val="18"/>
          <w:szCs w:val="18"/>
          <w:b w:val="1"/>
          <w:bCs w:val="1"/>
          <w:color w:val="auto"/>
        </w:rPr>
        <w:t>Separation Date</w:t>
      </w:r>
      <w:r>
        <w:rPr>
          <w:rFonts w:ascii="Arial" w:cs="Arial" w:eastAsia="Arial" w:hAnsi="Arial"/>
          <w:sz w:val="18"/>
          <w:szCs w:val="18"/>
          <w:color w:val="auto"/>
        </w:rPr>
        <w:t>”) and replaces the letter provided to you on October 8, 2019. Capitalized terms used herein but not otherwise defined have the meaning ascribed to such term in your employment agreement with the Company dated March 25, 2019 (the “</w:t>
      </w:r>
      <w:r>
        <w:rPr>
          <w:rFonts w:ascii="Arial" w:cs="Arial" w:eastAsia="Arial" w:hAnsi="Arial"/>
          <w:sz w:val="18"/>
          <w:szCs w:val="18"/>
          <w:b w:val="1"/>
          <w:bCs w:val="1"/>
          <w:color w:val="auto"/>
        </w:rPr>
        <w:t>Employment Agreement</w:t>
      </w:r>
      <w:r>
        <w:rPr>
          <w:rFonts w:ascii="Arial" w:cs="Arial" w:eastAsia="Arial" w:hAnsi="Arial"/>
          <w:sz w:val="18"/>
          <w:szCs w:val="18"/>
          <w:color w:val="auto"/>
        </w:rPr>
        <w:t>”).</w:t>
      </w:r>
    </w:p>
    <w:p>
      <w:pPr>
        <w:spacing w:after="0" w:line="184"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All unpaid base salary as of the Separation Date was paid to you on October 18, 2019. All unused accrued vacation (in respect of 7 accrued but unused vacation days) as of the Separation Date will be paid to you on November 1, 2019. Please submit all outstanding business expenses, if any, and Temporary Living Expenses for reimbursement as soon as reasonably practicable following your return from your scheduled vacation abroad on or about October 29, 2019.</w:t>
      </w:r>
    </w:p>
    <w:p>
      <w:pPr>
        <w:spacing w:after="0" w:line="88" w:lineRule="exact"/>
        <w:rPr>
          <w:sz w:val="20"/>
          <w:szCs w:val="20"/>
          <w:color w:val="auto"/>
        </w:rPr>
      </w:pPr>
    </w:p>
    <w:p>
      <w:pPr>
        <w:ind w:left="424" w:hanging="424"/>
        <w:spacing w:after="0"/>
        <w:tabs>
          <w:tab w:leader="none" w:pos="424"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Separation Payments and Benefits</w:t>
      </w:r>
      <w:r>
        <w:rPr>
          <w:rFonts w:ascii="Arial" w:cs="Arial" w:eastAsia="Arial" w:hAnsi="Arial"/>
          <w:sz w:val="17"/>
          <w:szCs w:val="17"/>
          <w:color w:val="auto"/>
        </w:rPr>
        <w:t>. As consideration for you signing this Separation Agreement and the attached full and final release:</w:t>
      </w:r>
    </w:p>
    <w:p>
      <w:pPr>
        <w:spacing w:after="0" w:line="146" w:lineRule="exact"/>
        <w:rPr>
          <w:rFonts w:ascii="Arial" w:cs="Arial" w:eastAsia="Arial" w:hAnsi="Arial"/>
          <w:sz w:val="17"/>
          <w:szCs w:val="17"/>
          <w:color w:val="auto"/>
        </w:rPr>
      </w:pPr>
    </w:p>
    <w:p>
      <w:pPr>
        <w:ind w:left="964" w:right="20" w:hanging="532"/>
        <w:spacing w:after="0" w:line="263" w:lineRule="auto"/>
        <w:tabs>
          <w:tab w:leader="none" w:pos="96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Subject to the conditions set forth in this Separation Agreement, the Company will pay you a Severance Amount of $354,375, reduced dollar-for-dollar by the fees paid to you during the consulting period referenced in the attached Independent Contractor Agreement dated of even date herewith.</w:t>
      </w:r>
    </w:p>
    <w:p>
      <w:pPr>
        <w:spacing w:after="0" w:line="89" w:lineRule="exact"/>
        <w:rPr>
          <w:rFonts w:ascii="Arial" w:cs="Arial" w:eastAsia="Arial" w:hAnsi="Arial"/>
          <w:sz w:val="18"/>
          <w:szCs w:val="18"/>
          <w:color w:val="auto"/>
        </w:rPr>
      </w:pPr>
    </w:p>
    <w:p>
      <w:pPr>
        <w:ind w:left="964" w:right="140" w:hanging="532"/>
        <w:spacing w:after="0" w:line="272" w:lineRule="auto"/>
        <w:tabs>
          <w:tab w:leader="none" w:pos="96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Subject to the conditions set forth in this Separation Agreement and in accordance with section 6.2(c) of your Employment Agreement, if you timely elect COBRA health continuation coverage, then the Company will pay you a monthly cash payment equal to the monthly (or more frequent) employer contribution that the Company would have made to provide health insurance to you under the Company’s group health plan had you remained employed with the Company for nine months or your COBRA health continuation period, whichever ends earlier. This monthly payment in respect of medical and dental benefits is $1,798.98 and the monthly payment for vision benefits is currently estimated at $10 and the actual amount will be communicated to you after the Company receives an invoice for its employer contributions that includes you as a participant in the vision benefits plan.</w:t>
      </w:r>
    </w:p>
    <w:p>
      <w:pPr>
        <w:sectPr>
          <w:pgSz w:w="11900" w:h="16838" w:orient="portrait"/>
          <w:cols w:equalWidth="0" w:num="1">
            <w:col w:w="11024"/>
          </w:cols>
          <w:pgMar w:left="436" w:top="121" w:right="439" w:bottom="1440" w:gutter="0" w:footer="0" w:header="0"/>
        </w:sectPr>
      </w:pPr>
    </w:p>
    <w:bookmarkStart w:id="267" w:name="page268"/>
    <w:bookmarkEnd w:id="267"/>
    <w:p>
      <w:pPr>
        <w:ind w:left="964" w:right="140" w:hanging="532"/>
        <w:spacing w:after="0" w:line="259" w:lineRule="auto"/>
        <w:tabs>
          <w:tab w:leader="none" w:pos="964"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amounts payable under (a) and (b) above will be paid in substantially equal installments in accordance with the Company’s payroll practices over nine months following the Separation Date. The first installment will be made on the first payroll date following the expiration of the Revocation Period (as defined in the attached release) and will include a catch-up payment to cover amounts retroactive to the day immediately following the Separation Date.</w:t>
      </w:r>
    </w:p>
    <w:p>
      <w:pPr>
        <w:spacing w:after="0" w:line="92"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Subject to the conditions set forth in this Separation Agreement and in accordance with section 6.2(b) of your Employment Agreement and the terms of your option grant agreement, 393,750 of your 1,350,000 stock options to acquire common shares of Repare Therapeutics Inc. (“</w:t>
      </w:r>
      <w:r>
        <w:rPr>
          <w:rFonts w:ascii="Arial" w:cs="Arial" w:eastAsia="Arial" w:hAnsi="Arial"/>
          <w:sz w:val="18"/>
          <w:szCs w:val="18"/>
          <w:b w:val="1"/>
          <w:bCs w:val="1"/>
          <w:color w:val="auto"/>
        </w:rPr>
        <w:t>Repare</w:t>
      </w:r>
      <w:r>
        <w:rPr>
          <w:rFonts w:ascii="Arial" w:cs="Arial" w:eastAsia="Arial" w:hAnsi="Arial"/>
          <w:sz w:val="18"/>
          <w:szCs w:val="18"/>
          <w:color w:val="auto"/>
        </w:rPr>
        <w:t>”) will become immediately vested and remain exercisable for six months following the Separation Date. The remaining 956,250 stock options will immediately be forfeited on the Separation Date. The exercise of vested stock options is subject to the terms and conditions of the Repare Therapeutics Inc. Option Plan, including the requirement to agree to be bound by Repare’s shareholders agreement.</w:t>
      </w:r>
    </w:p>
    <w:p>
      <w:pPr>
        <w:spacing w:after="0" w:line="93"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Group Benefits</w:t>
      </w:r>
      <w:r>
        <w:rPr>
          <w:rFonts w:ascii="Arial" w:cs="Arial" w:eastAsia="Arial" w:hAnsi="Arial"/>
          <w:sz w:val="17"/>
          <w:szCs w:val="17"/>
          <w:color w:val="auto"/>
        </w:rPr>
        <w:t>. All group benefit coverage will cease on the Separation Date. You will be provided with information regarding COBRA health</w:t>
      </w:r>
      <w:r>
        <w:rPr>
          <w:rFonts w:ascii="Arial" w:cs="Arial" w:eastAsia="Arial" w:hAnsi="Arial"/>
          <w:sz w:val="17"/>
          <w:szCs w:val="17"/>
          <w:b w:val="1"/>
          <w:bCs w:val="1"/>
          <w:color w:val="auto"/>
        </w:rPr>
        <w:t xml:space="preserve"> </w:t>
      </w:r>
      <w:r>
        <w:rPr>
          <w:rFonts w:ascii="Arial" w:cs="Arial" w:eastAsia="Arial" w:hAnsi="Arial"/>
          <w:sz w:val="17"/>
          <w:szCs w:val="17"/>
          <w:color w:val="auto"/>
        </w:rPr>
        <w:t>continuation coverage. If you wish, you may exercise conversion options, at your own expense, to convert some of your group coverage to an individual policy when your group coverage ends. You should contact [NAME] at [PHONE NUMBER] immediately for details regarding this conversion option, as there may be time limits for these conversion options. The Company recommends that you take whatever steps you feel appropriate to obtain replacement benefit coverage when your existing coverage expires.</w:t>
      </w:r>
    </w:p>
    <w:p>
      <w:pPr>
        <w:spacing w:after="0" w:line="73" w:lineRule="exact"/>
        <w:rPr>
          <w:rFonts w:ascii="Arial" w:cs="Arial" w:eastAsia="Arial" w:hAnsi="Arial"/>
          <w:sz w:val="17"/>
          <w:szCs w:val="17"/>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You acknowledge and agree that you do not qualify for an Annual Bonus for 2019.</w:t>
      </w:r>
    </w:p>
    <w:p>
      <w:pPr>
        <w:spacing w:after="0" w:line="130" w:lineRule="exact"/>
        <w:rPr>
          <w:rFonts w:ascii="Arial" w:cs="Arial" w:eastAsia="Arial" w:hAnsi="Arial"/>
          <w:sz w:val="18"/>
          <w:szCs w:val="18"/>
          <w:color w:val="auto"/>
        </w:rPr>
      </w:pPr>
    </w:p>
    <w:p>
      <w:pPr>
        <w:ind w:left="424" w:right="380" w:hanging="424"/>
        <w:spacing w:after="0" w:line="282"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The Company will continue to provide you with directors’ and officers’ liability insurance coverage and indemnification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4.9 of your Employment Agreement.</w:t>
      </w:r>
    </w:p>
    <w:p>
      <w:pPr>
        <w:spacing w:after="0" w:line="67" w:lineRule="exact"/>
        <w:rPr>
          <w:rFonts w:ascii="Arial" w:cs="Arial" w:eastAsia="Arial" w:hAnsi="Arial"/>
          <w:sz w:val="18"/>
          <w:szCs w:val="18"/>
          <w:color w:val="auto"/>
        </w:rPr>
      </w:pPr>
    </w:p>
    <w:p>
      <w:pPr>
        <w:ind w:left="424" w:right="40" w:hanging="424"/>
        <w:spacing w:after="0" w:line="282"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Tax Equalization Payments</w:t>
      </w:r>
      <w:r>
        <w:rPr>
          <w:rFonts w:ascii="Arial" w:cs="Arial" w:eastAsia="Arial" w:hAnsi="Arial"/>
          <w:sz w:val="18"/>
          <w:szCs w:val="18"/>
          <w:color w:val="auto"/>
        </w:rPr>
        <w:t>. You will be entitled to receive tax equalization payments, to the extent applicable, in accordance with section 4.6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Employment Agreement.</w:t>
      </w:r>
    </w:p>
    <w:p>
      <w:pPr>
        <w:spacing w:after="0" w:line="67" w:lineRule="exact"/>
        <w:rPr>
          <w:rFonts w:ascii="Arial" w:cs="Arial" w:eastAsia="Arial" w:hAnsi="Arial"/>
          <w:sz w:val="18"/>
          <w:szCs w:val="18"/>
          <w:color w:val="auto"/>
        </w:rPr>
      </w:pPr>
    </w:p>
    <w:p>
      <w:pPr>
        <w:ind w:left="424" w:right="340" w:hanging="424"/>
        <w:spacing w:after="0" w:line="314" w:lineRule="auto"/>
        <w:tabs>
          <w:tab w:leader="none" w:pos="424"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You shall promptly return all Company property, including computer and other electronic equipment, keys or</w:t>
      </w:r>
      <w:r>
        <w:rPr>
          <w:rFonts w:ascii="Arial" w:cs="Arial" w:eastAsia="Arial" w:hAnsi="Arial"/>
          <w:sz w:val="16"/>
          <w:szCs w:val="16"/>
          <w:b w:val="1"/>
          <w:bCs w:val="1"/>
          <w:color w:val="auto"/>
        </w:rPr>
        <w:t xml:space="preserve"> </w:t>
      </w:r>
      <w:r>
        <w:rPr>
          <w:rFonts w:ascii="Arial" w:cs="Arial" w:eastAsia="Arial" w:hAnsi="Arial"/>
          <w:sz w:val="16"/>
          <w:szCs w:val="16"/>
          <w:color w:val="auto"/>
        </w:rPr>
        <w:t>passes, literature, files and other documentation, software, and passwords as soon as reasonably practicable following your return from a scheduled vacation on or about October 29, 2019. The Company will provide you with an electronic copy of your calendar and contact list.</w:t>
      </w:r>
    </w:p>
    <w:p>
      <w:pPr>
        <w:spacing w:after="0" w:line="47" w:lineRule="exact"/>
        <w:rPr>
          <w:rFonts w:ascii="Arial" w:cs="Arial" w:eastAsia="Arial" w:hAnsi="Arial"/>
          <w:sz w:val="16"/>
          <w:szCs w:val="16"/>
          <w:color w:val="auto"/>
        </w:rPr>
      </w:pPr>
    </w:p>
    <w:p>
      <w:pPr>
        <w:ind w:left="424" w:right="80" w:hanging="424"/>
        <w:spacing w:after="0" w:line="261" w:lineRule="auto"/>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Post-Employment Covenants</w:t>
      </w:r>
      <w:r>
        <w:rPr>
          <w:rFonts w:ascii="Arial" w:cs="Arial" w:eastAsia="Arial" w:hAnsi="Arial"/>
          <w:sz w:val="18"/>
          <w:szCs w:val="18"/>
          <w:color w:val="auto"/>
        </w:rPr>
        <w:t>. You acknowledge and agree that you will continue to be subject to post-employment obligations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non-solicitation and non-disparagement set forth in sections 10, 11 and 13 of your Employment Agreement and that the remedies set forth in section 6.2(a) and 15 of your Employment Agreement will continue to be available to the Company. The Company acknowledges and agrees that it</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2"/>
          <w:numId w:val="15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84"/>
          </w:cols>
          <w:pgMar w:left="436" w:top="274" w:right="479" w:bottom="1440" w:gutter="0" w:footer="0" w:header="0"/>
        </w:sectPr>
      </w:pPr>
    </w:p>
    <w:bookmarkStart w:id="268" w:name="page269"/>
    <w:bookmarkEnd w:id="268"/>
    <w:p>
      <w:pPr>
        <w:ind w:left="42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continue to be subject to the non-disparagement obligations set forth in section 13 of your Employment Agreement and, to the extent that the Company (either publicly or through statements of its Chief Executive Officer or other members of the Board of Directors) makes any statement to internal or external parties concerning your employment with the Company (including with respect to any requests for references from other potential employers), such statement shall be consistent with the prior written messaging by the Chief Executive Officer to the Company’s employees on October 10, 2019. Subject to the Company’s non-disparagement obligations, nothing herein shall restrict the Company’s ability to disclose the terms of this Agreement as may be required or as determined in good faith to be necessary in the Company’s normal course of business, including in any securities disclosures or to third parties provided such third parties adhere to reasonable and customary obligations of confidentiality and non-disclosure. In addition, you agree to keep the terms of this letter in strict confidence and not disclose any of its terms to any person or corporation, except that you may disclose the terms of this Agreement to your immediate family, your lawyer, accountant, or as may be required by law or as necessary to enforce the terms hereof, and you agree that you shall be responsible for ensuring that these individuals adhere to similar obligations of confidentiality and non-disclosure..</w:t>
      </w:r>
    </w:p>
    <w:p>
      <w:pPr>
        <w:spacing w:after="0" w:line="83" w:lineRule="exact"/>
        <w:rPr>
          <w:sz w:val="20"/>
          <w:szCs w:val="20"/>
          <w:color w:val="auto"/>
        </w:rPr>
      </w:pPr>
    </w:p>
    <w:p>
      <w:pPr>
        <w:ind w:left="424" w:right="60" w:hanging="424"/>
        <w:spacing w:after="0" w:line="282"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Cooperation</w:t>
      </w:r>
      <w:r>
        <w:rPr>
          <w:rFonts w:ascii="Arial" w:cs="Arial" w:eastAsia="Arial" w:hAnsi="Arial"/>
          <w:sz w:val="18"/>
          <w:szCs w:val="18"/>
          <w:color w:val="auto"/>
        </w:rPr>
        <w:t>. You agree to cooperate with the Company following your Separation Date as set forth in section 9 of your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also agree to enter into the consulting agreement attached as schedule B hereto.</w:t>
      </w:r>
    </w:p>
    <w:p>
      <w:pPr>
        <w:spacing w:after="0" w:line="67" w:lineRule="exact"/>
        <w:rPr>
          <w:rFonts w:ascii="Arial" w:cs="Arial" w:eastAsia="Arial" w:hAnsi="Arial"/>
          <w:sz w:val="18"/>
          <w:szCs w:val="18"/>
          <w:color w:val="auto"/>
        </w:rPr>
      </w:pPr>
    </w:p>
    <w:p>
      <w:pPr>
        <w:ind w:left="424" w:right="160" w:hanging="424"/>
        <w:spacing w:after="0" w:line="282"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Statutory Compliance</w:t>
      </w:r>
      <w:r>
        <w:rPr>
          <w:rFonts w:ascii="Arial" w:cs="Arial" w:eastAsia="Arial" w:hAnsi="Arial"/>
          <w:sz w:val="18"/>
          <w:szCs w:val="18"/>
          <w:color w:val="auto"/>
        </w:rPr>
        <w:t>. All payments under this Separation Agreement are expressed in United States currency and subject to 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and statutory or authorized deductions.</w:t>
      </w:r>
    </w:p>
    <w:p>
      <w:pPr>
        <w:spacing w:after="0" w:line="67" w:lineRule="exact"/>
        <w:rPr>
          <w:rFonts w:ascii="Arial" w:cs="Arial" w:eastAsia="Arial" w:hAnsi="Arial"/>
          <w:sz w:val="18"/>
          <w:szCs w:val="18"/>
          <w:color w:val="auto"/>
        </w:rPr>
      </w:pPr>
    </w:p>
    <w:p>
      <w:pPr>
        <w:ind w:left="424" w:right="360" w:hanging="424"/>
        <w:spacing w:after="0" w:line="282"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No Admission of Liability</w:t>
      </w:r>
      <w:r>
        <w:rPr>
          <w:rFonts w:ascii="Arial" w:cs="Arial" w:eastAsia="Arial" w:hAnsi="Arial"/>
          <w:sz w:val="18"/>
          <w:szCs w:val="18"/>
          <w:color w:val="auto"/>
        </w:rPr>
        <w:t>. You understand and agree that nothing in this Separation Agreement or in the attached release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admission of liability on the part of the Company, and, in fact, such liability is specifically denied.</w:t>
      </w:r>
    </w:p>
    <w:p>
      <w:pPr>
        <w:spacing w:after="0" w:line="67" w:lineRule="exact"/>
        <w:rPr>
          <w:rFonts w:ascii="Arial" w:cs="Arial" w:eastAsia="Arial" w:hAnsi="Arial"/>
          <w:sz w:val="18"/>
          <w:szCs w:val="18"/>
          <w:color w:val="auto"/>
        </w:rPr>
      </w:pPr>
    </w:p>
    <w:p>
      <w:pPr>
        <w:ind w:left="424" w:hanging="424"/>
        <w:spacing w:after="0" w:line="266"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Release Form</w:t>
      </w:r>
      <w:r>
        <w:rPr>
          <w:rFonts w:ascii="Arial" w:cs="Arial" w:eastAsia="Arial" w:hAnsi="Arial"/>
          <w:sz w:val="18"/>
          <w:szCs w:val="18"/>
          <w:color w:val="auto"/>
        </w:rPr>
        <w:t>. All payments and benefits set forth in paragraph 1 of this Separation Agreement are conditional upon you signing, in the presence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 witness, a copy of both this Separation Agreement and the full and final release attached as Schedule A and returning original signed copies of both to me by no later than 5:00 PM on November 11, 2019.</w:t>
      </w:r>
    </w:p>
    <w:p>
      <w:pPr>
        <w:spacing w:after="0" w:line="81" w:lineRule="exact"/>
        <w:rPr>
          <w:rFonts w:ascii="Arial" w:cs="Arial" w:eastAsia="Arial" w:hAnsi="Arial"/>
          <w:sz w:val="18"/>
          <w:szCs w:val="18"/>
          <w:color w:val="auto"/>
        </w:rPr>
      </w:pPr>
    </w:p>
    <w:p>
      <w:pPr>
        <w:ind w:left="424" w:right="140" w:hanging="424"/>
        <w:spacing w:after="0" w:line="261"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Separation Agreement and the attachments hereto constitute the entire agreement between you and the Company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herein and supersedes and replaces any and all previous agreements, written or oral, express or implied. Any modifications or amendments to this Separation Agreement or any of the attachments hereto must be in writing and signed by both parties or else they shall have no force and effect.</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024"/>
          </w:cols>
          <w:pgMar w:left="436" w:top="274" w:right="439" w:bottom="1440" w:gutter="0" w:footer="0" w:header="0"/>
        </w:sectPr>
      </w:pPr>
    </w:p>
    <w:bookmarkStart w:id="269" w:name="page270"/>
    <w:bookmarkEnd w:id="269"/>
    <w:p>
      <w:pPr>
        <w:ind w:left="424" w:right="80" w:hanging="424"/>
        <w:spacing w:after="0" w:line="258" w:lineRule="auto"/>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Severability</w:t>
      </w:r>
      <w:r>
        <w:rPr>
          <w:rFonts w:ascii="Arial" w:cs="Arial" w:eastAsia="Arial" w:hAnsi="Arial"/>
          <w:sz w:val="18"/>
          <w:szCs w:val="18"/>
          <w:color w:val="auto"/>
        </w:rPr>
        <w:t>. If any provision in this Separation Agreement is hereafter construed to be invalid or unenforceable, the same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Separation Agreement, which shall be given full effect, without regard to the invalid provision, and any court having jurisdiction shall have the power to rewrite the offending provision, delete any or all of the offending provision, add additional language to this Separation Agreement or make such other modifications as it deems warranted to carry out the intent and agreement of the parties as embodied herein to the maximum extent permitted by applicable law.</w:t>
      </w:r>
    </w:p>
    <w:p>
      <w:pPr>
        <w:spacing w:after="0" w:line="88" w:lineRule="exact"/>
        <w:rPr>
          <w:rFonts w:ascii="Arial" w:cs="Arial" w:eastAsia="Arial" w:hAnsi="Arial"/>
          <w:sz w:val="18"/>
          <w:szCs w:val="18"/>
          <w:color w:val="auto"/>
        </w:rPr>
      </w:pPr>
    </w:p>
    <w:p>
      <w:pPr>
        <w:ind w:left="424" w:right="600" w:hanging="424"/>
        <w:spacing w:after="0" w:line="282" w:lineRule="auto"/>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Enurement</w:t>
      </w:r>
      <w:r>
        <w:rPr>
          <w:rFonts w:ascii="Arial" w:cs="Arial" w:eastAsia="Arial" w:hAnsi="Arial"/>
          <w:sz w:val="18"/>
          <w:szCs w:val="18"/>
          <w:color w:val="auto"/>
        </w:rPr>
        <w:t>. This Separation Agreement shall enure to the benefit of and be binding upon you and your respective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your heirs, executors, administrators and personal representatives.</w:t>
      </w:r>
    </w:p>
    <w:p>
      <w:pPr>
        <w:spacing w:after="0" w:line="67"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Separation Agreement shall be governed by the laws of the Commonwealth of Massachusetts, without regards to its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of laws principles.</w:t>
      </w:r>
    </w:p>
    <w:p>
      <w:pPr>
        <w:spacing w:after="0" w:line="166"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I trust that you will find these arrangements satisfactory. To accept the terms of this Separation Agreement, please sign a copy of the Separation Agreement and attached release and consulting agreement and return them to me by the time and date set out above.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behalf of Repare, thank you for your service and contributions. We wish you the best in your future endeavours.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Lloyd Segal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Lloyd Segal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4"/>
          </w:cols>
          <w:pgMar w:left="436" w:top="270" w:right="47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ACKNOWLEDGEMENT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 have read and understand and hereby accept the Company’s offer as set out above. I acknowledge that I have had a reasonable opportunity to obtain independent legal advice with respect to the Company’s offer.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Dated this 22nd day of October, 2019.</w:t>
            </w:r>
          </w:p>
        </w:tc>
        <w:tc>
          <w:tcPr>
            <w:tcW w:w="12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Shukradev Ishaya</w:t>
            </w:r>
          </w:p>
        </w:tc>
        <w:tc>
          <w:tcPr>
            <w:tcW w:w="120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Katina Dorton</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WITNESS</w:t>
            </w:r>
          </w:p>
        </w:tc>
        <w:tc>
          <w:tcPr>
            <w:tcW w:w="120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Katina Dorton</w:t>
            </w:r>
          </w:p>
        </w:tc>
      </w:tr>
    </w:tbl>
    <w:p>
      <w:pPr>
        <w:sectPr>
          <w:pgSz w:w="11900" w:h="16838" w:orient="portrait"/>
          <w:cols w:equalWidth="0" w:num="1">
            <w:col w:w="11020"/>
          </w:cols>
          <w:pgMar w:left="440" w:top="270" w:right="439" w:bottom="1440" w:gutter="0" w:footer="0" w:header="0"/>
        </w:sectPr>
      </w:pPr>
    </w:p>
    <w:bookmarkStart w:id="271" w:name="page272"/>
    <w:bookmarkEnd w:id="27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FULL AND FINAL RELEASE</w:t>
      </w:r>
    </w:p>
    <w:p>
      <w:pPr>
        <w:spacing w:after="0" w:line="211"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I, Katina Dorton, in exchange for the consideration of the payments and benefits described in the attached separation agreement dated October 21, 2019 (which replaced the original letter dated October 8, 2019) (the “</w:t>
      </w:r>
      <w:r>
        <w:rPr>
          <w:rFonts w:ascii="Arial" w:cs="Arial" w:eastAsia="Arial" w:hAnsi="Arial"/>
          <w:sz w:val="18"/>
          <w:szCs w:val="18"/>
          <w:b w:val="1"/>
          <w:bCs w:val="1"/>
          <w:color w:val="auto"/>
        </w:rPr>
        <w:t>Separation Agreement</w:t>
      </w:r>
      <w:r>
        <w:rPr>
          <w:rFonts w:ascii="Arial" w:cs="Arial" w:eastAsia="Arial" w:hAnsi="Arial"/>
          <w:sz w:val="18"/>
          <w:szCs w:val="18"/>
          <w:color w:val="auto"/>
        </w:rPr>
        <w:t>”), the sufficiency of which is hereby expressly acknowledged, agree, represent and warrant that:</w:t>
      </w:r>
    </w:p>
    <w:p>
      <w:pPr>
        <w:spacing w:after="0" w:line="89" w:lineRule="exact"/>
        <w:rPr>
          <w:sz w:val="20"/>
          <w:szCs w:val="20"/>
          <w:color w:val="auto"/>
        </w:rPr>
      </w:pPr>
    </w:p>
    <w:p>
      <w:pPr>
        <w:ind w:left="424" w:hanging="424"/>
        <w:spacing w:after="0" w:line="290" w:lineRule="auto"/>
        <w:tabs>
          <w:tab w:leader="none" w:pos="42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Except for the rights and obligations created by the Separation Agreement, I, for and on behalf of myself and my past and present spouse(s), agents, heirs, executors, administrators and assigns, hereby release, acquit and forever discharge Repare Therapeutics USA Inc. (the “</w:t>
      </w:r>
      <w:r>
        <w:rPr>
          <w:rFonts w:ascii="Arial" w:cs="Arial" w:eastAsia="Arial" w:hAnsi="Arial"/>
          <w:sz w:val="16"/>
          <w:szCs w:val="16"/>
          <w:b w:val="1"/>
          <w:bCs w:val="1"/>
          <w:color w:val="auto"/>
        </w:rPr>
        <w:t>Company</w:t>
      </w:r>
      <w:r>
        <w:rPr>
          <w:rFonts w:ascii="Arial" w:cs="Arial" w:eastAsia="Arial" w:hAnsi="Arial"/>
          <w:sz w:val="16"/>
          <w:szCs w:val="16"/>
          <w:color w:val="auto"/>
        </w:rPr>
        <w:t>”), Repare Therapeutics Inc., and their respective past and present parent companies, subsidiaries, affiliates and related companies, as well as their respective current and former officers, directors, agents, trustees, shareholders, insurers, assigns, representatives, and attorneys, and each of them, both in their individual and representative capacities,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to the fullest extent permitted by law, from any and all claims, demands, grievances, causes of action and rights of appeal (“</w:t>
      </w:r>
      <w:r>
        <w:rPr>
          <w:rFonts w:ascii="Arial" w:cs="Arial" w:eastAsia="Arial" w:hAnsi="Arial"/>
          <w:sz w:val="16"/>
          <w:szCs w:val="16"/>
          <w:b w:val="1"/>
          <w:bCs w:val="1"/>
          <w:color w:val="auto"/>
        </w:rPr>
        <w:t>Claims</w:t>
      </w:r>
      <w:r>
        <w:rPr>
          <w:rFonts w:ascii="Arial" w:cs="Arial" w:eastAsia="Arial" w:hAnsi="Arial"/>
          <w:sz w:val="16"/>
          <w:szCs w:val="16"/>
          <w:color w:val="auto"/>
        </w:rPr>
        <w:t>”), whether known and unknown, that I had, have or may have against any of them and that are based upon acts, omissions or events that occurred on or before the Effective Date (as defined below) relating to my employment with the Company or termination therefrom, including, but not limited to:</w:t>
      </w:r>
    </w:p>
    <w:p>
      <w:pPr>
        <w:spacing w:after="0" w:line="70" w:lineRule="exact"/>
        <w:rPr>
          <w:rFonts w:ascii="Arial" w:cs="Arial" w:eastAsia="Arial" w:hAnsi="Arial"/>
          <w:sz w:val="16"/>
          <w:szCs w:val="16"/>
          <w:color w:val="auto"/>
        </w:rPr>
      </w:pPr>
    </w:p>
    <w:p>
      <w:pPr>
        <w:ind w:left="964" w:right="60" w:hanging="532"/>
        <w:spacing w:after="0" w:line="279" w:lineRule="auto"/>
        <w:tabs>
          <w:tab w:leader="none" w:pos="96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all Claims under Title VII of the Civil Rights Act of 1964, 42 U.S.C. s. 2000e, the Americans with Disabilities Act, 42 U.S.C. s. 12101, et seq., the Age Discrimination in Employment Act, 29 U.S.C. s. 621, et seq. (“</w:t>
      </w:r>
      <w:r>
        <w:rPr>
          <w:rFonts w:ascii="Arial" w:cs="Arial" w:eastAsia="Arial" w:hAnsi="Arial"/>
          <w:sz w:val="17"/>
          <w:szCs w:val="17"/>
          <w:b w:val="1"/>
          <w:bCs w:val="1"/>
          <w:color w:val="auto"/>
        </w:rPr>
        <w:t>ADEA</w:t>
      </w:r>
      <w:r>
        <w:rPr>
          <w:rFonts w:ascii="Arial" w:cs="Arial" w:eastAsia="Arial" w:hAnsi="Arial"/>
          <w:sz w:val="17"/>
          <w:szCs w:val="17"/>
          <w:color w:val="auto"/>
        </w:rPr>
        <w:t>”), the Worker Adjustment and Retraining Notification Act, 29 U.S.C. s. 210, et seq., the Family Medical Leave Act, the Fair Credit Reporting Act, 15 U.S.C. § 1681 et seq., and the Employee Retirement Income Security Act of 1974 (“</w:t>
      </w:r>
      <w:r>
        <w:rPr>
          <w:rFonts w:ascii="Arial" w:cs="Arial" w:eastAsia="Arial" w:hAnsi="Arial"/>
          <w:sz w:val="17"/>
          <w:szCs w:val="17"/>
          <w:b w:val="1"/>
          <w:bCs w:val="1"/>
          <w:color w:val="auto"/>
        </w:rPr>
        <w:t>ERISA</w:t>
      </w:r>
      <w:r>
        <w:rPr>
          <w:rFonts w:ascii="Arial" w:cs="Arial" w:eastAsia="Arial" w:hAnsi="Arial"/>
          <w:sz w:val="17"/>
          <w:szCs w:val="17"/>
          <w:color w:val="auto"/>
        </w:rPr>
        <w:t>”), 29 U.S.C. § 1001 et seq., all as amended;</w:t>
      </w:r>
    </w:p>
    <w:p>
      <w:pPr>
        <w:spacing w:after="0" w:line="76" w:lineRule="exact"/>
        <w:rPr>
          <w:rFonts w:ascii="Arial" w:cs="Arial" w:eastAsia="Arial" w:hAnsi="Arial"/>
          <w:sz w:val="17"/>
          <w:szCs w:val="17"/>
          <w:color w:val="auto"/>
        </w:rPr>
      </w:pPr>
    </w:p>
    <w:p>
      <w:pPr>
        <w:ind w:left="964" w:right="60" w:hanging="532"/>
        <w:spacing w:after="0" w:line="271" w:lineRule="auto"/>
        <w:tabs>
          <w:tab w:leader="none" w:pos="96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all Claims, whether in tort, contract, by statute, or on any other basis, whether in law or in equity, whether civil, criminal or administrative, whether known or unknown, for damages or monies owed by Releasees, including compensatory damages, emotional distress damages, physical injury damages, punitive damages, attorney’s fees, costs, and interest, including all Claims for back pay, overtime pay, severance pay, notice pay, health benefits, retirement benefits, all other benefits, vacation pay, holiday pay, sick pay, commissions, bonuses, relocation expenses, loans, expense reimbursements, or other monies due. I acknowledge and agree that, except as set forth herein, I have received payment in full for all services rendered to the Company prior to the Separation Date, including, but not limited to, all wages, vacation pay, sick leave, bonuses, and any other employment compensation or fringe benefit, and I hereby release the Company and the Released Parties from any such claims;</w:t>
      </w:r>
    </w:p>
    <w:p>
      <w:pPr>
        <w:spacing w:after="0" w:line="83" w:lineRule="exact"/>
        <w:rPr>
          <w:rFonts w:ascii="Arial" w:cs="Arial" w:eastAsia="Arial" w:hAnsi="Arial"/>
          <w:sz w:val="17"/>
          <w:szCs w:val="17"/>
          <w:color w:val="auto"/>
        </w:rPr>
      </w:pPr>
    </w:p>
    <w:p>
      <w:pPr>
        <w:ind w:left="964" w:right="140" w:hanging="532"/>
        <w:spacing w:after="0" w:line="259" w:lineRule="auto"/>
        <w:tabs>
          <w:tab w:leader="none" w:pos="96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Claims under the Massachusetts Employment Practices Law, the Massachusetts Civil Rights Act, the Massachusetts Equal Rights Act, the Massachusetts Wage Act, the Massachusetts Equal Pay Act, and any other state, federal, city, county or local statute, rule, regulation, ordinance or order, or the national or local common law of any jurisdiction located within or outside the United States of America that relates to employers, employees or the workplace;</w:t>
      </w:r>
    </w:p>
    <w:p>
      <w:pPr>
        <w:sectPr>
          <w:pgSz w:w="11900" w:h="16838" w:orient="portrait"/>
          <w:cols w:equalWidth="0" w:num="1">
            <w:col w:w="11024"/>
          </w:cols>
          <w:pgMar w:left="436" w:top="270" w:right="439" w:bottom="1440" w:gutter="0" w:footer="0" w:header="0"/>
        </w:sectPr>
      </w:pPr>
    </w:p>
    <w:bookmarkStart w:id="272" w:name="page273"/>
    <w:bookmarkEnd w:id="272"/>
    <w:p>
      <w:pPr>
        <w:ind w:left="964" w:hanging="532"/>
        <w:spacing w:after="0" w:line="301" w:lineRule="auto"/>
        <w:tabs>
          <w:tab w:leader="none" w:pos="964" w:val="left"/>
        </w:tabs>
        <w:numPr>
          <w:ilvl w:val="0"/>
          <w:numId w:val="1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Claim for future consideration for employment with the Company, any claims for attorneys’ fees and costs and any employment rights or entitlement law, and any claims for wrongful discharge, intentional infliction of emotional distress, defamation, libel or slander, payment of wages, outrageous behavior, breach of contract or any duty allegedly owed to me, discrimination based upon race, color, ethnicity, sex, age, national origin, religion, disability, sexual orientation, or another unlawful criterion or circumstance, and any other theory of recovery.</w:t>
      </w:r>
    </w:p>
    <w:p>
      <w:pPr>
        <w:spacing w:after="0" w:line="49" w:lineRule="exact"/>
        <w:rPr>
          <w:sz w:val="20"/>
          <w:szCs w:val="20"/>
          <w:color w:val="auto"/>
        </w:rPr>
      </w:pPr>
    </w:p>
    <w:p>
      <w:pPr>
        <w:jc w:val="both"/>
        <w:ind w:left="444"/>
        <w:spacing w:after="0" w:line="286" w:lineRule="auto"/>
        <w:rPr>
          <w:sz w:val="20"/>
          <w:szCs w:val="20"/>
          <w:color w:val="auto"/>
        </w:rPr>
      </w:pPr>
      <w:r>
        <w:rPr>
          <w:rFonts w:ascii="Arial" w:cs="Arial" w:eastAsia="Arial" w:hAnsi="Arial"/>
          <w:sz w:val="17"/>
          <w:szCs w:val="17"/>
          <w:color w:val="auto"/>
        </w:rPr>
        <w:t>Notwithstanding the foregoing, this release of Claims shall not include any rights that I have to (i) continued indemnification by the Company and coverage under any applicable directors’ and officers’ liability insurance policy(ies), and (ii) rights to payment of compensation and benefits under the Separation Agreement or to vested entitlements under the Company’s applicable employee plans and programs.</w:t>
      </w:r>
    </w:p>
    <w:p>
      <w:pPr>
        <w:spacing w:after="0" w:line="71" w:lineRule="exact"/>
        <w:rPr>
          <w:sz w:val="20"/>
          <w:szCs w:val="20"/>
          <w:color w:val="auto"/>
        </w:rPr>
      </w:pPr>
    </w:p>
    <w:p>
      <w:pPr>
        <w:ind w:left="424" w:right="80" w:hanging="424"/>
        <w:spacing w:after="0" w:line="273" w:lineRule="auto"/>
        <w:tabs>
          <w:tab w:leader="none" w:pos="42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As part of the general release set out above, I specifically agree that I hereby release, remise and forever discharge the Company and the Released Parties, and each of them, both in their individual and representative capacities, from any and all Claims, both known and unknown, arising under the ADEA that I had, have or may have against any of them and that are based upon acts, omissions or events that occurred on or before the Effective Date. I understand and acknowledge the significance and consequences of this specific waiver of any ADEA Claims, have received or have had the opportunity to receive independent legal advice from my attorneys regarding this waiver, and hereby assume full responsibility for any damage, loss or liability which I may hereafter incur by reason of such waiver.</w:t>
      </w:r>
    </w:p>
    <w:p>
      <w:pPr>
        <w:spacing w:after="0" w:line="83" w:lineRule="exact"/>
        <w:rPr>
          <w:rFonts w:ascii="Arial" w:cs="Arial" w:eastAsia="Arial" w:hAnsi="Arial"/>
          <w:sz w:val="17"/>
          <w:szCs w:val="17"/>
          <w:color w:val="auto"/>
        </w:rPr>
      </w:pPr>
    </w:p>
    <w:p>
      <w:pPr>
        <w:ind w:left="424" w:right="20" w:hanging="424"/>
        <w:spacing w:after="0" w:line="273" w:lineRule="auto"/>
        <w:tabs>
          <w:tab w:leader="none" w:pos="42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It is the intention of the parties to make this release as broad and as general as the law permits. This Release does not prevent me from enforcing my non-forfeitable rights to accrued benefits (within the meaning of Sections 203 and 204 of the Employee Retirement Income Security Act of 1974, as amended) under applicable retirement plans, unemployment insurance benefits, workers’ compensation Claims, or other Claims that cannot legally be waived. Further, nothing herein prevents me from interacting with or filing a charge with, as authorized by law, the EEOC or any other bona fide government agency; however, I will not seek or be entitled to any personal recovery in any action or proceeding that may be commenced on my behalf arising out of the matters released hereby.</w:t>
      </w:r>
    </w:p>
    <w:p>
      <w:pPr>
        <w:spacing w:after="0" w:line="83" w:lineRule="exact"/>
        <w:rPr>
          <w:rFonts w:ascii="Arial" w:cs="Arial" w:eastAsia="Arial" w:hAnsi="Arial"/>
          <w:sz w:val="17"/>
          <w:szCs w:val="17"/>
          <w:color w:val="auto"/>
        </w:rPr>
      </w:pPr>
    </w:p>
    <w:p>
      <w:pPr>
        <w:ind w:left="424" w:hanging="424"/>
        <w:spacing w:after="0"/>
        <w:tabs>
          <w:tab w:leader="none" w:pos="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26" w:lineRule="exact"/>
        <w:rPr>
          <w:rFonts w:ascii="Arial" w:cs="Arial" w:eastAsia="Arial" w:hAnsi="Arial"/>
          <w:sz w:val="18"/>
          <w:szCs w:val="18"/>
          <w:color w:val="auto"/>
        </w:rPr>
      </w:pPr>
    </w:p>
    <w:p>
      <w:pPr>
        <w:ind w:left="964" w:right="200" w:hanging="532"/>
        <w:spacing w:after="0" w:line="314" w:lineRule="auto"/>
        <w:tabs>
          <w:tab w:leader="none" w:pos="96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 represent and warrant that I do not have any lawsuit, claim, charge, grievance or complaint (each an “</w:t>
      </w:r>
      <w:r>
        <w:rPr>
          <w:rFonts w:ascii="Arial" w:cs="Arial" w:eastAsia="Arial" w:hAnsi="Arial"/>
          <w:sz w:val="16"/>
          <w:szCs w:val="16"/>
          <w:b w:val="1"/>
          <w:bCs w:val="1"/>
          <w:color w:val="auto"/>
        </w:rPr>
        <w:t>Action</w:t>
      </w:r>
      <w:r>
        <w:rPr>
          <w:rFonts w:ascii="Arial" w:cs="Arial" w:eastAsia="Arial" w:hAnsi="Arial"/>
          <w:sz w:val="16"/>
          <w:szCs w:val="16"/>
          <w:color w:val="auto"/>
        </w:rPr>
        <w:t>”) against the Company or any of the Released Parties pending in any forum, based upon acts, omissions or events occurring prior to the Effective Date of this Release, that I will not at any time hereafter file any Action against the Company or any of the Released parties in any forum.</w:t>
      </w:r>
    </w:p>
    <w:p>
      <w:pPr>
        <w:spacing w:after="0" w:line="78" w:lineRule="exact"/>
        <w:rPr>
          <w:rFonts w:ascii="Arial" w:cs="Arial" w:eastAsia="Arial" w:hAnsi="Arial"/>
          <w:sz w:val="16"/>
          <w:szCs w:val="16"/>
          <w:color w:val="auto"/>
        </w:rPr>
      </w:pPr>
    </w:p>
    <w:p>
      <w:pPr>
        <w:ind w:left="5464" w:hanging="106"/>
        <w:spacing w:after="0"/>
        <w:tabs>
          <w:tab w:leader="none" w:pos="5464" w:val="left"/>
        </w:tabs>
        <w:numPr>
          <w:ilvl w:val="2"/>
          <w:numId w:val="16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4"/>
          </w:cols>
          <w:pgMar w:left="436" w:top="274" w:right="459" w:bottom="1440" w:gutter="0" w:footer="0" w:header="0"/>
        </w:sectPr>
      </w:pPr>
    </w:p>
    <w:bookmarkStart w:id="273" w:name="page274"/>
    <w:bookmarkEnd w:id="273"/>
    <w:p>
      <w:pPr>
        <w:ind w:left="964" w:hanging="532"/>
        <w:spacing w:after="0"/>
        <w:tabs>
          <w:tab w:leader="none" w:pos="964"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re Waiver of ADEA Claims</w:t>
      </w:r>
      <w:r>
        <w:rPr>
          <w:rFonts w:ascii="Arial" w:cs="Arial" w:eastAsia="Arial" w:hAnsi="Arial"/>
          <w:sz w:val="18"/>
          <w:szCs w:val="18"/>
          <w:color w:val="auto"/>
        </w:rPr>
        <w:t>: As required by the ADEA, I understand, represent, warrant and agree that:</w:t>
      </w:r>
    </w:p>
    <w:p>
      <w:pPr>
        <w:spacing w:after="0" w:line="130" w:lineRule="exact"/>
        <w:rPr>
          <w:rFonts w:ascii="Arial" w:cs="Arial" w:eastAsia="Arial" w:hAnsi="Arial"/>
          <w:sz w:val="18"/>
          <w:szCs w:val="18"/>
          <w:color w:val="auto"/>
        </w:rPr>
      </w:pPr>
    </w:p>
    <w:p>
      <w:pPr>
        <w:ind w:left="1424" w:right="20" w:hanging="439"/>
        <w:spacing w:after="0" w:line="277" w:lineRule="auto"/>
        <w:tabs>
          <w:tab w:leader="none" w:pos="142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 was advised (and am hereby advised) in writing to consider the terms of this Release and to consult with an attorney of my choice prior to executing this Release;</w:t>
      </w:r>
    </w:p>
    <w:p>
      <w:pPr>
        <w:spacing w:after="0" w:line="75" w:lineRule="exact"/>
        <w:rPr>
          <w:rFonts w:ascii="Arial" w:cs="Arial" w:eastAsia="Arial" w:hAnsi="Arial"/>
          <w:sz w:val="18"/>
          <w:szCs w:val="18"/>
          <w:color w:val="auto"/>
        </w:rPr>
      </w:pPr>
    </w:p>
    <w:p>
      <w:pPr>
        <w:ind w:left="1424" w:right="660" w:hanging="439"/>
        <w:spacing w:after="0" w:line="277" w:lineRule="auto"/>
        <w:tabs>
          <w:tab w:leader="none" w:pos="142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prior to executing this Release, I had the opportunity to consider this Release for an amount of time that I considered to be reasonable;</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 knowingly and voluntarily agree to all of the terms set forth in this Release;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 am executing this Release in exchange for good and valuable consideration;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 knowingly and voluntarily intend to be legally bound by this Release.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Consideration Period</w:t>
      </w:r>
    </w:p>
    <w:p>
      <w:pPr>
        <w:spacing w:after="0" w:line="130" w:lineRule="exact"/>
        <w:rPr>
          <w:rFonts w:ascii="Arial" w:cs="Arial" w:eastAsia="Arial" w:hAnsi="Arial"/>
          <w:sz w:val="18"/>
          <w:szCs w:val="18"/>
          <w:color w:val="auto"/>
        </w:rPr>
      </w:pPr>
    </w:p>
    <w:p>
      <w:pPr>
        <w:ind w:left="1424" w:hanging="439"/>
        <w:spacing w:after="0" w:line="311" w:lineRule="auto"/>
        <w:tabs>
          <w:tab w:leader="none" w:pos="1424" w:val="left"/>
        </w:tabs>
        <w:numPr>
          <w:ilvl w:val="2"/>
          <w:numId w:val="162"/>
        </w:numPr>
        <w:rPr>
          <w:rFonts w:ascii="Arial" w:cs="Arial" w:eastAsia="Arial" w:hAnsi="Arial"/>
          <w:sz w:val="16"/>
          <w:szCs w:val="16"/>
          <w:color w:val="auto"/>
        </w:rPr>
      </w:pPr>
      <w:r>
        <w:rPr>
          <w:rFonts w:ascii="Arial" w:cs="Arial" w:eastAsia="Arial" w:hAnsi="Arial"/>
          <w:sz w:val="16"/>
          <w:szCs w:val="16"/>
          <w:color w:val="auto"/>
        </w:rPr>
        <w:t>I acknowledge that I have been afforded at least 21 days to consider the meaning and effect of this Release and any changes to this Release or the Separation Agreement, whether material or immaterial, do not restart the running of the 21 day consideration period. If I sign this Release, the 7-day Revocation Period described below will begin after I have signed this Release.</w:t>
      </w:r>
    </w:p>
    <w:p>
      <w:pPr>
        <w:spacing w:after="0" w:line="54" w:lineRule="exact"/>
        <w:rPr>
          <w:rFonts w:ascii="Arial" w:cs="Arial" w:eastAsia="Arial" w:hAnsi="Arial"/>
          <w:sz w:val="16"/>
          <w:szCs w:val="16"/>
          <w:color w:val="auto"/>
        </w:rPr>
      </w:pPr>
    </w:p>
    <w:p>
      <w:pPr>
        <w:jc w:val="both"/>
        <w:ind w:left="1424" w:right="160" w:hanging="439"/>
        <w:spacing w:after="0" w:line="263" w:lineRule="auto"/>
        <w:tabs>
          <w:tab w:leader="none" w:pos="1424"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 acknowledge and agree that if I execute this Release prior to the expiration of 21 days after my receipt thereof, and/or choose to forego seeking the advice of independent legal counsel, I do so freely, and I knowingly waive any and all future claims that such action(s) would affect the validity of this Release.</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Revocation Period: I have the right to revoke this Release within 7 days of signing it (“</w:t>
      </w:r>
      <w:r>
        <w:rPr>
          <w:rFonts w:ascii="Arial" w:cs="Arial" w:eastAsia="Arial" w:hAnsi="Arial"/>
          <w:sz w:val="16"/>
          <w:szCs w:val="16"/>
          <w:b w:val="1"/>
          <w:bCs w:val="1"/>
          <w:color w:val="auto"/>
        </w:rPr>
        <w:t>Revocation Period</w:t>
      </w:r>
      <w:r>
        <w:rPr>
          <w:rFonts w:ascii="Arial" w:cs="Arial" w:eastAsia="Arial" w:hAnsi="Arial"/>
          <w:sz w:val="16"/>
          <w:szCs w:val="16"/>
          <w:color w:val="auto"/>
        </w:rPr>
        <w:t>”). To revoke this Release, I must send</w:t>
      </w:r>
    </w:p>
    <w:p>
      <w:pPr>
        <w:spacing w:after="0" w:line="50" w:lineRule="exact"/>
        <w:rPr>
          <w:rFonts w:ascii="Arial" w:cs="Arial" w:eastAsia="Arial" w:hAnsi="Arial"/>
          <w:sz w:val="16"/>
          <w:szCs w:val="16"/>
          <w:color w:val="auto"/>
        </w:rPr>
      </w:pPr>
    </w:p>
    <w:p>
      <w:pPr>
        <w:ind w:left="424" w:right="460"/>
        <w:spacing w:after="0" w:line="260" w:lineRule="auto"/>
        <w:rPr>
          <w:rFonts w:ascii="Arial" w:cs="Arial" w:eastAsia="Arial" w:hAnsi="Arial"/>
          <w:sz w:val="16"/>
          <w:szCs w:val="16"/>
          <w:color w:val="auto"/>
        </w:rPr>
      </w:pPr>
      <w:r>
        <w:rPr>
          <w:rFonts w:ascii="Arial" w:cs="Arial" w:eastAsia="Arial" w:hAnsi="Arial"/>
          <w:sz w:val="18"/>
          <w:szCs w:val="18"/>
          <w:color w:val="auto"/>
        </w:rPr>
        <w:t>a written letter by overnight delivery, personal delivery or registered mail to: Repare Therapeutics Inc., Attn: Lloyd Segal, 7210 Frederick-Banting, Suite 100, St. Laurent, QC H4S 2A1.</w:t>
      </w:r>
    </w:p>
    <w:p>
      <w:pPr>
        <w:spacing w:after="0" w:line="90"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Release is binding upon me and my past and present spouse(s), agents, heirs, executors, administrators, and assigns and shall inure to the benefit of the Company and the Released Parties.</w:t>
      </w:r>
    </w:p>
    <w:p>
      <w:pPr>
        <w:spacing w:after="0" w:line="75" w:lineRule="exact"/>
        <w:rPr>
          <w:rFonts w:ascii="Arial" w:cs="Arial" w:eastAsia="Arial" w:hAnsi="Arial"/>
          <w:sz w:val="18"/>
          <w:szCs w:val="18"/>
          <w:color w:val="auto"/>
        </w:rPr>
      </w:pPr>
    </w:p>
    <w:p>
      <w:pPr>
        <w:ind w:left="424" w:right="520" w:hanging="424"/>
        <w:spacing w:after="0" w:line="263" w:lineRule="auto"/>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Release and the Separation Agreement constitute the complete understanding between me and the Company and supersede all other agreements not specifically reaffirmed in those agreements. No other promises or agreements will be binding unless signed by me and the Company.</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3"/>
          <w:numId w:val="16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884"/>
          </w:cols>
          <w:pgMar w:left="436" w:top="274" w:right="579" w:bottom="1440" w:gutter="0" w:footer="0" w:header="0"/>
        </w:sectPr>
      </w:pPr>
    </w:p>
    <w:bookmarkStart w:id="274" w:name="page275"/>
    <w:bookmarkEnd w:id="274"/>
    <w:p>
      <w:pPr>
        <w:ind w:left="424" w:hanging="424"/>
        <w:spacing w:after="0" w:line="282" w:lineRule="auto"/>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Release shall be effective on the date on which I sign this Release, but no sooner than my last day of employment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become irrevocable upon expiration of the Revocation Period described above.</w:t>
      </w:r>
    </w:p>
    <w:p>
      <w:pPr>
        <w:spacing w:after="0" w:line="98" w:lineRule="exact"/>
        <w:rPr>
          <w:rFonts w:ascii="Arial" w:cs="Arial" w:eastAsia="Arial" w:hAnsi="Arial"/>
          <w:sz w:val="18"/>
          <w:szCs w:val="18"/>
          <w:color w:val="auto"/>
        </w:rPr>
      </w:pPr>
    </w:p>
    <w:p>
      <w:pPr>
        <w:ind w:left="5464" w:hanging="106"/>
        <w:spacing w:after="0"/>
        <w:tabs>
          <w:tab w:leader="none" w:pos="546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84"/>
          </w:cols>
          <w:pgMar w:left="436" w:top="270" w:right="47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t>SIGNED in the presence of: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Shukradev Ishaya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 SIGNATURE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Shukradev Ishaya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 NAME (PRINTED)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22/10/2019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232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(dd/mm/yyyy)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-490220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wp:posOffset>
            </wp:positionV>
            <wp:extent cx="30003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SIGNATURE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0003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NAME (PRINTED)</w:t>
      </w:r>
    </w:p>
    <w:p>
      <w:pPr>
        <w:sectPr>
          <w:pgSz w:w="11900" w:h="16838" w:orient="portrait"/>
          <w:cols w:equalWidth="0" w:num="2">
            <w:col w:w="5560" w:space="720"/>
            <w:col w:w="3739"/>
          </w:cols>
          <w:pgMar w:left="440" w:top="270" w:right="1440" w:bottom="1440" w:gutter="0" w:footer="0" w:header="0"/>
        </w:sectPr>
      </w:pPr>
    </w:p>
    <w:bookmarkStart w:id="276" w:name="page277"/>
    <w:bookmarkEnd w:id="276"/>
    <w:p>
      <w:pPr>
        <w:jc w:val="center"/>
        <w:ind w:right="-1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b w:val="1"/>
          <w:bCs w:val="1"/>
          <w:color w:val="auto"/>
        </w:rPr>
        <w:t>INDEPENDENT CONTRACTOR AGREEMENT</w:t>
      </w:r>
    </w:p>
    <w:p>
      <w:pPr>
        <w:spacing w:after="0" w:line="229"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THIS INDEPENDENT CONTRACTOR AGREEMENT (the “Agreement”) is made October 21, 2019 (the “Effective Date”).</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(the “Contractor”)</w:t>
      </w:r>
    </w:p>
    <w:p>
      <w:pPr>
        <w:spacing w:after="0" w:line="225"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(collectively referred to as the “Parties”)</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WHEREAS the Company wishes to retain the Contractor as an independent contractor to provide certain services to the Company, on the terms and conditions set forth in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THEREFORE, the Parties agree as follows:</w:t>
      </w:r>
    </w:p>
    <w:p>
      <w:pPr>
        <w:spacing w:after="0" w:line="131" w:lineRule="exact"/>
        <w:rPr>
          <w:sz w:val="20"/>
          <w:szCs w:val="20"/>
          <w:color w:val="auto"/>
        </w:rPr>
      </w:pPr>
    </w:p>
    <w:p>
      <w:pPr>
        <w:ind w:left="424" w:hanging="424"/>
        <w:spacing w:after="0"/>
        <w:tabs>
          <w:tab w:leader="none" w:pos="4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TERM OF AGREEMENT</w:t>
      </w:r>
    </w:p>
    <w:p>
      <w:pPr>
        <w:spacing w:after="0" w:line="117" w:lineRule="exact"/>
        <w:rPr>
          <w:sz w:val="20"/>
          <w:szCs w:val="20"/>
          <w:color w:val="auto"/>
        </w:rPr>
      </w:pPr>
    </w:p>
    <w:p>
      <w:pPr>
        <w:ind w:left="4" w:hanging="4"/>
        <w:spacing w:after="0" w:line="277" w:lineRule="auto"/>
        <w:tabs>
          <w:tab w:leader="none" w:pos="24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term of this Agreement shall be for the period commencing on the Effective Date and continuing until December 31, 2019, unless extended by mutual agreement of the Parties in writing.</w:t>
      </w:r>
    </w:p>
    <w:p>
      <w:pPr>
        <w:spacing w:after="0" w:line="76" w:lineRule="exact"/>
        <w:rPr>
          <w:sz w:val="20"/>
          <w:szCs w:val="20"/>
          <w:color w:val="auto"/>
        </w:rPr>
      </w:pPr>
    </w:p>
    <w:p>
      <w:pPr>
        <w:ind w:left="424" w:hanging="424"/>
        <w:spacing w:after="0"/>
        <w:tabs>
          <w:tab w:leader="none" w:pos="4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SERVICES TO BE PROVIDED</w:t>
      </w:r>
    </w:p>
    <w:p>
      <w:pPr>
        <w:spacing w:after="0" w:line="117" w:lineRule="exact"/>
        <w:rPr>
          <w:sz w:val="20"/>
          <w:szCs w:val="20"/>
          <w:color w:val="auto"/>
        </w:rPr>
      </w:pPr>
    </w:p>
    <w:p>
      <w:pPr>
        <w:ind w:left="4" w:right="480" w:hanging="4"/>
        <w:spacing w:after="0" w:line="342" w:lineRule="auto"/>
        <w:tabs>
          <w:tab w:leader="none" w:pos="24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Company hereby retains the Contractor to perform those services or tasks as shall be reasonably assigned to the Contractor by the Chief Executive Officer of the Company or any designee of the Chief Executive Officer of the Company during the term (the “Services”).</w:t>
      </w:r>
    </w:p>
    <w:p>
      <w:pPr>
        <w:spacing w:after="0" w:line="15" w:lineRule="exact"/>
        <w:rPr>
          <w:rFonts w:ascii="Arial" w:cs="Arial" w:eastAsia="Arial" w:hAnsi="Arial"/>
          <w:sz w:val="16"/>
          <w:szCs w:val="16"/>
          <w:color w:val="auto"/>
        </w:rPr>
      </w:pPr>
    </w:p>
    <w:p>
      <w:pPr>
        <w:jc w:val="both"/>
        <w:ind w:left="4" w:right="60" w:hanging="4"/>
        <w:spacing w:after="0" w:line="263" w:lineRule="auto"/>
        <w:tabs>
          <w:tab w:leader="none" w:pos="2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Contractor shall not have the authority or discretion to enter into any agreement, contract or understanding that legally binds the Company or otherwise assume, create or incur any obligations or liabilities on behalf of the Company, except as expressly provided for in this Agreement, without first obtaining the prior written consent of the Company.</w:t>
      </w:r>
    </w:p>
    <w:p>
      <w:pPr>
        <w:spacing w:after="0" w:line="75" w:lineRule="exact"/>
        <w:rPr>
          <w:rFonts w:ascii="Arial" w:cs="Arial" w:eastAsia="Arial" w:hAnsi="Arial"/>
          <w:sz w:val="18"/>
          <w:szCs w:val="18"/>
          <w:color w:val="auto"/>
        </w:rPr>
      </w:pPr>
    </w:p>
    <w:p>
      <w:pPr>
        <w:ind w:left="4" w:right="240" w:hanging="4"/>
        <w:spacing w:after="0" w:line="277" w:lineRule="auto"/>
        <w:tabs>
          <w:tab w:leader="none" w:pos="2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Contractor will be indemnified by the Company for any services that she performs hereunder on the same basis as if she were then actively employed as an officer of the Company.</w:t>
      </w:r>
    </w:p>
    <w:p>
      <w:pPr>
        <w:spacing w:after="0" w:line="102" w:lineRule="exact"/>
        <w:rPr>
          <w:rFonts w:ascii="Arial" w:cs="Arial" w:eastAsia="Arial" w:hAnsi="Arial"/>
          <w:sz w:val="18"/>
          <w:szCs w:val="18"/>
          <w:color w:val="auto"/>
        </w:rPr>
      </w:pPr>
    </w:p>
    <w:p>
      <w:pPr>
        <w:ind w:left="5424" w:hanging="108"/>
        <w:spacing w:after="0"/>
        <w:tabs>
          <w:tab w:leader="none" w:pos="542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824"/>
          </w:cols>
          <w:pgMar w:left="436" w:top="270" w:right="639" w:bottom="1440" w:gutter="0" w:footer="0" w:header="0"/>
        </w:sectPr>
      </w:pPr>
    </w:p>
    <w:bookmarkStart w:id="277" w:name="page278"/>
    <w:bookmarkEnd w:id="277"/>
    <w:p>
      <w:pPr>
        <w:ind w:left="424" w:hanging="424"/>
        <w:spacing w:after="0"/>
        <w:tabs>
          <w:tab w:leader="none" w:pos="424"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FEES</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In consideration of the Services provided, the Company shall pay to the Contractor a fixed weekly fee of US$1,000, payable monthly in arrears (the “Fees”).</w:t>
      </w:r>
    </w:p>
    <w:p>
      <w:pPr>
        <w:spacing w:after="0" w:line="76" w:lineRule="exact"/>
        <w:rPr>
          <w:sz w:val="20"/>
          <w:szCs w:val="20"/>
          <w:color w:val="auto"/>
        </w:rPr>
      </w:pPr>
    </w:p>
    <w:p>
      <w:pPr>
        <w:ind w:left="424" w:hanging="424"/>
        <w:spacing w:after="0"/>
        <w:tabs>
          <w:tab w:leader="none" w:pos="42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HOURS OF WORK</w:t>
      </w:r>
    </w:p>
    <w:p>
      <w:pPr>
        <w:spacing w:after="0" w:line="117" w:lineRule="exact"/>
        <w:rPr>
          <w:sz w:val="20"/>
          <w:szCs w:val="20"/>
          <w:color w:val="auto"/>
        </w:rPr>
      </w:pPr>
    </w:p>
    <w:p>
      <w:pPr>
        <w:jc w:val="both"/>
        <w:ind w:left="4" w:right="120"/>
        <w:spacing w:after="0" w:line="279" w:lineRule="auto"/>
        <w:rPr>
          <w:sz w:val="20"/>
          <w:szCs w:val="20"/>
          <w:color w:val="auto"/>
        </w:rPr>
      </w:pPr>
      <w:r>
        <w:rPr>
          <w:rFonts w:ascii="Arial" w:cs="Arial" w:eastAsia="Arial" w:hAnsi="Arial"/>
          <w:sz w:val="17"/>
          <w:szCs w:val="17"/>
          <w:color w:val="auto"/>
        </w:rPr>
        <w:t>There shall be no set hours of work. However, the Contractor agrees to be reasonably available to provide Services to the Company as may be required subject to her then current business and personal commitments. The Parties agree that such hours will not exceed (i) an average of five hours per week during the consulting term, it being understood and agreed by the Company that the Contractor will have limited availability to render services during the two week vacation abroad that the Contractor is taking during the period October 15-29, 2019.</w:t>
      </w:r>
    </w:p>
    <w:p>
      <w:pPr>
        <w:spacing w:after="0" w:line="77"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INDEPENDENT CONTRACTOR</w:t>
      </w:r>
    </w:p>
    <w:p>
      <w:pPr>
        <w:spacing w:after="0" w:line="117"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The Contractor is and shall remain at all times an independent contractor and is not, and shall not represent herself to be an agent, joint venturer, partner, officer, director or employee of the Company. Nothing contained in this Agreement is intended to create nor shall be construed as creating an employment relationship between the Contractor and the Company. The Contractor has sole responsibility, as an independent contractor, to comply with all laws, rules and regulations relating to the provision of Services, including without limitation, requirements for taxes, unemployment and disability insurance, and social security. The Contractor shall be responsible for deducting any and all applicable federal, state and local taxes, deductions, premiums, and amounts owing with respect to those Fees paid by, and any amounts paid by the Company and remitting such amounts to those governmental authorities as prescribed by law. As an independent contractor, the Contractor shall not be entitled to any employment related benefits. Upon termination of this Agreement, the Company shall only be responsible for paying those Fees associated with Services provided by the Contractor up to and including the termination date.</w:t>
      </w:r>
    </w:p>
    <w:p>
      <w:pPr>
        <w:spacing w:after="0" w:line="86" w:lineRule="exact"/>
        <w:rPr>
          <w:sz w:val="20"/>
          <w:szCs w:val="20"/>
          <w:color w:val="auto"/>
        </w:rPr>
      </w:pPr>
    </w:p>
    <w:p>
      <w:pPr>
        <w:ind w:left="424" w:hanging="424"/>
        <w:spacing w:after="0"/>
        <w:tabs>
          <w:tab w:leader="none" w:pos="42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In the event that any covenant, provision or restriction contained in this Agreement is found to be void or unenforceable (in whole or in part) by a court of competent jurisdiction, it shall not affect or impair the validity of any other covenant, provisions or restrictions contained herein, nor shall it affect the validity or enforceability of such covenants, provisions or restrictions in any other jurisdiction or in regard to other circumstances. Any covenants, provisions or restrictions found to be void or unenforceable are declared to be separate and distinct, and the remaining covenants, provisions and restrictions shall remain in full force and effect.</w:t>
      </w:r>
    </w:p>
    <w:p>
      <w:pPr>
        <w:spacing w:after="0" w:line="93"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CHANGES TO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modifications or amendments to this Agreement must be in writing and signed by both Parties or else they shall have no force and effect.</w:t>
      </w:r>
    </w:p>
    <w:p>
      <w:pPr>
        <w:spacing w:after="0" w:line="142" w:lineRule="exact"/>
        <w:rPr>
          <w:sz w:val="20"/>
          <w:szCs w:val="20"/>
          <w:color w:val="auto"/>
        </w:rPr>
      </w:pPr>
    </w:p>
    <w:p>
      <w:pPr>
        <w:ind w:left="424" w:hanging="424"/>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ENUREMENT</w:t>
      </w:r>
    </w:p>
    <w:p>
      <w:pPr>
        <w:spacing w:after="0" w:line="117"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This Agreement shall enure to the benefit of and be binding upon the Parties and their respective successors and assigns, including without limitation, the Contractor’s heirs, executors, administrators and personal representatives.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78" w:name="page279"/>
    <w:bookmarkEnd w:id="278"/>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117"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The Contractor may not assign any of the Contractor’s rights or delegate any of the Contractor’s duties or responsibilities under this Agreement, without the Company’s prior written consent. The Company may, without the consent of the Contractor, assign its rights, duties and obligations under this Agreement to an affiliate, but shall remain secondarily liable for payment of any amounts owed to Contractor.</w:t>
      </w:r>
    </w:p>
    <w:p>
      <w:pPr>
        <w:spacing w:after="0" w:line="71"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117"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This Agreement constitutes the entire agreement between the Parties with respect to the subject matter herein and supersedes and replaces any and all other representations, understandings, negotiations and previous agreements, written or oral, express or implied. For the avoidance of doubt, no right or obligation of either party under this Agreement will impact either party’s rights or obligations under the Separation Agreement.</w:t>
      </w:r>
    </w:p>
    <w:p>
      <w:pPr>
        <w:spacing w:after="0" w:line="71" w:lineRule="exact"/>
        <w:rPr>
          <w:sz w:val="20"/>
          <w:szCs w:val="20"/>
          <w:color w:val="auto"/>
        </w:rPr>
      </w:pPr>
    </w:p>
    <w:p>
      <w:pPr>
        <w:ind w:left="424" w:hanging="424"/>
        <w:spacing w:after="0"/>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This Agreement shall be interpreted and construed in accordance with the laws of the Commonwealth of Massachusetts without regard to principles of conflicts of laws.</w:t>
      </w:r>
    </w:p>
    <w:p>
      <w:pPr>
        <w:spacing w:after="0" w:line="76" w:lineRule="exact"/>
        <w:rPr>
          <w:sz w:val="20"/>
          <w:szCs w:val="20"/>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EXPENSES</w:t>
      </w:r>
    </w:p>
    <w:p>
      <w:pPr>
        <w:spacing w:after="0" w:line="117" w:lineRule="exact"/>
        <w:rPr>
          <w:sz w:val="20"/>
          <w:szCs w:val="20"/>
          <w:color w:val="auto"/>
        </w:rPr>
      </w:pPr>
    </w:p>
    <w:p>
      <w:pPr>
        <w:jc w:val="both"/>
        <w:ind w:left="4" w:right="180"/>
        <w:spacing w:after="0" w:line="342" w:lineRule="auto"/>
        <w:rPr>
          <w:sz w:val="20"/>
          <w:szCs w:val="20"/>
          <w:color w:val="auto"/>
        </w:rPr>
      </w:pPr>
      <w:r>
        <w:rPr>
          <w:rFonts w:ascii="Arial" w:cs="Arial" w:eastAsia="Arial" w:hAnsi="Arial"/>
          <w:sz w:val="16"/>
          <w:szCs w:val="16"/>
          <w:color w:val="auto"/>
        </w:rPr>
        <w:t>The Company agrees to reimburse the Contractor for eligible expenses incurred by the Contractor in the course of performing the Services hereunder that are pre-approved by the Company in writing following a detailed request by the Contractor which includes a maximum amount to be reimbursed.</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279" w:name="page280"/>
    <w:bookmarkEnd w:id="27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OF WHICH the Parties have duly executed this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Lloyd Segal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Lloyd Segal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October 21,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274" w:right="1440" w:bottom="1440" w:gutter="0" w:footer="0" w:header="0"/>
        </w:sectPr>
      </w:pPr>
    </w:p>
    <w:bookmarkStart w:id="280" w:name="page281"/>
    <w:bookmarkEnd w:id="28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OF WHICH the Parties have duly executed this Agreement: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Lloyd Segal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Katina Dorton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October 22, 2019</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-15-</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decimal"/>
      <w:start w:val="1"/>
    </w:lvl>
  </w:abstractNum>
  <w:abstractNum w:abstractNumId="1">
    <w:nsid w:val="68EBC550"/>
    <w:multiLevelType w:val="hybridMultilevel"/>
    <w:lvl w:ilvl="0">
      <w:lvlJc w:val="left"/>
      <w:lvlText w:val="(%1)"/>
      <w:numFmt w:val="decimal"/>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1."/>
      <w:numFmt w:val="decimal"/>
      <w:start w:val="1"/>
    </w:lvl>
  </w:abstractNum>
  <w:abstractNum w:abstractNumId="4">
    <w:nsid w:val="4A2AC315"/>
    <w:multiLevelType w:val="hybridMultilevel"/>
    <w:lvl w:ilvl="0">
      <w:lvlJc w:val="left"/>
      <w:lvlText w:val="(%1)"/>
      <w:numFmt w:val="decimal"/>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1)"/>
      <w:numFmt w:val="decimal"/>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1)"/>
      <w:numFmt w:val="decimal"/>
      <w:start w:val="1"/>
    </w:lvl>
  </w:abstractNum>
  <w:abstractNum w:abstractNumId="18">
    <w:nsid w:val="6AA78F7F"/>
    <w:multiLevelType w:val="hybridMultilevel"/>
    <w:lvl w:ilvl="0">
      <w:lvlJc w:val="left"/>
      <w:lvlText w:val="(%1)"/>
      <w:numFmt w:val="decimal"/>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
      <w:numFmt w:val="bullet"/>
      <w:start w:val="1"/>
    </w:lvl>
  </w:abstractNum>
  <w:abstractNum w:abstractNumId="35">
    <w:nsid w:val="1D545C4D"/>
    <w:multiLevelType w:val="hybridMultilevel"/>
    <w:lvl w:ilvl="0">
      <w:lvlJc w:val="left"/>
      <w:lvlText w:val="•"/>
      <w:numFmt w:val="bullet"/>
      <w:start w:val="1"/>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
      <w:numFmt w:val="bullet"/>
      <w:start w:val="1"/>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abstractNum>
  <w:abstractNum w:abstractNumId="51">
    <w:nsid w:val="4BD8591A"/>
    <w:multiLevelType w:val="hybridMultilevel"/>
    <w:lvl w:ilvl="0">
      <w:lvlJc w:val="left"/>
      <w:lvlText w:val="•"/>
      <w:numFmt w:val="bullet"/>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1)"/>
      <w:numFmt w:val="lowerRoman"/>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
      <w:numFmt w:val="bullet"/>
      <w:start w:val="1"/>
    </w:lvl>
  </w:abstractNum>
  <w:abstractNum w:abstractNumId="59">
    <w:nsid w:val="4C9B0904"/>
    <w:multiLevelType w:val="hybridMultilevel"/>
    <w:lvl w:ilvl="0">
      <w:lvlJc w:val="left"/>
      <w:lvlText w:val="•"/>
      <w:numFmt w:val="bullet"/>
      <w:start w:val="1"/>
    </w:lvl>
  </w:abstractNum>
  <w:abstractNum w:abstractNumId="60">
    <w:nsid w:val="6AA7B75C"/>
    <w:multiLevelType w:val="hybridMultilevel"/>
    <w:lvl w:ilvl="0">
      <w:lvlJc w:val="left"/>
      <w:lvlText w:val="$"/>
      <w:numFmt w:val="bullet"/>
      <w:start w:val="1"/>
    </w:lvl>
  </w:abstractNum>
  <w:abstractNum w:abstractNumId="61">
    <w:nsid w:val="1DF029D3"/>
    <w:multiLevelType w:val="hybridMultilevel"/>
    <w:lvl w:ilvl="0">
      <w:lvlJc w:val="left"/>
      <w:lvlText w:val="•"/>
      <w:numFmt w:val="bullet"/>
      <w:start w:val="1"/>
    </w:lvl>
  </w:abstractNum>
  <w:abstractNum w:abstractNumId="62">
    <w:nsid w:val="5675FF36"/>
    <w:multiLevelType w:val="hybridMultilevel"/>
    <w:lvl w:ilvl="0">
      <w:lvlJc w:val="left"/>
      <w:lvlText w:val="(%1)"/>
      <w:numFmt w:val="decimal"/>
      <w:start w:val="1"/>
    </w:lvl>
  </w:abstractNum>
  <w:abstractNum w:abstractNumId="63">
    <w:nsid w:val="3DD15094"/>
    <w:multiLevelType w:val="hybridMultilevel"/>
    <w:lvl w:ilvl="0">
      <w:lvlJc w:val="left"/>
      <w:lvlText w:val="•"/>
      <w:numFmt w:val="bullet"/>
      <w:start w:val="1"/>
    </w:lvl>
  </w:abstractNum>
  <w:abstractNum w:abstractNumId="64">
    <w:nsid w:val="3DB012B3"/>
    <w:multiLevelType w:val="hybridMultilevel"/>
    <w:lvl w:ilvl="0">
      <w:lvlJc w:val="left"/>
      <w:lvlText w:val="•"/>
      <w:numFmt w:val="bullet"/>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
      <w:numFmt w:val="bullet"/>
      <w:start w:val="1"/>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
      <w:numFmt w:val="bullet"/>
      <w:start w:val="1"/>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1)"/>
      <w:numFmt w:val="decimal"/>
      <w:start w:val="1"/>
    </w:lvl>
  </w:abstractNum>
  <w:abstractNum w:abstractNumId="73">
    <w:nsid w:val="519E3149"/>
    <w:multiLevelType w:val="hybridMultilevel"/>
    <w:lvl w:ilvl="0">
      <w:lvlJc w:val="left"/>
      <w:lvlText w:val="•"/>
      <w:numFmt w:val="bullet"/>
      <w:start w:val="1"/>
    </w:lvl>
  </w:abstractNum>
  <w:abstractNum w:abstractNumId="74">
    <w:nsid w:val="2C6E4AFD"/>
    <w:multiLevelType w:val="hybridMultilevel"/>
    <w:lvl w:ilvl="0">
      <w:lvlJc w:val="left"/>
      <w:lvlText w:val="%1."/>
      <w:numFmt w:val="decimal"/>
      <w:start w:val="1"/>
    </w:lvl>
  </w:abstractNum>
  <w:abstractNum w:abstractNumId="75">
    <w:nsid w:val="17A1B582"/>
    <w:multiLevelType w:val="hybridMultilevel"/>
    <w:lvl w:ilvl="0">
      <w:lvlJc w:val="left"/>
      <w:lvlText w:val="(%1)"/>
      <w:numFmt w:val="decimal"/>
      <w:start w:val="1"/>
    </w:lvl>
  </w:abstractNum>
  <w:abstractNum w:abstractNumId="76">
    <w:nsid w:val="4DF72E4E"/>
    <w:multiLevelType w:val="hybridMultilevel"/>
    <w:lvl w:ilvl="0">
      <w:lvlJc w:val="left"/>
      <w:lvlText w:val="•"/>
      <w:numFmt w:val="bullet"/>
      <w:start w:val="1"/>
    </w:lvl>
  </w:abstractNum>
  <w:abstractNum w:abstractNumId="77">
    <w:nsid w:val="5046B5A9"/>
    <w:multiLevelType w:val="hybridMultilevel"/>
    <w:lvl w:ilvl="0">
      <w:lvlJc w:val="left"/>
      <w:lvlText w:val="•"/>
      <w:numFmt w:val="bullet"/>
      <w:start w:val="1"/>
    </w:lvl>
  </w:abstractNum>
  <w:abstractNum w:abstractNumId="78">
    <w:nsid w:val="5D888A08"/>
    <w:multiLevelType w:val="hybridMultilevel"/>
    <w:lvl w:ilvl="0">
      <w:lvlJc w:val="left"/>
      <w:lvlText w:val="•"/>
      <w:numFmt w:val="bullet"/>
      <w:start w:val="1"/>
    </w:lvl>
  </w:abstractNum>
  <w:abstractNum w:abstractNumId="79">
    <w:nsid w:val="2A082C70"/>
    <w:multiLevelType w:val="hybridMultilevel"/>
    <w:lvl w:ilvl="0">
      <w:lvlJc w:val="left"/>
      <w:lvlText w:val="•"/>
      <w:numFmt w:val="bullet"/>
      <w:start w:val="1"/>
    </w:lvl>
  </w:abstractNum>
  <w:abstractNum w:abstractNumId="80">
    <w:nsid w:val="5EC6AFD4"/>
    <w:multiLevelType w:val="hybridMultilevel"/>
    <w:lvl w:ilvl="0">
      <w:lvlJc w:val="left"/>
      <w:lvlText w:val="•"/>
      <w:numFmt w:val="bullet"/>
      <w:start w:val="1"/>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
      <w:numFmt w:val="bullet"/>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1."/>
      <w:numFmt w:val="upperLetter"/>
      <w:start w:val="1"/>
    </w:lvl>
  </w:abstractNum>
  <w:abstractNum w:abstractNumId="85">
    <w:nsid w:val="20EE1348"/>
    <w:multiLevelType w:val="hybridMultilevel"/>
    <w:lvl w:ilvl="0">
      <w:lvlJc w:val="left"/>
      <w:lvlText w:val="%1."/>
      <w:numFmt w:val="upperLetter"/>
      <w:start w:val="2"/>
    </w:lvl>
  </w:abstractNum>
  <w:abstractNum w:abstractNumId="86">
    <w:nsid w:val="4427069A"/>
    <w:multiLevelType w:val="hybridMultilevel"/>
    <w:lvl w:ilvl="0">
      <w:lvlJc w:val="left"/>
      <w:lvlText w:val="(%1)"/>
      <w:numFmt w:val="lowerRoman"/>
      <w:start w:val="1"/>
    </w:lvl>
  </w:abstractNum>
  <w:abstractNum w:abstractNumId="87">
    <w:nsid w:val="B37E80A"/>
    <w:multiLevelType w:val="hybridMultilevel"/>
    <w:lvl w:ilvl="0">
      <w:lvlJc w:val="left"/>
      <w:lvlText w:val="(%1)"/>
      <w:numFmt w:val="lowerRoman"/>
      <w:start w:val="3"/>
    </w:lvl>
  </w:abstractNum>
  <w:abstractNum w:abstractNumId="88">
    <w:nsid w:val="2157F6BC"/>
    <w:multiLevelType w:val="hybridMultilevel"/>
    <w:lvl w:ilvl="0">
      <w:lvlJc w:val="left"/>
      <w:lvlText w:val="(%1)"/>
      <w:numFmt w:val="lowerRoman"/>
      <w:start w:val="1"/>
    </w:lvl>
  </w:abstractNum>
  <w:abstractNum w:abstractNumId="89">
    <w:nsid w:val="704E1DD5"/>
    <w:multiLevelType w:val="hybridMultilevel"/>
    <w:lvl w:ilvl="0">
      <w:lvlJc w:val="left"/>
      <w:lvlText w:val="•"/>
      <w:numFmt w:val="bullet"/>
      <w:start w:val="1"/>
    </w:lvl>
  </w:abstractNum>
  <w:abstractNum w:abstractNumId="90">
    <w:nsid w:val="57D2F10E"/>
    <w:multiLevelType w:val="hybridMultilevel"/>
    <w:lvl w:ilvl="0">
      <w:lvlJc w:val="left"/>
      <w:lvlText w:val="•"/>
      <w:numFmt w:val="bullet"/>
      <w:start w:val="1"/>
    </w:lvl>
  </w:abstractNum>
  <w:abstractNum w:abstractNumId="91">
    <w:nsid w:val="BFFAE18"/>
    <w:multiLevelType w:val="hybridMultilevel"/>
    <w:lvl w:ilvl="0">
      <w:lvlJc w:val="left"/>
      <w:lvlText w:val="(%1)"/>
      <w:numFmt w:val="decimal"/>
      <w:start w:val="1"/>
    </w:lvl>
  </w:abstractNum>
  <w:abstractNum w:abstractNumId="92">
    <w:nsid w:val="E3E47A8"/>
    <w:multiLevelType w:val="hybridMultilevel"/>
    <w:lvl w:ilvl="0">
      <w:lvlJc w:val="left"/>
      <w:lvlText w:val="•"/>
      <w:numFmt w:val="bullet"/>
      <w:start w:val="1"/>
    </w:lvl>
  </w:abstractNum>
  <w:abstractNum w:abstractNumId="93">
    <w:nsid w:val="2E48F044"/>
    <w:multiLevelType w:val="hybridMultilevel"/>
    <w:lvl w:ilvl="0">
      <w:lvlJc w:val="left"/>
      <w:lvlText w:val="•"/>
      <w:numFmt w:val="bullet"/>
      <w:start w:val="1"/>
    </w:lvl>
  </w:abstractNum>
  <w:abstractNum w:abstractNumId="94">
    <w:nsid w:val="49D0FEAC"/>
    <w:multiLevelType w:val="hybridMultilevel"/>
    <w:lvl w:ilvl="0">
      <w:lvlJc w:val="left"/>
      <w:lvlText w:val="•"/>
      <w:numFmt w:val="bullet"/>
      <w:start w:val="1"/>
    </w:lvl>
  </w:abstractNum>
  <w:abstractNum w:abstractNumId="95">
    <w:nsid w:val="4BEE5A5B"/>
    <w:multiLevelType w:val="hybridMultilevel"/>
    <w:lvl w:ilvl="0">
      <w:lvlJc w:val="left"/>
      <w:lvlText w:val="•"/>
      <w:numFmt w:val="bullet"/>
      <w:start w:val="1"/>
    </w:lvl>
  </w:abstractNum>
  <w:abstractNum w:abstractNumId="96">
    <w:nsid w:val="5551B9F3"/>
    <w:multiLevelType w:val="hybridMultilevel"/>
    <w:lvl w:ilvl="0">
      <w:lvlJc w:val="left"/>
      <w:lvlText w:val="(%1)"/>
      <w:numFmt w:val="decimal"/>
      <w:start w:val="1"/>
    </w:lvl>
  </w:abstractNum>
  <w:abstractNum w:abstractNumId="97">
    <w:nsid w:val="24F6AB8E"/>
    <w:multiLevelType w:val="hybridMultilevel"/>
    <w:lvl w:ilvl="0">
      <w:lvlJc w:val="left"/>
      <w:lvlText w:val="•"/>
      <w:numFmt w:val="bullet"/>
      <w:start w:val="1"/>
    </w:lvl>
  </w:abstractNum>
  <w:abstractNum w:abstractNumId="98">
    <w:nsid w:val="634C574C"/>
    <w:multiLevelType w:val="hybridMultilevel"/>
    <w:lvl w:ilvl="0">
      <w:lvlJc w:val="left"/>
      <w:lvlText w:val="(%1)"/>
      <w:numFmt w:val="decimal"/>
      <w:start w:val="1"/>
    </w:lvl>
  </w:abstractNum>
  <w:abstractNum w:abstractNumId="99">
    <w:nsid w:val="24E99DD7"/>
    <w:multiLevelType w:val="hybridMultilevel"/>
    <w:lvl w:ilvl="0">
      <w:lvlJc w:val="left"/>
      <w:lvlText w:val="(%1)"/>
      <w:numFmt w:val="decimal"/>
      <w:start w:val="5"/>
    </w:lvl>
  </w:abstractNum>
  <w:abstractNum w:abstractNumId="100">
    <w:nsid w:val="2A31B62D"/>
    <w:multiLevelType w:val="hybridMultilevel"/>
    <w:lvl w:ilvl="0">
      <w:lvlJc w:val="left"/>
      <w:lvlText w:val="(%1)"/>
      <w:numFmt w:val="decimal"/>
      <w:start w:val="1"/>
    </w:lvl>
  </w:abstractNum>
  <w:abstractNum w:abstractNumId="101">
    <w:nsid w:val="1849C29B"/>
    <w:multiLevelType w:val="hybridMultilevel"/>
    <w:lvl w:ilvl="0">
      <w:lvlJc w:val="left"/>
      <w:lvlText w:val="(%1)"/>
      <w:numFmt w:val="decimal"/>
      <w:start w:val="1"/>
    </w:lvl>
  </w:abstractNum>
  <w:abstractNum w:abstractNumId="102">
    <w:nsid w:val="7DFF9D09"/>
    <w:multiLevelType w:val="hybridMultilevel"/>
    <w:lvl w:ilvl="0">
      <w:lvlJc w:val="left"/>
      <w:lvlText w:val="(%1)"/>
      <w:numFmt w:val="decimal"/>
      <w:start w:val="1"/>
    </w:lvl>
  </w:abstractNum>
  <w:abstractNum w:abstractNumId="103">
    <w:nsid w:val="754342"/>
    <w:multiLevelType w:val="hybridMultilevel"/>
    <w:lvl w:ilvl="0">
      <w:lvlJc w:val="left"/>
      <w:lvlText w:val="$"/>
      <w:numFmt w:val="bullet"/>
      <w:start w:val="1"/>
    </w:lvl>
  </w:abstractNum>
  <w:abstractNum w:abstractNumId="104">
    <w:nsid w:val="69E7F3E5"/>
    <w:multiLevelType w:val="hybridMultilevel"/>
    <w:lvl w:ilvl="0">
      <w:lvlJc w:val="left"/>
      <w:lvlText w:val="(%1)"/>
      <w:numFmt w:val="lowerRoman"/>
      <w:start w:val="8"/>
    </w:lvl>
  </w:abstractNum>
  <w:abstractNum w:abstractNumId="105">
    <w:nsid w:val="2A6DE806"/>
    <w:multiLevelType w:val="hybridMultilevel"/>
    <w:lvl w:ilvl="0">
      <w:lvlJc w:val="left"/>
      <w:lvlText w:val="(%1)"/>
      <w:numFmt w:val="lowerRoman"/>
      <w:start w:val="11"/>
    </w:lvl>
  </w:abstractNum>
  <w:abstractNum w:abstractNumId="106">
    <w:nsid w:val="1816F8C4"/>
    <w:multiLevelType w:val="hybridMultilevel"/>
    <w:lvl w:ilvl="0">
      <w:lvlJc w:val="left"/>
      <w:lvlText w:val="(%1)"/>
      <w:numFmt w:val="lowerRoman"/>
      <w:start w:val="17"/>
    </w:lvl>
  </w:abstractNum>
  <w:abstractNum w:abstractNumId="107">
    <w:nsid w:val="37DF2233"/>
    <w:multiLevelType w:val="hybridMultilevel"/>
    <w:lvl w:ilvl="0">
      <w:lvlJc w:val="left"/>
      <w:lvlText w:val="(%1)"/>
      <w:numFmt w:val="lowerRoman"/>
      <w:start w:val="2"/>
    </w:lvl>
  </w:abstractNum>
  <w:abstractNum w:abstractNumId="108">
    <w:nsid w:val="7AB49DAF"/>
    <w:multiLevelType w:val="hybridMultilevel"/>
    <w:lvl w:ilvl="0">
      <w:lvlJc w:val="left"/>
      <w:lvlText w:val="•"/>
      <w:numFmt w:val="bullet"/>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
      <w:numFmt w:val="bullet"/>
      <w:start w:val="1"/>
    </w:lvl>
  </w:abstractNum>
  <w:abstractNum w:abstractNumId="111">
    <w:nsid w:val="597B4D84"/>
    <w:multiLevelType w:val="hybridMultilevel"/>
    <w:lvl w:ilvl="0">
      <w:lvlJc w:val="left"/>
      <w:lvlText w:val="(%1)"/>
      <w:numFmt w:val="decimal"/>
      <w:start w:val="1"/>
    </w:lvl>
  </w:abstractNum>
  <w:abstractNum w:abstractNumId="112">
    <w:nsid w:val="F819E7F"/>
    <w:multiLevelType w:val="hybridMultilevel"/>
    <w:lvl w:ilvl="0">
      <w:lvlJc w:val="left"/>
      <w:lvlText w:val="(%1)"/>
      <w:numFmt w:val="decimal"/>
      <w:start w:val="3"/>
    </w:lvl>
  </w:abstractNum>
  <w:abstractNum w:abstractNumId="113">
    <w:nsid w:val="57C7D42D"/>
    <w:multiLevelType w:val="hybridMultilevel"/>
    <w:lvl w:ilvl="0">
      <w:lvlJc w:val="left"/>
      <w:lvlText w:val="(%1)"/>
      <w:numFmt w:val="decimal"/>
      <w:start w:val="1"/>
    </w:lvl>
  </w:abstractNum>
  <w:abstractNum w:abstractNumId="114">
    <w:nsid w:val="312167AD"/>
    <w:multiLevelType w:val="hybridMultilevel"/>
    <w:lvl w:ilvl="0">
      <w:lvlJc w:val="left"/>
      <w:lvlText w:val="(%1)"/>
      <w:numFmt w:val="decimal"/>
      <w:start w:val="4"/>
    </w:lvl>
  </w:abstractNum>
  <w:abstractNum w:abstractNumId="115">
    <w:nsid w:val="631B64D4"/>
    <w:multiLevelType w:val="hybridMultilevel"/>
    <w:lvl w:ilvl="0">
      <w:lvlJc w:val="left"/>
      <w:lvlText w:val="•"/>
      <w:numFmt w:val="bullet"/>
      <w:start w:val="1"/>
    </w:lvl>
  </w:abstractNum>
  <w:abstractNum w:abstractNumId="116">
    <w:nsid w:val="78B5E776"/>
    <w:multiLevelType w:val="hybridMultilevel"/>
    <w:lvl w:ilvl="0">
      <w:lvlJc w:val="left"/>
      <w:lvlText w:val="•"/>
      <w:numFmt w:val="bullet"/>
      <w:start w:val="1"/>
    </w:lvl>
  </w:abstractNum>
  <w:abstractNum w:abstractNumId="117">
    <w:nsid w:val="75486E47"/>
    <w:multiLevelType w:val="hybridMultilevel"/>
    <w:lvl w:ilvl="0">
      <w:lvlJc w:val="left"/>
      <w:lvlText w:val="*"/>
      <w:numFmt w:val="bullet"/>
      <w:start w:val="1"/>
    </w:lvl>
  </w:abstractNum>
  <w:abstractNum w:abstractNumId="118">
    <w:nsid w:val="6E534CDE"/>
    <w:multiLevelType w:val="hybridMultilevel"/>
    <w:lvl w:ilvl="0">
      <w:lvlJc w:val="left"/>
      <w:lvlText w:val="(%1)"/>
      <w:numFmt w:val="decimal"/>
      <w:start w:val="1"/>
    </w:lvl>
  </w:abstractNum>
  <w:abstractNum w:abstractNumId="119">
    <w:nsid w:val="1A0DDE32"/>
    <w:multiLevelType w:val="hybridMultilevel"/>
    <w:lvl w:ilvl="0">
      <w:lvlJc w:val="left"/>
      <w:lvlText w:val="(%1)"/>
      <w:numFmt w:val="decimal"/>
      <w:start w:val="2"/>
    </w:lvl>
  </w:abstractNum>
  <w:abstractNum w:abstractNumId="120">
    <w:nsid w:val="65968C1C"/>
    <w:multiLevelType w:val="hybridMultilevel"/>
    <w:lvl w:ilvl="0">
      <w:lvlJc w:val="left"/>
      <w:lvlText w:val="(%1)"/>
      <w:numFmt w:val="decimal"/>
      <w:start w:val="7"/>
    </w:lvl>
  </w:abstractNum>
  <w:abstractNum w:abstractNumId="121">
    <w:nsid w:val="46263DEC"/>
    <w:multiLevelType w:val="hybridMultilevel"/>
    <w:lvl w:ilvl="0">
      <w:lvlJc w:val="left"/>
      <w:lvlText w:val="•"/>
      <w:numFmt w:val="bullet"/>
      <w:start w:val="1"/>
    </w:lvl>
  </w:abstractNum>
  <w:abstractNum w:abstractNumId="122">
    <w:nsid w:val="260D8C4A"/>
    <w:multiLevelType w:val="hybridMultilevel"/>
    <w:lvl w:ilvl="0">
      <w:lvlJc w:val="left"/>
      <w:lvlText w:val="(%1)"/>
      <w:numFmt w:val="lowerRoman"/>
      <w:start w:val="1"/>
    </w:lvl>
  </w:abstractNum>
  <w:abstractNum w:abstractNumId="123">
    <w:nsid w:val="73D4D3C4"/>
    <w:multiLevelType w:val="hybridMultilevel"/>
    <w:lvl w:ilvl="0">
      <w:lvlJc w:val="left"/>
      <w:lvlText w:val="(%1)"/>
      <w:numFmt w:val="lowerRoman"/>
      <w:start w:val="3"/>
    </w:lvl>
  </w:abstractNum>
  <w:abstractNum w:abstractNumId="124">
    <w:nsid w:val="746F2E30"/>
    <w:multiLevelType w:val="hybridMultilevel"/>
    <w:lvl w:ilvl="0">
      <w:lvlJc w:val="left"/>
      <w:lvlText w:val="(%1)"/>
      <w:numFmt w:val="lowerLetter"/>
      <w:start w:val="2"/>
    </w:lvl>
  </w:abstractNum>
  <w:abstractNum w:abstractNumId="125">
    <w:nsid w:val="6FDE8AF6"/>
    <w:multiLevelType w:val="hybridMultilevel"/>
    <w:lvl w:ilvl="0">
      <w:lvlJc w:val="left"/>
      <w:lvlText w:val="(%1)"/>
      <w:numFmt w:val="lowerLetter"/>
      <w:start w:val="2"/>
    </w:lvl>
  </w:abstractNum>
  <w:abstractNum w:abstractNumId="126">
    <w:nsid w:val="3FC32E20"/>
    <w:multiLevelType w:val="hybridMultilevel"/>
    <w:lvl w:ilvl="0">
      <w:lvlJc w:val="left"/>
      <w:lvlText w:val="•"/>
      <w:numFmt w:val="bullet"/>
      <w:start w:val="1"/>
    </w:lvl>
  </w:abstractNum>
  <w:abstractNum w:abstractNumId="127">
    <w:nsid w:val="49C0E823"/>
    <w:multiLevelType w:val="hybridMultilevel"/>
    <w:lvl w:ilvl="0">
      <w:lvlJc w:val="left"/>
      <w:lvlText w:val="(%1)"/>
      <w:numFmt w:val="lowerRoman"/>
      <w:start w:val="2"/>
    </w:lvl>
  </w:abstractNum>
  <w:abstractNum w:abstractNumId="128">
    <w:nsid w:val="14D53685"/>
    <w:multiLevelType w:val="hybridMultilevel"/>
    <w:lvl w:ilvl="0">
      <w:lvlJc w:val="left"/>
      <w:lvlText w:val="(%1)"/>
      <w:numFmt w:val="lowerRoman"/>
      <w:start w:val="1"/>
    </w:lvl>
  </w:abstractNum>
  <w:abstractNum w:abstractNumId="129">
    <w:nsid w:val="230F856C"/>
    <w:multiLevelType w:val="hybridMultilevel"/>
    <w:lvl w:ilvl="0">
      <w:lvlJc w:val="left"/>
      <w:lvlText w:val="•"/>
      <w:numFmt w:val="bullet"/>
      <w:start w:val="1"/>
    </w:lvl>
  </w:abstractNum>
  <w:abstractNum w:abstractNumId="130">
    <w:nsid w:val="6EAA85FB"/>
    <w:multiLevelType w:val="hybridMultilevel"/>
    <w:lvl w:ilvl="0">
      <w:lvlJc w:val="left"/>
      <w:lvlText w:val="(%1)"/>
      <w:numFmt w:val="lowerRoman"/>
      <w:start w:val="1"/>
    </w:lvl>
  </w:abstractNum>
  <w:abstractNum w:abstractNumId="131">
    <w:nsid w:val="3F06ECB2"/>
    <w:multiLevelType w:val="hybridMultilevel"/>
    <w:lvl w:ilvl="0">
      <w:lvlJc w:val="left"/>
      <w:lvlText w:val="•"/>
      <w:numFmt w:val="bullet"/>
      <w:start w:val="1"/>
    </w:lvl>
  </w:abstractNum>
  <w:abstractNum w:abstractNumId="132">
    <w:nsid w:val="3B594807"/>
    <w:multiLevelType w:val="hybridMultilevel"/>
    <w:lvl w:ilvl="0">
      <w:lvlJc w:val="left"/>
      <w:lvlText w:val="•"/>
      <w:numFmt w:val="bullet"/>
      <w:start w:val="1"/>
    </w:lvl>
  </w:abstractNum>
  <w:abstractNum w:abstractNumId="133">
    <w:nsid w:val="6CAA2304"/>
    <w:multiLevelType w:val="hybridMultilevel"/>
    <w:lvl w:ilvl="0">
      <w:lvlJc w:val="left"/>
      <w:lvlText w:val="•"/>
      <w:numFmt w:val="bullet"/>
      <w:start w:val="1"/>
    </w:lvl>
  </w:abstractNum>
  <w:abstractNum w:abstractNumId="134">
    <w:nsid w:val="3F7C2FF4"/>
    <w:multiLevelType w:val="hybridMultilevel"/>
    <w:lvl w:ilvl="0">
      <w:lvlJc w:val="left"/>
      <w:lvlText w:val="(%1)"/>
      <w:numFmt w:val="lowerRoman"/>
      <w:start w:val="1"/>
    </w:lvl>
  </w:abstractNum>
  <w:abstractNum w:abstractNumId="135">
    <w:nsid w:val="25413BEC"/>
    <w:multiLevelType w:val="hybridMultilevel"/>
    <w:lvl w:ilvl="0">
      <w:lvlJc w:val="left"/>
      <w:lvlText w:val="(%1)"/>
      <w:numFmt w:val="lowerLetter"/>
      <w:start w:val="1"/>
    </w:lvl>
  </w:abstractNum>
  <w:abstractNum w:abstractNumId="136">
    <w:nsid w:val="17180B0B"/>
    <w:multiLevelType w:val="hybridMultilevel"/>
    <w:lvl w:ilvl="0">
      <w:lvlJc w:val="left"/>
      <w:lvlText w:val="1"/>
      <w:numFmt w:val="bullet"/>
      <w:start w:val="1"/>
    </w:lvl>
  </w:abstractNum>
  <w:abstractNum w:abstractNumId="137">
    <w:nsid w:val="579328B9"/>
    <w:multiLevelType w:val="hybridMultilevel"/>
    <w:lvl w:ilvl="0">
      <w:lvlJc w:val="left"/>
      <w:lvlText w:val="%1."/>
      <w:numFmt w:val="decimal"/>
      <w:start w:val="2"/>
    </w:lvl>
  </w:abstractNum>
  <w:abstractNum w:abstractNumId="138">
    <w:nsid w:val="5D205E20"/>
    <w:multiLevelType w:val="hybridMultilevel"/>
    <w:lvl w:ilvl="0">
      <w:lvlJc w:val="left"/>
      <w:lvlText w:val="•"/>
      <w:numFmt w:val="bullet"/>
      <w:start w:val="1"/>
    </w:lvl>
  </w:abstractNum>
  <w:abstractNum w:abstractNumId="139">
    <w:nsid w:val="11CCA8BA"/>
    <w:multiLevelType w:val="hybridMultilevel"/>
    <w:lvl w:ilvl="0">
      <w:lvlJc w:val="left"/>
      <w:lvlText w:val="(%1)"/>
      <w:numFmt w:val="lowerRoman"/>
      <w:start w:val="2"/>
    </w:lvl>
  </w:abstractNum>
  <w:abstractNum w:abstractNumId="140">
    <w:nsid w:val="4D32AB86"/>
    <w:multiLevelType w:val="hybridMultilevel"/>
    <w:lvl w:ilvl="0">
      <w:lvlJc w:val="left"/>
      <w:lvlText w:val="•"/>
      <w:numFmt w:val="bullet"/>
      <w:start w:val="1"/>
    </w:lvl>
  </w:abstractNum>
  <w:abstractNum w:abstractNumId="141">
    <w:nsid w:val="3F07ACC3"/>
    <w:multiLevelType w:val="hybridMultilevel"/>
    <w:lvl w:ilvl="0">
      <w:lvlJc w:val="left"/>
      <w:lvlText w:val="%1."/>
      <w:numFmt w:val="decimal"/>
      <w:start w:val="11"/>
    </w:lvl>
  </w:abstractNum>
  <w:abstractNum w:abstractNumId="142">
    <w:nsid w:val="6B47F63E"/>
    <w:multiLevelType w:val="hybridMultilevel"/>
    <w:lvl w:ilvl="0">
      <w:lvlJc w:val="left"/>
      <w:lvlText w:val="%1."/>
      <w:numFmt w:val="decimal"/>
      <w:start w:val="2"/>
    </w:lvl>
  </w:abstractNum>
  <w:abstractNum w:abstractNumId="143">
    <w:nsid w:val="5CB44A05"/>
    <w:multiLevelType w:val="hybridMultilevel"/>
    <w:lvl w:ilvl="0">
      <w:lvlJc w:val="left"/>
      <w:lvlText w:val="%1."/>
      <w:numFmt w:val="decimal"/>
      <w:start w:val="6"/>
    </w:lvl>
  </w:abstractNum>
  <w:abstractNum w:abstractNumId="144">
    <w:nsid w:val="16CF80F1"/>
    <w:multiLevelType w:val="hybridMultilevel"/>
    <w:lvl w:ilvl="0">
      <w:lvlJc w:val="left"/>
      <w:lvlText w:val="$"/>
      <w:numFmt w:val="bullet"/>
      <w:start w:val="1"/>
    </w:lvl>
  </w:abstractNum>
  <w:abstractNum w:abstractNumId="145">
    <w:nsid w:val="1C695DEC"/>
    <w:multiLevelType w:val="hybridMultilevel"/>
    <w:lvl w:ilvl="0">
      <w:lvlJc w:val="left"/>
      <w:lvlText w:val="$"/>
      <w:numFmt w:val="bullet"/>
      <w:start w:val="1"/>
    </w:lvl>
  </w:abstractNum>
  <w:abstractNum w:abstractNumId="146">
    <w:nsid w:val="3FCFAED9"/>
    <w:multiLevelType w:val="hybridMultilevel"/>
    <w:lvl w:ilvl="0">
      <w:lvlJc w:val="left"/>
      <w:lvlText w:val="•"/>
      <w:numFmt w:val="bullet"/>
      <w:start w:val="1"/>
    </w:lvl>
  </w:abstractNum>
  <w:abstractNum w:abstractNumId="147">
    <w:nsid w:val="F856867"/>
    <w:multiLevelType w:val="hybridMultilevel"/>
    <w:lvl w:ilvl="0">
      <w:lvlJc w:val="left"/>
      <w:lvlText w:val="#"/>
      <w:numFmt w:val="bullet"/>
      <w:start w:val="1"/>
    </w:lvl>
  </w:abstractNum>
  <w:abstractNum w:abstractNumId="148">
    <w:nsid w:val="11B1CC33"/>
    <w:multiLevelType w:val="hybridMultilevel"/>
    <w:lvl w:ilvl="0">
      <w:lvlJc w:val="left"/>
      <w:lvlText w:val="*"/>
      <w:numFmt w:val="bullet"/>
      <w:start w:val="1"/>
    </w:lvl>
  </w:abstractNum>
  <w:abstractNum w:abstractNumId="149">
    <w:nsid w:val="2E22FBB7"/>
    <w:multiLevelType w:val="hybridMultilevel"/>
    <w:lvl w:ilvl="0">
      <w:lvlJc w:val="left"/>
      <w:lvlText w:val="+"/>
      <w:numFmt w:val="bullet"/>
      <w:start w:val="1"/>
    </w:lvl>
  </w:abstractNum>
  <w:abstractNum w:abstractNumId="150">
    <w:nsid w:val="29934699"/>
    <w:multiLevelType w:val="hybridMultilevel"/>
    <w:lvl w:ilvl="0">
      <w:lvlJc w:val="left"/>
      <w:lvlText w:val="†"/>
      <w:numFmt w:val="bullet"/>
      <w:start w:val="1"/>
    </w:lvl>
  </w:abstractNum>
  <w:abstractNum w:abstractNumId="151">
    <w:nsid w:val="77485850"/>
    <w:multiLevelType w:val="hybridMultilevel"/>
    <w:lvl w:ilvl="0">
      <w:lvlJc w:val="left"/>
      <w:lvlText w:val="++"/>
      <w:numFmt w:val="bullet"/>
      <w:start w:val="1"/>
    </w:lvl>
  </w:abstractNum>
  <w:abstractNum w:abstractNumId="152">
    <w:nsid w:val="744939A3"/>
    <w:multiLevelType w:val="hybridMultilevel"/>
    <w:lvl w:ilvl="0">
      <w:lvlJc w:val="left"/>
      <w:lvlText w:val="%1."/>
      <w:numFmt w:val="decimal"/>
      <w:start w:val="1"/>
    </w:lvl>
  </w:abstractNum>
  <w:abstractNum w:abstractNumId="153">
    <w:nsid w:val="4FA0D2E3"/>
    <w:multiLevelType w:val="hybridMultilevel"/>
    <w:lvl w:ilvl="0">
      <w:lvlJc w:val="left"/>
      <w:lvlText w:val="%1."/>
      <w:numFmt w:val="decimal"/>
      <w:start w:val="1"/>
    </w:lvl>
    <w:lvl w:ilvl="1">
      <w:lvlJc w:val="left"/>
      <w:lvlText w:val="(%2)"/>
      <w:numFmt w:val="lowerLetter"/>
      <w:start w:val="1"/>
    </w:lvl>
  </w:abstractNum>
  <w:abstractNum w:abstractNumId="154">
    <w:nsid w:val="6B1D2C1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55">
    <w:nsid w:val="68B867D3"/>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56">
    <w:nsid w:val="3F7F5DD9"/>
    <w:multiLevelType w:val="hybridMultilevel"/>
    <w:lvl w:ilvl="0">
      <w:lvlJc w:val="left"/>
      <w:lvlText w:val="%1."/>
      <w:numFmt w:val="decimal"/>
      <w:start w:val="8"/>
    </w:lvl>
    <w:lvl w:ilvl="1">
      <w:lvlJc w:val="left"/>
      <w:lvlText w:val="-"/>
      <w:numFmt w:val="bullet"/>
      <w:start w:val="1"/>
    </w:lvl>
  </w:abstractNum>
  <w:abstractNum w:abstractNumId="157">
    <w:nsid w:val="2AE05A34"/>
    <w:multiLevelType w:val="hybridMultilevel"/>
    <w:lvl w:ilvl="0">
      <w:lvlJc w:val="left"/>
      <w:lvlText w:val="%1."/>
      <w:numFmt w:val="decimal"/>
      <w:start w:val="13"/>
    </w:lvl>
  </w:abstractNum>
  <w:abstractNum w:abstractNumId="158">
    <w:nsid w:val="32794FF7"/>
    <w:multiLevelType w:val="hybridMultilevel"/>
    <w:lvl w:ilvl="0">
      <w:lvlJc w:val="left"/>
      <w:lvlText w:val="%1."/>
      <w:numFmt w:val="decimal"/>
      <w:start w:val="1"/>
    </w:lvl>
    <w:lvl w:ilvl="1">
      <w:lvlJc w:val="left"/>
      <w:lvlText w:val="(%2)"/>
      <w:numFmt w:val="lowerLetter"/>
      <w:start w:val="1"/>
    </w:lvl>
  </w:abstractNum>
  <w:abstractNum w:abstractNumId="159">
    <w:nsid w:val="5454945E"/>
    <w:multiLevelType w:val="hybridMultilevel"/>
    <w:lvl w:ilvl="0">
      <w:lvlJc w:val="left"/>
      <w:lvlText w:val="(%1)"/>
      <w:numFmt w:val="lowerLetter"/>
      <w:start w:val="4"/>
    </w:lvl>
  </w:abstractNum>
  <w:abstractNum w:abstractNumId="160">
    <w:nsid w:val="4DEFDFA0"/>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61">
    <w:nsid w:val="2123D5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62">
    <w:nsid w:val="135B811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3">
    <w:nsid w:val="94927A8"/>
    <w:multiLevelType w:val="hybridMultilevel"/>
    <w:lvl w:ilvl="0">
      <w:lvlJc w:val="left"/>
      <w:lvlText w:val="%1."/>
      <w:numFmt w:val="decimal"/>
      <w:start w:val="8"/>
    </w:lvl>
    <w:lvl w:ilvl="1">
      <w:lvlJc w:val="left"/>
      <w:lvlText w:val="-"/>
      <w:numFmt w:val="bullet"/>
      <w:start w:val="1"/>
    </w:lvl>
  </w:abstractNum>
  <w:abstractNum w:abstractNumId="164">
    <w:nsid w:val="DCDF8F6"/>
    <w:multiLevelType w:val="hybridMultilevel"/>
    <w:lvl w:ilvl="0">
      <w:lvlJc w:val="left"/>
      <w:lvlText w:val="%1."/>
      <w:numFmt w:val="decimal"/>
      <w:start w:val="1"/>
    </w:lvl>
  </w:abstractNum>
  <w:abstractNum w:abstractNumId="165">
    <w:nsid w:val="52D7B105"/>
    <w:multiLevelType w:val="hybridMultilevel"/>
    <w:lvl w:ilvl="0">
      <w:lvlJc w:val="left"/>
      <w:lvlText w:val="(%1)"/>
      <w:numFmt w:val="lowerLetter"/>
      <w:start w:val="1"/>
    </w:lvl>
  </w:abstractNum>
  <w:abstractNum w:abstractNumId="166">
    <w:nsid w:val="2E8A6394"/>
    <w:multiLevelType w:val="hybridMultilevel"/>
    <w:lvl w:ilvl="0">
      <w:lvlJc w:val="left"/>
      <w:lvlText w:val="%1."/>
      <w:numFmt w:val="decimal"/>
      <w:start w:val="2"/>
    </w:lvl>
  </w:abstractNum>
  <w:abstractNum w:abstractNumId="167">
    <w:nsid w:val="24E60401"/>
    <w:multiLevelType w:val="hybridMultilevel"/>
    <w:lvl w:ilvl="0">
      <w:lvlJc w:val="left"/>
      <w:lvlText w:val="(%1)"/>
      <w:numFmt w:val="lowerLetter"/>
      <w:start w:val="1"/>
    </w:lvl>
    <w:lvl w:ilvl="1">
      <w:lvlJc w:val="left"/>
      <w:lvlText w:val="-"/>
      <w:numFmt w:val="bullet"/>
      <w:start w:val="1"/>
    </w:lvl>
  </w:abstractNum>
  <w:abstractNum w:abstractNumId="168">
    <w:nsid w:val="2A6AD9BE"/>
    <w:multiLevelType w:val="hybridMultilevel"/>
    <w:lvl w:ilvl="0">
      <w:lvlJc w:val="left"/>
      <w:lvlText w:val="%1."/>
      <w:numFmt w:val="decimal"/>
      <w:start w:val="3"/>
    </w:lvl>
  </w:abstractNum>
  <w:abstractNum w:abstractNumId="169">
    <w:nsid w:val="BAAC1B4"/>
    <w:multiLevelType w:val="hybridMultilevel"/>
    <w:lvl w:ilvl="0">
      <w:lvlJc w:val="left"/>
      <w:lvlText w:val="%1."/>
      <w:numFmt w:val="decimal"/>
      <w:start w:val="4"/>
    </w:lvl>
  </w:abstractNum>
  <w:abstractNum w:abstractNumId="170">
    <w:nsid w:val="36B2ACBC"/>
    <w:multiLevelType w:val="hybridMultilevel"/>
    <w:lvl w:ilvl="0">
      <w:lvlJc w:val="left"/>
      <w:lvlText w:val="%1."/>
      <w:numFmt w:val="decimal"/>
      <w:start w:val="5"/>
    </w:lvl>
  </w:abstractNum>
  <w:abstractNum w:abstractNumId="171">
    <w:nsid w:val="779D8544"/>
    <w:multiLevelType w:val="hybridMultilevel"/>
    <w:lvl w:ilvl="0">
      <w:lvlJc w:val="left"/>
      <w:lvlText w:val="%1."/>
      <w:numFmt w:val="decimal"/>
      <w:start w:val="6"/>
    </w:lvl>
  </w:abstractNum>
  <w:abstractNum w:abstractNumId="172">
    <w:nsid w:val="4AB26E78"/>
    <w:multiLevelType w:val="hybridMultilevel"/>
    <w:lvl w:ilvl="0">
      <w:lvlJc w:val="left"/>
      <w:lvlText w:val="%1."/>
      <w:numFmt w:val="decimal"/>
      <w:start w:val="7"/>
    </w:lvl>
  </w:abstractNum>
  <w:abstractNum w:abstractNumId="173">
    <w:nsid w:val="21FAA2FA"/>
    <w:multiLevelType w:val="hybridMultilevel"/>
    <w:lvl w:ilvl="0">
      <w:lvlJc w:val="left"/>
      <w:lvlText w:val="%1."/>
      <w:numFmt w:val="decimal"/>
      <w:start w:val="8"/>
    </w:lvl>
  </w:abstractNum>
  <w:abstractNum w:abstractNumId="174">
    <w:nsid w:val="5451CF49"/>
    <w:multiLevelType w:val="hybridMultilevel"/>
    <w:lvl w:ilvl="0">
      <w:lvlJc w:val="left"/>
      <w:lvlText w:val="%1."/>
      <w:numFmt w:val="decimal"/>
      <w:start w:val="9"/>
    </w:lvl>
  </w:abstractNum>
  <w:abstractNum w:abstractNumId="175">
    <w:nsid w:val="6181EF69"/>
    <w:multiLevelType w:val="hybridMultilevel"/>
    <w:lvl w:ilvl="0">
      <w:lvlJc w:val="left"/>
      <w:lvlText w:val="%1."/>
      <w:numFmt w:val="decimal"/>
      <w:start w:val="10"/>
    </w:lvl>
  </w:abstractNum>
  <w:abstractNum w:abstractNumId="176">
    <w:nsid w:val="3E6400E6"/>
    <w:multiLevelType w:val="hybridMultilevel"/>
    <w:lvl w:ilvl="0">
      <w:lvlJc w:val="left"/>
      <w:lvlText w:val="%1."/>
      <w:numFmt w:val="decimal"/>
      <w:start w:val="11"/>
    </w:lvl>
  </w:abstractNum>
  <w:abstractNum w:abstractNumId="177">
    <w:nsid w:val="14217E2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2020-05-29T23:06:18Z</dcterms:created>
  <dcterms:modified xsi:type="dcterms:W3CDTF">2020-05-29T23:06:18Z</dcterms:modified>
</cp:coreProperties>
</file>