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As filed with the Securities and Exchange Commission on March 1, 2023</w:t>
      </w:r>
    </w:p>
    <w:p>
      <w:pPr>
        <w:spacing w:after="0" w:line="27" w:lineRule="exact"/>
        <w:rPr>
          <w:sz w:val="24"/>
          <w:szCs w:val="24"/>
          <w:color w:val="auto"/>
        </w:rPr>
      </w:pPr>
    </w:p>
    <w:p>
      <w:pPr>
        <w:ind w:left="866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REGISTRATION STATEMENT</w:t>
      </w:r>
    </w:p>
    <w:p>
      <w:pPr>
        <w:jc w:val="center"/>
        <w:ind w:right="-3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Repare Therapeutics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460" w:type="dxa"/>
        <w:tblCellMar>
          <w:top w:w="0" w:type="dxa"/>
          <w:left w:w="0" w:type="dxa"/>
          <w:bottom w:w="0" w:type="dxa"/>
          <w:right w:w="0" w:type="dxa"/>
        </w:tblCellMar>
      </w:tblPr>
      <w:tr>
        <w:trPr>
          <w:trHeight w:val="212"/>
        </w:trPr>
        <w:tc>
          <w:tcPr>
            <w:tcW w:w="6300" w:type="dxa"/>
            <w:vAlign w:val="bottom"/>
            <w:gridSpan w:val="3"/>
          </w:tcPr>
          <w:p>
            <w:pPr>
              <w:jc w:val="center"/>
              <w:ind w:right="3680"/>
              <w:spacing w:after="0"/>
              <w:rPr>
                <w:sz w:val="20"/>
                <w:szCs w:val="20"/>
                <w:color w:val="auto"/>
              </w:rPr>
            </w:pPr>
            <w:r>
              <w:rPr>
                <w:rFonts w:ascii="Arial" w:cs="Arial" w:eastAsia="Arial" w:hAnsi="Arial"/>
                <w:sz w:val="18"/>
                <w:szCs w:val="18"/>
                <w:b w:val="1"/>
                <w:bCs w:val="1"/>
                <w:color w:val="auto"/>
                <w:w w:val="87"/>
              </w:rPr>
              <w:t>Québec</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Not applicable</w:t>
            </w:r>
          </w:p>
        </w:tc>
      </w:tr>
      <w:tr>
        <w:trPr>
          <w:trHeight w:val="148"/>
        </w:trPr>
        <w:tc>
          <w:tcPr>
            <w:tcW w:w="6300" w:type="dxa"/>
            <w:vAlign w:val="bottom"/>
            <w:gridSpan w:val="3"/>
          </w:tcPr>
          <w:p>
            <w:pPr>
              <w:jc w:val="center"/>
              <w:ind w:right="366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300" w:type="dxa"/>
            <w:vAlign w:val="bottom"/>
            <w:gridSpan w:val="3"/>
          </w:tcPr>
          <w:p>
            <w:pPr>
              <w:jc w:val="center"/>
              <w:ind w:right="3660"/>
              <w:spacing w:after="0"/>
              <w:rPr>
                <w:sz w:val="20"/>
                <w:szCs w:val="20"/>
                <w:color w:val="auto"/>
              </w:rPr>
            </w:pPr>
            <w:r>
              <w:rPr>
                <w:rFonts w:ascii="Arial" w:cs="Arial" w:eastAsia="Arial" w:hAnsi="Arial"/>
                <w:sz w:val="14"/>
                <w:szCs w:val="14"/>
                <w:b w:val="1"/>
                <w:bCs w:val="1"/>
                <w:color w:val="auto"/>
                <w:w w:val="94"/>
              </w:rPr>
              <w:t>incorporation or organization)</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4"/>
              </w:rPr>
              <w:t>Identification No.)</w:t>
            </w:r>
          </w:p>
        </w:tc>
      </w:tr>
      <w:tr>
        <w:trPr>
          <w:trHeight w:val="439"/>
        </w:trPr>
        <w:tc>
          <w:tcPr>
            <w:tcW w:w="6300" w:type="dxa"/>
            <w:vAlign w:val="bottom"/>
            <w:gridSpan w:val="3"/>
          </w:tcPr>
          <w:p>
            <w:pPr>
              <w:jc w:val="center"/>
              <w:ind w:right="3680"/>
              <w:spacing w:after="0"/>
              <w:rPr>
                <w:sz w:val="20"/>
                <w:szCs w:val="20"/>
                <w:color w:val="auto"/>
              </w:rPr>
            </w:pPr>
            <w:r>
              <w:rPr>
                <w:rFonts w:ascii="Arial" w:cs="Arial" w:eastAsia="Arial" w:hAnsi="Arial"/>
                <w:sz w:val="18"/>
                <w:szCs w:val="18"/>
                <w:b w:val="1"/>
                <w:bCs w:val="1"/>
                <w:color w:val="auto"/>
                <w:w w:val="90"/>
              </w:rPr>
              <w:t>7210 Frederick-Banting, Suite 100</w:t>
            </w:r>
          </w:p>
        </w:tc>
        <w:tc>
          <w:tcPr>
            <w:tcW w:w="1140" w:type="dxa"/>
            <w:vAlign w:val="bottom"/>
          </w:tcPr>
          <w:p>
            <w:pPr>
              <w:spacing w:after="0"/>
              <w:rPr>
                <w:sz w:val="24"/>
                <w:szCs w:val="24"/>
                <w:color w:val="auto"/>
              </w:rPr>
            </w:pPr>
          </w:p>
        </w:tc>
      </w:tr>
      <w:tr>
        <w:trPr>
          <w:trHeight w:val="225"/>
        </w:trPr>
        <w:tc>
          <w:tcPr>
            <w:tcW w:w="6300" w:type="dxa"/>
            <w:vAlign w:val="bottom"/>
            <w:gridSpan w:val="3"/>
          </w:tcPr>
          <w:p>
            <w:pPr>
              <w:jc w:val="center"/>
              <w:ind w:right="3660"/>
              <w:spacing w:after="0"/>
              <w:rPr>
                <w:sz w:val="20"/>
                <w:szCs w:val="20"/>
                <w:color w:val="auto"/>
              </w:rPr>
            </w:pPr>
            <w:r>
              <w:rPr>
                <w:rFonts w:ascii="Arial" w:cs="Arial" w:eastAsia="Arial" w:hAnsi="Arial"/>
                <w:sz w:val="18"/>
                <w:szCs w:val="18"/>
                <w:b w:val="1"/>
                <w:bCs w:val="1"/>
                <w:color w:val="auto"/>
                <w:w w:val="91"/>
              </w:rPr>
              <w:t>St-Laurent, Québec, Canada</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3"/>
              </w:rPr>
              <w:t>H4S 2A1</w:t>
            </w:r>
          </w:p>
        </w:tc>
      </w:tr>
      <w:tr>
        <w:trPr>
          <w:trHeight w:val="186"/>
        </w:trPr>
        <w:tc>
          <w:tcPr>
            <w:tcW w:w="6300" w:type="dxa"/>
            <w:vAlign w:val="bottom"/>
            <w:gridSpan w:val="3"/>
          </w:tcPr>
          <w:p>
            <w:pPr>
              <w:jc w:val="center"/>
              <w:ind w:right="368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8"/>
              </w:rPr>
              <w:t>(Zip Code)</w:t>
            </w:r>
          </w:p>
        </w:tc>
      </w:tr>
      <w:tr>
        <w:trPr>
          <w:trHeight w:val="399"/>
        </w:trPr>
        <w:tc>
          <w:tcPr>
            <w:tcW w:w="6300" w:type="dxa"/>
            <w:vAlign w:val="bottom"/>
            <w:gridSpan w:val="3"/>
          </w:tcPr>
          <w:p>
            <w:pPr>
              <w:jc w:val="center"/>
              <w:ind w:left="1696"/>
              <w:spacing w:after="0"/>
              <w:rPr>
                <w:sz w:val="20"/>
                <w:szCs w:val="20"/>
                <w:color w:val="auto"/>
              </w:rPr>
            </w:pPr>
            <w:r>
              <w:rPr>
                <w:rFonts w:ascii="Arial" w:cs="Arial" w:eastAsia="Arial" w:hAnsi="Arial"/>
                <w:sz w:val="18"/>
                <w:szCs w:val="18"/>
                <w:b w:val="1"/>
                <w:bCs w:val="1"/>
                <w:color w:val="auto"/>
                <w:w w:val="90"/>
              </w:rPr>
              <w:t>Repare Therapeutics 2020 Equity Incentive Plan</w:t>
            </w:r>
          </w:p>
        </w:tc>
        <w:tc>
          <w:tcPr>
            <w:tcW w:w="1140" w:type="dxa"/>
            <w:vAlign w:val="bottom"/>
          </w:tcPr>
          <w:p>
            <w:pPr>
              <w:spacing w:after="0"/>
              <w:rPr>
                <w:sz w:val="24"/>
                <w:szCs w:val="24"/>
                <w:color w:val="auto"/>
              </w:rPr>
            </w:pPr>
          </w:p>
        </w:tc>
      </w:tr>
      <w:tr>
        <w:trPr>
          <w:trHeight w:val="234"/>
        </w:trPr>
        <w:tc>
          <w:tcPr>
            <w:tcW w:w="6300" w:type="dxa"/>
            <w:vAlign w:val="bottom"/>
            <w:gridSpan w:val="3"/>
          </w:tcPr>
          <w:p>
            <w:pPr>
              <w:jc w:val="center"/>
              <w:ind w:left="1716"/>
              <w:spacing w:after="0"/>
              <w:rPr>
                <w:sz w:val="20"/>
                <w:szCs w:val="20"/>
                <w:color w:val="auto"/>
              </w:rPr>
            </w:pPr>
            <w:r>
              <w:rPr>
                <w:rFonts w:ascii="Arial" w:cs="Arial" w:eastAsia="Arial" w:hAnsi="Arial"/>
                <w:sz w:val="18"/>
                <w:szCs w:val="18"/>
                <w:b w:val="1"/>
                <w:bCs w:val="1"/>
                <w:color w:val="auto"/>
                <w:w w:val="89"/>
              </w:rPr>
              <w:t>Repare Therapeutics 2020 Employee Share Purchase Plan</w:t>
            </w:r>
          </w:p>
        </w:tc>
        <w:tc>
          <w:tcPr>
            <w:tcW w:w="1140" w:type="dxa"/>
            <w:vAlign w:val="bottom"/>
          </w:tcPr>
          <w:p>
            <w:pPr>
              <w:spacing w:after="0"/>
              <w:rPr>
                <w:sz w:val="20"/>
                <w:szCs w:val="20"/>
                <w:color w:val="auto"/>
              </w:rPr>
            </w:pPr>
          </w:p>
        </w:tc>
      </w:tr>
      <w:tr>
        <w:trPr>
          <w:trHeight w:val="364"/>
        </w:trPr>
        <w:tc>
          <w:tcPr>
            <w:tcW w:w="288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3"/>
        </w:trPr>
        <w:tc>
          <w:tcPr>
            <w:tcW w:w="2880" w:type="dxa"/>
            <w:vAlign w:val="bottom"/>
          </w:tcPr>
          <w:p>
            <w:pPr>
              <w:spacing w:after="0"/>
              <w:rPr>
                <w:sz w:val="24"/>
                <w:szCs w:val="24"/>
                <w:color w:val="auto"/>
              </w:rPr>
            </w:pPr>
          </w:p>
        </w:tc>
        <w:tc>
          <w:tcPr>
            <w:tcW w:w="3420" w:type="dxa"/>
            <w:vAlign w:val="bottom"/>
            <w:gridSpan w:val="2"/>
          </w:tcPr>
          <w:p>
            <w:pPr>
              <w:jc w:val="center"/>
              <w:ind w:right="1100"/>
              <w:spacing w:after="0"/>
              <w:rPr>
                <w:sz w:val="20"/>
                <w:szCs w:val="20"/>
                <w:color w:val="auto"/>
              </w:rPr>
            </w:pPr>
            <w:r>
              <w:rPr>
                <w:rFonts w:ascii="Arial" w:cs="Arial" w:eastAsia="Arial" w:hAnsi="Arial"/>
                <w:sz w:val="14"/>
                <w:szCs w:val="14"/>
                <w:b w:val="1"/>
                <w:bCs w:val="1"/>
                <w:color w:val="auto"/>
                <w:w w:val="95"/>
              </w:rPr>
              <w:t>(Full title of the plan)</w:t>
            </w:r>
          </w:p>
        </w:tc>
        <w:tc>
          <w:tcPr>
            <w:tcW w:w="1140" w:type="dxa"/>
            <w:vAlign w:val="bottom"/>
          </w:tcPr>
          <w:p>
            <w:pPr>
              <w:spacing w:after="0"/>
              <w:rPr>
                <w:sz w:val="24"/>
                <w:szCs w:val="24"/>
                <w:color w:val="auto"/>
              </w:rPr>
            </w:pPr>
          </w:p>
        </w:tc>
      </w:tr>
      <w:tr>
        <w:trPr>
          <w:trHeight w:val="399"/>
        </w:trPr>
        <w:tc>
          <w:tcPr>
            <w:tcW w:w="2880" w:type="dxa"/>
            <w:vAlign w:val="bottom"/>
          </w:tcPr>
          <w:p>
            <w:pPr>
              <w:spacing w:after="0"/>
              <w:rPr>
                <w:sz w:val="24"/>
                <w:szCs w:val="24"/>
                <w:color w:val="auto"/>
              </w:rPr>
            </w:pPr>
          </w:p>
        </w:tc>
        <w:tc>
          <w:tcPr>
            <w:tcW w:w="3420" w:type="dxa"/>
            <w:vAlign w:val="bottom"/>
            <w:gridSpan w:val="2"/>
          </w:tcPr>
          <w:p>
            <w:pPr>
              <w:jc w:val="center"/>
              <w:ind w:right="1100"/>
              <w:spacing w:after="0"/>
              <w:rPr>
                <w:sz w:val="20"/>
                <w:szCs w:val="20"/>
                <w:color w:val="auto"/>
              </w:rPr>
            </w:pPr>
            <w:r>
              <w:rPr>
                <w:rFonts w:ascii="Arial" w:cs="Arial" w:eastAsia="Arial" w:hAnsi="Arial"/>
                <w:sz w:val="18"/>
                <w:szCs w:val="18"/>
                <w:b w:val="1"/>
                <w:bCs w:val="1"/>
                <w:color w:val="auto"/>
                <w:w w:val="91"/>
              </w:rPr>
              <w:t>Lloyd M. Segal</w:t>
            </w:r>
          </w:p>
        </w:tc>
        <w:tc>
          <w:tcPr>
            <w:tcW w:w="1140" w:type="dxa"/>
            <w:vAlign w:val="bottom"/>
          </w:tcPr>
          <w:p>
            <w:pPr>
              <w:spacing w:after="0"/>
              <w:rPr>
                <w:sz w:val="24"/>
                <w:szCs w:val="24"/>
                <w:color w:val="auto"/>
              </w:rPr>
            </w:pPr>
          </w:p>
        </w:tc>
      </w:tr>
      <w:tr>
        <w:trPr>
          <w:trHeight w:val="216"/>
        </w:trPr>
        <w:tc>
          <w:tcPr>
            <w:tcW w:w="2880" w:type="dxa"/>
            <w:vAlign w:val="bottom"/>
          </w:tcPr>
          <w:p>
            <w:pPr>
              <w:spacing w:after="0"/>
              <w:rPr>
                <w:sz w:val="18"/>
                <w:szCs w:val="18"/>
                <w:color w:val="auto"/>
              </w:rPr>
            </w:pPr>
          </w:p>
        </w:tc>
        <w:tc>
          <w:tcPr>
            <w:tcW w:w="3420" w:type="dxa"/>
            <w:vAlign w:val="bottom"/>
            <w:gridSpan w:val="2"/>
          </w:tcPr>
          <w:p>
            <w:pPr>
              <w:jc w:val="center"/>
              <w:ind w:right="1100"/>
              <w:spacing w:after="0"/>
              <w:rPr>
                <w:sz w:val="20"/>
                <w:szCs w:val="20"/>
                <w:color w:val="auto"/>
              </w:rPr>
            </w:pPr>
            <w:r>
              <w:rPr>
                <w:rFonts w:ascii="Arial" w:cs="Arial" w:eastAsia="Arial" w:hAnsi="Arial"/>
                <w:sz w:val="18"/>
                <w:szCs w:val="18"/>
                <w:b w:val="1"/>
                <w:bCs w:val="1"/>
                <w:color w:val="auto"/>
                <w:w w:val="91"/>
              </w:rPr>
              <w:t>Chief Executive Officer</w:t>
            </w:r>
          </w:p>
        </w:tc>
        <w:tc>
          <w:tcPr>
            <w:tcW w:w="11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3420" w:type="dxa"/>
            <w:vAlign w:val="bottom"/>
            <w:gridSpan w:val="2"/>
          </w:tcPr>
          <w:p>
            <w:pPr>
              <w:jc w:val="center"/>
              <w:ind w:right="1100"/>
              <w:spacing w:after="0"/>
              <w:rPr>
                <w:sz w:val="20"/>
                <w:szCs w:val="20"/>
                <w:color w:val="auto"/>
              </w:rPr>
            </w:pPr>
            <w:r>
              <w:rPr>
                <w:rFonts w:ascii="Arial" w:cs="Arial" w:eastAsia="Arial" w:hAnsi="Arial"/>
                <w:sz w:val="18"/>
                <w:szCs w:val="18"/>
                <w:b w:val="1"/>
                <w:bCs w:val="1"/>
                <w:color w:val="auto"/>
                <w:w w:val="91"/>
              </w:rPr>
              <w:t>Repare Therapeutics Inc.</w:t>
            </w:r>
          </w:p>
        </w:tc>
        <w:tc>
          <w:tcPr>
            <w:tcW w:w="11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3420" w:type="dxa"/>
            <w:vAlign w:val="bottom"/>
            <w:gridSpan w:val="2"/>
          </w:tcPr>
          <w:p>
            <w:pPr>
              <w:jc w:val="center"/>
              <w:ind w:right="1100"/>
              <w:spacing w:after="0"/>
              <w:rPr>
                <w:sz w:val="20"/>
                <w:szCs w:val="20"/>
                <w:color w:val="auto"/>
              </w:rPr>
            </w:pPr>
            <w:r>
              <w:rPr>
                <w:rFonts w:ascii="Arial" w:cs="Arial" w:eastAsia="Arial" w:hAnsi="Arial"/>
                <w:sz w:val="18"/>
                <w:szCs w:val="18"/>
                <w:b w:val="1"/>
                <w:bCs w:val="1"/>
                <w:color w:val="auto"/>
                <w:w w:val="90"/>
              </w:rPr>
              <w:t>1 Broadway, 15th Floor</w:t>
            </w:r>
          </w:p>
        </w:tc>
        <w:tc>
          <w:tcPr>
            <w:tcW w:w="11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3420" w:type="dxa"/>
            <w:vAlign w:val="bottom"/>
            <w:gridSpan w:val="2"/>
          </w:tcPr>
          <w:p>
            <w:pPr>
              <w:jc w:val="center"/>
              <w:ind w:right="1100"/>
              <w:spacing w:after="0"/>
              <w:rPr>
                <w:sz w:val="20"/>
                <w:szCs w:val="20"/>
                <w:color w:val="auto"/>
              </w:rPr>
            </w:pPr>
            <w:r>
              <w:rPr>
                <w:rFonts w:ascii="Arial" w:cs="Arial" w:eastAsia="Arial" w:hAnsi="Arial"/>
                <w:sz w:val="18"/>
                <w:szCs w:val="18"/>
                <w:b w:val="1"/>
                <w:bCs w:val="1"/>
                <w:color w:val="auto"/>
                <w:w w:val="94"/>
              </w:rPr>
              <w:t>Cambridge, MA 02142</w:t>
            </w:r>
          </w:p>
        </w:tc>
        <w:tc>
          <w:tcPr>
            <w:tcW w:w="1140" w:type="dxa"/>
            <w:vAlign w:val="bottom"/>
          </w:tcPr>
          <w:p>
            <w:pPr>
              <w:spacing w:after="0"/>
              <w:rPr>
                <w:sz w:val="18"/>
                <w:szCs w:val="18"/>
                <w:color w:val="auto"/>
              </w:rPr>
            </w:pPr>
          </w:p>
        </w:tc>
      </w:tr>
      <w:tr>
        <w:trPr>
          <w:trHeight w:val="234"/>
        </w:trPr>
        <w:tc>
          <w:tcPr>
            <w:tcW w:w="5200" w:type="dxa"/>
            <w:vAlign w:val="bottom"/>
            <w:gridSpan w:val="2"/>
          </w:tcPr>
          <w:p>
            <w:pPr>
              <w:jc w:val="center"/>
              <w:ind w:left="2816"/>
              <w:spacing w:after="0"/>
              <w:rPr>
                <w:sz w:val="20"/>
                <w:szCs w:val="20"/>
                <w:color w:val="auto"/>
              </w:rPr>
            </w:pPr>
            <w:r>
              <w:rPr>
                <w:rFonts w:ascii="Arial" w:cs="Arial" w:eastAsia="Arial" w:hAnsi="Arial"/>
                <w:sz w:val="18"/>
                <w:szCs w:val="18"/>
                <w:b w:val="1"/>
                <w:bCs w:val="1"/>
                <w:color w:val="auto"/>
                <w:w w:val="89"/>
              </w:rPr>
              <w:t>+1 857 412 7018</w:t>
            </w:r>
          </w:p>
        </w:tc>
        <w:tc>
          <w:tcPr>
            <w:tcW w:w="110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222885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12" w:lineRule="exact"/>
        <w:rPr>
          <w:sz w:val="24"/>
          <w:szCs w:val="24"/>
          <w:color w:val="auto"/>
        </w:rPr>
      </w:pPr>
    </w:p>
    <w:tbl>
      <w:tblPr>
        <w:tblLayout w:type="fixed"/>
        <w:tblInd w:w="1660" w:type="dxa"/>
        <w:tblCellMar>
          <w:top w:w="0" w:type="dxa"/>
          <w:left w:w="0" w:type="dxa"/>
          <w:bottom w:w="0" w:type="dxa"/>
          <w:right w:w="0" w:type="dxa"/>
        </w:tblCellMar>
      </w:tblPr>
      <w:tr>
        <w:trPr>
          <w:trHeight w:val="230"/>
        </w:trPr>
        <w:tc>
          <w:tcPr>
            <w:tcW w:w="2840" w:type="dxa"/>
            <w:vAlign w:val="bottom"/>
          </w:tcPr>
          <w:p>
            <w:pPr>
              <w:spacing w:after="0"/>
              <w:rPr>
                <w:sz w:val="20"/>
                <w:szCs w:val="20"/>
                <w:color w:val="auto"/>
              </w:rPr>
            </w:pPr>
          </w:p>
        </w:tc>
        <w:tc>
          <w:tcPr>
            <w:tcW w:w="5260" w:type="dxa"/>
            <w:vAlign w:val="bottom"/>
          </w:tcPr>
          <w:p>
            <w:pPr>
              <w:ind w:left="640"/>
              <w:spacing w:after="0"/>
              <w:rPr>
                <w:sz w:val="20"/>
                <w:szCs w:val="20"/>
                <w:color w:val="auto"/>
              </w:rPr>
            </w:pPr>
            <w:r>
              <w:rPr>
                <w:rFonts w:ascii="Arial" w:cs="Arial" w:eastAsia="Arial" w:hAnsi="Arial"/>
                <w:sz w:val="18"/>
                <w:szCs w:val="18"/>
                <w:b w:val="1"/>
                <w:bCs w:val="1"/>
                <w:i w:val="1"/>
                <w:iCs w:val="1"/>
                <w:color w:val="auto"/>
              </w:rPr>
              <w:t>Copies to:</w:t>
            </w:r>
          </w:p>
        </w:tc>
      </w:tr>
      <w:tr>
        <w:trPr>
          <w:trHeight w:val="441"/>
        </w:trPr>
        <w:tc>
          <w:tcPr>
            <w:tcW w:w="2840" w:type="dxa"/>
            <w:vAlign w:val="bottom"/>
          </w:tcPr>
          <w:p>
            <w:pPr>
              <w:jc w:val="center"/>
              <w:ind w:right="510"/>
              <w:spacing w:after="0"/>
              <w:rPr>
                <w:sz w:val="20"/>
                <w:szCs w:val="20"/>
                <w:color w:val="auto"/>
              </w:rPr>
            </w:pPr>
            <w:r>
              <w:rPr>
                <w:rFonts w:ascii="Arial" w:cs="Arial" w:eastAsia="Arial" w:hAnsi="Arial"/>
                <w:sz w:val="18"/>
                <w:szCs w:val="18"/>
                <w:b w:val="1"/>
                <w:bCs w:val="1"/>
                <w:color w:val="auto"/>
                <w:w w:val="95"/>
              </w:rPr>
              <w:t>Divakar Gupta</w:t>
            </w:r>
          </w:p>
        </w:tc>
        <w:tc>
          <w:tcPr>
            <w:tcW w:w="5260" w:type="dxa"/>
            <w:vAlign w:val="bottom"/>
          </w:tcPr>
          <w:p>
            <w:pPr>
              <w:jc w:val="center"/>
              <w:ind w:left="2330"/>
              <w:spacing w:after="0"/>
              <w:rPr>
                <w:sz w:val="20"/>
                <w:szCs w:val="20"/>
                <w:color w:val="auto"/>
              </w:rPr>
            </w:pPr>
            <w:r>
              <w:rPr>
                <w:rFonts w:ascii="Arial" w:cs="Arial" w:eastAsia="Arial" w:hAnsi="Arial"/>
                <w:sz w:val="18"/>
                <w:szCs w:val="18"/>
                <w:b w:val="1"/>
                <w:bCs w:val="1"/>
                <w:color w:val="auto"/>
                <w:w w:val="94"/>
              </w:rPr>
              <w:t>Robert Carelli</w:t>
            </w:r>
          </w:p>
        </w:tc>
      </w:tr>
      <w:tr>
        <w:trPr>
          <w:trHeight w:val="216"/>
        </w:trPr>
        <w:tc>
          <w:tcPr>
            <w:tcW w:w="2840" w:type="dxa"/>
            <w:vAlign w:val="bottom"/>
          </w:tcPr>
          <w:p>
            <w:pPr>
              <w:jc w:val="center"/>
              <w:ind w:right="530"/>
              <w:spacing w:after="0"/>
              <w:rPr>
                <w:sz w:val="20"/>
                <w:szCs w:val="20"/>
                <w:color w:val="auto"/>
              </w:rPr>
            </w:pPr>
            <w:r>
              <w:rPr>
                <w:rFonts w:ascii="Arial" w:cs="Arial" w:eastAsia="Arial" w:hAnsi="Arial"/>
                <w:sz w:val="18"/>
                <w:szCs w:val="18"/>
                <w:b w:val="1"/>
                <w:bCs w:val="1"/>
                <w:color w:val="auto"/>
                <w:w w:val="92"/>
              </w:rPr>
              <w:t>Courtney Thorne</w:t>
            </w:r>
          </w:p>
        </w:tc>
        <w:tc>
          <w:tcPr>
            <w:tcW w:w="5260" w:type="dxa"/>
            <w:vAlign w:val="bottom"/>
          </w:tcPr>
          <w:p>
            <w:pPr>
              <w:jc w:val="center"/>
              <w:ind w:left="2330"/>
              <w:spacing w:after="0"/>
              <w:rPr>
                <w:sz w:val="20"/>
                <w:szCs w:val="20"/>
                <w:color w:val="auto"/>
              </w:rPr>
            </w:pPr>
            <w:r>
              <w:rPr>
                <w:rFonts w:ascii="Arial" w:cs="Arial" w:eastAsia="Arial" w:hAnsi="Arial"/>
                <w:sz w:val="18"/>
                <w:szCs w:val="18"/>
                <w:b w:val="1"/>
                <w:bCs w:val="1"/>
                <w:color w:val="auto"/>
                <w:w w:val="90"/>
              </w:rPr>
              <w:t>Jeremy Sculnick</w:t>
            </w:r>
          </w:p>
        </w:tc>
      </w:tr>
      <w:tr>
        <w:trPr>
          <w:trHeight w:val="216"/>
        </w:trPr>
        <w:tc>
          <w:tcPr>
            <w:tcW w:w="2840" w:type="dxa"/>
            <w:vAlign w:val="bottom"/>
          </w:tcPr>
          <w:p>
            <w:pPr>
              <w:jc w:val="center"/>
              <w:ind w:right="510"/>
              <w:spacing w:after="0"/>
              <w:rPr>
                <w:sz w:val="20"/>
                <w:szCs w:val="20"/>
                <w:color w:val="auto"/>
              </w:rPr>
            </w:pPr>
            <w:r>
              <w:rPr>
                <w:rFonts w:ascii="Arial" w:cs="Arial" w:eastAsia="Arial" w:hAnsi="Arial"/>
                <w:sz w:val="18"/>
                <w:szCs w:val="18"/>
                <w:b w:val="1"/>
                <w:bCs w:val="1"/>
                <w:color w:val="auto"/>
                <w:w w:val="92"/>
              </w:rPr>
              <w:t>Cooley LLP</w:t>
            </w:r>
          </w:p>
        </w:tc>
        <w:tc>
          <w:tcPr>
            <w:tcW w:w="5260" w:type="dxa"/>
            <w:vAlign w:val="bottom"/>
          </w:tcPr>
          <w:p>
            <w:pPr>
              <w:jc w:val="center"/>
              <w:ind w:left="2330"/>
              <w:spacing w:after="0"/>
              <w:rPr>
                <w:sz w:val="20"/>
                <w:szCs w:val="20"/>
                <w:color w:val="auto"/>
              </w:rPr>
            </w:pPr>
            <w:r>
              <w:rPr>
                <w:rFonts w:ascii="Arial" w:cs="Arial" w:eastAsia="Arial" w:hAnsi="Arial"/>
                <w:sz w:val="18"/>
                <w:szCs w:val="18"/>
                <w:b w:val="1"/>
                <w:bCs w:val="1"/>
                <w:color w:val="auto"/>
                <w:w w:val="94"/>
              </w:rPr>
              <w:t>Stikeman Elliott LLP</w:t>
            </w:r>
          </w:p>
        </w:tc>
      </w:tr>
      <w:tr>
        <w:trPr>
          <w:trHeight w:val="216"/>
        </w:trPr>
        <w:tc>
          <w:tcPr>
            <w:tcW w:w="2840" w:type="dxa"/>
            <w:vAlign w:val="bottom"/>
          </w:tcPr>
          <w:p>
            <w:pPr>
              <w:jc w:val="center"/>
              <w:ind w:right="510"/>
              <w:spacing w:after="0"/>
              <w:rPr>
                <w:sz w:val="20"/>
                <w:szCs w:val="20"/>
                <w:color w:val="auto"/>
              </w:rPr>
            </w:pPr>
            <w:r>
              <w:rPr>
                <w:rFonts w:ascii="Arial" w:cs="Arial" w:eastAsia="Arial" w:hAnsi="Arial"/>
                <w:sz w:val="18"/>
                <w:szCs w:val="18"/>
                <w:b w:val="1"/>
                <w:bCs w:val="1"/>
                <w:color w:val="auto"/>
                <w:w w:val="88"/>
              </w:rPr>
              <w:t>500 Boylston Street</w:t>
            </w:r>
          </w:p>
        </w:tc>
        <w:tc>
          <w:tcPr>
            <w:tcW w:w="5260" w:type="dxa"/>
            <w:vAlign w:val="bottom"/>
          </w:tcPr>
          <w:p>
            <w:pPr>
              <w:jc w:val="center"/>
              <w:ind w:left="2330"/>
              <w:spacing w:after="0"/>
              <w:rPr>
                <w:sz w:val="20"/>
                <w:szCs w:val="20"/>
                <w:color w:val="auto"/>
              </w:rPr>
            </w:pPr>
            <w:r>
              <w:rPr>
                <w:rFonts w:ascii="Arial" w:cs="Arial" w:eastAsia="Arial" w:hAnsi="Arial"/>
                <w:sz w:val="18"/>
                <w:szCs w:val="18"/>
                <w:b w:val="1"/>
                <w:bCs w:val="1"/>
                <w:color w:val="auto"/>
                <w:w w:val="88"/>
              </w:rPr>
              <w:t>1155 René-Lévesque Blvd. West</w:t>
            </w:r>
          </w:p>
        </w:tc>
      </w:tr>
      <w:tr>
        <w:trPr>
          <w:trHeight w:val="216"/>
        </w:trPr>
        <w:tc>
          <w:tcPr>
            <w:tcW w:w="2840" w:type="dxa"/>
            <w:vAlign w:val="bottom"/>
          </w:tcPr>
          <w:p>
            <w:pPr>
              <w:jc w:val="center"/>
              <w:ind w:right="530"/>
              <w:spacing w:after="0"/>
              <w:rPr>
                <w:sz w:val="20"/>
                <w:szCs w:val="20"/>
                <w:color w:val="auto"/>
              </w:rPr>
            </w:pPr>
            <w:r>
              <w:rPr>
                <w:rFonts w:ascii="Arial" w:cs="Arial" w:eastAsia="Arial" w:hAnsi="Arial"/>
                <w:sz w:val="18"/>
                <w:szCs w:val="18"/>
                <w:b w:val="1"/>
                <w:bCs w:val="1"/>
                <w:color w:val="auto"/>
                <w:w w:val="86"/>
              </w:rPr>
              <w:t>Boston, Massachusetts 02116</w:t>
            </w:r>
          </w:p>
        </w:tc>
        <w:tc>
          <w:tcPr>
            <w:tcW w:w="5260" w:type="dxa"/>
            <w:vAlign w:val="bottom"/>
          </w:tcPr>
          <w:p>
            <w:pPr>
              <w:jc w:val="center"/>
              <w:ind w:left="2330"/>
              <w:spacing w:after="0"/>
              <w:rPr>
                <w:sz w:val="20"/>
                <w:szCs w:val="20"/>
                <w:color w:val="auto"/>
              </w:rPr>
            </w:pPr>
            <w:r>
              <w:rPr>
                <w:rFonts w:ascii="Arial" w:cs="Arial" w:eastAsia="Arial" w:hAnsi="Arial"/>
                <w:sz w:val="18"/>
                <w:szCs w:val="18"/>
                <w:b w:val="1"/>
                <w:bCs w:val="1"/>
                <w:color w:val="auto"/>
                <w:w w:val="88"/>
              </w:rPr>
              <w:t>41st Floor</w:t>
            </w:r>
          </w:p>
        </w:tc>
      </w:tr>
      <w:tr>
        <w:trPr>
          <w:trHeight w:val="216"/>
        </w:trPr>
        <w:tc>
          <w:tcPr>
            <w:tcW w:w="2840" w:type="dxa"/>
            <w:vAlign w:val="bottom"/>
          </w:tcPr>
          <w:p>
            <w:pPr>
              <w:jc w:val="center"/>
              <w:ind w:right="510"/>
              <w:spacing w:after="0"/>
              <w:rPr>
                <w:sz w:val="20"/>
                <w:szCs w:val="20"/>
                <w:color w:val="auto"/>
              </w:rPr>
            </w:pPr>
            <w:r>
              <w:rPr>
                <w:rFonts w:ascii="Arial" w:cs="Arial" w:eastAsia="Arial" w:hAnsi="Arial"/>
                <w:sz w:val="18"/>
                <w:szCs w:val="18"/>
                <w:b w:val="1"/>
                <w:bCs w:val="1"/>
                <w:color w:val="auto"/>
                <w:w w:val="91"/>
              </w:rPr>
              <w:t>+1 617 937 2300</w:t>
            </w:r>
          </w:p>
        </w:tc>
        <w:tc>
          <w:tcPr>
            <w:tcW w:w="5260" w:type="dxa"/>
            <w:vAlign w:val="bottom"/>
          </w:tcPr>
          <w:p>
            <w:pPr>
              <w:jc w:val="center"/>
              <w:ind w:left="2330"/>
              <w:spacing w:after="0"/>
              <w:rPr>
                <w:sz w:val="20"/>
                <w:szCs w:val="20"/>
                <w:color w:val="auto"/>
              </w:rPr>
            </w:pPr>
            <w:r>
              <w:rPr>
                <w:rFonts w:ascii="Arial" w:cs="Arial" w:eastAsia="Arial" w:hAnsi="Arial"/>
                <w:sz w:val="18"/>
                <w:szCs w:val="18"/>
                <w:b w:val="1"/>
                <w:bCs w:val="1"/>
                <w:color w:val="auto"/>
                <w:w w:val="93"/>
              </w:rPr>
              <w:t>Montréal, Québec, Canada H3B 3V2</w:t>
            </w:r>
          </w:p>
        </w:tc>
      </w:tr>
      <w:tr>
        <w:trPr>
          <w:trHeight w:val="234"/>
        </w:trPr>
        <w:tc>
          <w:tcPr>
            <w:tcW w:w="2840" w:type="dxa"/>
            <w:vAlign w:val="bottom"/>
          </w:tcPr>
          <w:p>
            <w:pPr>
              <w:spacing w:after="0"/>
              <w:rPr>
                <w:sz w:val="20"/>
                <w:szCs w:val="20"/>
                <w:color w:val="auto"/>
              </w:rPr>
            </w:pPr>
          </w:p>
        </w:tc>
        <w:tc>
          <w:tcPr>
            <w:tcW w:w="5260" w:type="dxa"/>
            <w:vAlign w:val="bottom"/>
          </w:tcPr>
          <w:p>
            <w:pPr>
              <w:jc w:val="center"/>
              <w:ind w:left="2330"/>
              <w:spacing w:after="0"/>
              <w:rPr>
                <w:sz w:val="20"/>
                <w:szCs w:val="20"/>
                <w:color w:val="auto"/>
              </w:rPr>
            </w:pPr>
            <w:r>
              <w:rPr>
                <w:rFonts w:ascii="Arial" w:cs="Arial" w:eastAsia="Arial" w:hAnsi="Arial"/>
                <w:sz w:val="18"/>
                <w:szCs w:val="18"/>
                <w:b w:val="1"/>
                <w:bCs w:val="1"/>
                <w:color w:val="auto"/>
                <w:w w:val="91"/>
              </w:rPr>
              <w:t>+1 514 397 3222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231775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ind w:right="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142240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184785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229" w:right="499" w:bottom="428"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REGISTRATION OF ADDITIONAL SHARES PURSUANT TO GENERAL INSTRUCTION E</w:t>
      </w:r>
    </w:p>
    <w:p>
      <w:pPr>
        <w:spacing w:after="0" w:line="229"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Pursuant to General Instruction E of Form S-8, Repare Therapeutics Inc. (the “</w:t>
      </w:r>
      <w:r>
        <w:rPr>
          <w:rFonts w:ascii="Arial" w:cs="Arial" w:eastAsia="Arial" w:hAnsi="Arial"/>
          <w:sz w:val="16"/>
          <w:szCs w:val="16"/>
          <w:b w:val="1"/>
          <w:bCs w:val="1"/>
          <w:i w:val="1"/>
          <w:iCs w:val="1"/>
          <w:color w:val="auto"/>
        </w:rPr>
        <w:t>Registrant</w:t>
      </w:r>
      <w:r>
        <w:rPr>
          <w:rFonts w:ascii="Arial" w:cs="Arial" w:eastAsia="Arial" w:hAnsi="Arial"/>
          <w:sz w:val="16"/>
          <w:szCs w:val="16"/>
          <w:color w:val="auto"/>
        </w:rPr>
        <w:t>”) is filing this Registration Statement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to register (i) 2,101,809 additional common shares, no par value (the “</w:t>
      </w:r>
      <w:r>
        <w:rPr>
          <w:rFonts w:ascii="Arial" w:cs="Arial" w:eastAsia="Arial" w:hAnsi="Arial"/>
          <w:sz w:val="16"/>
          <w:szCs w:val="16"/>
          <w:b w:val="1"/>
          <w:bCs w:val="1"/>
          <w:i w:val="1"/>
          <w:iCs w:val="1"/>
          <w:color w:val="auto"/>
        </w:rPr>
        <w:t>Common Shares</w:t>
      </w:r>
      <w:r>
        <w:rPr>
          <w:rFonts w:ascii="Arial" w:cs="Arial" w:eastAsia="Arial" w:hAnsi="Arial"/>
          <w:sz w:val="16"/>
          <w:szCs w:val="16"/>
          <w:color w:val="auto"/>
        </w:rPr>
        <w:t>”), of the Registrant under the 2020 Equity Incentive Plan (the “</w:t>
      </w:r>
      <w:r>
        <w:rPr>
          <w:rFonts w:ascii="Arial" w:cs="Arial" w:eastAsia="Arial" w:hAnsi="Arial"/>
          <w:sz w:val="16"/>
          <w:szCs w:val="16"/>
          <w:b w:val="1"/>
          <w:bCs w:val="1"/>
          <w:i w:val="1"/>
          <w:iCs w:val="1"/>
          <w:color w:val="auto"/>
        </w:rPr>
        <w:t>2020 Plan</w:t>
      </w:r>
      <w:r>
        <w:rPr>
          <w:rFonts w:ascii="Arial" w:cs="Arial" w:eastAsia="Arial" w:hAnsi="Arial"/>
          <w:sz w:val="16"/>
          <w:szCs w:val="16"/>
          <w:color w:val="auto"/>
        </w:rPr>
        <w:t>”), pursuant to the provisions of the 2020 Plan providing for an automatic increase in the number of Common Shares reserved and available for issuance under the 2020 Plan on January 1, 2023 and (ii) 420,361 additional Common Shares under the 2020 Employee Share Purchase Plan (the “</w:t>
      </w:r>
      <w:r>
        <w:rPr>
          <w:rFonts w:ascii="Arial" w:cs="Arial" w:eastAsia="Arial" w:hAnsi="Arial"/>
          <w:sz w:val="16"/>
          <w:szCs w:val="16"/>
          <w:b w:val="1"/>
          <w:bCs w:val="1"/>
          <w:i w:val="1"/>
          <w:iCs w:val="1"/>
          <w:color w:val="auto"/>
        </w:rPr>
        <w:t>ESPP</w:t>
      </w:r>
      <w:r>
        <w:rPr>
          <w:rFonts w:ascii="Arial" w:cs="Arial" w:eastAsia="Arial" w:hAnsi="Arial"/>
          <w:sz w:val="16"/>
          <w:szCs w:val="16"/>
          <w:color w:val="auto"/>
        </w:rPr>
        <w:t>”), pursuant to the provisions of the ESPP providing for an automatic increase in the number of Common Shares reserved and available for issuance under the ESPP on January 1, 2023. In accordance with the instructional note to Part I of Form S-8 as promulgated by the Commission, the information specified by Part I of the Form S-8 has been omitted from this Registration Statement.</w:t>
      </w:r>
    </w:p>
    <w:p>
      <w:pPr>
        <w:spacing w:after="0" w:line="378"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INCORPORATION OF DOCUMENTS BY REFERENCE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documents filed by the Registrant with the Commission are incorporated by reference into this Registration Statement:</w:t>
      </w:r>
    </w:p>
    <w:p>
      <w:pPr>
        <w:spacing w:after="0" w:line="117" w:lineRule="exact"/>
        <w:rPr>
          <w:sz w:val="20"/>
          <w:szCs w:val="20"/>
          <w:color w:val="auto"/>
        </w:rPr>
      </w:pPr>
    </w:p>
    <w:p>
      <w:pPr>
        <w:ind w:right="360" w:firstLine="436"/>
        <w:spacing w:after="0" w:line="277" w:lineRule="auto"/>
        <w:tabs>
          <w:tab w:leader="none" w:pos="685"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contents of the Registrant’s Registration Statements on Form S-8 (File Nos. </w:t>
      </w:r>
      <w:hyperlink r:id="rId18">
        <w:r>
          <w:rPr>
            <w:rFonts w:ascii="Arial" w:cs="Arial" w:eastAsia="Arial" w:hAnsi="Arial"/>
            <w:sz w:val="18"/>
            <w:szCs w:val="18"/>
            <w:u w:val="single" w:color="auto"/>
            <w:color w:val="0000EE"/>
          </w:rPr>
          <w:t>333-239400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 </w:t>
      </w:r>
      <w:hyperlink r:id="rId19">
        <w:r>
          <w:rPr>
            <w:rFonts w:ascii="Arial" w:cs="Arial" w:eastAsia="Arial" w:hAnsi="Arial"/>
            <w:sz w:val="18"/>
            <w:szCs w:val="18"/>
            <w:u w:val="single" w:color="auto"/>
            <w:color w:val="0000EE"/>
          </w:rPr>
          <w:t>333-255048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0">
        <w:r>
          <w:rPr>
            <w:rFonts w:ascii="Arial" w:cs="Arial" w:eastAsia="Arial" w:hAnsi="Arial"/>
            <w:sz w:val="18"/>
            <w:szCs w:val="18"/>
            <w:u w:val="single" w:color="auto"/>
            <w:color w:val="0000EE"/>
          </w:rPr>
          <w:t>333-263469</w:t>
        </w:r>
      </w:hyperlink>
      <w:r>
        <w:rPr>
          <w:rFonts w:ascii="Arial" w:cs="Arial" w:eastAsia="Arial" w:hAnsi="Arial"/>
          <w:sz w:val="18"/>
          <w:szCs w:val="18"/>
          <w:color w:val="auto"/>
        </w:rPr>
        <w:t>, filed with the Commission on June 24, 2020, April 6, 2021, and March 11, 2022, respectively.</w:t>
      </w:r>
    </w:p>
    <w:p>
      <w:pPr>
        <w:spacing w:after="0" w:line="170" w:lineRule="exact"/>
        <w:rPr>
          <w:rFonts w:ascii="Arial" w:cs="Arial" w:eastAsia="Arial" w:hAnsi="Arial"/>
          <w:sz w:val="18"/>
          <w:szCs w:val="18"/>
          <w:color w:val="auto"/>
        </w:rPr>
      </w:pPr>
    </w:p>
    <w:p>
      <w:pPr>
        <w:ind w:left="700" w:hanging="264"/>
        <w:spacing w:after="0"/>
        <w:tabs>
          <w:tab w:leader="none" w:pos="700"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The Registrant’s Annual Report on </w:t>
      </w:r>
      <w:hyperlink r:id="rId21">
        <w:r>
          <w:rPr>
            <w:rFonts w:ascii="Arial" w:cs="Arial" w:eastAsia="Arial" w:hAnsi="Arial"/>
            <w:sz w:val="16"/>
            <w:szCs w:val="16"/>
            <w:u w:val="single" w:color="auto"/>
            <w:color w:val="0000EE"/>
          </w:rPr>
          <w:t>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fiscal year ended December 31, 2022, filed with the Commission on February 28, 2023.</w:t>
      </w:r>
    </w:p>
    <w:p>
      <w:pPr>
        <w:spacing w:after="0" w:line="248" w:lineRule="exact"/>
        <w:rPr>
          <w:rFonts w:ascii="Arial" w:cs="Arial" w:eastAsia="Arial" w:hAnsi="Arial"/>
          <w:sz w:val="16"/>
          <w:szCs w:val="16"/>
          <w:color w:val="auto"/>
        </w:rPr>
      </w:pPr>
    </w:p>
    <w:p>
      <w:pPr>
        <w:ind w:left="680" w:hanging="244"/>
        <w:spacing w:after="0"/>
        <w:tabs>
          <w:tab w:leader="none" w:pos="680"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The description of the Registrant’s Common Shares which is contained in the Registrant’s Registration Statement on </w:t>
      </w:r>
      <w:hyperlink r:id="rId22">
        <w:r>
          <w:rPr>
            <w:rFonts w:ascii="Arial" w:cs="Arial" w:eastAsia="Arial" w:hAnsi="Arial"/>
            <w:sz w:val="17"/>
            <w:szCs w:val="17"/>
            <w:u w:val="single" w:color="auto"/>
            <w:color w:val="0000EE"/>
          </w:rPr>
          <w:t>Form 8-A</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filed on</w:t>
      </w:r>
    </w:p>
    <w:p>
      <w:pPr>
        <w:spacing w:after="0" w:line="35" w:lineRule="exact"/>
        <w:rPr>
          <w:rFonts w:ascii="Arial" w:cs="Arial" w:eastAsia="Arial" w:hAnsi="Arial"/>
          <w:sz w:val="16"/>
          <w:szCs w:val="16"/>
          <w:color w:val="auto"/>
        </w:rPr>
      </w:pPr>
    </w:p>
    <w:p>
      <w:pPr>
        <w:ind w:right="100"/>
        <w:spacing w:after="0" w:line="260" w:lineRule="auto"/>
        <w:rPr>
          <w:sz w:val="20"/>
          <w:szCs w:val="20"/>
          <w:color w:val="auto"/>
        </w:rPr>
      </w:pPr>
      <w:r>
        <w:rPr>
          <w:rFonts w:ascii="Arial" w:cs="Arial" w:eastAsia="Arial" w:hAnsi="Arial"/>
          <w:sz w:val="18"/>
          <w:szCs w:val="18"/>
          <w:color w:val="auto"/>
        </w:rPr>
        <w:t>June 16, 2020 (File No. 001-39335) under the Securities Exchange Act of 1934, as amended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including any amendment or report filed for the purpose of updating such description.</w:t>
      </w:r>
    </w:p>
    <w:p>
      <w:pPr>
        <w:spacing w:after="0" w:line="185" w:lineRule="exact"/>
        <w:rPr>
          <w:rFonts w:ascii="Arial" w:cs="Arial" w:eastAsia="Arial" w:hAnsi="Arial"/>
          <w:sz w:val="16"/>
          <w:szCs w:val="16"/>
          <w:color w:val="auto"/>
        </w:rPr>
      </w:pPr>
    </w:p>
    <w:p>
      <w:pPr>
        <w:ind w:firstLine="440"/>
        <w:spacing w:after="0" w:line="270" w:lineRule="auto"/>
        <w:rPr>
          <w:sz w:val="20"/>
          <w:szCs w:val="20"/>
          <w:color w:val="auto"/>
        </w:rPr>
      </w:pPr>
      <w:r>
        <w:rPr>
          <w:rFonts w:ascii="Arial" w:cs="Arial" w:eastAsia="Arial" w:hAnsi="Arial"/>
          <w:sz w:val="17"/>
          <w:szCs w:val="17"/>
          <w:color w:val="auto"/>
        </w:rPr>
        <w:t>All documents, reports and definitive proxy or information statements filed by the Registrant pursuant to Sections 13(a), 13(c), 14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that indicates that all securities offered hereby have been sold or that deregisters all securities then remaining unsold shall be deemed to be incorporated by reference in this Registration Statement and to be part hereof from the date of filing of such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sectPr>
          <w:pgSz w:w="11900" w:h="16838" w:orient="portrait"/>
          <w:cols w:equalWidth="0" w:num="1">
            <w:col w:w="11000"/>
          </w:cols>
          <w:pgMar w:left="440" w:top="270"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6640" w:type="dxa"/>
            <w:vAlign w:val="bottom"/>
            <w:gridSpan w:val="16"/>
          </w:tcPr>
          <w:p>
            <w:pPr>
              <w:ind w:left="260"/>
              <w:spacing w:after="0"/>
              <w:rPr>
                <w:sz w:val="20"/>
                <w:szCs w:val="20"/>
                <w:color w:val="auto"/>
              </w:rPr>
            </w:pPr>
            <w:r>
              <w:rPr>
                <w:rFonts w:ascii="Arial" w:cs="Arial" w:eastAsia="Arial" w:hAnsi="Arial"/>
                <w:sz w:val="18"/>
                <w:szCs w:val="18"/>
                <w:b w:val="1"/>
                <w:bCs w:val="1"/>
                <w:color w:val="auto"/>
              </w:rPr>
              <w:t>EXHIBITS</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Exhibit</w:t>
            </w: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19"/>
        </w:trPr>
        <w:tc>
          <w:tcPr>
            <w:tcW w:w="820" w:type="dxa"/>
            <w:vAlign w:val="bottom"/>
            <w:gridSpan w:val="2"/>
            <w:vMerge w:val="continue"/>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920" w:type="dxa"/>
            <w:vAlign w:val="bottom"/>
            <w:gridSpan w:val="9"/>
            <w:vMerge w:val="restart"/>
          </w:tcPr>
          <w:p>
            <w:pPr>
              <w:ind w:left="140"/>
              <w:spacing w:after="0"/>
              <w:rPr>
                <w:sz w:val="20"/>
                <w:szCs w:val="20"/>
                <w:color w:val="auto"/>
              </w:rPr>
            </w:pPr>
            <w:r>
              <w:rPr>
                <w:rFonts w:ascii="Arial" w:cs="Arial" w:eastAsia="Arial" w:hAnsi="Arial"/>
                <w:sz w:val="14"/>
                <w:szCs w:val="14"/>
                <w:b w:val="1"/>
                <w:bCs w:val="1"/>
                <w:color w:val="auto"/>
              </w:rPr>
              <w:t>Description</w:t>
            </w:r>
          </w:p>
        </w:tc>
        <w:tc>
          <w:tcPr>
            <w:tcW w:w="78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6"/>
              </w:rPr>
              <w:t>Schedule</w:t>
            </w:r>
          </w:p>
        </w:tc>
        <w:tc>
          <w:tcPr>
            <w:tcW w:w="1080" w:type="dxa"/>
            <w:vAlign w:val="bottom"/>
            <w:gridSpan w:val="2"/>
          </w:tcPr>
          <w:p>
            <w:pPr>
              <w:ind w:left="320"/>
              <w:spacing w:after="0" w:line="119" w:lineRule="exact"/>
              <w:rPr>
                <w:sz w:val="20"/>
                <w:szCs w:val="20"/>
                <w:color w:val="auto"/>
              </w:rPr>
            </w:pPr>
            <w:r>
              <w:rPr>
                <w:rFonts w:ascii="Arial" w:cs="Arial" w:eastAsia="Arial" w:hAnsi="Arial"/>
                <w:sz w:val="13"/>
                <w:szCs w:val="13"/>
                <w:b w:val="1"/>
                <w:bCs w:val="1"/>
                <w:color w:val="auto"/>
              </w:rPr>
              <w:t>File</w:t>
            </w:r>
          </w:p>
        </w:tc>
        <w:tc>
          <w:tcPr>
            <w:tcW w:w="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171"/>
        </w:trPr>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20" w:type="dxa"/>
            <w:vAlign w:val="bottom"/>
            <w:gridSpan w:val="9"/>
            <w:vMerge w:val="continue"/>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Form</w:t>
            </w: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Number</w:t>
            </w:r>
          </w:p>
        </w:tc>
        <w:tc>
          <w:tcPr>
            <w:tcW w:w="680" w:type="dxa"/>
            <w:vAlign w:val="bottom"/>
            <w:gridSpan w:val="2"/>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2"/>
                <w:szCs w:val="22"/>
                <w:color w:val="auto"/>
              </w:rPr>
            </w:pPr>
          </w:p>
        </w:tc>
        <w:tc>
          <w:tcPr>
            <w:tcW w:w="6440" w:type="dxa"/>
            <w:vAlign w:val="bottom"/>
            <w:tcBorders>
              <w:top w:val="single" w:sz="8" w:color="auto"/>
            </w:tcBorders>
            <w:gridSpan w:val="15"/>
          </w:tcPr>
          <w:p>
            <w:pPr>
              <w:spacing w:after="0"/>
              <w:rPr>
                <w:rFonts w:ascii="Arial" w:cs="Arial" w:eastAsia="Arial" w:hAnsi="Arial"/>
                <w:sz w:val="18"/>
                <w:szCs w:val="18"/>
                <w:color w:val="0000EE"/>
              </w:rPr>
            </w:pPr>
            <w:hyperlink r:id="rId23">
              <w:r>
                <w:rPr>
                  <w:rFonts w:ascii="Arial" w:cs="Arial" w:eastAsia="Arial" w:hAnsi="Arial"/>
                  <w:sz w:val="18"/>
                  <w:szCs w:val="18"/>
                  <w:color w:val="0000EE"/>
                </w:rPr>
                <w:t>Articles of Continuance of Repare Therapeutics Inc.</w:t>
              </w:r>
            </w:hyperlink>
          </w:p>
        </w:tc>
        <w:tc>
          <w:tcPr>
            <w:tcW w:w="200" w:type="dxa"/>
            <w:vAlign w:val="bottom"/>
          </w:tcPr>
          <w:p>
            <w:pPr>
              <w:spacing w:after="0"/>
              <w:rPr>
                <w:sz w:val="22"/>
                <w:szCs w:val="22"/>
                <w:color w:val="auto"/>
              </w:rPr>
            </w:pPr>
          </w:p>
        </w:tc>
        <w:tc>
          <w:tcPr>
            <w:tcW w:w="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220" w:type="dxa"/>
            <w:vAlign w:val="bottom"/>
          </w:tcPr>
          <w:p>
            <w:pPr>
              <w:spacing w:after="0"/>
              <w:rPr>
                <w:sz w:val="22"/>
                <w:szCs w:val="22"/>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001-39335</w:t>
            </w:r>
          </w:p>
        </w:tc>
        <w:tc>
          <w:tcPr>
            <w:tcW w:w="220" w:type="dxa"/>
            <w:vAlign w:val="bottom"/>
          </w:tcPr>
          <w:p>
            <w:pPr>
              <w:spacing w:after="0"/>
              <w:rPr>
                <w:sz w:val="22"/>
                <w:szCs w:val="22"/>
                <w:color w:val="auto"/>
              </w:rPr>
            </w:pPr>
          </w:p>
        </w:tc>
        <w:tc>
          <w:tcPr>
            <w:tcW w:w="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220" w:type="dxa"/>
            <w:vAlign w:val="bottom"/>
          </w:tcPr>
          <w:p>
            <w:pPr>
              <w:spacing w:after="0"/>
              <w:rPr>
                <w:sz w:val="22"/>
                <w:szCs w:val="22"/>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June 23, 2020</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24"/>
                <w:szCs w:val="24"/>
                <w:color w:val="auto"/>
              </w:rPr>
            </w:pPr>
          </w:p>
        </w:tc>
        <w:tc>
          <w:tcPr>
            <w:tcW w:w="4300" w:type="dxa"/>
            <w:vAlign w:val="bottom"/>
            <w:tcBorders>
              <w:bottom w:val="single" w:sz="8" w:color="0000EE"/>
            </w:tcBorders>
            <w:gridSpan w:val="10"/>
          </w:tcPr>
          <w:p>
            <w:pPr>
              <w:spacing w:after="0"/>
              <w:rPr>
                <w:rFonts w:ascii="Arial" w:cs="Arial" w:eastAsia="Arial" w:hAnsi="Arial"/>
                <w:sz w:val="18"/>
                <w:szCs w:val="18"/>
                <w:color w:val="0000EE"/>
                <w:w w:val="89"/>
              </w:rPr>
            </w:pPr>
            <w:hyperlink r:id="rId24">
              <w:r>
                <w:rPr>
                  <w:rFonts w:ascii="Arial" w:cs="Arial" w:eastAsia="Arial" w:hAnsi="Arial"/>
                  <w:sz w:val="18"/>
                  <w:szCs w:val="18"/>
                  <w:color w:val="0000EE"/>
                  <w:w w:val="89"/>
                </w:rPr>
                <w:t>Amended and Restated Bylaws of Repare Therapeutics Inc.</w:t>
              </w:r>
            </w:hyperlink>
          </w:p>
        </w:tc>
        <w:tc>
          <w:tcPr>
            <w:tcW w:w="2340" w:type="dxa"/>
            <w:vAlign w:val="bottom"/>
            <w:gridSpan w:val="6"/>
          </w:tcPr>
          <w:p>
            <w:pPr>
              <w:spacing w:after="0"/>
              <w:rPr>
                <w:sz w:val="24"/>
                <w:szCs w:val="2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001-39335</w:t>
            </w:r>
          </w:p>
        </w:tc>
        <w:tc>
          <w:tcPr>
            <w:tcW w:w="2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2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June 23, 2020</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24"/>
                <w:szCs w:val="24"/>
                <w:color w:val="auto"/>
              </w:rPr>
            </w:pPr>
          </w:p>
        </w:tc>
        <w:tc>
          <w:tcPr>
            <w:tcW w:w="6640" w:type="dxa"/>
            <w:vAlign w:val="bottom"/>
            <w:gridSpan w:val="16"/>
          </w:tcPr>
          <w:p>
            <w:pPr>
              <w:spacing w:after="0"/>
              <w:rPr>
                <w:rFonts w:ascii="Arial" w:cs="Arial" w:eastAsia="Arial" w:hAnsi="Arial"/>
                <w:sz w:val="18"/>
                <w:szCs w:val="18"/>
                <w:color w:val="0000EE"/>
              </w:rPr>
            </w:pPr>
            <w:hyperlink r:id="rId25">
              <w:r>
                <w:rPr>
                  <w:rFonts w:ascii="Arial" w:cs="Arial" w:eastAsia="Arial" w:hAnsi="Arial"/>
                  <w:sz w:val="18"/>
                  <w:szCs w:val="18"/>
                  <w:color w:val="0000EE"/>
                </w:rPr>
                <w:t>Form of Common Share Certificate.</w:t>
              </w:r>
            </w:hyperlink>
          </w:p>
        </w:tc>
        <w:tc>
          <w:tcPr>
            <w:tcW w:w="78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S-1/A</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333-238822</w:t>
            </w:r>
          </w:p>
        </w:tc>
        <w:tc>
          <w:tcPr>
            <w:tcW w:w="2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June 15, 2020</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5.1*</w:t>
            </w:r>
          </w:p>
        </w:tc>
        <w:tc>
          <w:tcPr>
            <w:tcW w:w="320" w:type="dxa"/>
            <w:vAlign w:val="bottom"/>
          </w:tcPr>
          <w:p>
            <w:pPr>
              <w:spacing w:after="0"/>
              <w:rPr>
                <w:sz w:val="24"/>
                <w:szCs w:val="24"/>
                <w:color w:val="auto"/>
              </w:rPr>
            </w:pPr>
          </w:p>
        </w:tc>
        <w:tc>
          <w:tcPr>
            <w:tcW w:w="240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EE"/>
                <w:w w:val="94"/>
              </w:rPr>
              <w:t>Opinion of Stikeman Elliott LLP.</w:t>
            </w:r>
          </w:p>
        </w:tc>
        <w:tc>
          <w:tcPr>
            <w:tcW w:w="200" w:type="dxa"/>
            <w:vAlign w:val="bottom"/>
            <w:tcBorders>
              <w:top w:val="single" w:sz="8" w:color="0000EE"/>
            </w:tcBorders>
          </w:tcPr>
          <w:p>
            <w:pPr>
              <w:spacing w:after="0"/>
              <w:rPr>
                <w:sz w:val="24"/>
                <w:szCs w:val="24"/>
                <w:color w:val="auto"/>
              </w:rPr>
            </w:pPr>
          </w:p>
        </w:tc>
        <w:tc>
          <w:tcPr>
            <w:tcW w:w="4040" w:type="dxa"/>
            <w:vAlign w:val="bottom"/>
            <w:gridSpan w:val="11"/>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320" w:type="dxa"/>
            <w:vAlign w:val="bottom"/>
          </w:tcPr>
          <w:p>
            <w:pPr>
              <w:spacing w:after="0"/>
              <w:rPr>
                <w:sz w:val="24"/>
                <w:szCs w:val="24"/>
                <w:color w:val="auto"/>
              </w:rPr>
            </w:pPr>
          </w:p>
        </w:tc>
        <w:tc>
          <w:tcPr>
            <w:tcW w:w="588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1"/>
              </w:rPr>
              <w:t>Consent of Ernst &amp; Young LLP, Independent Registered Public Accounting Firm.</w:t>
            </w:r>
          </w:p>
        </w:tc>
        <w:tc>
          <w:tcPr>
            <w:tcW w:w="760" w:type="dxa"/>
            <w:vAlign w:val="bottom"/>
            <w:gridSpan w:val="4"/>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23.2*</w:t>
            </w:r>
          </w:p>
        </w:tc>
        <w:tc>
          <w:tcPr>
            <w:tcW w:w="320" w:type="dxa"/>
            <w:vAlign w:val="bottom"/>
          </w:tcPr>
          <w:p>
            <w:pPr>
              <w:spacing w:after="0"/>
              <w:rPr>
                <w:sz w:val="24"/>
                <w:szCs w:val="24"/>
                <w:color w:val="auto"/>
              </w:rPr>
            </w:pPr>
          </w:p>
        </w:tc>
        <w:tc>
          <w:tcPr>
            <w:tcW w:w="6640" w:type="dxa"/>
            <w:vAlign w:val="bottom"/>
            <w:gridSpan w:val="16"/>
          </w:tcPr>
          <w:p>
            <w:pPr>
              <w:spacing w:after="0"/>
              <w:rPr>
                <w:sz w:val="20"/>
                <w:szCs w:val="20"/>
                <w:color w:val="auto"/>
              </w:rPr>
            </w:pPr>
            <w:r>
              <w:rPr>
                <w:rFonts w:ascii="Arial" w:cs="Arial" w:eastAsia="Arial" w:hAnsi="Arial"/>
                <w:sz w:val="18"/>
                <w:szCs w:val="18"/>
                <w:color w:val="0000EE"/>
              </w:rPr>
              <w:t>Consent of Stikeman Elliott LLP (included in Exhibit 5.1).</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24.1*</w:t>
            </w:r>
          </w:p>
        </w:tc>
        <w:tc>
          <w:tcPr>
            <w:tcW w:w="320" w:type="dxa"/>
            <w:vAlign w:val="bottom"/>
          </w:tcPr>
          <w:p>
            <w:pPr>
              <w:spacing w:after="0"/>
              <w:rPr>
                <w:sz w:val="24"/>
                <w:szCs w:val="24"/>
                <w:color w:val="auto"/>
              </w:rPr>
            </w:pPr>
          </w:p>
        </w:tc>
        <w:tc>
          <w:tcPr>
            <w:tcW w:w="498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1"/>
              </w:rPr>
              <w:t>Power of Attorney (included on the signature page of this Form S-8).</w:t>
            </w:r>
          </w:p>
        </w:tc>
        <w:tc>
          <w:tcPr>
            <w:tcW w:w="1660" w:type="dxa"/>
            <w:vAlign w:val="bottom"/>
            <w:gridSpan w:val="5"/>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99.1</w:t>
            </w:r>
          </w:p>
        </w:tc>
        <w:tc>
          <w:tcPr>
            <w:tcW w:w="320" w:type="dxa"/>
            <w:vAlign w:val="bottom"/>
          </w:tcPr>
          <w:p>
            <w:pPr>
              <w:spacing w:after="0"/>
              <w:rPr>
                <w:sz w:val="24"/>
                <w:szCs w:val="24"/>
                <w:color w:val="auto"/>
              </w:rPr>
            </w:pPr>
          </w:p>
        </w:tc>
        <w:tc>
          <w:tcPr>
            <w:tcW w:w="6640" w:type="dxa"/>
            <w:vAlign w:val="bottom"/>
            <w:gridSpan w:val="16"/>
          </w:tcPr>
          <w:p>
            <w:pPr>
              <w:spacing w:after="0"/>
              <w:rPr>
                <w:rFonts w:ascii="Arial" w:cs="Arial" w:eastAsia="Arial" w:hAnsi="Arial"/>
                <w:sz w:val="18"/>
                <w:szCs w:val="18"/>
                <w:color w:val="0000EE"/>
              </w:rPr>
            </w:pPr>
            <w:hyperlink r:id="rId26">
              <w:r>
                <w:rPr>
                  <w:rFonts w:ascii="Arial" w:cs="Arial" w:eastAsia="Arial" w:hAnsi="Arial"/>
                  <w:sz w:val="18"/>
                  <w:szCs w:val="18"/>
                  <w:color w:val="0000EE"/>
                </w:rPr>
                <w:t>2020 Equity Incentive Plan.</w:t>
              </w:r>
            </w:hyperlink>
          </w:p>
        </w:tc>
        <w:tc>
          <w:tcPr>
            <w:tcW w:w="78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S-1/A</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333-238822</w:t>
            </w:r>
          </w:p>
        </w:tc>
        <w:tc>
          <w:tcPr>
            <w:tcW w:w="2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2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June 15, 2020</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99.2</w:t>
            </w:r>
          </w:p>
        </w:tc>
        <w:tc>
          <w:tcPr>
            <w:tcW w:w="320" w:type="dxa"/>
            <w:vAlign w:val="bottom"/>
          </w:tcPr>
          <w:p>
            <w:pPr>
              <w:spacing w:after="0"/>
              <w:rPr>
                <w:sz w:val="24"/>
                <w:szCs w:val="24"/>
                <w:color w:val="auto"/>
              </w:rPr>
            </w:pPr>
          </w:p>
        </w:tc>
        <w:tc>
          <w:tcPr>
            <w:tcW w:w="6640" w:type="dxa"/>
            <w:vAlign w:val="bottom"/>
            <w:gridSpan w:val="16"/>
          </w:tcPr>
          <w:p>
            <w:pPr>
              <w:spacing w:after="0"/>
              <w:rPr>
                <w:rFonts w:ascii="Arial" w:cs="Arial" w:eastAsia="Arial" w:hAnsi="Arial"/>
                <w:sz w:val="18"/>
                <w:szCs w:val="18"/>
                <w:color w:val="0000EE"/>
                <w:w w:val="94"/>
              </w:rPr>
            </w:pPr>
            <w:hyperlink r:id="rId27">
              <w:r>
                <w:rPr>
                  <w:rFonts w:ascii="Arial" w:cs="Arial" w:eastAsia="Arial" w:hAnsi="Arial"/>
                  <w:sz w:val="18"/>
                  <w:szCs w:val="18"/>
                  <w:color w:val="0000EE"/>
                  <w:w w:val="94"/>
                </w:rPr>
                <w:t>Form of Share Option Grant Notice and Share Option Agreement under the 2020 Equity</w:t>
              </w:r>
            </w:hyperlink>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r:id="rId27">
              <w:r>
                <w:rPr>
                  <w:rFonts w:ascii="Arial" w:cs="Arial" w:eastAsia="Arial" w:hAnsi="Arial"/>
                  <w:sz w:val="18"/>
                  <w:szCs w:val="18"/>
                  <w:color w:val="0000EE"/>
                  <w:w w:val="89"/>
                </w:rPr>
                <w:t>Incentive Plan.</w:t>
              </w:r>
            </w:hyperlink>
          </w:p>
        </w:tc>
        <w:tc>
          <w:tcPr>
            <w:tcW w:w="5280" w:type="dxa"/>
            <w:vAlign w:val="bottom"/>
            <w:tcBorders>
              <w:top w:val="single" w:sz="8" w:color="0000EE"/>
            </w:tcBorders>
            <w:gridSpan w:val="12"/>
          </w:tcPr>
          <w:p>
            <w:pPr>
              <w:spacing w:after="0"/>
              <w:rPr>
                <w:sz w:val="17"/>
                <w:szCs w:val="17"/>
                <w:color w:val="auto"/>
              </w:rPr>
            </w:pPr>
          </w:p>
        </w:tc>
        <w:tc>
          <w:tcPr>
            <w:tcW w:w="280" w:type="dxa"/>
            <w:vAlign w:val="bottom"/>
            <w:gridSpan w:val="3"/>
          </w:tcPr>
          <w:p>
            <w:pPr>
              <w:spacing w:after="0"/>
              <w:rPr>
                <w:sz w:val="17"/>
                <w:szCs w:val="17"/>
                <w:color w:val="auto"/>
              </w:rPr>
            </w:pPr>
          </w:p>
        </w:tc>
        <w:tc>
          <w:tcPr>
            <w:tcW w:w="780" w:type="dxa"/>
            <w:vAlign w:val="bottom"/>
            <w:gridSpan w:val="2"/>
          </w:tcPr>
          <w:p>
            <w:pPr>
              <w:jc w:val="center"/>
              <w:ind w:right="220"/>
              <w:spacing w:after="0" w:line="196" w:lineRule="exact"/>
              <w:rPr>
                <w:sz w:val="20"/>
                <w:szCs w:val="20"/>
                <w:color w:val="auto"/>
              </w:rPr>
            </w:pPr>
            <w:r>
              <w:rPr>
                <w:rFonts w:ascii="Arial" w:cs="Arial" w:eastAsia="Arial" w:hAnsi="Arial"/>
                <w:sz w:val="18"/>
                <w:szCs w:val="18"/>
                <w:color w:val="auto"/>
                <w:w w:val="97"/>
              </w:rPr>
              <w:t>S-1/A</w:t>
            </w:r>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333-238822</w:t>
            </w:r>
          </w:p>
        </w:tc>
        <w:tc>
          <w:tcPr>
            <w:tcW w:w="220" w:type="dxa"/>
            <w:vAlign w:val="bottom"/>
          </w:tcPr>
          <w:p>
            <w:pPr>
              <w:spacing w:after="0"/>
              <w:rPr>
                <w:sz w:val="17"/>
                <w:szCs w:val="17"/>
                <w:color w:val="auto"/>
              </w:rPr>
            </w:pPr>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91"/>
              </w:rPr>
              <w:t>10.4</w:t>
            </w:r>
          </w:p>
        </w:tc>
        <w:tc>
          <w:tcPr>
            <w:tcW w:w="220" w:type="dxa"/>
            <w:vAlign w:val="bottom"/>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87"/>
              </w:rPr>
              <w:t>June 15, 2020</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99.3</w:t>
            </w:r>
          </w:p>
        </w:tc>
        <w:tc>
          <w:tcPr>
            <w:tcW w:w="320" w:type="dxa"/>
            <w:vAlign w:val="bottom"/>
          </w:tcPr>
          <w:p>
            <w:pPr>
              <w:spacing w:after="0"/>
              <w:rPr>
                <w:sz w:val="24"/>
                <w:szCs w:val="24"/>
                <w:color w:val="auto"/>
              </w:rPr>
            </w:pPr>
          </w:p>
        </w:tc>
        <w:tc>
          <w:tcPr>
            <w:tcW w:w="6420" w:type="dxa"/>
            <w:vAlign w:val="bottom"/>
            <w:tcBorders>
              <w:bottom w:val="single" w:sz="8" w:color="0000EE"/>
            </w:tcBorders>
            <w:gridSpan w:val="14"/>
          </w:tcPr>
          <w:p>
            <w:pPr>
              <w:spacing w:after="0"/>
              <w:rPr>
                <w:rFonts w:ascii="Arial" w:cs="Arial" w:eastAsia="Arial" w:hAnsi="Arial"/>
                <w:sz w:val="18"/>
                <w:szCs w:val="18"/>
                <w:color w:val="0000EE"/>
                <w:w w:val="90"/>
              </w:rPr>
            </w:pPr>
            <w:hyperlink r:id="rId28">
              <w:r>
                <w:rPr>
                  <w:rFonts w:ascii="Arial" w:cs="Arial" w:eastAsia="Arial" w:hAnsi="Arial"/>
                  <w:sz w:val="18"/>
                  <w:szCs w:val="18"/>
                  <w:color w:val="0000EE"/>
                  <w:w w:val="90"/>
                </w:rPr>
                <w:t>Form of Restricted Share Unit Grant Notice and Restricted Share Unit Award Agreement</w:t>
              </w:r>
            </w:hyperlink>
          </w:p>
        </w:tc>
        <w:tc>
          <w:tcPr>
            <w:tcW w:w="220" w:type="dxa"/>
            <w:vAlign w:val="bottom"/>
            <w:gridSpan w:val="2"/>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40" w:type="dxa"/>
            <w:vAlign w:val="bottom"/>
            <w:gridSpan w:val="16"/>
          </w:tcPr>
          <w:p>
            <w:pPr>
              <w:spacing w:after="0" w:line="196" w:lineRule="exact"/>
              <w:rPr>
                <w:rFonts w:ascii="Arial" w:cs="Arial" w:eastAsia="Arial" w:hAnsi="Arial"/>
                <w:sz w:val="18"/>
                <w:szCs w:val="18"/>
                <w:color w:val="0000EE"/>
              </w:rPr>
            </w:pPr>
            <w:hyperlink r:id="rId28">
              <w:r>
                <w:rPr>
                  <w:rFonts w:ascii="Arial" w:cs="Arial" w:eastAsia="Arial" w:hAnsi="Arial"/>
                  <w:sz w:val="18"/>
                  <w:szCs w:val="18"/>
                  <w:color w:val="0000EE"/>
                </w:rPr>
                <w:t>under the 2020 Equity Incentive Plan.</w:t>
              </w:r>
            </w:hyperlink>
          </w:p>
        </w:tc>
        <w:tc>
          <w:tcPr>
            <w:tcW w:w="780" w:type="dxa"/>
            <w:vAlign w:val="bottom"/>
            <w:gridSpan w:val="2"/>
          </w:tcPr>
          <w:p>
            <w:pPr>
              <w:jc w:val="center"/>
              <w:ind w:right="220"/>
              <w:spacing w:after="0" w:line="196" w:lineRule="exact"/>
              <w:rPr>
                <w:sz w:val="20"/>
                <w:szCs w:val="20"/>
                <w:color w:val="auto"/>
              </w:rPr>
            </w:pPr>
            <w:r>
              <w:rPr>
                <w:rFonts w:ascii="Arial" w:cs="Arial" w:eastAsia="Arial" w:hAnsi="Arial"/>
                <w:sz w:val="18"/>
                <w:szCs w:val="18"/>
                <w:color w:val="auto"/>
                <w:w w:val="97"/>
              </w:rPr>
              <w:t>S-1/A</w:t>
            </w:r>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333-238822</w:t>
            </w:r>
          </w:p>
        </w:tc>
        <w:tc>
          <w:tcPr>
            <w:tcW w:w="220" w:type="dxa"/>
            <w:vAlign w:val="bottom"/>
          </w:tcPr>
          <w:p>
            <w:pPr>
              <w:spacing w:after="0"/>
              <w:rPr>
                <w:sz w:val="17"/>
                <w:szCs w:val="17"/>
                <w:color w:val="auto"/>
              </w:rPr>
            </w:pPr>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91"/>
              </w:rPr>
              <w:t>10.5</w:t>
            </w:r>
          </w:p>
        </w:tc>
        <w:tc>
          <w:tcPr>
            <w:tcW w:w="220" w:type="dxa"/>
            <w:vAlign w:val="bottom"/>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87"/>
              </w:rPr>
              <w:t>June 15, 2020</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99.4</w:t>
            </w:r>
          </w:p>
        </w:tc>
        <w:tc>
          <w:tcPr>
            <w:tcW w:w="320" w:type="dxa"/>
            <w:vAlign w:val="bottom"/>
          </w:tcPr>
          <w:p>
            <w:pPr>
              <w:spacing w:after="0"/>
              <w:rPr>
                <w:sz w:val="24"/>
                <w:szCs w:val="24"/>
                <w:color w:val="auto"/>
              </w:rPr>
            </w:pPr>
          </w:p>
        </w:tc>
        <w:tc>
          <w:tcPr>
            <w:tcW w:w="27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7"/>
              </w:rPr>
            </w:pPr>
            <w:hyperlink r:id="rId29">
              <w:r>
                <w:rPr>
                  <w:rFonts w:ascii="Arial" w:cs="Arial" w:eastAsia="Arial" w:hAnsi="Arial"/>
                  <w:sz w:val="18"/>
                  <w:szCs w:val="18"/>
                  <w:color w:val="0000EE"/>
                  <w:w w:val="87"/>
                </w:rPr>
                <w:t>2020 Employee Share Purchase Plan.</w:t>
              </w:r>
            </w:hyperlink>
          </w:p>
        </w:tc>
        <w:tc>
          <w:tcPr>
            <w:tcW w:w="20" w:type="dxa"/>
            <w:vAlign w:val="bottom"/>
            <w:tcBorders>
              <w:top w:val="single" w:sz="8" w:color="0000EE"/>
            </w:tcBorders>
          </w:tcPr>
          <w:p>
            <w:pPr>
              <w:spacing w:after="0"/>
              <w:rPr>
                <w:sz w:val="24"/>
                <w:szCs w:val="24"/>
                <w:color w:val="auto"/>
              </w:rPr>
            </w:pPr>
          </w:p>
        </w:tc>
        <w:tc>
          <w:tcPr>
            <w:tcW w:w="3920" w:type="dxa"/>
            <w:vAlign w:val="bottom"/>
            <w:gridSpan w:val="9"/>
          </w:tcPr>
          <w:p>
            <w:pPr>
              <w:spacing w:after="0"/>
              <w:rPr>
                <w:sz w:val="24"/>
                <w:szCs w:val="2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S-1/A</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333-238822</w:t>
            </w:r>
          </w:p>
        </w:tc>
        <w:tc>
          <w:tcPr>
            <w:tcW w:w="2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2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June 15, 2020</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107*</w:t>
            </w:r>
          </w:p>
        </w:tc>
        <w:tc>
          <w:tcPr>
            <w:tcW w:w="320" w:type="dxa"/>
            <w:vAlign w:val="bottom"/>
          </w:tcPr>
          <w:p>
            <w:pPr>
              <w:spacing w:after="0"/>
              <w:rPr>
                <w:sz w:val="24"/>
                <w:szCs w:val="24"/>
                <w:color w:val="auto"/>
              </w:rPr>
            </w:pPr>
          </w:p>
        </w:tc>
        <w:tc>
          <w:tcPr>
            <w:tcW w:w="114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1"/>
              </w:rPr>
              <w:t>Filing fee table.</w:t>
            </w:r>
          </w:p>
        </w:tc>
        <w:tc>
          <w:tcPr>
            <w:tcW w:w="5500" w:type="dxa"/>
            <w:vAlign w:val="bottom"/>
            <w:gridSpan w:val="14"/>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111760</wp:posOffset>
            </wp:positionV>
            <wp:extent cx="771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ectPr>
          <w:pgSz w:w="11900" w:h="16838" w:orient="portrait"/>
          <w:cols w:equalWidth="0" w:num="1">
            <w:col w:w="11020"/>
          </w:cols>
          <w:pgMar w:left="440" w:top="270" w:right="439" w:bottom="1440" w:gutter="0" w:footer="0" w:header="0"/>
        </w:sectPr>
      </w:pPr>
    </w:p>
    <w:bookmarkStart w:id="3" w:name="page4"/>
    <w:bookmarkEnd w:id="3"/>
    <w:p>
      <w:pPr>
        <w:jc w:val="center"/>
        <w:ind w:right="-3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City of Montréal, Province of Québec, Canada, on this 1st day of March, 2023.</w:t>
      </w:r>
    </w:p>
    <w:p>
      <w:pPr>
        <w:spacing w:after="0" w:line="18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REPARE THERAPEUTICS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Lloyd M. Segal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Lloyd M. Segal</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President and Chief Executive Officer</w:t>
      </w:r>
    </w:p>
    <w:p>
      <w:pPr>
        <w:sectPr>
          <w:pgSz w:w="11900" w:h="16838" w:orient="portrait"/>
          <w:cols w:equalWidth="0" w:num="1">
            <w:col w:w="10660"/>
          </w:cols>
          <w:pgMar w:left="440" w:top="270" w:right="79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POWER OF ATTORNEY</w:t>
      </w:r>
    </w:p>
    <w:p>
      <w:pPr>
        <w:spacing w:after="0" w:line="229"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KNOW ALL BY THESE PRESENTS, that each person whose signature appears below hereby constitutes and appoints Lloyd M. Segal and Steve Forte, and each of them, as his or her true and lawful attorneys-in-fact and agents, each with the full power of substitution, for him or her and in his or her name, place or stead, in any and all capacities, to sign any and all amendments to this Registration Statement (including post-effective amendments),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 or substitutes, may lawfully do or cause to be done by virtue hereof.</w:t>
      </w:r>
    </w:p>
    <w:p>
      <w:pPr>
        <w:spacing w:after="0" w:line="166"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0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94"/>
              </w:rPr>
              <w:t>Name</w:t>
            </w:r>
          </w:p>
        </w:tc>
        <w:tc>
          <w:tcPr>
            <w:tcW w:w="2300" w:type="dxa"/>
            <w:vAlign w:val="bottom"/>
          </w:tcPr>
          <w:p>
            <w:pPr>
              <w:spacing w:after="0"/>
              <w:rPr>
                <w:sz w:val="14"/>
                <w:szCs w:val="14"/>
                <w:color w:val="auto"/>
              </w:rPr>
            </w:pPr>
          </w:p>
        </w:tc>
        <w:tc>
          <w:tcPr>
            <w:tcW w:w="4580" w:type="dxa"/>
            <w:vAlign w:val="bottom"/>
            <w:gridSpan w:val="3"/>
          </w:tcPr>
          <w:p>
            <w:pPr>
              <w:jc w:val="center"/>
              <w:ind w:left="191"/>
              <w:spacing w:after="0"/>
              <w:rPr>
                <w:sz w:val="20"/>
                <w:szCs w:val="20"/>
                <w:color w:val="auto"/>
              </w:rPr>
            </w:pPr>
            <w:r>
              <w:rPr>
                <w:rFonts w:ascii="Arial" w:cs="Arial" w:eastAsia="Arial" w:hAnsi="Arial"/>
                <w:sz w:val="14"/>
                <w:szCs w:val="14"/>
                <w:b w:val="1"/>
                <w:bCs w:val="1"/>
                <w:color w:val="auto"/>
                <w:w w:val="90"/>
              </w:rPr>
              <w:t>Position</w:t>
            </w:r>
          </w:p>
        </w:tc>
        <w:tc>
          <w:tcPr>
            <w:tcW w:w="1400" w:type="dxa"/>
            <w:vAlign w:val="bottom"/>
            <w:gridSpan w:val="3"/>
          </w:tcPr>
          <w:p>
            <w:pPr>
              <w:jc w:val="center"/>
              <w:ind w:left="252"/>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2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25"/>
        </w:trPr>
        <w:tc>
          <w:tcPr>
            <w:tcW w:w="4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Lloyd M. Segal</w:t>
            </w:r>
          </w:p>
        </w:tc>
        <w:tc>
          <w:tcPr>
            <w:tcW w:w="4580" w:type="dxa"/>
            <w:vAlign w:val="bottom"/>
            <w:gridSpan w:val="3"/>
          </w:tcPr>
          <w:p>
            <w:pPr>
              <w:jc w:val="center"/>
              <w:ind w:left="211"/>
              <w:spacing w:after="0"/>
              <w:rPr>
                <w:sz w:val="20"/>
                <w:szCs w:val="20"/>
                <w:color w:val="auto"/>
              </w:rPr>
            </w:pPr>
            <w:r>
              <w:rPr>
                <w:rFonts w:ascii="Arial" w:cs="Arial" w:eastAsia="Arial" w:hAnsi="Arial"/>
                <w:sz w:val="18"/>
                <w:szCs w:val="18"/>
                <w:color w:val="auto"/>
                <w:w w:val="92"/>
              </w:rPr>
              <w:t>President, Chief Executive Officer and Director</w:t>
            </w:r>
          </w:p>
        </w:tc>
        <w:tc>
          <w:tcPr>
            <w:tcW w:w="1400" w:type="dxa"/>
            <w:vAlign w:val="bottom"/>
            <w:gridSpan w:val="3"/>
          </w:tcPr>
          <w:p>
            <w:pPr>
              <w:jc w:val="center"/>
              <w:ind w:left="252"/>
              <w:spacing w:after="0"/>
              <w:rPr>
                <w:sz w:val="20"/>
                <w:szCs w:val="20"/>
                <w:color w:val="auto"/>
              </w:rPr>
            </w:pPr>
            <w:r>
              <w:rPr>
                <w:rFonts w:ascii="Arial" w:cs="Arial" w:eastAsia="Arial" w:hAnsi="Arial"/>
                <w:sz w:val="18"/>
                <w:szCs w:val="18"/>
                <w:color w:val="auto"/>
                <w:w w:val="92"/>
              </w:rPr>
              <w:t>March 1, 2023</w:t>
            </w:r>
          </w:p>
        </w:tc>
      </w:tr>
      <w:tr>
        <w:trPr>
          <w:trHeight w:val="224"/>
        </w:trPr>
        <w:tc>
          <w:tcPr>
            <w:tcW w:w="4960" w:type="dxa"/>
            <w:vAlign w:val="bottom"/>
            <w:gridSpan w:val="3"/>
          </w:tcPr>
          <w:p>
            <w:pPr>
              <w:jc w:val="center"/>
              <w:spacing w:after="0"/>
              <w:rPr>
                <w:sz w:val="20"/>
                <w:szCs w:val="20"/>
                <w:color w:val="auto"/>
              </w:rPr>
            </w:pPr>
            <w:r>
              <w:rPr>
                <w:rFonts w:ascii="Arial" w:cs="Arial" w:eastAsia="Arial" w:hAnsi="Arial"/>
                <w:sz w:val="18"/>
                <w:szCs w:val="18"/>
                <w:color w:val="auto"/>
                <w:w w:val="94"/>
              </w:rPr>
              <w:t>Lloyd M. Segal</w:t>
            </w:r>
          </w:p>
        </w:tc>
        <w:tc>
          <w:tcPr>
            <w:tcW w:w="4580" w:type="dxa"/>
            <w:vAlign w:val="bottom"/>
            <w:gridSpan w:val="3"/>
          </w:tcPr>
          <w:p>
            <w:pPr>
              <w:jc w:val="center"/>
              <w:ind w:left="191"/>
              <w:spacing w:after="0"/>
              <w:rPr>
                <w:sz w:val="20"/>
                <w:szCs w:val="20"/>
                <w:color w:val="auto"/>
              </w:rPr>
            </w:pPr>
            <w:r>
              <w:rPr>
                <w:rFonts w:ascii="Arial" w:cs="Arial" w:eastAsia="Arial" w:hAnsi="Arial"/>
                <w:sz w:val="18"/>
                <w:szCs w:val="18"/>
                <w:i w:val="1"/>
                <w:iCs w:val="1"/>
                <w:color w:val="auto"/>
                <w:w w:val="94"/>
              </w:rPr>
              <w:t>(Principal Executive Officer)</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4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/s/ Steve Forte</w:t>
            </w:r>
          </w:p>
        </w:tc>
        <w:tc>
          <w:tcPr>
            <w:tcW w:w="4580" w:type="dxa"/>
            <w:vAlign w:val="bottom"/>
            <w:gridSpan w:val="3"/>
          </w:tcPr>
          <w:p>
            <w:pPr>
              <w:jc w:val="center"/>
              <w:ind w:left="191"/>
              <w:spacing w:after="0"/>
              <w:rPr>
                <w:sz w:val="20"/>
                <w:szCs w:val="20"/>
                <w:color w:val="auto"/>
              </w:rPr>
            </w:pPr>
            <w:r>
              <w:rPr>
                <w:rFonts w:ascii="Arial" w:cs="Arial" w:eastAsia="Arial" w:hAnsi="Arial"/>
                <w:sz w:val="18"/>
                <w:szCs w:val="18"/>
                <w:color w:val="auto"/>
                <w:w w:val="92"/>
              </w:rPr>
              <w:t>Executive Vice President, Chief Financial Officer</w:t>
            </w:r>
          </w:p>
        </w:tc>
        <w:tc>
          <w:tcPr>
            <w:tcW w:w="1400" w:type="dxa"/>
            <w:vAlign w:val="bottom"/>
            <w:gridSpan w:val="3"/>
          </w:tcPr>
          <w:p>
            <w:pPr>
              <w:jc w:val="center"/>
              <w:ind w:left="252"/>
              <w:spacing w:after="0"/>
              <w:rPr>
                <w:sz w:val="20"/>
                <w:szCs w:val="20"/>
                <w:color w:val="auto"/>
              </w:rPr>
            </w:pPr>
            <w:r>
              <w:rPr>
                <w:rFonts w:ascii="Arial" w:cs="Arial" w:eastAsia="Arial" w:hAnsi="Arial"/>
                <w:sz w:val="18"/>
                <w:szCs w:val="18"/>
                <w:color w:val="auto"/>
                <w:w w:val="92"/>
              </w:rPr>
              <w:t>March 1, 2023</w:t>
            </w:r>
          </w:p>
        </w:tc>
      </w:tr>
      <w:tr>
        <w:trPr>
          <w:trHeight w:val="182"/>
        </w:trPr>
        <w:tc>
          <w:tcPr>
            <w:tcW w:w="4960" w:type="dxa"/>
            <w:vAlign w:val="bottom"/>
            <w:gridSpan w:val="3"/>
          </w:tcPr>
          <w:p>
            <w:pPr>
              <w:jc w:val="center"/>
              <w:spacing w:after="0" w:line="182" w:lineRule="exact"/>
              <w:rPr>
                <w:sz w:val="20"/>
                <w:szCs w:val="20"/>
                <w:color w:val="auto"/>
              </w:rPr>
            </w:pPr>
            <w:r>
              <w:rPr>
                <w:rFonts w:ascii="Arial" w:cs="Arial" w:eastAsia="Arial" w:hAnsi="Arial"/>
                <w:sz w:val="18"/>
                <w:szCs w:val="18"/>
                <w:color w:val="auto"/>
                <w:w w:val="90"/>
              </w:rPr>
              <w:t>Steve Forte</w:t>
            </w:r>
          </w:p>
        </w:tc>
        <w:tc>
          <w:tcPr>
            <w:tcW w:w="4580" w:type="dxa"/>
            <w:vAlign w:val="bottom"/>
            <w:gridSpan w:val="3"/>
          </w:tcPr>
          <w:p>
            <w:pPr>
              <w:jc w:val="center"/>
              <w:ind w:left="211"/>
              <w:spacing w:after="0" w:line="182" w:lineRule="exact"/>
              <w:rPr>
                <w:sz w:val="20"/>
                <w:szCs w:val="20"/>
                <w:color w:val="auto"/>
              </w:rPr>
            </w:pPr>
            <w:r>
              <w:rPr>
                <w:rFonts w:ascii="Arial" w:cs="Arial" w:eastAsia="Arial" w:hAnsi="Arial"/>
                <w:sz w:val="18"/>
                <w:szCs w:val="18"/>
                <w:i w:val="1"/>
                <w:iCs w:val="1"/>
                <w:color w:val="auto"/>
                <w:w w:val="96"/>
              </w:rPr>
              <w:t>(Principal Financial Officer and Principal</w:t>
            </w: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230"/>
        </w:trPr>
        <w:tc>
          <w:tcPr>
            <w:tcW w:w="2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580" w:type="dxa"/>
            <w:vAlign w:val="bottom"/>
            <w:gridSpan w:val="3"/>
          </w:tcPr>
          <w:p>
            <w:pPr>
              <w:jc w:val="center"/>
              <w:ind w:left="211"/>
              <w:spacing w:after="0"/>
              <w:rPr>
                <w:sz w:val="20"/>
                <w:szCs w:val="20"/>
                <w:color w:val="auto"/>
              </w:rPr>
            </w:pPr>
            <w:r>
              <w:rPr>
                <w:rFonts w:ascii="Arial" w:cs="Arial" w:eastAsia="Arial" w:hAnsi="Arial"/>
                <w:sz w:val="18"/>
                <w:szCs w:val="18"/>
                <w:i w:val="1"/>
                <w:iCs w:val="1"/>
                <w:color w:val="auto"/>
                <w:w w:val="94"/>
              </w:rPr>
              <w:t>Accounting Officer)</w:t>
            </w: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45"/>
        </w:trPr>
        <w:tc>
          <w:tcPr>
            <w:tcW w:w="4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Thomas Civik</w:t>
            </w:r>
          </w:p>
        </w:tc>
        <w:tc>
          <w:tcPr>
            <w:tcW w:w="4580" w:type="dxa"/>
            <w:vAlign w:val="bottom"/>
            <w:gridSpan w:val="3"/>
          </w:tcPr>
          <w:p>
            <w:pPr>
              <w:jc w:val="center"/>
              <w:ind w:left="211"/>
              <w:spacing w:after="0"/>
              <w:rPr>
                <w:sz w:val="20"/>
                <w:szCs w:val="20"/>
                <w:color w:val="auto"/>
              </w:rPr>
            </w:pPr>
            <w:r>
              <w:rPr>
                <w:rFonts w:ascii="Arial" w:cs="Arial" w:eastAsia="Arial" w:hAnsi="Arial"/>
                <w:sz w:val="18"/>
                <w:szCs w:val="18"/>
                <w:color w:val="auto"/>
                <w:w w:val="92"/>
              </w:rPr>
              <w:t>Chairman of the Board of Directors</w:t>
            </w:r>
          </w:p>
        </w:tc>
        <w:tc>
          <w:tcPr>
            <w:tcW w:w="1400" w:type="dxa"/>
            <w:vAlign w:val="bottom"/>
            <w:gridSpan w:val="3"/>
          </w:tcPr>
          <w:p>
            <w:pPr>
              <w:jc w:val="center"/>
              <w:ind w:left="252"/>
              <w:spacing w:after="0"/>
              <w:rPr>
                <w:sz w:val="20"/>
                <w:szCs w:val="20"/>
                <w:color w:val="auto"/>
              </w:rPr>
            </w:pPr>
            <w:r>
              <w:rPr>
                <w:rFonts w:ascii="Arial" w:cs="Arial" w:eastAsia="Arial" w:hAnsi="Arial"/>
                <w:sz w:val="18"/>
                <w:szCs w:val="18"/>
                <w:color w:val="auto"/>
                <w:w w:val="92"/>
              </w:rPr>
              <w:t>March 1, 2023</w:t>
            </w:r>
          </w:p>
        </w:tc>
      </w:tr>
      <w:tr>
        <w:trPr>
          <w:trHeight w:val="224"/>
        </w:trPr>
        <w:tc>
          <w:tcPr>
            <w:tcW w:w="4960" w:type="dxa"/>
            <w:vAlign w:val="bottom"/>
            <w:gridSpan w:val="3"/>
          </w:tcPr>
          <w:p>
            <w:pPr>
              <w:jc w:val="center"/>
              <w:spacing w:after="0"/>
              <w:rPr>
                <w:sz w:val="20"/>
                <w:szCs w:val="20"/>
                <w:color w:val="auto"/>
              </w:rPr>
            </w:pPr>
            <w:r>
              <w:rPr>
                <w:rFonts w:ascii="Arial" w:cs="Arial" w:eastAsia="Arial" w:hAnsi="Arial"/>
                <w:sz w:val="18"/>
                <w:szCs w:val="18"/>
                <w:color w:val="auto"/>
                <w:w w:val="95"/>
              </w:rPr>
              <w:t>Thomas Civik</w:t>
            </w:r>
          </w:p>
        </w:tc>
        <w:tc>
          <w:tcPr>
            <w:tcW w:w="2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4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David Bonita, M.D.</w:t>
            </w:r>
          </w:p>
        </w:tc>
        <w:tc>
          <w:tcPr>
            <w:tcW w:w="4580" w:type="dxa"/>
            <w:vAlign w:val="bottom"/>
            <w:gridSpan w:val="3"/>
          </w:tcPr>
          <w:p>
            <w:pPr>
              <w:jc w:val="center"/>
              <w:ind w:left="211"/>
              <w:spacing w:after="0"/>
              <w:rPr>
                <w:sz w:val="20"/>
                <w:szCs w:val="20"/>
                <w:color w:val="auto"/>
              </w:rPr>
            </w:pPr>
            <w:r>
              <w:rPr>
                <w:rFonts w:ascii="Arial" w:cs="Arial" w:eastAsia="Arial" w:hAnsi="Arial"/>
                <w:sz w:val="18"/>
                <w:szCs w:val="18"/>
                <w:color w:val="auto"/>
                <w:w w:val="95"/>
              </w:rPr>
              <w:t>Director</w:t>
            </w:r>
          </w:p>
        </w:tc>
        <w:tc>
          <w:tcPr>
            <w:tcW w:w="1400" w:type="dxa"/>
            <w:vAlign w:val="bottom"/>
            <w:gridSpan w:val="3"/>
          </w:tcPr>
          <w:p>
            <w:pPr>
              <w:jc w:val="center"/>
              <w:ind w:left="252"/>
              <w:spacing w:after="0"/>
              <w:rPr>
                <w:sz w:val="20"/>
                <w:szCs w:val="20"/>
                <w:color w:val="auto"/>
              </w:rPr>
            </w:pPr>
            <w:r>
              <w:rPr>
                <w:rFonts w:ascii="Arial" w:cs="Arial" w:eastAsia="Arial" w:hAnsi="Arial"/>
                <w:sz w:val="18"/>
                <w:szCs w:val="18"/>
                <w:color w:val="auto"/>
                <w:w w:val="92"/>
              </w:rPr>
              <w:t>March 1, 2023</w:t>
            </w:r>
          </w:p>
        </w:tc>
      </w:tr>
      <w:tr>
        <w:trPr>
          <w:trHeight w:val="224"/>
        </w:trPr>
        <w:tc>
          <w:tcPr>
            <w:tcW w:w="4960" w:type="dxa"/>
            <w:vAlign w:val="bottom"/>
            <w:gridSpan w:val="3"/>
          </w:tcPr>
          <w:p>
            <w:pPr>
              <w:jc w:val="center"/>
              <w:spacing w:after="0"/>
              <w:rPr>
                <w:sz w:val="20"/>
                <w:szCs w:val="20"/>
                <w:color w:val="auto"/>
              </w:rPr>
            </w:pPr>
            <w:r>
              <w:rPr>
                <w:rFonts w:ascii="Arial" w:cs="Arial" w:eastAsia="Arial" w:hAnsi="Arial"/>
                <w:sz w:val="18"/>
                <w:szCs w:val="18"/>
                <w:color w:val="auto"/>
                <w:w w:val="95"/>
              </w:rPr>
              <w:t>David Bonita, M.D.</w:t>
            </w:r>
          </w:p>
        </w:tc>
        <w:tc>
          <w:tcPr>
            <w:tcW w:w="2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4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Jerel Davis, Ph.D.</w:t>
            </w:r>
          </w:p>
        </w:tc>
        <w:tc>
          <w:tcPr>
            <w:tcW w:w="4580" w:type="dxa"/>
            <w:vAlign w:val="bottom"/>
            <w:gridSpan w:val="3"/>
          </w:tcPr>
          <w:p>
            <w:pPr>
              <w:jc w:val="center"/>
              <w:ind w:left="211"/>
              <w:spacing w:after="0"/>
              <w:rPr>
                <w:sz w:val="20"/>
                <w:szCs w:val="20"/>
                <w:color w:val="auto"/>
              </w:rPr>
            </w:pPr>
            <w:r>
              <w:rPr>
                <w:rFonts w:ascii="Arial" w:cs="Arial" w:eastAsia="Arial" w:hAnsi="Arial"/>
                <w:sz w:val="18"/>
                <w:szCs w:val="18"/>
                <w:color w:val="auto"/>
                <w:w w:val="95"/>
              </w:rPr>
              <w:t>Director</w:t>
            </w:r>
          </w:p>
        </w:tc>
        <w:tc>
          <w:tcPr>
            <w:tcW w:w="1400" w:type="dxa"/>
            <w:vAlign w:val="bottom"/>
            <w:gridSpan w:val="3"/>
          </w:tcPr>
          <w:p>
            <w:pPr>
              <w:jc w:val="center"/>
              <w:ind w:left="252"/>
              <w:spacing w:after="0"/>
              <w:rPr>
                <w:sz w:val="20"/>
                <w:szCs w:val="20"/>
                <w:color w:val="auto"/>
              </w:rPr>
            </w:pPr>
            <w:r>
              <w:rPr>
                <w:rFonts w:ascii="Arial" w:cs="Arial" w:eastAsia="Arial" w:hAnsi="Arial"/>
                <w:sz w:val="18"/>
                <w:szCs w:val="18"/>
                <w:color w:val="auto"/>
                <w:w w:val="92"/>
              </w:rPr>
              <w:t>March 1, 2023</w:t>
            </w:r>
          </w:p>
        </w:tc>
      </w:tr>
      <w:tr>
        <w:trPr>
          <w:trHeight w:val="224"/>
        </w:trPr>
        <w:tc>
          <w:tcPr>
            <w:tcW w:w="4960" w:type="dxa"/>
            <w:vAlign w:val="bottom"/>
            <w:gridSpan w:val="3"/>
          </w:tcPr>
          <w:p>
            <w:pPr>
              <w:jc w:val="center"/>
              <w:spacing w:after="0"/>
              <w:rPr>
                <w:sz w:val="20"/>
                <w:szCs w:val="20"/>
                <w:color w:val="auto"/>
              </w:rPr>
            </w:pPr>
            <w:r>
              <w:rPr>
                <w:rFonts w:ascii="Arial" w:cs="Arial" w:eastAsia="Arial" w:hAnsi="Arial"/>
                <w:sz w:val="18"/>
                <w:szCs w:val="18"/>
                <w:color w:val="auto"/>
                <w:w w:val="91"/>
              </w:rPr>
              <w:t>Jerel Davis, Ph.D.</w:t>
            </w:r>
          </w:p>
        </w:tc>
        <w:tc>
          <w:tcPr>
            <w:tcW w:w="2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4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Todd Foley</w:t>
            </w:r>
          </w:p>
        </w:tc>
        <w:tc>
          <w:tcPr>
            <w:tcW w:w="4580" w:type="dxa"/>
            <w:vAlign w:val="bottom"/>
            <w:gridSpan w:val="3"/>
          </w:tcPr>
          <w:p>
            <w:pPr>
              <w:jc w:val="center"/>
              <w:ind w:left="211"/>
              <w:spacing w:after="0"/>
              <w:rPr>
                <w:sz w:val="20"/>
                <w:szCs w:val="20"/>
                <w:color w:val="auto"/>
              </w:rPr>
            </w:pPr>
            <w:r>
              <w:rPr>
                <w:rFonts w:ascii="Arial" w:cs="Arial" w:eastAsia="Arial" w:hAnsi="Arial"/>
                <w:sz w:val="18"/>
                <w:szCs w:val="18"/>
                <w:color w:val="auto"/>
                <w:w w:val="95"/>
              </w:rPr>
              <w:t>Director</w:t>
            </w:r>
          </w:p>
        </w:tc>
        <w:tc>
          <w:tcPr>
            <w:tcW w:w="1400" w:type="dxa"/>
            <w:vAlign w:val="bottom"/>
            <w:gridSpan w:val="3"/>
          </w:tcPr>
          <w:p>
            <w:pPr>
              <w:jc w:val="center"/>
              <w:ind w:left="252"/>
              <w:spacing w:after="0"/>
              <w:rPr>
                <w:sz w:val="20"/>
                <w:szCs w:val="20"/>
                <w:color w:val="auto"/>
              </w:rPr>
            </w:pPr>
            <w:r>
              <w:rPr>
                <w:rFonts w:ascii="Arial" w:cs="Arial" w:eastAsia="Arial" w:hAnsi="Arial"/>
                <w:sz w:val="18"/>
                <w:szCs w:val="18"/>
                <w:color w:val="auto"/>
                <w:w w:val="92"/>
              </w:rPr>
              <w:t>March 1, 2023</w:t>
            </w:r>
          </w:p>
        </w:tc>
      </w:tr>
      <w:tr>
        <w:trPr>
          <w:trHeight w:val="224"/>
        </w:trPr>
        <w:tc>
          <w:tcPr>
            <w:tcW w:w="4960" w:type="dxa"/>
            <w:vAlign w:val="bottom"/>
            <w:gridSpan w:val="3"/>
          </w:tcPr>
          <w:p>
            <w:pPr>
              <w:jc w:val="center"/>
              <w:spacing w:after="0"/>
              <w:rPr>
                <w:sz w:val="20"/>
                <w:szCs w:val="20"/>
                <w:color w:val="auto"/>
              </w:rPr>
            </w:pPr>
            <w:r>
              <w:rPr>
                <w:rFonts w:ascii="Arial" w:cs="Arial" w:eastAsia="Arial" w:hAnsi="Arial"/>
                <w:sz w:val="18"/>
                <w:szCs w:val="18"/>
                <w:color w:val="auto"/>
                <w:w w:val="93"/>
              </w:rPr>
              <w:t>Todd Foley</w:t>
            </w:r>
          </w:p>
        </w:tc>
        <w:tc>
          <w:tcPr>
            <w:tcW w:w="2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4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Samarth Kulkarni, Ph.D.</w:t>
            </w:r>
          </w:p>
        </w:tc>
        <w:tc>
          <w:tcPr>
            <w:tcW w:w="4580" w:type="dxa"/>
            <w:vAlign w:val="bottom"/>
            <w:gridSpan w:val="3"/>
          </w:tcPr>
          <w:p>
            <w:pPr>
              <w:jc w:val="center"/>
              <w:ind w:left="211"/>
              <w:spacing w:after="0"/>
              <w:rPr>
                <w:sz w:val="20"/>
                <w:szCs w:val="20"/>
                <w:color w:val="auto"/>
              </w:rPr>
            </w:pPr>
            <w:r>
              <w:rPr>
                <w:rFonts w:ascii="Arial" w:cs="Arial" w:eastAsia="Arial" w:hAnsi="Arial"/>
                <w:sz w:val="18"/>
                <w:szCs w:val="18"/>
                <w:color w:val="auto"/>
                <w:w w:val="95"/>
              </w:rPr>
              <w:t>Director</w:t>
            </w:r>
          </w:p>
        </w:tc>
        <w:tc>
          <w:tcPr>
            <w:tcW w:w="1400" w:type="dxa"/>
            <w:vAlign w:val="bottom"/>
            <w:gridSpan w:val="3"/>
          </w:tcPr>
          <w:p>
            <w:pPr>
              <w:jc w:val="center"/>
              <w:ind w:left="252"/>
              <w:spacing w:after="0"/>
              <w:rPr>
                <w:sz w:val="20"/>
                <w:szCs w:val="20"/>
                <w:color w:val="auto"/>
              </w:rPr>
            </w:pPr>
            <w:r>
              <w:rPr>
                <w:rFonts w:ascii="Arial" w:cs="Arial" w:eastAsia="Arial" w:hAnsi="Arial"/>
                <w:sz w:val="18"/>
                <w:szCs w:val="18"/>
                <w:color w:val="auto"/>
                <w:w w:val="92"/>
              </w:rPr>
              <w:t>March 1, 2023</w:t>
            </w:r>
          </w:p>
        </w:tc>
      </w:tr>
      <w:tr>
        <w:trPr>
          <w:trHeight w:val="224"/>
        </w:trPr>
        <w:tc>
          <w:tcPr>
            <w:tcW w:w="4960" w:type="dxa"/>
            <w:vAlign w:val="bottom"/>
            <w:gridSpan w:val="3"/>
          </w:tcPr>
          <w:p>
            <w:pPr>
              <w:jc w:val="center"/>
              <w:spacing w:after="0"/>
              <w:rPr>
                <w:sz w:val="20"/>
                <w:szCs w:val="20"/>
                <w:color w:val="auto"/>
              </w:rPr>
            </w:pPr>
            <w:r>
              <w:rPr>
                <w:rFonts w:ascii="Arial" w:cs="Arial" w:eastAsia="Arial" w:hAnsi="Arial"/>
                <w:sz w:val="18"/>
                <w:szCs w:val="18"/>
                <w:color w:val="auto"/>
                <w:w w:val="93"/>
              </w:rPr>
              <w:t>Samarth Kulkarni, Ph.D.</w:t>
            </w:r>
          </w:p>
        </w:tc>
        <w:tc>
          <w:tcPr>
            <w:tcW w:w="2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4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Briggs Morrison, M.D.</w:t>
            </w:r>
          </w:p>
        </w:tc>
        <w:tc>
          <w:tcPr>
            <w:tcW w:w="4580" w:type="dxa"/>
            <w:vAlign w:val="bottom"/>
            <w:gridSpan w:val="3"/>
          </w:tcPr>
          <w:p>
            <w:pPr>
              <w:jc w:val="center"/>
              <w:ind w:left="211"/>
              <w:spacing w:after="0"/>
              <w:rPr>
                <w:sz w:val="20"/>
                <w:szCs w:val="20"/>
                <w:color w:val="auto"/>
              </w:rPr>
            </w:pPr>
            <w:r>
              <w:rPr>
                <w:rFonts w:ascii="Arial" w:cs="Arial" w:eastAsia="Arial" w:hAnsi="Arial"/>
                <w:sz w:val="18"/>
                <w:szCs w:val="18"/>
                <w:color w:val="auto"/>
                <w:w w:val="95"/>
              </w:rPr>
              <w:t>Director</w:t>
            </w:r>
          </w:p>
        </w:tc>
        <w:tc>
          <w:tcPr>
            <w:tcW w:w="1400" w:type="dxa"/>
            <w:vAlign w:val="bottom"/>
            <w:gridSpan w:val="3"/>
          </w:tcPr>
          <w:p>
            <w:pPr>
              <w:jc w:val="center"/>
              <w:ind w:left="252"/>
              <w:spacing w:after="0"/>
              <w:rPr>
                <w:sz w:val="20"/>
                <w:szCs w:val="20"/>
                <w:color w:val="auto"/>
              </w:rPr>
            </w:pPr>
            <w:r>
              <w:rPr>
                <w:rFonts w:ascii="Arial" w:cs="Arial" w:eastAsia="Arial" w:hAnsi="Arial"/>
                <w:sz w:val="18"/>
                <w:szCs w:val="18"/>
                <w:color w:val="auto"/>
                <w:w w:val="92"/>
              </w:rPr>
              <w:t>March 1, 2023</w:t>
            </w:r>
          </w:p>
        </w:tc>
      </w:tr>
      <w:tr>
        <w:trPr>
          <w:trHeight w:val="224"/>
        </w:trPr>
        <w:tc>
          <w:tcPr>
            <w:tcW w:w="4960" w:type="dxa"/>
            <w:vAlign w:val="bottom"/>
            <w:gridSpan w:val="3"/>
          </w:tcPr>
          <w:p>
            <w:pPr>
              <w:jc w:val="center"/>
              <w:spacing w:after="0"/>
              <w:rPr>
                <w:sz w:val="20"/>
                <w:szCs w:val="20"/>
                <w:color w:val="auto"/>
              </w:rPr>
            </w:pPr>
            <w:r>
              <w:rPr>
                <w:rFonts w:ascii="Arial" w:cs="Arial" w:eastAsia="Arial" w:hAnsi="Arial"/>
                <w:sz w:val="18"/>
                <w:szCs w:val="18"/>
                <w:color w:val="auto"/>
                <w:w w:val="96"/>
              </w:rPr>
              <w:t>Briggs Morrison, M.D.</w:t>
            </w:r>
          </w:p>
        </w:tc>
        <w:tc>
          <w:tcPr>
            <w:tcW w:w="2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4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Ann D. Rhoads</w:t>
            </w:r>
          </w:p>
        </w:tc>
        <w:tc>
          <w:tcPr>
            <w:tcW w:w="4580" w:type="dxa"/>
            <w:vAlign w:val="bottom"/>
            <w:gridSpan w:val="3"/>
          </w:tcPr>
          <w:p>
            <w:pPr>
              <w:jc w:val="center"/>
              <w:ind w:left="211"/>
              <w:spacing w:after="0"/>
              <w:rPr>
                <w:sz w:val="20"/>
                <w:szCs w:val="20"/>
                <w:color w:val="auto"/>
              </w:rPr>
            </w:pPr>
            <w:r>
              <w:rPr>
                <w:rFonts w:ascii="Arial" w:cs="Arial" w:eastAsia="Arial" w:hAnsi="Arial"/>
                <w:sz w:val="18"/>
                <w:szCs w:val="18"/>
                <w:color w:val="auto"/>
                <w:w w:val="95"/>
              </w:rPr>
              <w:t>Director</w:t>
            </w:r>
          </w:p>
        </w:tc>
        <w:tc>
          <w:tcPr>
            <w:tcW w:w="1400" w:type="dxa"/>
            <w:vAlign w:val="bottom"/>
            <w:gridSpan w:val="3"/>
          </w:tcPr>
          <w:p>
            <w:pPr>
              <w:jc w:val="center"/>
              <w:ind w:left="252"/>
              <w:spacing w:after="0"/>
              <w:rPr>
                <w:sz w:val="20"/>
                <w:szCs w:val="20"/>
                <w:color w:val="auto"/>
              </w:rPr>
            </w:pPr>
            <w:r>
              <w:rPr>
                <w:rFonts w:ascii="Arial" w:cs="Arial" w:eastAsia="Arial" w:hAnsi="Arial"/>
                <w:sz w:val="18"/>
                <w:szCs w:val="18"/>
                <w:color w:val="auto"/>
                <w:w w:val="92"/>
              </w:rPr>
              <w:t>March 1, 2023</w:t>
            </w:r>
          </w:p>
        </w:tc>
      </w:tr>
      <w:tr>
        <w:trPr>
          <w:trHeight w:val="224"/>
        </w:trPr>
        <w:tc>
          <w:tcPr>
            <w:tcW w:w="4960" w:type="dxa"/>
            <w:vAlign w:val="bottom"/>
            <w:gridSpan w:val="3"/>
          </w:tcPr>
          <w:p>
            <w:pPr>
              <w:jc w:val="center"/>
              <w:spacing w:after="0"/>
              <w:rPr>
                <w:sz w:val="20"/>
                <w:szCs w:val="20"/>
                <w:color w:val="auto"/>
              </w:rPr>
            </w:pPr>
            <w:r>
              <w:rPr>
                <w:rFonts w:ascii="Arial" w:cs="Arial" w:eastAsia="Arial" w:hAnsi="Arial"/>
                <w:sz w:val="18"/>
                <w:szCs w:val="18"/>
                <w:color w:val="auto"/>
                <w:w w:val="91"/>
              </w:rPr>
              <w:t>Ann D. Rhoads</w:t>
            </w:r>
          </w:p>
        </w:tc>
        <w:tc>
          <w:tcPr>
            <w:tcW w:w="2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4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Carol A. Schafer</w:t>
            </w:r>
          </w:p>
        </w:tc>
        <w:tc>
          <w:tcPr>
            <w:tcW w:w="4580" w:type="dxa"/>
            <w:vAlign w:val="bottom"/>
            <w:gridSpan w:val="3"/>
          </w:tcPr>
          <w:p>
            <w:pPr>
              <w:jc w:val="center"/>
              <w:ind w:left="211"/>
              <w:spacing w:after="0"/>
              <w:rPr>
                <w:sz w:val="20"/>
                <w:szCs w:val="20"/>
                <w:color w:val="auto"/>
              </w:rPr>
            </w:pPr>
            <w:r>
              <w:rPr>
                <w:rFonts w:ascii="Arial" w:cs="Arial" w:eastAsia="Arial" w:hAnsi="Arial"/>
                <w:sz w:val="18"/>
                <w:szCs w:val="18"/>
                <w:color w:val="auto"/>
                <w:w w:val="95"/>
              </w:rPr>
              <w:t>Director</w:t>
            </w:r>
          </w:p>
        </w:tc>
        <w:tc>
          <w:tcPr>
            <w:tcW w:w="1400" w:type="dxa"/>
            <w:vAlign w:val="bottom"/>
            <w:gridSpan w:val="3"/>
          </w:tcPr>
          <w:p>
            <w:pPr>
              <w:jc w:val="center"/>
              <w:ind w:left="252"/>
              <w:spacing w:after="0"/>
              <w:rPr>
                <w:sz w:val="20"/>
                <w:szCs w:val="20"/>
                <w:color w:val="auto"/>
              </w:rPr>
            </w:pPr>
            <w:r>
              <w:rPr>
                <w:rFonts w:ascii="Arial" w:cs="Arial" w:eastAsia="Arial" w:hAnsi="Arial"/>
                <w:sz w:val="18"/>
                <w:szCs w:val="18"/>
                <w:color w:val="auto"/>
                <w:w w:val="92"/>
              </w:rPr>
              <w:t>March 1, 2023</w:t>
            </w:r>
          </w:p>
        </w:tc>
      </w:tr>
      <w:tr>
        <w:trPr>
          <w:trHeight w:val="224"/>
        </w:trPr>
        <w:tc>
          <w:tcPr>
            <w:tcW w:w="4960" w:type="dxa"/>
            <w:vAlign w:val="bottom"/>
            <w:gridSpan w:val="3"/>
          </w:tcPr>
          <w:p>
            <w:pPr>
              <w:jc w:val="center"/>
              <w:spacing w:after="0"/>
              <w:rPr>
                <w:sz w:val="20"/>
                <w:szCs w:val="20"/>
                <w:color w:val="auto"/>
              </w:rPr>
            </w:pPr>
            <w:r>
              <w:rPr>
                <w:rFonts w:ascii="Arial" w:cs="Arial" w:eastAsia="Arial" w:hAnsi="Arial"/>
                <w:sz w:val="18"/>
                <w:szCs w:val="18"/>
                <w:color w:val="auto"/>
                <w:w w:val="90"/>
              </w:rPr>
              <w:t>Carol A. Schafer</w:t>
            </w:r>
          </w:p>
        </w:tc>
        <w:tc>
          <w:tcPr>
            <w:tcW w:w="2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bl>
    <w:p>
      <w:pPr>
        <w:sectPr>
          <w:pgSz w:w="11900" w:h="16838" w:orient="portrait"/>
          <w:cols w:equalWidth="0" w:num="1">
            <w:col w:w="11000"/>
          </w:cols>
          <w:pgMar w:left="440" w:top="270" w:right="459" w:bottom="1440" w:gutter="0" w:footer="0" w:header="0"/>
        </w:sectPr>
      </w:pPr>
    </w:p>
    <w:bookmarkStart w:id="5" w:name="page6"/>
    <w:bookmarkEnd w:id="5"/>
    <w:p>
      <w:pPr>
        <w:ind w:left="2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 OF AUTHORIZED U.S. REPRESENTATIVE OF THE REGISTRANT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Securities Act, the undersigned, the duly authorized representative in the United States of the registrant has signed this registration statement or amendment thereto on the 1st day of March, 2023.</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REPARE THERAPEUTICS USA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Lloyd M. Segal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6">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Lloyd M. Segal</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0520"/>
          </w:cols>
          <w:pgMar w:left="440" w:top="270" w:right="9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March 1, 2023</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7210 Frederick-Banting Street, Suite 100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Saint-Laurent, Québec</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H4S 2A1</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Sirs/Mesdames:</w:t>
      </w:r>
    </w:p>
    <w:p>
      <w:pPr>
        <w:spacing w:after="0" w:line="11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Re: </w:t>
      </w:r>
      <w:r>
        <w:rPr>
          <w:rFonts w:ascii="Arial" w:cs="Arial" w:eastAsia="Arial" w:hAnsi="Arial"/>
          <w:sz w:val="18"/>
          <w:szCs w:val="18"/>
          <w:b w:val="1"/>
          <w:bCs w:val="1"/>
          <w:u w:val="single" w:color="auto"/>
          <w:color w:val="auto"/>
        </w:rPr>
        <w:t>Repare Therapeutics Inc.—Registration Statement on Form S-8</w:t>
      </w:r>
    </w:p>
    <w:p>
      <w:pPr>
        <w:spacing w:after="0" w:line="117" w:lineRule="exact"/>
        <w:rPr>
          <w:sz w:val="20"/>
          <w:szCs w:val="20"/>
          <w:color w:val="auto"/>
        </w:rPr>
      </w:pPr>
    </w:p>
    <w:p>
      <w:pPr>
        <w:ind w:left="4" w:right="40"/>
        <w:spacing w:after="0" w:line="289" w:lineRule="auto"/>
        <w:rPr>
          <w:sz w:val="20"/>
          <w:szCs w:val="20"/>
          <w:color w:val="auto"/>
        </w:rPr>
      </w:pPr>
      <w:r>
        <w:rPr>
          <w:rFonts w:ascii="Arial" w:cs="Arial" w:eastAsia="Arial" w:hAnsi="Arial"/>
          <w:sz w:val="16"/>
          <w:szCs w:val="16"/>
          <w:color w:val="auto"/>
        </w:rPr>
        <w:t>We have acted as Canadian counsel to Repare Therapeutics Inc. (the “</w:t>
      </w:r>
      <w:r>
        <w:rPr>
          <w:rFonts w:ascii="Arial" w:cs="Arial" w:eastAsia="Arial" w:hAnsi="Arial"/>
          <w:sz w:val="16"/>
          <w:szCs w:val="16"/>
          <w:b w:val="1"/>
          <w:bCs w:val="1"/>
          <w:color w:val="auto"/>
        </w:rPr>
        <w:t>Corporation</w:t>
      </w:r>
      <w:r>
        <w:rPr>
          <w:rFonts w:ascii="Arial" w:cs="Arial" w:eastAsia="Arial" w:hAnsi="Arial"/>
          <w:sz w:val="16"/>
          <w:szCs w:val="16"/>
          <w:color w:val="auto"/>
        </w:rPr>
        <w:t xml:space="preserve">”), a corporation governed on the date of this opinion by the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Corporations Act </w:t>
      </w:r>
      <w:r>
        <w:rPr>
          <w:rFonts w:ascii="Arial" w:cs="Arial" w:eastAsia="Arial" w:hAnsi="Arial"/>
          <w:sz w:val="16"/>
          <w:szCs w:val="16"/>
          <w:color w:val="auto"/>
        </w:rPr>
        <w:t>(Québec), in connection with the registration of 2,522,170 common shares of the Corporation, consisting of: (i) 2,101,809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the Corporation (the “</w:t>
      </w:r>
      <w:r>
        <w:rPr>
          <w:rFonts w:ascii="Arial" w:cs="Arial" w:eastAsia="Arial" w:hAnsi="Arial"/>
          <w:sz w:val="16"/>
          <w:szCs w:val="16"/>
          <w:b w:val="1"/>
          <w:bCs w:val="1"/>
          <w:color w:val="auto"/>
        </w:rPr>
        <w:t>2020 Plan Shares</w:t>
      </w:r>
      <w:r>
        <w:rPr>
          <w:rFonts w:ascii="Arial" w:cs="Arial" w:eastAsia="Arial" w:hAnsi="Arial"/>
          <w:sz w:val="16"/>
          <w:szCs w:val="16"/>
          <w:color w:val="auto"/>
        </w:rPr>
        <w:t>”) issuable pursuant to the Corporation’s 2020 Equity Incentive Plan (the “</w:t>
      </w:r>
      <w:r>
        <w:rPr>
          <w:rFonts w:ascii="Arial" w:cs="Arial" w:eastAsia="Arial" w:hAnsi="Arial"/>
          <w:sz w:val="16"/>
          <w:szCs w:val="16"/>
          <w:b w:val="1"/>
          <w:bCs w:val="1"/>
          <w:color w:val="auto"/>
        </w:rPr>
        <w:t>2020 Plan</w:t>
      </w:r>
      <w:r>
        <w:rPr>
          <w:rFonts w:ascii="Arial" w:cs="Arial" w:eastAsia="Arial" w:hAnsi="Arial"/>
          <w:sz w:val="16"/>
          <w:szCs w:val="16"/>
          <w:color w:val="auto"/>
        </w:rPr>
        <w:t>”) and</w:t>
      </w:r>
    </w:p>
    <w:p>
      <w:pPr>
        <w:spacing w:after="0" w:line="2" w:lineRule="exact"/>
        <w:rPr>
          <w:sz w:val="20"/>
          <w:szCs w:val="20"/>
          <w:color w:val="auto"/>
        </w:rPr>
      </w:pPr>
    </w:p>
    <w:p>
      <w:pPr>
        <w:ind w:left="4" w:right="40" w:hanging="4"/>
        <w:spacing w:after="0" w:line="253" w:lineRule="auto"/>
        <w:tabs>
          <w:tab w:leader="none" w:pos="269" w:val="left"/>
        </w:tabs>
        <w:numPr>
          <w:ilvl w:val="0"/>
          <w:numId w:val="2"/>
        </w:numPr>
        <w:rPr>
          <w:rFonts w:ascii="Arial" w:cs="Arial" w:eastAsia="Arial" w:hAnsi="Arial"/>
          <w:sz w:val="18"/>
          <w:szCs w:val="18"/>
          <w:color w:val="auto"/>
        </w:rPr>
      </w:pPr>
      <w:r>
        <w:rPr>
          <w:rFonts w:ascii="Arial" w:cs="Arial" w:eastAsia="Arial" w:hAnsi="Arial"/>
          <w:sz w:val="18"/>
          <w:szCs w:val="18"/>
          <w:color w:val="auto"/>
        </w:rPr>
        <w:t>420,361 common shares of the Corporation (the “</w:t>
      </w:r>
      <w:r>
        <w:rPr>
          <w:rFonts w:ascii="Arial" w:cs="Arial" w:eastAsia="Arial" w:hAnsi="Arial"/>
          <w:sz w:val="18"/>
          <w:szCs w:val="18"/>
          <w:b w:val="1"/>
          <w:bCs w:val="1"/>
          <w:color w:val="auto"/>
        </w:rPr>
        <w:t>ESPP Shares</w:t>
      </w:r>
      <w:r>
        <w:rPr>
          <w:rFonts w:ascii="Arial" w:cs="Arial" w:eastAsia="Arial" w:hAnsi="Arial"/>
          <w:sz w:val="18"/>
          <w:szCs w:val="18"/>
          <w:color w:val="auto"/>
        </w:rPr>
        <w:t>” and, collectively with the 2020 Plan Shares, the “</w:t>
      </w:r>
      <w:r>
        <w:rPr>
          <w:rFonts w:ascii="Arial" w:cs="Arial" w:eastAsia="Arial" w:hAnsi="Arial"/>
          <w:sz w:val="18"/>
          <w:szCs w:val="18"/>
          <w:b w:val="1"/>
          <w:bCs w:val="1"/>
          <w:color w:val="auto"/>
        </w:rPr>
        <w:t>Shares</w:t>
      </w:r>
      <w:r>
        <w:rPr>
          <w:rFonts w:ascii="Arial" w:cs="Arial" w:eastAsia="Arial" w:hAnsi="Arial"/>
          <w:sz w:val="18"/>
          <w:szCs w:val="18"/>
          <w:color w:val="auto"/>
        </w:rPr>
        <w:t>”) issuable pursuant to the Corporation’s 2020 Employee Share Purchase Plan (the “</w:t>
      </w:r>
      <w:r>
        <w:rPr>
          <w:rFonts w:ascii="Arial" w:cs="Arial" w:eastAsia="Arial" w:hAnsi="Arial"/>
          <w:sz w:val="18"/>
          <w:szCs w:val="18"/>
          <w:b w:val="1"/>
          <w:bCs w:val="1"/>
          <w:color w:val="auto"/>
        </w:rPr>
        <w:t>ESPP</w:t>
      </w:r>
      <w:r>
        <w:rPr>
          <w:rFonts w:ascii="Arial" w:cs="Arial" w:eastAsia="Arial" w:hAnsi="Arial"/>
          <w:sz w:val="18"/>
          <w:szCs w:val="18"/>
          <w:color w:val="auto"/>
        </w:rPr>
        <w:t>” and, collectively with the 2020 Plan, the “</w:t>
      </w:r>
      <w:r>
        <w:rPr>
          <w:rFonts w:ascii="Arial" w:cs="Arial" w:eastAsia="Arial" w:hAnsi="Arial"/>
          <w:sz w:val="18"/>
          <w:szCs w:val="18"/>
          <w:b w:val="1"/>
          <w:bCs w:val="1"/>
          <w:color w:val="auto"/>
        </w:rPr>
        <w:t>Incentive Plans</w:t>
      </w:r>
      <w:r>
        <w:rPr>
          <w:rFonts w:ascii="Arial" w:cs="Arial" w:eastAsia="Arial" w:hAnsi="Arial"/>
          <w:sz w:val="18"/>
          <w:szCs w:val="18"/>
          <w:color w:val="auto"/>
        </w:rPr>
        <w:t>”), pursuant to a Registration Statement on Form S-8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filed on March 1, 2023 with the Securities and Exchange Commission under the Securities Act of 1933, as amended.</w:t>
      </w:r>
    </w:p>
    <w:p>
      <w:pPr>
        <w:spacing w:after="0" w:line="193" w:lineRule="exact"/>
        <w:rPr>
          <w:sz w:val="20"/>
          <w:szCs w:val="20"/>
          <w:color w:val="auto"/>
        </w:rPr>
      </w:pPr>
    </w:p>
    <w:p>
      <w:pPr>
        <w:ind w:left="4" w:right="220"/>
        <w:spacing w:after="0" w:line="279" w:lineRule="auto"/>
        <w:rPr>
          <w:sz w:val="20"/>
          <w:szCs w:val="20"/>
          <w:color w:val="auto"/>
        </w:rPr>
      </w:pPr>
      <w:r>
        <w:rPr>
          <w:rFonts w:ascii="Arial" w:cs="Arial" w:eastAsia="Arial" w:hAnsi="Arial"/>
          <w:sz w:val="17"/>
          <w:szCs w:val="17"/>
          <w:color w:val="auto"/>
        </w:rPr>
        <w:t>We have examined the Registration Statement, the Incentive Plans and all such corporate and public records, statutes and regulations and have made such investigations and have reviewed such other documents as we have deemed relevant and necessary and have considered such questions of law as we have considered relevant and necessary in order to give the opinion hereinafter set forth. As to various questions of fact material to such opinions which were not independently established, we have relied upon a certificate of an officer of the Corporation.</w:t>
      </w:r>
    </w:p>
    <w:p>
      <w:pPr>
        <w:spacing w:after="0" w:line="171" w:lineRule="exact"/>
        <w:rPr>
          <w:sz w:val="20"/>
          <w:szCs w:val="20"/>
          <w:color w:val="auto"/>
        </w:rPr>
      </w:pPr>
    </w:p>
    <w:p>
      <w:pPr>
        <w:ind w:left="4" w:right="660"/>
        <w:spacing w:after="0" w:line="311" w:lineRule="auto"/>
        <w:rPr>
          <w:sz w:val="20"/>
          <w:szCs w:val="20"/>
          <w:color w:val="auto"/>
        </w:rPr>
      </w:pPr>
      <w:r>
        <w:rPr>
          <w:rFonts w:ascii="Arial" w:cs="Arial" w:eastAsia="Arial" w:hAnsi="Arial"/>
          <w:sz w:val="16"/>
          <w:szCs w:val="16"/>
          <w:color w:val="auto"/>
        </w:rPr>
        <w:t>In reviewing the foregoing documents and in giving this opinion, we have assumed the legal capacity of all individuals, the genuineness of all signatures, the veracity of the information contained therein, the authenticity of all documents submitted to us as originals and the conformity to authentic or original documents of all documents submitted to us as certified, conformed, electronic, photostatic or facsimile copies.</w:t>
      </w:r>
    </w:p>
    <w:p>
      <w:pPr>
        <w:spacing w:after="0" w:line="149" w:lineRule="exact"/>
        <w:rPr>
          <w:sz w:val="20"/>
          <w:szCs w:val="20"/>
          <w:color w:val="auto"/>
        </w:rPr>
      </w:pPr>
    </w:p>
    <w:p>
      <w:pPr>
        <w:ind w:left="4" w:right="140"/>
        <w:spacing w:after="0" w:line="279" w:lineRule="auto"/>
        <w:rPr>
          <w:sz w:val="20"/>
          <w:szCs w:val="20"/>
          <w:color w:val="auto"/>
        </w:rPr>
      </w:pPr>
      <w:r>
        <w:rPr>
          <w:rFonts w:ascii="Arial" w:cs="Arial" w:eastAsia="Arial" w:hAnsi="Arial"/>
          <w:sz w:val="17"/>
          <w:szCs w:val="17"/>
          <w:color w:val="auto"/>
        </w:rPr>
        <w:t>We are qualified to practice law in the Province of Québec and this opinion is rendered solely with respect to the Province of Québec and the federal laws of Canada applicable in the Province of Québec. This opinion is expressed with respect to the laws in effect on the date of this opinion and we do not accept any responsibility to take into account or inform the addressee, or any other person authorized to rely on this opinion, of any changes in law, facts or other developments subsequent to this date that do or may affect the opinion we express.</w:t>
      </w:r>
    </w:p>
    <w:p>
      <w:pPr>
        <w:spacing w:after="0" w:line="171" w:lineRule="exact"/>
        <w:rPr>
          <w:sz w:val="20"/>
          <w:szCs w:val="20"/>
          <w:color w:val="auto"/>
        </w:rPr>
      </w:pPr>
    </w:p>
    <w:p>
      <w:pPr>
        <w:ind w:left="4" w:right="20"/>
        <w:spacing w:after="0" w:line="263" w:lineRule="auto"/>
        <w:rPr>
          <w:sz w:val="20"/>
          <w:szCs w:val="20"/>
          <w:color w:val="auto"/>
        </w:rPr>
      </w:pPr>
      <w:r>
        <w:rPr>
          <w:rFonts w:ascii="Arial" w:cs="Arial" w:eastAsia="Arial" w:hAnsi="Arial"/>
          <w:sz w:val="18"/>
          <w:szCs w:val="18"/>
          <w:color w:val="auto"/>
        </w:rPr>
        <w:t>Based upon and subject to the foregoing, and subject to the qualifications, assumptions and limitations stated herein, we are of the opinion that, when the Shares shall have been issued pursuant to and in accordance with the terms of the Incentive Plans, the Shares will be validly issued, fully paid and non-assessable.</w:t>
      </w:r>
    </w:p>
    <w:p>
      <w:pPr>
        <w:spacing w:after="0" w:line="184" w:lineRule="exact"/>
        <w:rPr>
          <w:sz w:val="20"/>
          <w:szCs w:val="20"/>
          <w:color w:val="auto"/>
        </w:rPr>
      </w:pPr>
    </w:p>
    <w:p>
      <w:pPr>
        <w:ind w:left="4" w:right="780"/>
        <w:spacing w:after="0" w:line="277" w:lineRule="auto"/>
        <w:rPr>
          <w:sz w:val="20"/>
          <w:szCs w:val="20"/>
          <w:color w:val="auto"/>
        </w:rPr>
      </w:pPr>
      <w:r>
        <w:rPr>
          <w:rFonts w:ascii="Arial" w:cs="Arial" w:eastAsia="Arial" w:hAnsi="Arial"/>
          <w:sz w:val="18"/>
          <w:szCs w:val="18"/>
          <w:color w:val="auto"/>
        </w:rPr>
        <w:t>Where this opinion refers to any of the Shares as being issued as being “fully paid and non-assessable”, such opinion assumes that all required consideration (in whatever form) has been paid or provided.</w:t>
      </w:r>
    </w:p>
    <w:p>
      <w:pPr>
        <w:spacing w:after="0" w:line="170" w:lineRule="exact"/>
        <w:rPr>
          <w:sz w:val="20"/>
          <w:szCs w:val="20"/>
          <w:color w:val="auto"/>
        </w:rPr>
      </w:pPr>
    </w:p>
    <w:p>
      <w:pPr>
        <w:ind w:left="4" w:right="320"/>
        <w:spacing w:after="0" w:line="277" w:lineRule="auto"/>
        <w:rPr>
          <w:sz w:val="20"/>
          <w:szCs w:val="20"/>
          <w:color w:val="auto"/>
        </w:rPr>
      </w:pPr>
      <w:r>
        <w:rPr>
          <w:rFonts w:ascii="Arial" w:cs="Arial" w:eastAsia="Arial" w:hAnsi="Arial"/>
          <w:sz w:val="18"/>
          <w:szCs w:val="18"/>
          <w:color w:val="auto"/>
        </w:rPr>
        <w:t>We hereby consent to the filing of this opinion as an exhibit to the Registration Statement. This opinion may not be quoted from or referred to in any documents other than the Registration Statement as provided for herein without our prior written consent.</w:t>
      </w:r>
    </w:p>
    <w:p>
      <w:pPr>
        <w:spacing w:after="0" w:line="197" w:lineRule="exact"/>
        <w:rPr>
          <w:sz w:val="20"/>
          <w:szCs w:val="20"/>
          <w:color w:val="auto"/>
        </w:rPr>
      </w:pPr>
    </w:p>
    <w:p>
      <w:pPr>
        <w:ind w:left="4"/>
        <w:spacing w:after="0"/>
        <w:rPr>
          <w:sz w:val="20"/>
          <w:szCs w:val="20"/>
          <w:color w:val="auto"/>
        </w:rPr>
      </w:pPr>
      <w:r>
        <w:rPr>
          <w:rFonts w:ascii="Arial" w:cs="Arial" w:eastAsia="Arial" w:hAnsi="Arial"/>
          <w:sz w:val="18"/>
          <w:szCs w:val="18"/>
          <w:color w:val="auto"/>
        </w:rPr>
        <w:t>Yours very truly,</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 Stikeman Elliott LLP</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Stikeman Elliott LLP</w:t>
      </w:r>
    </w:p>
    <w:p>
      <w:pPr>
        <w:sectPr>
          <w:pgSz w:w="11900" w:h="16838" w:orient="portrait"/>
          <w:cols w:equalWidth="0" w:num="1">
            <w:col w:w="11024"/>
          </w:cols>
          <w:pgMar w:left="436" w:top="121" w:right="4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2020 Equity Incentive Plan and the 2020 Employee Share Purchase Plan of Repare Therapeutics Inc. of our report dated February 28, 2023, with respect to the consolidated financial statements of Repare Therapeutics Inc. included in its Annual Report (Form 10-K) for the year ended December 31, 2022, filed with the Securities and Exchange Commission.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Montreal, Canada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2023</w:t>
      </w:r>
    </w:p>
    <w:p>
      <w:pPr>
        <w:sectPr>
          <w:pgSz w:w="11900" w:h="16838" w:orient="portrait"/>
          <w:cols w:equalWidth="0" w:num="1">
            <w:col w:w="11020"/>
          </w:cols>
          <w:pgMar w:left="440" w:top="121" w:right="4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color w:val="auto"/>
        </w:rPr>
        <w:t>Exhibit 107</w:t>
      </w: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Filing Fee Tables</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Form S-8</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Repare Therapeutics Inc.</w:t>
      </w:r>
    </w:p>
    <w:p>
      <w:pPr>
        <w:spacing w:after="0" w:line="261" w:lineRule="exact"/>
        <w:rPr>
          <w:sz w:val="20"/>
          <w:szCs w:val="20"/>
          <w:color w:val="auto"/>
        </w:rPr>
      </w:pPr>
    </w:p>
    <w:p>
      <w:pPr>
        <w:ind w:left="5464"/>
        <w:spacing w:after="0"/>
        <w:rPr>
          <w:sz w:val="20"/>
          <w:szCs w:val="20"/>
          <w:color w:val="auto"/>
        </w:rPr>
      </w:pPr>
      <w:r>
        <w:rPr>
          <w:rFonts w:ascii="Arial" w:cs="Arial" w:eastAsia="Arial" w:hAnsi="Arial"/>
          <w:sz w:val="14"/>
          <w:szCs w:val="14"/>
          <w:color w:val="auto"/>
        </w:rPr>
        <w:t>Table 1 – Newly Registered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-98425</wp:posOffset>
            </wp:positionV>
            <wp:extent cx="6926580" cy="2297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7">
                      <a:extLst>
                        <a:ext uri="{28A0092B-C50C-407E-A947-70E740481C1C}"/>
                      </a:extLst>
                    </a:blip>
                    <a:srcRect/>
                    <a:stretch>
                      <a:fillRect/>
                    </a:stretch>
                  </pic:blipFill>
                  <pic:spPr bwMode="auto">
                    <a:xfrm>
                      <a:off x="0" y="0"/>
                      <a:ext cx="6926580" cy="2297430"/>
                    </a:xfrm>
                    <a:prstGeom prst="rect">
                      <a:avLst/>
                    </a:prstGeom>
                    <a:noFill/>
                  </pic:spPr>
                </pic:pic>
              </a:graphicData>
            </a:graphic>
          </wp:anchor>
        </w:drawing>
      </w:r>
    </w:p>
    <w:tbl>
      <w:tblPr>
        <w:tblLayout w:type="fixed"/>
        <w:tblInd w:w="64" w:type="dxa"/>
        <w:tblCellMar>
          <w:top w:w="0" w:type="dxa"/>
          <w:left w:w="0" w:type="dxa"/>
          <w:bottom w:w="0" w:type="dxa"/>
          <w:right w:w="0" w:type="dxa"/>
        </w:tblCellMar>
      </w:tblPr>
      <w:tr>
        <w:trPr>
          <w:trHeight w:val="119"/>
        </w:trPr>
        <w:tc>
          <w:tcPr>
            <w:tcW w:w="2080" w:type="dxa"/>
            <w:vAlign w:val="bottom"/>
            <w:tcBorders>
              <w:top w:val="single" w:sz="8" w:color="auto"/>
              <w:right w:val="single" w:sz="8" w:color="auto"/>
            </w:tcBorders>
          </w:tcPr>
          <w:p>
            <w:pPr>
              <w:spacing w:after="0"/>
              <w:rPr>
                <w:sz w:val="10"/>
                <w:szCs w:val="10"/>
                <w:color w:val="auto"/>
              </w:rPr>
            </w:pPr>
          </w:p>
        </w:tc>
        <w:tc>
          <w:tcPr>
            <w:tcW w:w="720" w:type="dxa"/>
            <w:vAlign w:val="bottom"/>
            <w:tcBorders>
              <w:top w:val="single" w:sz="8" w:color="auto"/>
              <w:right w:val="single" w:sz="8" w:color="auto"/>
            </w:tcBorders>
          </w:tcPr>
          <w:p>
            <w:pPr>
              <w:spacing w:after="0"/>
              <w:rPr>
                <w:sz w:val="10"/>
                <w:szCs w:val="10"/>
                <w:color w:val="auto"/>
              </w:rPr>
            </w:pPr>
          </w:p>
        </w:tc>
        <w:tc>
          <w:tcPr>
            <w:tcW w:w="2060" w:type="dxa"/>
            <w:vAlign w:val="bottom"/>
            <w:tcBorders>
              <w:top w:val="single" w:sz="8" w:color="auto"/>
              <w:right w:val="single" w:sz="8" w:color="auto"/>
            </w:tcBorders>
          </w:tcPr>
          <w:p>
            <w:pPr>
              <w:spacing w:after="0"/>
              <w:rPr>
                <w:sz w:val="10"/>
                <w:szCs w:val="10"/>
                <w:color w:val="auto"/>
              </w:rPr>
            </w:pPr>
          </w:p>
        </w:tc>
        <w:tc>
          <w:tcPr>
            <w:tcW w:w="900" w:type="dxa"/>
            <w:vAlign w:val="bottom"/>
            <w:tcBorders>
              <w:top w:val="single" w:sz="8" w:color="auto"/>
              <w:right w:val="single" w:sz="8" w:color="auto"/>
            </w:tcBorders>
          </w:tcPr>
          <w:p>
            <w:pPr>
              <w:spacing w:after="0"/>
              <w:rPr>
                <w:sz w:val="10"/>
                <w:szCs w:val="10"/>
                <w:color w:val="auto"/>
              </w:rPr>
            </w:pPr>
          </w:p>
        </w:tc>
        <w:tc>
          <w:tcPr>
            <w:tcW w:w="980" w:type="dxa"/>
            <w:vAlign w:val="bottom"/>
            <w:tcBorders>
              <w:top w:val="single" w:sz="8" w:color="auto"/>
              <w:right w:val="single" w:sz="8" w:color="auto"/>
            </w:tcBorders>
          </w:tcPr>
          <w:p>
            <w:pPr>
              <w:spacing w:after="0"/>
              <w:rPr>
                <w:sz w:val="10"/>
                <w:szCs w:val="10"/>
                <w:color w:val="auto"/>
              </w:rPr>
            </w:pPr>
          </w:p>
        </w:tc>
        <w:tc>
          <w:tcPr>
            <w:tcW w:w="820" w:type="dxa"/>
            <w:vAlign w:val="bottom"/>
            <w:tcBorders>
              <w:top w:val="single" w:sz="8" w:color="auto"/>
              <w:right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Proposed</w:t>
            </w:r>
          </w:p>
        </w:tc>
        <w:tc>
          <w:tcPr>
            <w:tcW w:w="1360" w:type="dxa"/>
            <w:vAlign w:val="bottom"/>
            <w:tcBorders>
              <w:top w:val="single" w:sz="8" w:color="auto"/>
              <w:right w:val="single" w:sz="8" w:color="auto"/>
            </w:tcBorders>
          </w:tcPr>
          <w:p>
            <w:pPr>
              <w:spacing w:after="0"/>
              <w:rPr>
                <w:sz w:val="10"/>
                <w:szCs w:val="10"/>
                <w:color w:val="auto"/>
              </w:rPr>
            </w:pPr>
          </w:p>
        </w:tc>
        <w:tc>
          <w:tcPr>
            <w:tcW w:w="1060" w:type="dxa"/>
            <w:vAlign w:val="bottom"/>
            <w:tcBorders>
              <w:top w:val="single" w:sz="8" w:color="auto"/>
              <w:right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2"/>
              </w:rPr>
              <w:t>Fee</w:t>
            </w:r>
          </w:p>
        </w:tc>
        <w:tc>
          <w:tcPr>
            <w:tcW w:w="98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1060" w:type="dxa"/>
            <w:vAlign w:val="bottom"/>
            <w:tcBorders>
              <w:right w:val="single" w:sz="8" w:color="auto"/>
            </w:tcBorders>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4"/>
        </w:trPr>
        <w:tc>
          <w:tcPr>
            <w:tcW w:w="20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rPr>
              <w:t>Security</w:t>
            </w:r>
          </w:p>
        </w:tc>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Security</w:t>
            </w:r>
          </w:p>
        </w:tc>
        <w:tc>
          <w:tcPr>
            <w:tcW w:w="900" w:type="dxa"/>
            <w:vAlign w:val="bottom"/>
            <w:tcBorders>
              <w:right w:val="single" w:sz="8" w:color="auto"/>
            </w:tcBorders>
            <w:vMerge w:val="continue"/>
          </w:tcPr>
          <w:p>
            <w:pPr>
              <w:spacing w:after="0"/>
              <w:rPr>
                <w:sz w:val="12"/>
                <w:szCs w:val="12"/>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Amount</w:t>
            </w:r>
          </w:p>
        </w:tc>
        <w:tc>
          <w:tcPr>
            <w:tcW w:w="82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99"/>
              </w:rPr>
              <w:t>Offering</w:t>
            </w:r>
          </w:p>
        </w:tc>
        <w:tc>
          <w:tcPr>
            <w:tcW w:w="1360" w:type="dxa"/>
            <w:vAlign w:val="bottom"/>
            <w:tcBorders>
              <w:right w:val="single" w:sz="8" w:color="auto"/>
            </w:tcBorders>
            <w:vMerge w:val="continue"/>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2060" w:type="dxa"/>
            <w:vAlign w:val="bottom"/>
            <w:tcBorders>
              <w:right w:val="single" w:sz="8" w:color="auto"/>
            </w:tcBorders>
            <w:vMerge w:val="continue"/>
          </w:tcPr>
          <w:p>
            <w:pPr>
              <w:spacing w:after="0"/>
              <w:rPr>
                <w:sz w:val="12"/>
                <w:szCs w:val="12"/>
                <w:color w:val="auto"/>
              </w:rPr>
            </w:pP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Calculation</w:t>
            </w:r>
          </w:p>
        </w:tc>
        <w:tc>
          <w:tcPr>
            <w:tcW w:w="980" w:type="dxa"/>
            <w:vAlign w:val="bottom"/>
            <w:tcBorders>
              <w:right w:val="single" w:sz="8" w:color="auto"/>
            </w:tcBorders>
            <w:vMerge w:val="continue"/>
          </w:tcPr>
          <w:p>
            <w:pPr>
              <w:spacing w:after="0"/>
              <w:rPr>
                <w:sz w:val="12"/>
                <w:szCs w:val="12"/>
                <w:color w:val="auto"/>
              </w:rPr>
            </w:pP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Price Per</w:t>
            </w:r>
          </w:p>
        </w:tc>
        <w:tc>
          <w:tcPr>
            <w:tcW w:w="13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Aggregate</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Fee Rate</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Registration</w:t>
            </w:r>
          </w:p>
        </w:tc>
        <w:tc>
          <w:tcPr>
            <w:tcW w:w="0" w:type="dxa"/>
            <w:vAlign w:val="bottom"/>
          </w:tcPr>
          <w:p>
            <w:pPr>
              <w:spacing w:after="0"/>
              <w:rPr>
                <w:sz w:val="1"/>
                <w:szCs w:val="1"/>
                <w:color w:val="auto"/>
              </w:rPr>
            </w:pPr>
          </w:p>
        </w:tc>
      </w:tr>
      <w:tr>
        <w:trPr>
          <w:trHeight w:val="176"/>
        </w:trPr>
        <w:tc>
          <w:tcPr>
            <w:tcW w:w="208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4"/>
                <w:szCs w:val="14"/>
                <w:b w:val="1"/>
                <w:bCs w:val="1"/>
                <w:color w:val="auto"/>
              </w:rPr>
              <w:t>Type</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Class Title</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Rule</w:t>
            </w:r>
          </w:p>
        </w:tc>
        <w:tc>
          <w:tcPr>
            <w:tcW w:w="980" w:type="dxa"/>
            <w:vAlign w:val="bottom"/>
            <w:tcBorders>
              <w:bottom w:val="single" w:sz="8" w:color="auto"/>
              <w:right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2"/>
              </w:rPr>
              <w:t>Registered</w:t>
            </w:r>
            <w:r>
              <w:rPr>
                <w:rFonts w:ascii="Arial" w:cs="Arial" w:eastAsia="Arial" w:hAnsi="Arial"/>
                <w:sz w:val="10"/>
                <w:szCs w:val="10"/>
                <w:b w:val="1"/>
                <w:bCs w:val="1"/>
                <w:color w:val="auto"/>
                <w:w w:val="92"/>
              </w:rPr>
              <w:t>(1)</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Unit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1060" w:type="dxa"/>
            <w:vAlign w:val="bottom"/>
            <w:tcBorders>
              <w:bottom w:val="single" w:sz="8" w:color="auto"/>
              <w:right w:val="single" w:sz="8" w:color="auto"/>
            </w:tcBorders>
            <w:vMerge w:val="continue"/>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Fee</w:t>
            </w:r>
          </w:p>
        </w:tc>
        <w:tc>
          <w:tcPr>
            <w:tcW w:w="0" w:type="dxa"/>
            <w:vAlign w:val="bottom"/>
          </w:tcPr>
          <w:p>
            <w:pPr>
              <w:spacing w:after="0"/>
              <w:rPr>
                <w:sz w:val="1"/>
                <w:szCs w:val="1"/>
                <w:color w:val="auto"/>
              </w:rPr>
            </w:pPr>
          </w:p>
        </w:tc>
      </w:tr>
      <w:tr>
        <w:trPr>
          <w:trHeight w:val="195"/>
        </w:trPr>
        <w:tc>
          <w:tcPr>
            <w:tcW w:w="2080" w:type="dxa"/>
            <w:vAlign w:val="bottom"/>
            <w:tcBorders>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Fees to be Paid</w:t>
            </w:r>
          </w:p>
        </w:tc>
        <w:tc>
          <w:tcPr>
            <w:tcW w:w="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Equity</w:t>
            </w:r>
          </w:p>
        </w:tc>
        <w:tc>
          <w:tcPr>
            <w:tcW w:w="20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Common shares, no par</w:t>
            </w:r>
          </w:p>
        </w:tc>
        <w:tc>
          <w:tcPr>
            <w:tcW w:w="9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6"/>
                <w:szCs w:val="16"/>
                <w:color w:val="auto"/>
                <w:w w:val="96"/>
              </w:rPr>
              <w:t>Other</w:t>
            </w:r>
            <w:r>
              <w:rPr>
                <w:rFonts w:ascii="Arial" w:cs="Arial" w:eastAsia="Arial" w:hAnsi="Arial"/>
                <w:sz w:val="22"/>
                <w:szCs w:val="22"/>
                <w:color w:val="auto"/>
                <w:w w:val="96"/>
                <w:vertAlign w:val="superscript"/>
              </w:rPr>
              <w:t>(2)</w:t>
            </w:r>
          </w:p>
        </w:tc>
        <w:tc>
          <w:tcPr>
            <w:tcW w:w="9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6"/>
                <w:szCs w:val="16"/>
                <w:color w:val="auto"/>
                <w:w w:val="98"/>
              </w:rPr>
              <w:t>2,101,809</w:t>
            </w:r>
            <w:r>
              <w:rPr>
                <w:rFonts w:ascii="Arial" w:cs="Arial" w:eastAsia="Arial" w:hAnsi="Arial"/>
                <w:sz w:val="22"/>
                <w:szCs w:val="22"/>
                <w:color w:val="auto"/>
                <w:w w:val="98"/>
                <w:vertAlign w:val="superscript"/>
              </w:rPr>
              <w:t>(4)</w:t>
            </w:r>
          </w:p>
        </w:tc>
        <w:tc>
          <w:tcPr>
            <w:tcW w:w="8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$10.29</w:t>
            </w:r>
          </w:p>
        </w:tc>
        <w:tc>
          <w:tcPr>
            <w:tcW w:w="13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$21,627,614.61</w:t>
            </w:r>
          </w:p>
        </w:tc>
        <w:tc>
          <w:tcPr>
            <w:tcW w:w="1060" w:type="dxa"/>
            <w:vAlign w:val="bottom"/>
            <w:tcBorders>
              <w:right w:val="single" w:sz="8" w:color="auto"/>
            </w:tcBorders>
          </w:tcPr>
          <w:p>
            <w:pPr>
              <w:jc w:val="right"/>
              <w:ind w:right="32"/>
              <w:spacing w:after="0" w:line="195" w:lineRule="exact"/>
              <w:rPr>
                <w:sz w:val="20"/>
                <w:szCs w:val="20"/>
                <w:color w:val="auto"/>
              </w:rPr>
            </w:pPr>
            <w:r>
              <w:rPr>
                <w:rFonts w:ascii="Arial" w:cs="Arial" w:eastAsia="Arial" w:hAnsi="Arial"/>
                <w:sz w:val="18"/>
                <w:szCs w:val="18"/>
                <w:color w:val="auto"/>
                <w:w w:val="96"/>
              </w:rPr>
              <w:t>0.00011020</w:t>
            </w:r>
          </w:p>
        </w:tc>
        <w:tc>
          <w:tcPr>
            <w:tcW w:w="940" w:type="dxa"/>
            <w:vAlign w:val="bottom"/>
          </w:tcPr>
          <w:p>
            <w:pPr>
              <w:jc w:val="center"/>
              <w:spacing w:after="0" w:line="195" w:lineRule="exact"/>
              <w:rPr>
                <w:sz w:val="20"/>
                <w:szCs w:val="20"/>
                <w:color w:val="auto"/>
              </w:rPr>
            </w:pPr>
            <w:r>
              <w:rPr>
                <w:rFonts w:ascii="Arial" w:cs="Arial" w:eastAsia="Arial" w:hAnsi="Arial"/>
                <w:sz w:val="18"/>
                <w:szCs w:val="18"/>
                <w:color w:val="auto"/>
                <w:w w:val="89"/>
              </w:rPr>
              <w:t>$2,383.36</w:t>
            </w:r>
          </w:p>
        </w:tc>
        <w:tc>
          <w:tcPr>
            <w:tcW w:w="0" w:type="dxa"/>
            <w:vAlign w:val="bottom"/>
          </w:tcPr>
          <w:p>
            <w:pPr>
              <w:spacing w:after="0"/>
              <w:rPr>
                <w:sz w:val="1"/>
                <w:szCs w:val="1"/>
                <w:color w:val="auto"/>
              </w:rPr>
            </w:pPr>
          </w:p>
        </w:tc>
      </w:tr>
      <w:tr>
        <w:trPr>
          <w:trHeight w:val="216"/>
        </w:trPr>
        <w:tc>
          <w:tcPr>
            <w:tcW w:w="208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value per share, 2020</w:t>
            </w:r>
          </w:p>
        </w:tc>
        <w:tc>
          <w:tcPr>
            <w:tcW w:w="9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20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Equity Incentive Plan</w:t>
            </w:r>
          </w:p>
        </w:tc>
        <w:tc>
          <w:tcPr>
            <w:tcW w:w="90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80" w:type="dxa"/>
            <w:vAlign w:val="bottom"/>
            <w:tcBorders>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Fees to be Paid</w:t>
            </w:r>
          </w:p>
        </w:tc>
        <w:tc>
          <w:tcPr>
            <w:tcW w:w="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Equity</w:t>
            </w:r>
          </w:p>
        </w:tc>
        <w:tc>
          <w:tcPr>
            <w:tcW w:w="20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Common shares, no par</w:t>
            </w:r>
          </w:p>
        </w:tc>
        <w:tc>
          <w:tcPr>
            <w:tcW w:w="9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6"/>
                <w:szCs w:val="16"/>
                <w:color w:val="auto"/>
                <w:w w:val="96"/>
              </w:rPr>
              <w:t>Other</w:t>
            </w:r>
            <w:r>
              <w:rPr>
                <w:rFonts w:ascii="Arial" w:cs="Arial" w:eastAsia="Arial" w:hAnsi="Arial"/>
                <w:sz w:val="22"/>
                <w:szCs w:val="22"/>
                <w:color w:val="auto"/>
                <w:w w:val="96"/>
                <w:vertAlign w:val="superscript"/>
              </w:rPr>
              <w:t>(3)</w:t>
            </w:r>
          </w:p>
        </w:tc>
        <w:tc>
          <w:tcPr>
            <w:tcW w:w="980" w:type="dxa"/>
            <w:vAlign w:val="bottom"/>
            <w:tcBorders>
              <w:right w:val="single" w:sz="8" w:color="auto"/>
            </w:tcBorders>
          </w:tcPr>
          <w:p>
            <w:pPr>
              <w:jc w:val="center"/>
              <w:ind w:left="2"/>
              <w:spacing w:after="0" w:line="195" w:lineRule="exact"/>
              <w:rPr>
                <w:sz w:val="20"/>
                <w:szCs w:val="20"/>
                <w:color w:val="auto"/>
              </w:rPr>
            </w:pPr>
            <w:r>
              <w:rPr>
                <w:rFonts w:ascii="Arial" w:cs="Arial" w:eastAsia="Arial" w:hAnsi="Arial"/>
                <w:sz w:val="16"/>
                <w:szCs w:val="16"/>
                <w:color w:val="auto"/>
                <w:w w:val="97"/>
              </w:rPr>
              <w:t>420,361</w:t>
            </w:r>
            <w:r>
              <w:rPr>
                <w:rFonts w:ascii="Arial" w:cs="Arial" w:eastAsia="Arial" w:hAnsi="Arial"/>
                <w:sz w:val="22"/>
                <w:szCs w:val="22"/>
                <w:color w:val="auto"/>
                <w:w w:val="97"/>
                <w:vertAlign w:val="superscript"/>
              </w:rPr>
              <w:t>(5)</w:t>
            </w:r>
          </w:p>
        </w:tc>
        <w:tc>
          <w:tcPr>
            <w:tcW w:w="8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$8.7465</w:t>
            </w:r>
          </w:p>
        </w:tc>
        <w:tc>
          <w:tcPr>
            <w:tcW w:w="13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$3,676,687.49</w:t>
            </w:r>
          </w:p>
        </w:tc>
        <w:tc>
          <w:tcPr>
            <w:tcW w:w="1060" w:type="dxa"/>
            <w:vAlign w:val="bottom"/>
            <w:tcBorders>
              <w:right w:val="single" w:sz="8" w:color="auto"/>
            </w:tcBorders>
          </w:tcPr>
          <w:p>
            <w:pPr>
              <w:jc w:val="right"/>
              <w:ind w:right="32"/>
              <w:spacing w:after="0" w:line="195" w:lineRule="exact"/>
              <w:rPr>
                <w:sz w:val="20"/>
                <w:szCs w:val="20"/>
                <w:color w:val="auto"/>
              </w:rPr>
            </w:pPr>
            <w:r>
              <w:rPr>
                <w:rFonts w:ascii="Arial" w:cs="Arial" w:eastAsia="Arial" w:hAnsi="Arial"/>
                <w:sz w:val="18"/>
                <w:szCs w:val="18"/>
                <w:color w:val="auto"/>
                <w:w w:val="96"/>
              </w:rPr>
              <w:t>0.00011020</w:t>
            </w:r>
          </w:p>
        </w:tc>
        <w:tc>
          <w:tcPr>
            <w:tcW w:w="940" w:type="dxa"/>
            <w:vAlign w:val="bottom"/>
          </w:tcPr>
          <w:p>
            <w:pPr>
              <w:jc w:val="center"/>
              <w:spacing w:after="0" w:line="195" w:lineRule="exact"/>
              <w:rPr>
                <w:sz w:val="20"/>
                <w:szCs w:val="20"/>
                <w:color w:val="auto"/>
              </w:rPr>
            </w:pPr>
            <w:r>
              <w:rPr>
                <w:rFonts w:ascii="Arial" w:cs="Arial" w:eastAsia="Arial" w:hAnsi="Arial"/>
                <w:sz w:val="18"/>
                <w:szCs w:val="18"/>
                <w:color w:val="auto"/>
                <w:w w:val="92"/>
              </w:rPr>
              <w:t>$405.17</w:t>
            </w:r>
          </w:p>
        </w:tc>
        <w:tc>
          <w:tcPr>
            <w:tcW w:w="0" w:type="dxa"/>
            <w:vAlign w:val="bottom"/>
          </w:tcPr>
          <w:p>
            <w:pPr>
              <w:spacing w:after="0"/>
              <w:rPr>
                <w:sz w:val="1"/>
                <w:szCs w:val="1"/>
                <w:color w:val="auto"/>
              </w:rPr>
            </w:pPr>
          </w:p>
        </w:tc>
      </w:tr>
      <w:tr>
        <w:trPr>
          <w:trHeight w:val="216"/>
        </w:trPr>
        <w:tc>
          <w:tcPr>
            <w:tcW w:w="208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value per share, 2020</w:t>
            </w:r>
          </w:p>
        </w:tc>
        <w:tc>
          <w:tcPr>
            <w:tcW w:w="9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1"/>
              </w:rPr>
              <w:t>Employee Stock Purchase</w:t>
            </w:r>
          </w:p>
        </w:tc>
        <w:tc>
          <w:tcPr>
            <w:tcW w:w="9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20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Plan</w:t>
            </w:r>
          </w:p>
        </w:tc>
        <w:tc>
          <w:tcPr>
            <w:tcW w:w="90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Fees Previously Paid</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210"/>
        </w:trPr>
        <w:tc>
          <w:tcPr>
            <w:tcW w:w="2080" w:type="dxa"/>
            <w:vAlign w:val="bottom"/>
            <w:tcBorders>
              <w:bottom w:val="single" w:sz="8" w:color="auto"/>
              <w:right w:val="single" w:sz="8" w:color="auto"/>
            </w:tcBorders>
          </w:tcPr>
          <w:p>
            <w:pPr>
              <w:spacing w:after="0"/>
              <w:rPr>
                <w:sz w:val="18"/>
                <w:szCs w:val="18"/>
                <w:color w:val="auto"/>
              </w:rPr>
            </w:pPr>
          </w:p>
        </w:tc>
        <w:tc>
          <w:tcPr>
            <w:tcW w:w="27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Total Offering Amounts</w:t>
            </w:r>
          </w:p>
        </w:tc>
        <w:tc>
          <w:tcPr>
            <w:tcW w:w="90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$25,304,302.10</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$2,788.53</w:t>
            </w:r>
          </w:p>
        </w:tc>
        <w:tc>
          <w:tcPr>
            <w:tcW w:w="0" w:type="dxa"/>
            <w:vAlign w:val="bottom"/>
          </w:tcPr>
          <w:p>
            <w:pPr>
              <w:spacing w:after="0"/>
              <w:rPr>
                <w:sz w:val="1"/>
                <w:szCs w:val="1"/>
                <w:color w:val="auto"/>
              </w:rPr>
            </w:pPr>
          </w:p>
        </w:tc>
      </w:tr>
      <w:tr>
        <w:trPr>
          <w:trHeight w:val="210"/>
        </w:trPr>
        <w:tc>
          <w:tcPr>
            <w:tcW w:w="2080" w:type="dxa"/>
            <w:vAlign w:val="bottom"/>
            <w:tcBorders>
              <w:bottom w:val="single" w:sz="8" w:color="auto"/>
              <w:right w:val="single" w:sz="8" w:color="auto"/>
            </w:tcBorders>
          </w:tcPr>
          <w:p>
            <w:pPr>
              <w:spacing w:after="0"/>
              <w:rPr>
                <w:sz w:val="18"/>
                <w:szCs w:val="18"/>
                <w:color w:val="auto"/>
              </w:rPr>
            </w:pPr>
          </w:p>
        </w:tc>
        <w:tc>
          <w:tcPr>
            <w:tcW w:w="27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Total Fees Previously Paid</w:t>
            </w:r>
          </w:p>
        </w:tc>
        <w:tc>
          <w:tcPr>
            <w:tcW w:w="90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209"/>
        </w:trPr>
        <w:tc>
          <w:tcPr>
            <w:tcW w:w="2080" w:type="dxa"/>
            <w:vAlign w:val="bottom"/>
            <w:tcBorders>
              <w:bottom w:val="single" w:sz="8" w:color="auto"/>
              <w:right w:val="single" w:sz="8" w:color="auto"/>
            </w:tcBorders>
          </w:tcPr>
          <w:p>
            <w:pPr>
              <w:spacing w:after="0"/>
              <w:rPr>
                <w:sz w:val="18"/>
                <w:szCs w:val="18"/>
                <w:color w:val="auto"/>
              </w:rPr>
            </w:pPr>
          </w:p>
        </w:tc>
        <w:tc>
          <w:tcPr>
            <w:tcW w:w="27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Total Fee Offsets</w:t>
            </w:r>
          </w:p>
        </w:tc>
        <w:tc>
          <w:tcPr>
            <w:tcW w:w="90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209"/>
        </w:trPr>
        <w:tc>
          <w:tcPr>
            <w:tcW w:w="2080" w:type="dxa"/>
            <w:vAlign w:val="bottom"/>
            <w:tcBorders>
              <w:bottom w:val="single" w:sz="8" w:color="auto"/>
              <w:right w:val="single" w:sz="8" w:color="auto"/>
            </w:tcBorders>
          </w:tcPr>
          <w:p>
            <w:pPr>
              <w:spacing w:after="0"/>
              <w:rPr>
                <w:sz w:val="18"/>
                <w:szCs w:val="18"/>
                <w:color w:val="auto"/>
              </w:rPr>
            </w:pPr>
          </w:p>
        </w:tc>
        <w:tc>
          <w:tcPr>
            <w:tcW w:w="27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Net Fee Due</w:t>
            </w:r>
          </w:p>
        </w:tc>
        <w:tc>
          <w:tcPr>
            <w:tcW w:w="90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$2,788.53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20" w:hanging="424"/>
        <w:spacing w:after="0" w:line="269" w:lineRule="auto"/>
        <w:tabs>
          <w:tab w:leader="none" w:pos="424" w:val="left"/>
        </w:tabs>
        <w:numPr>
          <w:ilvl w:val="0"/>
          <w:numId w:val="3"/>
        </w:numPr>
        <w:rPr>
          <w:rFonts w:ascii="Arial" w:cs="Arial" w:eastAsia="Arial" w:hAnsi="Arial"/>
          <w:sz w:val="17"/>
          <w:szCs w:val="17"/>
          <w:color w:val="auto"/>
        </w:rPr>
      </w:pPr>
      <w:r>
        <w:rPr>
          <w:rFonts w:ascii="Arial" w:cs="Arial" w:eastAsia="Arial" w:hAnsi="Arial"/>
          <w:sz w:val="17"/>
          <w:szCs w:val="17"/>
          <w:color w:val="auto"/>
        </w:rPr>
        <w:t>Pursuant to Rule 416(a) under the Securities Act of 1933, as amended (the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this Registration Statement shall also cover any additional common shares, no par value (the “</w:t>
      </w:r>
      <w:r>
        <w:rPr>
          <w:rFonts w:ascii="Arial" w:cs="Arial" w:eastAsia="Arial" w:hAnsi="Arial"/>
          <w:sz w:val="17"/>
          <w:szCs w:val="17"/>
          <w:b w:val="1"/>
          <w:bCs w:val="1"/>
          <w:i w:val="1"/>
          <w:iCs w:val="1"/>
          <w:color w:val="auto"/>
        </w:rPr>
        <w:t>Common Shares</w:t>
      </w:r>
      <w:r>
        <w:rPr>
          <w:rFonts w:ascii="Arial" w:cs="Arial" w:eastAsia="Arial" w:hAnsi="Arial"/>
          <w:sz w:val="17"/>
          <w:szCs w:val="17"/>
          <w:color w:val="auto"/>
        </w:rPr>
        <w:t>”), of the Registrant that become issuable under the 2020 Equity Incentive Plan (the “</w:t>
      </w:r>
      <w:r>
        <w:rPr>
          <w:rFonts w:ascii="Arial" w:cs="Arial" w:eastAsia="Arial" w:hAnsi="Arial"/>
          <w:sz w:val="17"/>
          <w:szCs w:val="17"/>
          <w:b w:val="1"/>
          <w:bCs w:val="1"/>
          <w:i w:val="1"/>
          <w:iCs w:val="1"/>
          <w:color w:val="auto"/>
        </w:rPr>
        <w:t>2020 Plan</w:t>
      </w:r>
      <w:r>
        <w:rPr>
          <w:rFonts w:ascii="Arial" w:cs="Arial" w:eastAsia="Arial" w:hAnsi="Arial"/>
          <w:sz w:val="17"/>
          <w:szCs w:val="17"/>
          <w:color w:val="auto"/>
        </w:rPr>
        <w:t>”) and 2020 Employee Share Purchase Plan (the “</w:t>
      </w:r>
      <w:r>
        <w:rPr>
          <w:rFonts w:ascii="Arial" w:cs="Arial" w:eastAsia="Arial" w:hAnsi="Arial"/>
          <w:sz w:val="17"/>
          <w:szCs w:val="17"/>
          <w:b w:val="1"/>
          <w:bCs w:val="1"/>
          <w:i w:val="1"/>
          <w:iCs w:val="1"/>
          <w:color w:val="auto"/>
        </w:rPr>
        <w:t>ESPP</w:t>
      </w:r>
      <w:r>
        <w:rPr>
          <w:rFonts w:ascii="Arial" w:cs="Arial" w:eastAsia="Arial" w:hAnsi="Arial"/>
          <w:sz w:val="17"/>
          <w:szCs w:val="17"/>
          <w:color w:val="auto"/>
        </w:rPr>
        <w:t>”) by reason of any share dividend, share split, recapitalization or any other similar transaction that results in an increase in the number of the Registrant’s outstanding Common Shares.</w:t>
      </w:r>
    </w:p>
    <w:p>
      <w:pPr>
        <w:spacing w:after="0" w:line="1" w:lineRule="exact"/>
        <w:rPr>
          <w:rFonts w:ascii="Arial" w:cs="Arial" w:eastAsia="Arial" w:hAnsi="Arial"/>
          <w:sz w:val="17"/>
          <w:szCs w:val="17"/>
          <w:color w:val="auto"/>
        </w:rPr>
      </w:pPr>
    </w:p>
    <w:p>
      <w:pPr>
        <w:ind w:left="424" w:right="200" w:hanging="424"/>
        <w:spacing w:after="0" w:line="265" w:lineRule="auto"/>
        <w:tabs>
          <w:tab w:leader="none" w:pos="424" w:val="left"/>
        </w:tabs>
        <w:numPr>
          <w:ilvl w:val="0"/>
          <w:numId w:val="3"/>
        </w:numPr>
        <w:rPr>
          <w:rFonts w:ascii="Arial" w:cs="Arial" w:eastAsia="Arial" w:hAnsi="Arial"/>
          <w:sz w:val="17"/>
          <w:szCs w:val="17"/>
          <w:color w:val="auto"/>
        </w:rPr>
      </w:pPr>
      <w:r>
        <w:rPr>
          <w:rFonts w:ascii="Arial" w:cs="Arial" w:eastAsia="Arial" w:hAnsi="Arial"/>
          <w:sz w:val="17"/>
          <w:szCs w:val="17"/>
          <w:color w:val="auto"/>
        </w:rPr>
        <w:t>Estimated in accordance with Rule 457(c) and (h) solely for the purpose of calculating the registration fee on the basis of the average of the high and low prices of the Registrant’s Common Shares as reported on the Nasdaq Global Select Market on February 24, 2023.</w:t>
      </w:r>
    </w:p>
    <w:p>
      <w:pPr>
        <w:ind w:left="424" w:right="200" w:hanging="424"/>
        <w:spacing w:after="0" w:line="250"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Estimated in accordance with Rule 457(c) and (h) solely for the purpose of calculating the registration fee on the basis of the average of the high and low prices of the Registrant’s Common Shares as reported on the Nasdaq Global Select Market on February 24, 2023, multiplied by 85%, which is the percentage of the price per share applicable to purchases under the ESPP.</w:t>
      </w:r>
    </w:p>
    <w:p>
      <w:pPr>
        <w:spacing w:after="0" w:line="1" w:lineRule="exact"/>
        <w:rPr>
          <w:rFonts w:ascii="Arial" w:cs="Arial" w:eastAsia="Arial" w:hAnsi="Arial"/>
          <w:sz w:val="18"/>
          <w:szCs w:val="18"/>
          <w:color w:val="auto"/>
        </w:rPr>
      </w:pPr>
    </w:p>
    <w:p>
      <w:pPr>
        <w:ind w:left="424" w:right="200" w:hanging="424"/>
        <w:spacing w:after="0" w:line="250"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an automatic annual increase equal to 5% of the total number of Common Shares outstanding on December 31 of the preceding year, which annual increase is provided by the 2020 Plan.</w:t>
      </w:r>
    </w:p>
    <w:p>
      <w:pPr>
        <w:ind w:left="424" w:right="200" w:hanging="424"/>
        <w:spacing w:after="0" w:line="260"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an automatic annual increase equal to 1% of the total number of Common Shares outstanding on December 31 of the preceding year, which annual increase is provided by the ESPP.</w:t>
      </w:r>
    </w:p>
    <w:sectPr>
      <w:pgSz w:w="11900" w:h="16838" w:orient="portrait"/>
      <w:cols w:equalWidth="0" w:num="1">
        <w:col w:w="11024"/>
      </w:cols>
      <w:pgMar w:left="436" w:top="12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Roman"/>
      <w:start w:val="2"/>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30" Type="http://schemas.openxmlformats.org/officeDocument/2006/relationships/image" Target="media/image11.png"/><Relationship Id="rId31" Type="http://schemas.openxmlformats.org/officeDocument/2006/relationships/image" Target="media/image12.png"/><Relationship Id="rId32" Type="http://schemas.openxmlformats.org/officeDocument/2006/relationships/image" Target="media/image13.png"/><Relationship Id="rId33" Type="http://schemas.openxmlformats.org/officeDocument/2006/relationships/image" Target="media/image14.png"/><Relationship Id="rId34" Type="http://schemas.openxmlformats.org/officeDocument/2006/relationships/image" Target="media/image15.png"/><Relationship Id="rId35" Type="http://schemas.openxmlformats.org/officeDocument/2006/relationships/image" Target="media/image16.png"/><Relationship Id="rId36" Type="http://schemas.openxmlformats.org/officeDocument/2006/relationships/image" Target="media/image17.png"/><Relationship Id="rId37" Type="http://schemas.openxmlformats.org/officeDocument/2006/relationships/image" Target="media/image18.png"/><Relationship Id="rId18" Type="http://schemas.openxmlformats.org/officeDocument/2006/relationships/hyperlink" Target="http://www.sec.gov/Archives/edgar/data/1808158/000119312520176824/d948823ds8.htm" TargetMode="External"/><Relationship Id="rId19" Type="http://schemas.openxmlformats.org/officeDocument/2006/relationships/hyperlink" Target="http://www.sec.gov/Archives/edgar/data/1808158/000119312521106544/d19662ds8.htm" TargetMode="External"/><Relationship Id="rId20" Type="http://schemas.openxmlformats.org/officeDocument/2006/relationships/hyperlink" Target="http://www.sec.gov/Archives/edgar/data/1808158/000119312522072761/d289817ds8.htm" TargetMode="External"/><Relationship Id="rId21" Type="http://schemas.openxmlformats.org/officeDocument/2006/relationships/hyperlink" Target="http://www.sec.gov/ix?doc=/Archives/edgar/data/1808158/000095017023005113/rptx-20221231.htm" TargetMode="External"/><Relationship Id="rId22" Type="http://schemas.openxmlformats.org/officeDocument/2006/relationships/hyperlink" Target="http://www.sec.gov/Archives/edgar/data/1808158/000119312520170457/d944254d8a12b.htm" TargetMode="External"/><Relationship Id="rId23" Type="http://schemas.openxmlformats.org/officeDocument/2006/relationships/hyperlink" Target="http://www.sec.gov/Archives/edgar/data/1808158/000119312520176579/d920931dex31.htm" TargetMode="External"/><Relationship Id="rId24" Type="http://schemas.openxmlformats.org/officeDocument/2006/relationships/hyperlink" Target="http://www.sec.gov/Archives/edgar/data/1808158/000119312520176579/d920931dex32.htm" TargetMode="External"/><Relationship Id="rId25" Type="http://schemas.openxmlformats.org/officeDocument/2006/relationships/hyperlink" Target="http://www.sec.gov/Archives/edgar/data/1808158/000119312520168295/d908774dex41.htm" TargetMode="External"/><Relationship Id="rId26" Type="http://schemas.openxmlformats.org/officeDocument/2006/relationships/hyperlink" Target="http://www.sec.gov/Archives/edgar/data/1808158/000119312520168295/d908774dex103.htm" TargetMode="External"/><Relationship Id="rId27" Type="http://schemas.openxmlformats.org/officeDocument/2006/relationships/hyperlink" Target="http://www.sec.gov/Archives/edgar/data/1808158/000119312520168295/d908774dex104.htm" TargetMode="External"/><Relationship Id="rId28" Type="http://schemas.openxmlformats.org/officeDocument/2006/relationships/hyperlink" Target="http://www.sec.gov/Archives/edgar/data/1808158/000119312520168295/d908774dex105.htm" TargetMode="External"/><Relationship Id="rId29" Type="http://schemas.openxmlformats.org/officeDocument/2006/relationships/hyperlink" Target="http://www.sec.gov/Archives/edgar/data/1808158/000119312520168295/d908774dex1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2023-03-01T15:15:39Z</dcterms:created>
  <dcterms:modified xsi:type="dcterms:W3CDTF">2023-03-01T15:15:39Z</dcterms:modified>
</cp:coreProperties>
</file>