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13d-1(b)</w:t>
      </w:r>
    </w:p>
    <w:p>
      <w:pPr>
        <w:spacing w:after="0" w:line="225"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760273102</w:t>
      </w:r>
    </w:p>
    <w:p>
      <w:pPr>
        <w:spacing w:after="0" w:line="243" w:lineRule="exact"/>
        <w:rPr>
          <w:sz w:val="20"/>
          <w:szCs w:val="20"/>
          <w:color w:val="auto"/>
        </w:rPr>
      </w:pPr>
    </w:p>
    <w:p>
      <w:pPr>
        <w:ind w:left="720" w:hanging="601"/>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ame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494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494655"/>
                    </a:xfrm>
                    <a:prstGeom prst="rect">
                      <a:avLst/>
                    </a:prstGeom>
                    <a:noFill/>
                  </pic:spPr>
                </pic:pic>
              </a:graphicData>
            </a:graphic>
          </wp:anchor>
        </w:drawing>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Redmile Group, LLC</w:t>
      </w:r>
    </w:p>
    <w:p>
      <w:pPr>
        <w:spacing w:after="0" w:line="108" w:lineRule="exact"/>
        <w:rPr>
          <w:sz w:val="20"/>
          <w:szCs w:val="20"/>
          <w:color w:val="auto"/>
        </w:rPr>
      </w:pPr>
    </w:p>
    <w:p>
      <w:pPr>
        <w:ind w:left="720" w:hanging="601"/>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ppropriate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ox if 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ember of 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72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70" w:lineRule="exact"/>
        <w:rPr>
          <w:sz w:val="20"/>
          <w:szCs w:val="20"/>
          <w:color w:val="auto"/>
        </w:rPr>
      </w:pPr>
    </w:p>
    <w:p>
      <w:pPr>
        <w:ind w:left="72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b</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84" w:lineRule="exact"/>
        <w:rPr>
          <w:sz w:val="20"/>
          <w:szCs w:val="20"/>
          <w:color w:val="auto"/>
        </w:rPr>
      </w:pPr>
    </w:p>
    <w:p>
      <w:pPr>
        <w:ind w:left="720" w:hanging="601"/>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w:t>
      </w:r>
      <w:r>
        <w:rPr>
          <w:rFonts w:ascii="Times New Roman" w:cs="Times New Roman" w:eastAsia="Times New Roman" w:hAnsi="Times New Roman"/>
          <w:sz w:val="12"/>
          <w:szCs w:val="12"/>
          <w:color w:val="auto"/>
        </w:rPr>
        <w:t>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nly</w:t>
      </w:r>
    </w:p>
    <w:p>
      <w:pPr>
        <w:spacing w:after="0" w:line="104" w:lineRule="exact"/>
        <w:rPr>
          <w:sz w:val="20"/>
          <w:szCs w:val="20"/>
          <w:color w:val="auto"/>
        </w:rPr>
      </w:pPr>
    </w:p>
    <w:p>
      <w:pPr>
        <w:ind w:left="720" w:hanging="601"/>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itizenship 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lace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rganization</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4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77"/>
        </w:trPr>
        <w:tc>
          <w:tcPr>
            <w:tcW w:w="1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8"/>
                <w:szCs w:val="18"/>
                <w:color w:val="auto"/>
              </w:rPr>
            </w:pPr>
          </w:p>
        </w:tc>
        <w:tc>
          <w:tcPr>
            <w:tcW w:w="9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1,942,555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84"/>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Pr>
          <w:p>
            <w:pPr>
              <w:spacing w:after="0"/>
              <w:rPr>
                <w:sz w:val="16"/>
                <w:szCs w:val="16"/>
                <w:color w:val="auto"/>
              </w:rPr>
            </w:pPr>
          </w:p>
        </w:tc>
        <w:tc>
          <w:tcPr>
            <w:tcW w:w="9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40" w:type="dxa"/>
            <w:vAlign w:val="bottom"/>
          </w:tcPr>
          <w:p>
            <w:pPr>
              <w:jc w:val="center"/>
              <w:ind w:right="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OWNED BY</w:t>
            </w:r>
          </w:p>
        </w:tc>
        <w:tc>
          <w:tcPr>
            <w:tcW w:w="42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26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20" w:type="dxa"/>
            <w:vAlign w:val="bottom"/>
          </w:tcPr>
          <w:p>
            <w:pPr>
              <w:spacing w:after="0"/>
              <w:rPr>
                <w:sz w:val="18"/>
                <w:szCs w:val="18"/>
                <w:color w:val="auto"/>
              </w:rPr>
            </w:pP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7"/>
        </w:trPr>
        <w:tc>
          <w:tcPr>
            <w:tcW w:w="14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9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9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 xml:space="preserve">1,942,555 </w:t>
      </w:r>
      <w:r>
        <w:rPr>
          <w:rFonts w:ascii="Times New Roman" w:cs="Times New Roman" w:eastAsia="Times New Roman" w:hAnsi="Times New Roman"/>
          <w:sz w:val="29"/>
          <w:szCs w:val="29"/>
          <w:b w:val="1"/>
          <w:bCs w:val="1"/>
          <w:color w:val="auto"/>
          <w:vertAlign w:val="superscript"/>
        </w:rPr>
        <w:t>(1)</w:t>
      </w:r>
    </w:p>
    <w:p>
      <w:pPr>
        <w:spacing w:after="0" w:line="38" w:lineRule="exact"/>
        <w:rPr>
          <w:sz w:val="20"/>
          <w:szCs w:val="20"/>
          <w:color w:val="auto"/>
        </w:rPr>
      </w:pPr>
    </w:p>
    <w:p>
      <w:pPr>
        <w:ind w:left="720" w:hanging="601"/>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 by</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ach</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1,942,555 </w:t>
      </w:r>
      <w:r>
        <w:rPr>
          <w:rFonts w:ascii="Times New Roman" w:cs="Times New Roman" w:eastAsia="Times New Roman" w:hAnsi="Times New Roman"/>
          <w:sz w:val="29"/>
          <w:szCs w:val="29"/>
          <w:b w:val="1"/>
          <w:bCs w:val="1"/>
          <w:color w:val="auto"/>
          <w:vertAlign w:val="superscript"/>
        </w:rPr>
        <w:t>(1)</w:t>
      </w:r>
    </w:p>
    <w:p>
      <w:pPr>
        <w:spacing w:after="0" w:line="31" w:lineRule="exact"/>
        <w:rPr>
          <w:sz w:val="20"/>
          <w:szCs w:val="20"/>
          <w:color w:val="auto"/>
        </w:rPr>
      </w:pPr>
    </w:p>
    <w:p>
      <w:pPr>
        <w:ind w:left="720" w:hanging="601"/>
        <w:spacing w:after="0" w:line="207" w:lineRule="exact"/>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if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 E</w:t>
      </w:r>
      <w:r>
        <w:rPr>
          <w:rFonts w:ascii="Times New Roman" w:cs="Times New Roman" w:eastAsia="Times New Roman" w:hAnsi="Times New Roman"/>
          <w:sz w:val="12"/>
          <w:szCs w:val="12"/>
          <w:color w:val="auto"/>
        </w:rPr>
        <w:t>xcludes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ercent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lass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epresented by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29"/>
          <w:szCs w:val="29"/>
          <w:b w:val="1"/>
          <w:bCs w:val="1"/>
          <w:color w:val="auto"/>
          <w:vertAlign w:val="superscript"/>
        </w:rPr>
        <w:t>(2)</w:t>
      </w:r>
    </w:p>
    <w:p>
      <w:pPr>
        <w:spacing w:after="0" w:line="38" w:lineRule="exact"/>
        <w:rPr>
          <w:sz w:val="20"/>
          <w:szCs w:val="20"/>
          <w:color w:val="auto"/>
        </w:rPr>
      </w:pPr>
    </w:p>
    <w:p>
      <w:pPr>
        <w:ind w:left="720" w:hanging="601"/>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ype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8"/>
        <w:spacing w:after="0" w:line="254" w:lineRule="auto"/>
        <w:tabs>
          <w:tab w:leader="none" w:pos="212"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Redmile Group, LLC’s beneficial ownership of the Issuer’s Common Shares (“Common Shares”) is comprised of 1,942,555 shares of Common Shares owned by certain private investment vehicles and/or sub-advised accounts managed by Redmile Group, LLC, which shares of Common Shares may be deemed beneficially owned by Redmile Group, LLC as investment manager of such private investment vehicles and/or sub-advised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5" w:lineRule="exact"/>
        <w:rPr>
          <w:rFonts w:ascii="Times New Roman" w:cs="Times New Roman" w:eastAsia="Times New Roman" w:hAnsi="Times New Roman"/>
          <w:sz w:val="26"/>
          <w:szCs w:val="26"/>
          <w:color w:val="auto"/>
          <w:vertAlign w:val="superscript"/>
        </w:rPr>
      </w:pPr>
    </w:p>
    <w:p>
      <w:pPr>
        <w:ind w:firstLine="8"/>
        <w:spacing w:after="0" w:line="223" w:lineRule="auto"/>
        <w:tabs>
          <w:tab w:leader="none" w:pos="212"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Percentage based on 42,445,533 shares of Common Shares outstanding as of August 2, 2024, as reported by the Issuer in its Form 10-Q for the quarterly period ended June 30, 2024 filed with the Securities and Exchange Commission on August 6, 2024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760273102</w:t>
      </w:r>
    </w:p>
    <w:p>
      <w:pPr>
        <w:spacing w:after="0" w:line="243" w:lineRule="exact"/>
        <w:rPr>
          <w:sz w:val="20"/>
          <w:szCs w:val="20"/>
          <w:color w:val="auto"/>
        </w:rPr>
      </w:pPr>
    </w:p>
    <w:p>
      <w:pPr>
        <w:ind w:left="720" w:hanging="601"/>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ame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494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494655"/>
                    </a:xfrm>
                    <a:prstGeom prst="rect">
                      <a:avLst/>
                    </a:prstGeom>
                    <a:noFill/>
                  </pic:spPr>
                </pic:pic>
              </a:graphicData>
            </a:graphic>
          </wp:anchor>
        </w:drawing>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Jeremy C. Green</w:t>
      </w:r>
    </w:p>
    <w:p>
      <w:pPr>
        <w:spacing w:after="0" w:line="108" w:lineRule="exact"/>
        <w:rPr>
          <w:sz w:val="20"/>
          <w:szCs w:val="20"/>
          <w:color w:val="auto"/>
        </w:rPr>
      </w:pPr>
    </w:p>
    <w:p>
      <w:pPr>
        <w:ind w:left="720" w:hanging="601"/>
        <w:spacing w:after="0"/>
        <w:tabs>
          <w:tab w:leader="none" w:pos="7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ppropriate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ox if 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ember of 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72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70" w:lineRule="exact"/>
        <w:rPr>
          <w:sz w:val="20"/>
          <w:szCs w:val="20"/>
          <w:color w:val="auto"/>
        </w:rPr>
      </w:pPr>
    </w:p>
    <w:p>
      <w:pPr>
        <w:ind w:left="72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b</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84" w:lineRule="exact"/>
        <w:rPr>
          <w:sz w:val="20"/>
          <w:szCs w:val="20"/>
          <w:color w:val="auto"/>
        </w:rPr>
      </w:pPr>
    </w:p>
    <w:p>
      <w:pPr>
        <w:ind w:left="720" w:hanging="601"/>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w:t>
      </w:r>
      <w:r>
        <w:rPr>
          <w:rFonts w:ascii="Times New Roman" w:cs="Times New Roman" w:eastAsia="Times New Roman" w:hAnsi="Times New Roman"/>
          <w:sz w:val="12"/>
          <w:szCs w:val="12"/>
          <w:color w:val="auto"/>
        </w:rPr>
        <w:t>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nly</w:t>
      </w:r>
    </w:p>
    <w:p>
      <w:pPr>
        <w:spacing w:after="0" w:line="104" w:lineRule="exact"/>
        <w:rPr>
          <w:sz w:val="20"/>
          <w:szCs w:val="20"/>
          <w:color w:val="auto"/>
        </w:rPr>
      </w:pPr>
    </w:p>
    <w:p>
      <w:pPr>
        <w:ind w:left="720" w:hanging="601"/>
        <w:spacing w:after="0"/>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itizenship 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lace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rganization</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4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77"/>
        </w:trPr>
        <w:tc>
          <w:tcPr>
            <w:tcW w:w="1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8"/>
                <w:szCs w:val="18"/>
                <w:color w:val="auto"/>
              </w:rPr>
            </w:pPr>
          </w:p>
        </w:tc>
        <w:tc>
          <w:tcPr>
            <w:tcW w:w="9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1,942,555 </w:t>
            </w:r>
            <w:r>
              <w:rPr>
                <w:rFonts w:ascii="Times New Roman" w:cs="Times New Roman" w:eastAsia="Times New Roman" w:hAnsi="Times New Roman"/>
                <w:sz w:val="29"/>
                <w:szCs w:val="29"/>
                <w:b w:val="1"/>
                <w:bCs w:val="1"/>
                <w:color w:val="auto"/>
                <w:vertAlign w:val="superscript"/>
              </w:rPr>
              <w:t>(3)</w:t>
            </w:r>
          </w:p>
        </w:tc>
        <w:tc>
          <w:tcPr>
            <w:tcW w:w="0" w:type="dxa"/>
            <w:vAlign w:val="bottom"/>
          </w:tcPr>
          <w:p>
            <w:pPr>
              <w:spacing w:after="0"/>
              <w:rPr>
                <w:sz w:val="1"/>
                <w:szCs w:val="1"/>
                <w:color w:val="auto"/>
              </w:rPr>
            </w:pPr>
          </w:p>
        </w:tc>
      </w:tr>
      <w:tr>
        <w:trPr>
          <w:trHeight w:val="184"/>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Pr>
          <w:p>
            <w:pPr>
              <w:spacing w:after="0"/>
              <w:rPr>
                <w:sz w:val="16"/>
                <w:szCs w:val="16"/>
                <w:color w:val="auto"/>
              </w:rPr>
            </w:pPr>
          </w:p>
        </w:tc>
        <w:tc>
          <w:tcPr>
            <w:tcW w:w="9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40" w:type="dxa"/>
            <w:vAlign w:val="bottom"/>
          </w:tcPr>
          <w:p>
            <w:pPr>
              <w:jc w:val="center"/>
              <w:ind w:right="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OWNED BY</w:t>
            </w:r>
          </w:p>
        </w:tc>
        <w:tc>
          <w:tcPr>
            <w:tcW w:w="42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26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20" w:type="dxa"/>
            <w:vAlign w:val="bottom"/>
          </w:tcPr>
          <w:p>
            <w:pPr>
              <w:spacing w:after="0"/>
              <w:rPr>
                <w:sz w:val="18"/>
                <w:szCs w:val="18"/>
                <w:color w:val="auto"/>
              </w:rPr>
            </w:pP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7"/>
        </w:trPr>
        <w:tc>
          <w:tcPr>
            <w:tcW w:w="14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9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9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 xml:space="preserve">1,942,555 </w:t>
      </w:r>
      <w:r>
        <w:rPr>
          <w:rFonts w:ascii="Times New Roman" w:cs="Times New Roman" w:eastAsia="Times New Roman" w:hAnsi="Times New Roman"/>
          <w:sz w:val="29"/>
          <w:szCs w:val="29"/>
          <w:b w:val="1"/>
          <w:bCs w:val="1"/>
          <w:color w:val="auto"/>
          <w:vertAlign w:val="superscript"/>
        </w:rPr>
        <w:t>(3)</w:t>
      </w:r>
    </w:p>
    <w:p>
      <w:pPr>
        <w:spacing w:after="0" w:line="38" w:lineRule="exact"/>
        <w:rPr>
          <w:sz w:val="20"/>
          <w:szCs w:val="20"/>
          <w:color w:val="auto"/>
        </w:rPr>
      </w:pPr>
    </w:p>
    <w:p>
      <w:pPr>
        <w:ind w:left="720" w:hanging="601"/>
        <w:spacing w:after="0"/>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 by</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ach</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1,942,555 </w:t>
      </w:r>
      <w:r>
        <w:rPr>
          <w:rFonts w:ascii="Times New Roman" w:cs="Times New Roman" w:eastAsia="Times New Roman" w:hAnsi="Times New Roman"/>
          <w:sz w:val="29"/>
          <w:szCs w:val="29"/>
          <w:b w:val="1"/>
          <w:bCs w:val="1"/>
          <w:color w:val="auto"/>
          <w:vertAlign w:val="superscript"/>
        </w:rPr>
        <w:t>(3)</w:t>
      </w:r>
    </w:p>
    <w:p>
      <w:pPr>
        <w:spacing w:after="0" w:line="31" w:lineRule="exact"/>
        <w:rPr>
          <w:sz w:val="20"/>
          <w:szCs w:val="20"/>
          <w:color w:val="auto"/>
        </w:rPr>
      </w:pPr>
    </w:p>
    <w:p>
      <w:pPr>
        <w:ind w:left="720" w:hanging="601"/>
        <w:spacing w:after="0" w:line="207" w:lineRule="exact"/>
        <w:tabs>
          <w:tab w:leader="none" w:pos="7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if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 E</w:t>
      </w:r>
      <w:r>
        <w:rPr>
          <w:rFonts w:ascii="Times New Roman" w:cs="Times New Roman" w:eastAsia="Times New Roman" w:hAnsi="Times New Roman"/>
          <w:sz w:val="12"/>
          <w:szCs w:val="12"/>
          <w:color w:val="auto"/>
        </w:rPr>
        <w:t>xcludes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ercent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lass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epresented by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29"/>
          <w:szCs w:val="29"/>
          <w:b w:val="1"/>
          <w:bCs w:val="1"/>
          <w:color w:val="auto"/>
          <w:vertAlign w:val="superscript"/>
        </w:rPr>
        <w:t>(4)</w:t>
      </w:r>
    </w:p>
    <w:p>
      <w:pPr>
        <w:spacing w:after="0" w:line="38" w:lineRule="exact"/>
        <w:rPr>
          <w:sz w:val="20"/>
          <w:szCs w:val="20"/>
          <w:color w:val="auto"/>
        </w:rPr>
      </w:pPr>
    </w:p>
    <w:p>
      <w:pPr>
        <w:ind w:left="720" w:hanging="601"/>
        <w:spacing w:after="0"/>
        <w:tabs>
          <w:tab w:leader="none" w:pos="7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ype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8"/>
        <w:spacing w:after="0" w:line="309" w:lineRule="auto"/>
        <w:tabs>
          <w:tab w:leader="none" w:pos="212"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Jeremy C. Green’s beneficial ownership of Common Shares is comprised of 1,942,555 shares of Common Shares owned by certain private investment vehicles and/or sub-advised accounts managed by Redmile Group, LLC, which shares of Common Shares may be deemed beneficially owned by Redmile Group, LLC as investment manager of such private investment vehicles and/or sub-advised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 w:lineRule="exact"/>
        <w:rPr>
          <w:rFonts w:ascii="Times New Roman" w:cs="Times New Roman" w:eastAsia="Times New Roman" w:hAnsi="Times New Roman"/>
          <w:sz w:val="26"/>
          <w:szCs w:val="26"/>
          <w:color w:val="auto"/>
          <w:vertAlign w:val="superscript"/>
        </w:rPr>
      </w:pPr>
    </w:p>
    <w:p>
      <w:pPr>
        <w:ind w:left="220" w:hanging="212"/>
        <w:spacing w:after="0" w:line="198" w:lineRule="auto"/>
        <w:tabs>
          <w:tab w:leader="none" w:pos="22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Percentage based on 42,445,533 shares of Common Shares outstanding as of August 2, 2024, as reported by the Issuer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44" w:lineRule="exact"/>
        <w:rPr>
          <w:sz w:val="20"/>
          <w:szCs w:val="20"/>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Repare Therapeutics Inc.</w:t>
      </w:r>
    </w:p>
    <w:p>
      <w:pPr>
        <w:spacing w:after="0" w:line="144" w:lineRule="exact"/>
        <w:rPr>
          <w:sz w:val="20"/>
          <w:szCs w:val="20"/>
          <w:color w:val="auto"/>
        </w:rPr>
      </w:pPr>
    </w:p>
    <w:p>
      <w:pPr>
        <w:ind w:left="1140" w:hanging="5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44" w:lineRule="exact"/>
        <w:rPr>
          <w:sz w:val="20"/>
          <w:szCs w:val="20"/>
          <w:color w:val="auto"/>
        </w:rPr>
      </w:pPr>
    </w:p>
    <w:p>
      <w:pPr>
        <w:ind w:left="1140" w:hanging="56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7171 Frederick-Banting, Building 2, Suite 270</w:t>
      </w:r>
    </w:p>
    <w:p>
      <w:pPr>
        <w:spacing w:after="0" w:line="2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St-Laurent, Québec, Canada H4S 1Z9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w:t>
      </w:r>
    </w:p>
    <w:p>
      <w:pPr>
        <w:spacing w:after="0" w:line="229" w:lineRule="exact"/>
        <w:rPr>
          <w:sz w:val="20"/>
          <w:szCs w:val="20"/>
          <w:color w:val="auto"/>
        </w:rPr>
      </w:pPr>
    </w:p>
    <w:p>
      <w:pPr>
        <w:ind w:left="1140" w:hanging="56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Persons Filing</w:t>
      </w:r>
    </w:p>
    <w:p>
      <w:pPr>
        <w:spacing w:after="0" w:line="144" w:lineRule="exact"/>
        <w:rPr>
          <w:sz w:val="20"/>
          <w:szCs w:val="20"/>
          <w:color w:val="auto"/>
        </w:rPr>
      </w:pPr>
    </w:p>
    <w:p>
      <w:pPr>
        <w:ind w:left="1140" w:right="8560" w:hanging="565"/>
        <w:spacing w:after="0" w:line="312" w:lineRule="auto"/>
        <w:tabs>
          <w:tab w:leader="none" w:pos="11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Redmile Group, LLC Jeremy C. Green</w:t>
      </w:r>
    </w:p>
    <w:p>
      <w:pPr>
        <w:spacing w:after="0" w:line="59" w:lineRule="exact"/>
        <w:rPr>
          <w:sz w:val="20"/>
          <w:szCs w:val="20"/>
          <w:color w:val="auto"/>
        </w:rPr>
      </w:pPr>
    </w:p>
    <w:p>
      <w:pPr>
        <w:ind w:left="1140" w:hanging="56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44" w:lineRule="exact"/>
        <w:rPr>
          <w:sz w:val="20"/>
          <w:szCs w:val="20"/>
          <w:color w:val="auto"/>
        </w:rPr>
      </w:pPr>
    </w:p>
    <w:p>
      <w:pPr>
        <w:ind w:left="1140" w:right="7760" w:hanging="565"/>
        <w:spacing w:after="0" w:line="25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One Letterman Drive Building D, Suite D3-300 The Presidio of San Francisco San Francisco, California 94129</w:t>
      </w:r>
    </w:p>
    <w:p>
      <w:pPr>
        <w:spacing w:after="0" w:line="10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Jeremy C. Green</w:t>
      </w:r>
    </w:p>
    <w:p>
      <w:pPr>
        <w:spacing w:after="0" w:line="27" w:lineRule="exact"/>
        <w:rPr>
          <w:rFonts w:ascii="Times New Roman" w:cs="Times New Roman" w:eastAsia="Times New Roman" w:hAnsi="Times New Roman"/>
          <w:sz w:val="18"/>
          <w:szCs w:val="18"/>
          <w:color w:val="auto"/>
        </w:rPr>
      </w:pPr>
    </w:p>
    <w:p>
      <w:pPr>
        <w:ind w:left="1140" w:right="7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Redmile Group, LLC (NY Office) 45 W. 27th Street, Floor 11</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10001</w:t>
      </w:r>
    </w:p>
    <w:p>
      <w:pPr>
        <w:spacing w:after="0" w:line="126" w:lineRule="exact"/>
        <w:rPr>
          <w:sz w:val="20"/>
          <w:szCs w:val="20"/>
          <w:color w:val="auto"/>
        </w:rPr>
      </w:pPr>
    </w:p>
    <w:p>
      <w:pPr>
        <w:ind w:left="1140" w:hanging="56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44" w:lineRule="exact"/>
        <w:rPr>
          <w:sz w:val="20"/>
          <w:szCs w:val="20"/>
          <w:color w:val="auto"/>
        </w:rPr>
      </w:pPr>
    </w:p>
    <w:p>
      <w:pPr>
        <w:ind w:left="1140" w:hanging="565"/>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Delaware</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Jeremy C. Green: United Kingdom</w:t>
      </w:r>
    </w:p>
    <w:p>
      <w:pPr>
        <w:spacing w:after="0" w:line="126" w:lineRule="exact"/>
        <w:rPr>
          <w:sz w:val="20"/>
          <w:szCs w:val="20"/>
          <w:color w:val="auto"/>
        </w:rPr>
      </w:pPr>
    </w:p>
    <w:p>
      <w:pPr>
        <w:ind w:left="1140" w:hanging="565"/>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44" w:lineRule="exact"/>
        <w:rPr>
          <w:sz w:val="20"/>
          <w:szCs w:val="20"/>
          <w:color w:val="auto"/>
        </w:rPr>
      </w:pPr>
    </w:p>
    <w:p>
      <w:pPr>
        <w:ind w:left="1140" w:hanging="565"/>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no par value</w:t>
      </w:r>
    </w:p>
    <w:p>
      <w:pPr>
        <w:spacing w:after="0" w:line="144" w:lineRule="exact"/>
        <w:rPr>
          <w:sz w:val="20"/>
          <w:szCs w:val="20"/>
          <w:color w:val="auto"/>
        </w:rPr>
      </w:pPr>
    </w:p>
    <w:p>
      <w:pPr>
        <w:ind w:left="1140" w:hanging="565"/>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144"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760273102</w:t>
      </w:r>
    </w:p>
    <w:p>
      <w:pPr>
        <w:spacing w:after="0" w:line="1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 240.13d-1(b) or 240.13d-2(b) or (c), check whether the person filing is a:</w:t>
      </w:r>
    </w:p>
    <w:p>
      <w:pPr>
        <w:spacing w:after="0" w:line="188" w:lineRule="exact"/>
        <w:rPr>
          <w:sz w:val="20"/>
          <w:szCs w:val="20"/>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03"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03" w:lineRule="exact"/>
        <w:rPr>
          <w:rFonts w:ascii="Times New Roman" w:cs="Times New Roman" w:eastAsia="Times New Roman" w:hAnsi="Times New Roman"/>
          <w:sz w:val="18"/>
          <w:szCs w:val="18"/>
          <w:color w:val="auto"/>
        </w:rPr>
      </w:pPr>
    </w:p>
    <w:p>
      <w:pPr>
        <w:ind w:left="1700" w:hanging="558"/>
        <w:spacing w:after="0" w:line="245" w:lineRule="exact"/>
        <w:tabs>
          <w:tab w:leader="none" w:pos="14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36"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03" w:lineRule="exact"/>
        <w:rPr>
          <w:rFonts w:ascii="Times New Roman" w:cs="Times New Roman" w:eastAsia="Times New Roman" w:hAnsi="Times New Roman"/>
          <w:sz w:val="18"/>
          <w:szCs w:val="18"/>
          <w:color w:val="auto"/>
        </w:rPr>
      </w:pPr>
    </w:p>
    <w:p>
      <w:pPr>
        <w:ind w:left="1700" w:hanging="558"/>
        <w:spacing w:after="0" w:line="245" w:lineRule="exact"/>
        <w:tabs>
          <w:tab w:leader="none" w:pos="14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140"/>
        <w:spacing w:after="0"/>
        <w:tabs>
          <w:tab w:leader="none" w:pos="14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Amount beneficially owned:</w:t>
      </w:r>
    </w:p>
    <w:p>
      <w:pPr>
        <w:spacing w:after="0" w:line="229" w:lineRule="exact"/>
        <w:rPr>
          <w:sz w:val="20"/>
          <w:szCs w:val="20"/>
          <w:color w:val="auto"/>
        </w:rPr>
      </w:pPr>
    </w:p>
    <w:p>
      <w:pPr>
        <w:ind w:left="1480" w:right="7100" w:hanging="338"/>
        <w:spacing w:after="0" w:line="208" w:lineRule="auto"/>
        <w:tabs>
          <w:tab w:leader="none" w:pos="148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Redmile Group, LLC – 1,942,555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Jeremy C. Green – 1,942,555 </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28" w:lineRule="exact"/>
        <w:rPr>
          <w:sz w:val="20"/>
          <w:szCs w:val="20"/>
          <w:color w:val="auto"/>
        </w:rPr>
      </w:pPr>
    </w:p>
    <w:p>
      <w:pPr>
        <w:ind w:left="1480" w:hanging="338"/>
        <w:spacing w:after="0"/>
        <w:tabs>
          <w:tab w:leader="none" w:pos="1480" w:val="left"/>
        </w:tabs>
        <w:numPr>
          <w:ilvl w:val="0"/>
          <w:numId w:val="3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Redmile Group, LLC – 4.6% </w:t>
      </w:r>
      <w:r>
        <w:rPr>
          <w:rFonts w:ascii="Times New Roman" w:cs="Times New Roman" w:eastAsia="Times New Roman" w:hAnsi="Times New Roman"/>
          <w:sz w:val="29"/>
          <w:szCs w:val="29"/>
          <w:color w:val="auto"/>
          <w:vertAlign w:val="superscript"/>
        </w:rPr>
        <w:t>(2)</w:t>
      </w:r>
    </w:p>
    <w:p>
      <w:pPr>
        <w:ind w:left="1480" w:hanging="338"/>
        <w:spacing w:after="0" w:line="195" w:lineRule="auto"/>
        <w:tabs>
          <w:tab w:leader="none" w:pos="1480" w:val="left"/>
        </w:tabs>
        <w:numPr>
          <w:ilvl w:val="0"/>
          <w:numId w:val="3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Jeremy C. Green – 4.6% </w:t>
      </w:r>
      <w:r>
        <w:rPr>
          <w:rFonts w:ascii="Times New Roman" w:cs="Times New Roman" w:eastAsia="Times New Roman" w:hAnsi="Times New Roman"/>
          <w:sz w:val="29"/>
          <w:szCs w:val="29"/>
          <w:color w:val="auto"/>
          <w:vertAlign w:val="superscript"/>
        </w:rPr>
        <w:t>(2)</w:t>
      </w:r>
    </w:p>
    <w:p>
      <w:pPr>
        <w:spacing w:after="0" w:line="78" w:lineRule="exact"/>
        <w:rPr>
          <w:sz w:val="20"/>
          <w:szCs w:val="20"/>
          <w:color w:val="auto"/>
        </w:rPr>
      </w:pPr>
    </w:p>
    <w:p>
      <w:pPr>
        <w:ind w:left="1480" w:hanging="338"/>
        <w:spacing w:after="0"/>
        <w:tabs>
          <w:tab w:leader="none" w:pos="1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Number of shares as to which Redmile Group, LLC has:</w:t>
      </w:r>
    </w:p>
    <w:p>
      <w:pPr>
        <w:spacing w:after="0" w:line="222"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2040" w:hanging="561"/>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left="2040" w:hanging="561"/>
        <w:spacing w:after="0"/>
        <w:tabs>
          <w:tab w:leader="none" w:pos="2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09" w:lineRule="exact"/>
        <w:rPr>
          <w:sz w:val="20"/>
          <w:szCs w:val="20"/>
          <w:color w:val="auto"/>
        </w:rPr>
      </w:pPr>
    </w:p>
    <w:p>
      <w:pPr>
        <w:ind w:left="2040" w:hanging="561"/>
        <w:spacing w:after="0"/>
        <w:tabs>
          <w:tab w:leader="none" w:pos="2040"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1,942,555 </w:t>
      </w:r>
      <w:r>
        <w:rPr>
          <w:rFonts w:ascii="Times New Roman" w:cs="Times New Roman" w:eastAsia="Times New Roman" w:hAnsi="Times New Roman"/>
          <w:sz w:val="29"/>
          <w:szCs w:val="29"/>
          <w:color w:val="auto"/>
          <w:vertAlign w:val="superscript"/>
        </w:rPr>
        <w:t>(1)</w:t>
      </w:r>
    </w:p>
    <w:p>
      <w:pPr>
        <w:spacing w:after="0" w:line="77" w:lineRule="exact"/>
        <w:rPr>
          <w:sz w:val="20"/>
          <w:szCs w:val="20"/>
          <w:color w:val="auto"/>
        </w:rPr>
      </w:pPr>
    </w:p>
    <w:p>
      <w:pPr>
        <w:ind w:left="2040" w:hanging="561"/>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2"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6"/>
          <w:szCs w:val="16"/>
          <w:color w:val="auto"/>
        </w:rPr>
        <w:t>0</w:t>
      </w:r>
    </w:p>
    <w:p>
      <w:pPr>
        <w:spacing w:after="0" w:line="225"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09" w:lineRule="exact"/>
        <w:rPr>
          <w:sz w:val="20"/>
          <w:szCs w:val="20"/>
          <w:color w:val="auto"/>
        </w:rPr>
      </w:pPr>
    </w:p>
    <w:p>
      <w:pPr>
        <w:ind w:left="2040" w:hanging="561"/>
        <w:spacing w:after="0"/>
        <w:tabs>
          <w:tab w:leader="none" w:pos="2040" w:val="left"/>
        </w:tabs>
        <w:numPr>
          <w:ilvl w:val="1"/>
          <w:numId w:val="4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1,942,555 </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1140" w:hanging="565"/>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Jeremy C. Green has:</w:t>
      </w:r>
    </w:p>
    <w:p>
      <w:pPr>
        <w:spacing w:after="0" w:line="223" w:lineRule="exact"/>
        <w:rPr>
          <w:sz w:val="20"/>
          <w:szCs w:val="20"/>
          <w:color w:val="auto"/>
        </w:rPr>
      </w:pPr>
    </w:p>
    <w:p>
      <w:pPr>
        <w:ind w:left="2040" w:hanging="561"/>
        <w:spacing w:after="0"/>
        <w:tabs>
          <w:tab w:leader="none" w:pos="2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2040" w:hanging="561"/>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left="2040" w:hanging="561"/>
        <w:spacing w:after="0"/>
        <w:tabs>
          <w:tab w:leader="none" w:pos="2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09" w:lineRule="exact"/>
        <w:rPr>
          <w:sz w:val="20"/>
          <w:szCs w:val="20"/>
          <w:color w:val="auto"/>
        </w:rPr>
      </w:pPr>
    </w:p>
    <w:p>
      <w:pPr>
        <w:ind w:left="2040" w:hanging="561"/>
        <w:spacing w:after="0"/>
        <w:tabs>
          <w:tab w:leader="none" w:pos="2040" w:val="left"/>
        </w:tabs>
        <w:numPr>
          <w:ilvl w:val="0"/>
          <w:numId w:val="4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1,942,555 </w:t>
      </w:r>
      <w:r>
        <w:rPr>
          <w:rFonts w:ascii="Times New Roman" w:cs="Times New Roman" w:eastAsia="Times New Roman" w:hAnsi="Times New Roman"/>
          <w:sz w:val="29"/>
          <w:szCs w:val="29"/>
          <w:color w:val="auto"/>
          <w:vertAlign w:val="superscript"/>
        </w:rPr>
        <w:t>(1)</w:t>
      </w:r>
    </w:p>
    <w:p>
      <w:pPr>
        <w:spacing w:after="0" w:line="77" w:lineRule="exact"/>
        <w:rPr>
          <w:sz w:val="20"/>
          <w:szCs w:val="20"/>
          <w:color w:val="auto"/>
        </w:rPr>
      </w:pPr>
    </w:p>
    <w:p>
      <w:pPr>
        <w:ind w:left="2040" w:hanging="561"/>
        <w:spacing w:after="0"/>
        <w:tabs>
          <w:tab w:leader="none" w:pos="2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2"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6"/>
          <w:szCs w:val="16"/>
          <w:color w:val="auto"/>
        </w:rPr>
        <w:t>0</w:t>
      </w:r>
    </w:p>
    <w:p>
      <w:pPr>
        <w:spacing w:after="0" w:line="225"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7"/>
          <w:szCs w:val="17"/>
          <w:color w:val="auto"/>
        </w:rPr>
        <w:t xml:space="preserve">1,942,555 </w:t>
      </w:r>
      <w:r>
        <w:rPr>
          <w:rFonts w:ascii="Times New Roman" w:cs="Times New Roman" w:eastAsia="Times New Roman" w:hAnsi="Times New Roman"/>
          <w:sz w:val="27"/>
          <w:szCs w:val="27"/>
          <w:color w:val="auto"/>
          <w:vertAlign w:val="superscript"/>
        </w:rPr>
        <w:t>(1)</w:t>
      </w:r>
    </w:p>
    <w:p>
      <w:pPr>
        <w:spacing w:after="0" w:line="72" w:lineRule="exact"/>
        <w:rPr>
          <w:sz w:val="20"/>
          <w:szCs w:val="20"/>
          <w:color w:val="auto"/>
        </w:rPr>
      </w:pPr>
    </w:p>
    <w:p>
      <w:pPr>
        <w:jc w:val="both"/>
        <w:ind w:left="1480" w:hanging="230"/>
        <w:spacing w:after="0"/>
        <w:tabs>
          <w:tab w:leader="none" w:pos="148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Redmile Group, LLC’s and Jeremy C. Green’s beneficial ownership of the Issuer’s Common Shares is comprised of 1,942,555 shares of Common Shares owned by certain private investment vehicles and/or sub-advised accounts managed by Redmile Group, LLC, which shares of Common Shares may be deemed beneficially owned by Redmile Group, LLC as investment manager of such private investment vehicles and/or sub-advised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98" w:lineRule="exact"/>
        <w:rPr>
          <w:rFonts w:ascii="Times New Roman" w:cs="Times New Roman" w:eastAsia="Times New Roman" w:hAnsi="Times New Roman"/>
          <w:sz w:val="29"/>
          <w:szCs w:val="29"/>
          <w:color w:val="auto"/>
          <w:vertAlign w:val="superscript"/>
        </w:rPr>
      </w:pPr>
    </w:p>
    <w:p>
      <w:pPr>
        <w:ind w:left="1480" w:right="20" w:hanging="230"/>
        <w:spacing w:after="0"/>
        <w:tabs>
          <w:tab w:leader="none" w:pos="148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Percentage based on 42,445,533 shares of Common Shares outstanding as of August 2, 2024, as reported by the Issuer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140" w:hanging="565"/>
        <w:spacing w:after="0" w:line="239" w:lineRule="exact"/>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140" w:hanging="565"/>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140" w:hanging="565"/>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 to Item 4.</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140" w:hanging="565"/>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140" w:hanging="565"/>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left="1140" w:hanging="565"/>
        <w:spacing w:after="0" w:line="261"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Redmile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Jeremy C.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undersigned hereby agree to the joint filing on behalf of each of them of a Statement on Schedule 13G (including any and all amendments thereto, the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 relating to the Common Shares, no par value, of Repare Therapeutics Inc., which may be deemed necessary pursuant to Regulation 13D or 13G promulgated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Joint Filing Agreement shall be attached as an exhibit to the Schedule 13G, filed on behalf of each of the parties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executed this Joint Filing Agreement as of the 14th day of November,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REDMILE GROUP,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Jeremy C. Green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2"/>
      <w:numFmt w:val="bullet"/>
      <w:start w:val="1"/>
    </w:lvl>
  </w:abstractNum>
  <w:abstractNum w:abstractNumId="4">
    <w:nsid w:val="836C40E"/>
    <w:multiLevelType w:val="hybridMultilevel"/>
    <w:lvl w:ilvl="0">
      <w:lvlJc w:val="left"/>
      <w:lvlText w:val="3"/>
      <w:numFmt w:val="bullet"/>
      <w:start w:val="1"/>
    </w:lvl>
  </w:abstractNum>
  <w:abstractNum w:abstractNumId="5">
    <w:nsid w:val="2901D82"/>
    <w:multiLevelType w:val="hybridMultilevel"/>
    <w:lvl w:ilvl="0">
      <w:lvlJc w:val="left"/>
      <w:lvlText w:val="4"/>
      <w:numFmt w:val="bullet"/>
      <w:start w:val="1"/>
    </w:lvl>
  </w:abstractNum>
  <w:abstractNum w:abstractNumId="6">
    <w:nsid w:val="3A95F874"/>
    <w:multiLevelType w:val="hybridMultilevel"/>
    <w:lvl w:ilvl="0">
      <w:lvlJc w:val="left"/>
      <w:lvlText w:val="9"/>
      <w:numFmt w:val="bullet"/>
      <w:start w:val="1"/>
    </w:lvl>
  </w:abstractNum>
  <w:abstractNum w:abstractNumId="7">
    <w:nsid w:val="8138641"/>
    <w:multiLevelType w:val="hybridMultilevel"/>
    <w:lvl w:ilvl="0">
      <w:lvlJc w:val="left"/>
      <w:lvlText w:val="%1"/>
      <w:numFmt w:val="decimal"/>
      <w:start w:val="10"/>
    </w:lvl>
  </w:abstractNum>
  <w:abstractNum w:abstractNumId="8">
    <w:nsid w:val="1E7FF521"/>
    <w:multiLevelType w:val="hybridMultilevel"/>
    <w:lvl w:ilvl="0">
      <w:lvlJc w:val="left"/>
      <w:lvlText w:val="%1"/>
      <w:numFmt w:val="decimal"/>
      <w:start w:val="12"/>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2"/>
      <w:numFmt w:val="bullet"/>
      <w:start w:val="1"/>
    </w:lvl>
  </w:abstractNum>
  <w:abstractNum w:abstractNumId="12">
    <w:nsid w:val="22221A70"/>
    <w:multiLevelType w:val="hybridMultilevel"/>
    <w:lvl w:ilvl="0">
      <w:lvlJc w:val="left"/>
      <w:lvlText w:val="3"/>
      <w:numFmt w:val="bullet"/>
      <w:start w:val="1"/>
    </w:lvl>
  </w:abstractNum>
  <w:abstractNum w:abstractNumId="13">
    <w:nsid w:val="4516DDE9"/>
    <w:multiLevelType w:val="hybridMultilevel"/>
    <w:lvl w:ilvl="0">
      <w:lvlJc w:val="left"/>
      <w:lvlText w:val="4"/>
      <w:numFmt w:val="bullet"/>
      <w:start w:val="1"/>
    </w:lvl>
  </w:abstractNum>
  <w:abstractNum w:abstractNumId="14">
    <w:nsid w:val="3006C83E"/>
    <w:multiLevelType w:val="hybridMultilevel"/>
    <w:lvl w:ilvl="0">
      <w:lvlJc w:val="left"/>
      <w:lvlText w:val="9"/>
      <w:numFmt w:val="bullet"/>
      <w:start w:val="1"/>
    </w:lvl>
  </w:abstractNum>
  <w:abstractNum w:abstractNumId="15">
    <w:nsid w:val="614FD4A1"/>
    <w:multiLevelType w:val="hybridMultilevel"/>
    <w:lvl w:ilvl="0">
      <w:lvlJc w:val="left"/>
      <w:lvlText w:val="%1"/>
      <w:numFmt w:val="decimal"/>
      <w:start w:val="10"/>
    </w:lvl>
  </w:abstractNum>
  <w:abstractNum w:abstractNumId="16">
    <w:nsid w:val="419AC241"/>
    <w:multiLevelType w:val="hybridMultilevel"/>
    <w:lvl w:ilvl="0">
      <w:lvlJc w:val="left"/>
      <w:lvlText w:val="%1"/>
      <w:numFmt w:val="decimal"/>
      <w:start w:val="12"/>
    </w:lvl>
  </w:abstractNum>
  <w:abstractNum w:abstractNumId="17">
    <w:nsid w:val="5577F8E1"/>
    <w:multiLevelType w:val="hybridMultilevel"/>
    <w:lvl w:ilvl="0">
      <w:lvlJc w:val="left"/>
      <w:lvlText w:val="(%1)"/>
      <w:numFmt w:val="decimal"/>
      <w:start w:val="3"/>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 "/>
      <w:numFmt w:val="bullet"/>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 "/>
      <w:numFmt w:val="bullet"/>
      <w:start w:val="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 "/>
      <w:numFmt w:val="bullet"/>
      <w:start w:val="1"/>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 "/>
      <w:numFmt w:val="bullet"/>
      <w:start w:val="1"/>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 "/>
      <w:numFmt w:val="bullet"/>
      <w:start w:val="1"/>
    </w:lvl>
  </w:abstractNum>
  <w:abstractNum w:abstractNumId="28">
    <w:nsid w:val="580BD78F"/>
    <w:multiLevelType w:val="hybridMultilevel"/>
    <w:lvl w:ilvl="0">
      <w:lvlJc w:val="left"/>
      <w:lvlText w:val="(%1)"/>
      <w:numFmt w:val="lowerLetter"/>
      <w:start w:val="4"/>
    </w:lvl>
  </w:abstractNum>
  <w:abstractNum w:abstractNumId="29">
    <w:nsid w:val="153EA438"/>
    <w:multiLevelType w:val="hybridMultilevel"/>
    <w:lvl w:ilvl="0">
      <w:lvlJc w:val="left"/>
      <w:lvlText w:val=" "/>
      <w:numFmt w:val="bullet"/>
      <w:start w:val="1"/>
    </w:lvl>
  </w:abstractNum>
  <w:abstractNum w:abstractNumId="30">
    <w:nsid w:val="3855585C"/>
    <w:multiLevelType w:val="hybridMultilevel"/>
    <w:lvl w:ilvl="0">
      <w:lvlJc w:val="left"/>
      <w:lvlText w:val="(%1)"/>
      <w:numFmt w:val="lowerLetter"/>
      <w:start w:val="5"/>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
      <w:numFmt w:val="bullet"/>
      <w:start w:val="1"/>
    </w:lvl>
  </w:abstractNum>
  <w:abstractNum w:abstractNumId="33">
    <w:nsid w:val="2A487CB0"/>
    <w:multiLevelType w:val="hybridMultilevel"/>
    <w:lvl w:ilvl="0">
      <w:lvlJc w:val="left"/>
      <w:lvlText w:val=" "/>
      <w:numFmt w:val="bullet"/>
      <w:start w:val="1"/>
    </w:lvl>
  </w:abstractNum>
  <w:abstractNum w:abstractNumId="34">
    <w:nsid w:val="1D4ED43B"/>
    <w:multiLevelType w:val="hybridMultilevel"/>
    <w:lvl w:ilvl="0">
      <w:lvlJc w:val="left"/>
      <w:lvlText w:val="(%1)"/>
      <w:numFmt w:val="lowerLetter"/>
      <w:start w:val="3"/>
    </w:lvl>
    <w:lvl w:ilvl="1">
      <w:lvlJc w:val="left"/>
      <w:lvlText w:val="(%2)"/>
      <w:numFmt w:val="lowerLetter"/>
      <w:start w:val="9"/>
    </w:lvl>
  </w:abstractNum>
  <w:abstractNum w:abstractNumId="35">
    <w:nsid w:val="725A06FB"/>
    <w:multiLevelType w:val="hybridMultilevel"/>
    <w:lvl w:ilvl="0">
      <w:lvlJc w:val="left"/>
      <w:lvlText w:val=" "/>
      <w:numFmt w:val="bullet"/>
      <w:start w:val="1"/>
    </w:lvl>
  </w:abstractNum>
  <w:abstractNum w:abstractNumId="36">
    <w:nsid w:val="2CD89A32"/>
    <w:multiLevelType w:val="hybridMultilevel"/>
    <w:lvl w:ilvl="0">
      <w:lvlJc w:val="left"/>
      <w:lvlText w:val="(%1)"/>
      <w:numFmt w:val="lowerRoman"/>
      <w:start w:val="2"/>
    </w:lvl>
  </w:abstractNum>
  <w:abstractNum w:abstractNumId="37">
    <w:nsid w:val="57E4CCAF"/>
    <w:multiLevelType w:val="hybridMultilevel"/>
    <w:lvl w:ilvl="0">
      <w:lvlJc w:val="left"/>
      <w:lvlText w:val=" "/>
      <w:numFmt w:val="bullet"/>
      <w:start w:val="1"/>
    </w:lvl>
  </w:abstractNum>
  <w:abstractNum w:abstractNumId="38">
    <w:nsid w:val="7A6D8D3C"/>
    <w:multiLevelType w:val="hybridMultilevel"/>
    <w:lvl w:ilvl="0">
      <w:lvlJc w:val="left"/>
      <w:lvlText w:val="(%1)"/>
      <w:numFmt w:val="lowerRoman"/>
      <w:start w:val="3"/>
    </w:lvl>
  </w:abstractNum>
  <w:abstractNum w:abstractNumId="39">
    <w:nsid w:val="4B588F54"/>
    <w:multiLevelType w:val="hybridMultilevel"/>
    <w:lvl w:ilvl="0">
      <w:lvlJc w:val="left"/>
      <w:lvlText w:val=" "/>
      <w:numFmt w:val="bullet"/>
      <w:start w:val="1"/>
    </w:lvl>
    <w:lvl w:ilvl="1">
      <w:lvlJc w:val="left"/>
      <w:lvlText w:val=" "/>
      <w:numFmt w:val="bullet"/>
      <w:start w:val="1"/>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 "/>
      <w:numFmt w:val="bullet"/>
      <w:start w:val="1"/>
    </w:lvl>
  </w:abstractNum>
  <w:abstractNum w:abstractNumId="42">
    <w:nsid w:val="38437FDB"/>
    <w:multiLevelType w:val="hybridMultilevel"/>
    <w:lvl w:ilvl="0">
      <w:lvlJc w:val="left"/>
      <w:lvlText w:val="(%1)"/>
      <w:numFmt w:val="lowerRoman"/>
      <w:start w:val="2"/>
    </w:lvl>
  </w:abstractNum>
  <w:abstractNum w:abstractNumId="43">
    <w:nsid w:val="7644A45C"/>
    <w:multiLevelType w:val="hybridMultilevel"/>
    <w:lvl w:ilvl="0">
      <w:lvlJc w:val="left"/>
      <w:lvlText w:val=" "/>
      <w:numFmt w:val="bullet"/>
      <w:start w:val="1"/>
    </w:lvl>
  </w:abstractNum>
  <w:abstractNum w:abstractNumId="44">
    <w:nsid w:val="32FFF902"/>
    <w:multiLevelType w:val="hybridMultilevel"/>
    <w:lvl w:ilvl="0">
      <w:lvlJc w:val="left"/>
      <w:lvlText w:val="(%1)"/>
      <w:numFmt w:val="lowerRoman"/>
      <w:start w:val="3"/>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
      <w:numFmt w:val="bullet"/>
      <w:start w:val="1"/>
    </w:lvl>
  </w:abstractNum>
  <w:abstractNum w:abstractNumId="47">
    <w:nsid w:val="749ABB43"/>
    <w:multiLevelType w:val="hybridMultilevel"/>
    <w:lvl w:ilvl="0">
      <w:lvlJc w:val="left"/>
      <w:lvlText w:val=" "/>
      <w:numFmt w:val="bullet"/>
      <w:start w:val="1"/>
    </w:lvl>
  </w:abstractNum>
  <w:abstractNum w:abstractNumId="48">
    <w:nsid w:val="3DC240FB"/>
    <w:multiLevelType w:val="hybridMultilevel"/>
    <w:lvl w:ilvl="0">
      <w:lvlJc w:val="left"/>
      <w:lvlText w:val=" "/>
      <w:numFmt w:val="bullet"/>
      <w:start w:val="1"/>
    </w:lvl>
  </w:abstractNum>
  <w:abstractNum w:abstractNumId="49">
    <w:nsid w:val="1BA026FA"/>
    <w:multiLevelType w:val="hybridMultilevel"/>
    <w:lvl w:ilvl="0">
      <w:lvlJc w:val="left"/>
      <w:lvlText w:val=" "/>
      <w:numFmt w:val="bullet"/>
      <w:start w:val="1"/>
    </w:lvl>
  </w:abstractNum>
  <w:abstractNum w:abstractNumId="50">
    <w:nsid w:val="79A1DEAA"/>
    <w:multiLevelType w:val="hybridMultilevel"/>
    <w:lvl w:ilvl="0">
      <w:lvlJc w:val="left"/>
      <w:lvlText w:val=" "/>
      <w:numFmt w:val="bullet"/>
      <w:start w:val="1"/>
    </w:lvl>
  </w:abstractNum>
  <w:abstractNum w:abstractNumId="51">
    <w:nsid w:val="75C6C33A"/>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2024-11-14T20:16:15Z</dcterms:created>
  <dcterms:modified xsi:type="dcterms:W3CDTF">2024-11-14T20:16:15Z</dcterms:modified>
</cp:coreProperties>
</file>