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23495</wp:posOffset>
            </wp:positionV>
            <wp:extent cx="7046595" cy="49053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905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320"/>
            <w:col w:w="8520"/>
          </w:cols>
          <w:pgMar w:left="460" w:top="217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Molineaux Susan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REPARE THERAPEUTICS INC.</w:t>
            </w: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59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ST-LAURENT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A8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H4S 1Z9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2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Repare Therapeutics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RPTX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06/17/2024</w:t>
            </w: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20" w:right="640"/>
        <w:spacing w:after="0" w:line="24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93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3.8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06/17/2024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27,200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06/16/2034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27,200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27,200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04"/>
        </w:trPr>
        <w:tc>
          <w:tcPr>
            <w:tcW w:w="68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Shares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option will vest in equal monthly installments over twelve (12) months from the date of grant, subject to Reporting Person continuing to provide service through each such date.</w:t>
      </w:r>
    </w:p>
    <w:p>
      <w:pPr>
        <w:spacing w:after="0" w:line="55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Steve Forte, Attorney-in-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06/20/2024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8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53389" TargetMode="External"/><Relationship Id="rId13" Type="http://schemas.openxmlformats.org/officeDocument/2006/relationships/hyperlink" Target="http://www.sec.gov/cgi-bin/browse-edgar?action=getcompany&amp;CIK=00018081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2024-06-20T15:50:49Z</dcterms:created>
  <dcterms:modified xsi:type="dcterms:W3CDTF">2024-06-20T15:50:49Z</dcterms:modified>
</cp:coreProperties>
</file>