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Repare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560" w:type="dxa"/>
        <w:tblCellMar>
          <w:top w:w="0" w:type="dxa"/>
          <w:left w:w="0" w:type="dxa"/>
          <w:bottom w:w="0" w:type="dxa"/>
          <w:right w:w="0" w:type="dxa"/>
        </w:tblCellMar>
      </w:tblPr>
      <w:tr>
        <w:trPr>
          <w:trHeight w:val="235"/>
        </w:trPr>
        <w:tc>
          <w:tcPr>
            <w:tcW w:w="3900" w:type="dxa"/>
            <w:vAlign w:val="bottom"/>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Quebec</w:t>
            </w:r>
          </w:p>
        </w:tc>
        <w:tc>
          <w:tcPr>
            <w:tcW w:w="2940" w:type="dxa"/>
            <w:vAlign w:val="bottom"/>
          </w:tcPr>
          <w:p>
            <w:pPr>
              <w:jc w:val="right"/>
              <w:ind w:right="1301"/>
              <w:spacing w:after="0"/>
              <w:rPr>
                <w:sz w:val="20"/>
                <w:szCs w:val="20"/>
                <w:color w:val="auto"/>
              </w:rPr>
            </w:pPr>
            <w:r>
              <w:rPr>
                <w:rFonts w:ascii="Times New Roman" w:cs="Times New Roman" w:eastAsia="Times New Roman" w:hAnsi="Times New Roman"/>
                <w:sz w:val="18"/>
                <w:szCs w:val="18"/>
                <w:b w:val="1"/>
                <w:bCs w:val="1"/>
                <w:color w:val="auto"/>
              </w:rPr>
              <w:t>001-39335</w:t>
            </w: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9"/>
        </w:trPr>
        <w:tc>
          <w:tcPr>
            <w:tcW w:w="3900" w:type="dxa"/>
            <w:vAlign w:val="bottom"/>
          </w:tcPr>
          <w:p>
            <w:pPr>
              <w:jc w:val="center"/>
              <w:ind w:right="3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9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900" w:type="dxa"/>
            <w:vAlign w:val="bottom"/>
          </w:tcPr>
          <w:p>
            <w:pPr>
              <w:jc w:val="center"/>
              <w:ind w:right="3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940" w:type="dxa"/>
            <w:vAlign w:val="bottom"/>
          </w:tcPr>
          <w:p>
            <w:pPr>
              <w:spacing w:after="0"/>
              <w:rPr>
                <w:sz w:val="15"/>
                <w:szCs w:val="15"/>
                <w:color w:val="auto"/>
              </w:rPr>
            </w:pPr>
          </w:p>
        </w:tc>
        <w:tc>
          <w:tcPr>
            <w:tcW w:w="2100" w:type="dxa"/>
            <w:vAlign w:val="bottom"/>
          </w:tcPr>
          <w:p>
            <w:pPr>
              <w:jc w:val="center"/>
              <w:ind w:left="8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900" w:type="dxa"/>
            <w:vAlign w:val="bottom"/>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7171 Frederick-Banting, Building 2, Suite 270</w:t>
            </w:r>
          </w:p>
        </w:tc>
        <w:tc>
          <w:tcPr>
            <w:tcW w:w="29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5"/>
        </w:trPr>
        <w:tc>
          <w:tcPr>
            <w:tcW w:w="3900" w:type="dxa"/>
            <w:vAlign w:val="bottom"/>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St-Laurent, Quebec, Canada</w:t>
            </w:r>
          </w:p>
        </w:tc>
        <w:tc>
          <w:tcPr>
            <w:tcW w:w="2940" w:type="dxa"/>
            <w:vAlign w:val="bottom"/>
          </w:tcPr>
          <w:p>
            <w:pPr>
              <w:spacing w:after="0"/>
              <w:rPr>
                <w:sz w:val="20"/>
                <w:szCs w:val="20"/>
                <w:color w:val="auto"/>
              </w:rPr>
            </w:pP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8"/>
                <w:szCs w:val="18"/>
                <w:b w:val="1"/>
                <w:bCs w:val="1"/>
                <w:color w:val="auto"/>
              </w:rPr>
              <w:t>H4S 1Z9</w:t>
            </w:r>
          </w:p>
        </w:tc>
      </w:tr>
      <w:tr>
        <w:trPr>
          <w:trHeight w:val="178"/>
        </w:trPr>
        <w:tc>
          <w:tcPr>
            <w:tcW w:w="3900" w:type="dxa"/>
            <w:vAlign w:val="bottom"/>
          </w:tcPr>
          <w:p>
            <w:pPr>
              <w:jc w:val="center"/>
              <w:ind w:right="3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40" w:type="dxa"/>
            <w:vAlign w:val="bottom"/>
          </w:tcPr>
          <w:p>
            <w:pPr>
              <w:spacing w:after="0"/>
              <w:rPr>
                <w:sz w:val="15"/>
                <w:szCs w:val="15"/>
                <w:color w:val="auto"/>
              </w:rPr>
            </w:pPr>
          </w:p>
        </w:tc>
        <w:tc>
          <w:tcPr>
            <w:tcW w:w="210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857 412-7018</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45"/>
        </w:trPr>
        <w:tc>
          <w:tcPr>
            <w:tcW w:w="332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3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RPTX</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February 28, 2024, Repare Therapeutics Inc. (the "Company") issued a press release announcing its recent business highlights and financial results for the three and twelve months ended December 31, 2023. A copy of the press release is furnished hereto as Exhibit 99.1 and is incorporated herein by reference.</w:t>
      </w:r>
    </w:p>
    <w:p>
      <w:pPr>
        <w:spacing w:after="0" w:line="2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being furnished and shall not be deemed “filed” for purposes of Section 18 of the Securities Exchange Act of 1934, as amended (the “Exchange Act”), or otherwise subject to the liabilities of that section. The information contained herein and in the accompanying exhibit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800" w:type="dxa"/>
            <w:vAlign w:val="bottom"/>
          </w:tcPr>
          <w:p>
            <w:pPr>
              <w:spacing w:after="0"/>
              <w:rPr>
                <w:sz w:val="20"/>
                <w:szCs w:val="20"/>
                <w:color w:val="auto"/>
              </w:rPr>
            </w:pPr>
          </w:p>
        </w:tc>
        <w:tc>
          <w:tcPr>
            <w:tcW w:w="7380" w:type="dxa"/>
            <w:vAlign w:val="bottom"/>
          </w:tcPr>
          <w:p>
            <w:pPr>
              <w:spacing w:after="0"/>
              <w:rPr>
                <w:sz w:val="20"/>
                <w:szCs w:val="20"/>
                <w:color w:val="auto"/>
              </w:rPr>
            </w:pPr>
          </w:p>
        </w:tc>
      </w:tr>
      <w:tr>
        <w:trPr>
          <w:trHeight w:val="250"/>
        </w:trPr>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2800" w:type="dxa"/>
            <w:vAlign w:val="bottom"/>
            <w:tcBorders>
              <w:bottom w:val="single" w:sz="8" w:color="auto"/>
            </w:tcBorders>
          </w:tcPr>
          <w:p>
            <w:pPr>
              <w:spacing w:after="0"/>
              <w:rPr>
                <w:sz w:val="21"/>
                <w:szCs w:val="21"/>
                <w:color w:val="auto"/>
              </w:rPr>
            </w:pPr>
          </w:p>
        </w:tc>
        <w:tc>
          <w:tcPr>
            <w:tcW w:w="738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Description</w:t>
            </w:r>
          </w:p>
        </w:tc>
      </w:tr>
      <w:tr>
        <w:trPr>
          <w:trHeight w:val="189"/>
        </w:trPr>
        <w:tc>
          <w:tcPr>
            <w:tcW w:w="1060" w:type="dxa"/>
            <w:vAlign w:val="bottom"/>
          </w:tcPr>
          <w:p>
            <w:pPr>
              <w:jc w:val="right"/>
              <w:ind w:right="33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0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Press Release dated February 28, 2024</w:t>
            </w:r>
          </w:p>
        </w:tc>
      </w:tr>
      <w:tr>
        <w:trPr>
          <w:trHeight w:val="20"/>
        </w:trPr>
        <w:tc>
          <w:tcPr>
            <w:tcW w:w="1060" w:type="dxa"/>
            <w:vAlign w:val="bottom"/>
          </w:tcPr>
          <w:p>
            <w:pPr>
              <w:spacing w:after="0" w:line="20" w:lineRule="exact"/>
              <w:rPr>
                <w:sz w:val="1"/>
                <w:szCs w:val="1"/>
                <w:color w:val="auto"/>
              </w:rPr>
            </w:pPr>
          </w:p>
        </w:tc>
        <w:tc>
          <w:tcPr>
            <w:tcW w:w="2800" w:type="dxa"/>
            <w:vAlign w:val="bottom"/>
            <w:tcBorders>
              <w:right w:val="single" w:sz="8" w:color="0000EE"/>
            </w:tcBorders>
            <w:shd w:val="clear" w:color="auto" w:fill="0000FF"/>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bl>
    <w:p>
      <w:pPr>
        <w:spacing w:after="0" w:line="36" w:lineRule="exact"/>
        <w:rPr>
          <w:sz w:val="20"/>
          <w:szCs w:val="20"/>
          <w:color w:val="auto"/>
        </w:rPr>
      </w:pPr>
    </w:p>
    <w:p>
      <w:pPr>
        <w:ind w:left="1060" w:hanging="721"/>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Lloyd M. Segal</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26873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873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0"/>
        <w:spacing w:after="0"/>
        <w:rPr>
          <w:sz w:val="20"/>
          <w:szCs w:val="20"/>
          <w:color w:val="auto"/>
        </w:rPr>
      </w:pPr>
      <w:r>
        <w:rPr>
          <w:rFonts w:ascii="Calibri" w:cs="Calibri" w:eastAsia="Calibri" w:hAnsi="Calibri"/>
          <w:sz w:val="25"/>
          <w:szCs w:val="25"/>
          <w:b w:val="1"/>
          <w:bCs w:val="1"/>
          <w:color w:val="auto"/>
        </w:rPr>
        <w:t>Repare Therapeutcs Provides Business Update and Reports Fourth Quarter and Full Year 2023 Financial Results</w:t>
      </w:r>
    </w:p>
    <w:p>
      <w:pPr>
        <w:spacing w:after="0" w:line="343"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b w:val="1"/>
          <w:bCs w:val="1"/>
          <w:color w:val="auto"/>
        </w:rPr>
        <w:t xml:space="preserve">CAMBRIDGE, Mass. &amp; MONTREAL (BUSINESS WIRE)—February 28, 2024— </w:t>
      </w:r>
      <w:r>
        <w:rPr>
          <w:rFonts w:ascii="Calibri" w:cs="Calibri" w:eastAsia="Calibri" w:hAnsi="Calibri"/>
          <w:sz w:val="22"/>
          <w:szCs w:val="22"/>
          <w:color w:val="auto"/>
        </w:rPr>
        <w:t>Repare Therapeutcs Inc. (“Repare” or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“Company”) (Nasdaq: RPTX), a leading clinical-stage precision oncology company, today reported fnancial results for the fourth quarter and full year ended December 31, 2023.</w:t>
      </w:r>
    </w:p>
    <w:p>
      <w:pPr>
        <w:spacing w:after="0" w:line="230"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color w:val="auto"/>
        </w:rPr>
        <w:t>“2023 was a year of substantal progress for Repare. We advanced each of the four programs in our portolio and set the stage for meaningful data readouts and new clinical trial starts this year,” said Lloyd M. Segal, President and Chief Executve Ofcer of Repare. “In partcular and as leaders and innovators in PKMYT1 inhibiton, we look forward to data readouts across all ongoing lunresertb clinical trials in 2024 and are excited to begin a lunresertb and WEE1 combinaton clinical trial in partnership with Debiopharm.”</w:t>
      </w:r>
    </w:p>
    <w:p>
      <w:pPr>
        <w:spacing w:after="0" w:line="32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2023 and Recent Portolio Highlights:</w:t>
      </w:r>
    </w:p>
    <w:p>
      <w:pPr>
        <w:spacing w:after="0" w:line="107"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Lunresertb</w:t>
      </w:r>
    </w:p>
    <w:p>
      <w:pPr>
        <w:spacing w:after="0" w:line="122" w:lineRule="exact"/>
        <w:rPr>
          <w:rFonts w:ascii="Times New Roman" w:cs="Times New Roman" w:eastAsia="Times New Roman" w:hAnsi="Times New Roman"/>
          <w:sz w:val="22"/>
          <w:szCs w:val="22"/>
          <w:color w:val="auto"/>
        </w:rPr>
      </w:pPr>
    </w:p>
    <w:p>
      <w:pPr>
        <w:jc w:val="both"/>
        <w:ind w:left="1020" w:hanging="503"/>
        <w:spacing w:after="0" w:line="239" w:lineRule="auto"/>
        <w:tabs>
          <w:tab w:leader="none" w:pos="1020" w:val="left"/>
        </w:tabs>
        <w:numPr>
          <w:ilvl w:val="1"/>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 xml:space="preserve">Presented inital positve data from its ongoing Phase 1 MYTHIC trial evaluatng lunresertb (RP-6306) alone and in combinaton with camonsertb in patents with advanced solid tumors harboring </w:t>
      </w:r>
      <w:r>
        <w:rPr>
          <w:rFonts w:ascii="Calibri" w:cs="Calibri" w:eastAsia="Calibri" w:hAnsi="Calibri"/>
          <w:sz w:val="22"/>
          <w:szCs w:val="22"/>
          <w:i w:val="1"/>
          <w:iCs w:val="1"/>
          <w:color w:val="auto"/>
        </w:rPr>
        <w:t>CCNE1</w:t>
      </w:r>
      <w:r>
        <w:rPr>
          <w:rFonts w:ascii="Calibri" w:cs="Calibri" w:eastAsia="Calibri" w:hAnsi="Calibri"/>
          <w:sz w:val="22"/>
          <w:szCs w:val="22"/>
          <w:color w:val="auto"/>
        </w:rPr>
        <w:t xml:space="preserve"> amplifcaton or </w:t>
      </w:r>
      <w:r>
        <w:rPr>
          <w:rFonts w:ascii="Calibri" w:cs="Calibri" w:eastAsia="Calibri" w:hAnsi="Calibri"/>
          <w:sz w:val="22"/>
          <w:szCs w:val="22"/>
          <w:i w:val="1"/>
          <w:iCs w:val="1"/>
          <w:color w:val="auto"/>
        </w:rPr>
        <w:t>FBXW7</w:t>
      </w:r>
      <w:r>
        <w:rPr>
          <w:rFonts w:ascii="Calibri" w:cs="Calibri" w:eastAsia="Calibri" w:hAnsi="Calibri"/>
          <w:sz w:val="22"/>
          <w:szCs w:val="22"/>
          <w:color w:val="auto"/>
        </w:rPr>
        <w:t xml:space="preserve"> or </w:t>
      </w:r>
      <w:r>
        <w:rPr>
          <w:rFonts w:ascii="Calibri" w:cs="Calibri" w:eastAsia="Calibri" w:hAnsi="Calibri"/>
          <w:sz w:val="22"/>
          <w:szCs w:val="22"/>
          <w:i w:val="1"/>
          <w:iCs w:val="1"/>
          <w:color w:val="auto"/>
        </w:rPr>
        <w:t xml:space="preserve">PPP2R1A </w:t>
      </w:r>
      <w:r>
        <w:rPr>
          <w:rFonts w:ascii="Calibri" w:cs="Calibri" w:eastAsia="Calibri" w:hAnsi="Calibri"/>
          <w:sz w:val="22"/>
          <w:szCs w:val="22"/>
          <w:color w:val="auto"/>
        </w:rPr>
        <w:t>deleterious alteratons at the 2023 American Associaton for Cancer Research (AACR)-NCI-EORTC</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Internatonal Conference on Molecular Targets and Cancer Therapeutcs. Inital combinaton data included an overall RECIST response rate of 50% in ten patents with heavily pre-treated gynecological tumors at the preliminary recommended Phase 2 dose.</w:t>
      </w:r>
    </w:p>
    <w:p>
      <w:pPr>
        <w:spacing w:after="0" w:line="123" w:lineRule="exact"/>
        <w:rPr>
          <w:rFonts w:ascii="Times New Roman" w:cs="Times New Roman" w:eastAsia="Times New Roman" w:hAnsi="Times New Roman"/>
          <w:sz w:val="22"/>
          <w:szCs w:val="22"/>
          <w:color w:val="auto"/>
        </w:rPr>
      </w:pPr>
    </w:p>
    <w:p>
      <w:pPr>
        <w:jc w:val="both"/>
        <w:ind w:left="1020" w:hanging="503"/>
        <w:spacing w:after="0" w:line="253" w:lineRule="auto"/>
        <w:tabs>
          <w:tab w:leader="none" w:pos="1020" w:val="left"/>
        </w:tabs>
        <w:numPr>
          <w:ilvl w:val="1"/>
          <w:numId w:val="3"/>
        </w:numPr>
        <w:rPr>
          <w:rFonts w:ascii="Times New Roman" w:cs="Times New Roman" w:eastAsia="Times New Roman" w:hAnsi="Times New Roman"/>
          <w:sz w:val="21"/>
          <w:szCs w:val="21"/>
          <w:color w:val="auto"/>
        </w:rPr>
      </w:pPr>
      <w:r>
        <w:rPr>
          <w:rFonts w:ascii="Calibri" w:cs="Calibri" w:eastAsia="Calibri" w:hAnsi="Calibri"/>
          <w:sz w:val="21"/>
          <w:szCs w:val="21"/>
          <w:color w:val="auto"/>
        </w:rPr>
        <w:t>Announced a partnership with Debiopharm to explore the potental clinical synergy of Debio 0123, a highly selectve clinical WEE1 inhibitor, and lunresertb, with dosing of the frst patent expected to occur in the frst half of 2024 and for which the companies have developed substantal pre-clinical validaton. Repare will sponsor the global clinical trial as a new arm in the ongoing MYTHIC trial, with costs being shared equally by Debiopharm and Repare.</w:t>
      </w:r>
    </w:p>
    <w:p>
      <w:pPr>
        <w:spacing w:after="0" w:line="204"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Camonsertb</w:t>
      </w:r>
    </w:p>
    <w:p>
      <w:pPr>
        <w:spacing w:after="0" w:line="227" w:lineRule="exact"/>
        <w:rPr>
          <w:rFonts w:ascii="Times New Roman" w:cs="Times New Roman" w:eastAsia="Times New Roman" w:hAnsi="Times New Roman"/>
          <w:sz w:val="22"/>
          <w:szCs w:val="22"/>
          <w:color w:val="auto"/>
        </w:rPr>
      </w:pPr>
    </w:p>
    <w:p>
      <w:pPr>
        <w:jc w:val="both"/>
        <w:ind w:left="1020" w:hanging="503"/>
        <w:spacing w:after="0" w:line="239" w:lineRule="auto"/>
        <w:tabs>
          <w:tab w:leader="none" w:pos="1020" w:val="left"/>
        </w:tabs>
        <w:numPr>
          <w:ilvl w:val="1"/>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 xml:space="preserve">Presented inital clinical data from the Phase 1/2 TRESR and ATTACC trials evaluatng camonsertb (RP-3500) in combinaton with three poly (ADP-ribose) polymerase (PARP) inhibitors in a Clinical Trials Plenary Session at the 2023 AACR Annual Meetng. Camonsertb, a potent and selectve oral small molecule inhibitor of ATR (Ataxia-Telangiectasia and Rad3-related protein kinase), showed 48% overall clinical beneft rate in patents with advanced solid tumors across tumor types regardless of choice of PARP inhibitor or platnum resistance, with a favorable safety and tolerability profle. Data from the TRESR trial were also published in </w:t>
      </w:r>
      <w:r>
        <w:rPr>
          <w:rFonts w:ascii="Calibri" w:cs="Calibri" w:eastAsia="Calibri" w:hAnsi="Calibri"/>
          <w:sz w:val="22"/>
          <w:szCs w:val="22"/>
          <w:i w:val="1"/>
          <w:iCs w:val="1"/>
          <w:color w:val="auto"/>
        </w:rPr>
        <w:t>Nature Medicine</w:t>
      </w:r>
      <w:r>
        <w:rPr>
          <w:rFonts w:ascii="Calibri" w:cs="Calibri" w:eastAsia="Calibri" w:hAnsi="Calibri"/>
          <w:sz w:val="22"/>
          <w:szCs w:val="22"/>
          <w:color w:val="auto"/>
        </w:rPr>
        <w:t xml:space="preserve"> highlightng the clinical beneft of camonsertb in advanced solid tumors.</w:t>
      </w:r>
    </w:p>
    <w:p>
      <w:pPr>
        <w:spacing w:after="0" w:line="125" w:lineRule="exact"/>
        <w:rPr>
          <w:rFonts w:ascii="Times New Roman" w:cs="Times New Roman" w:eastAsia="Times New Roman" w:hAnsi="Times New Roman"/>
          <w:sz w:val="22"/>
          <w:szCs w:val="22"/>
          <w:color w:val="auto"/>
        </w:rPr>
      </w:pPr>
    </w:p>
    <w:p>
      <w:pPr>
        <w:jc w:val="both"/>
        <w:ind w:left="1020" w:hanging="503"/>
        <w:spacing w:after="0" w:line="238" w:lineRule="auto"/>
        <w:tabs>
          <w:tab w:leader="none" w:pos="1020" w:val="left"/>
        </w:tabs>
        <w:numPr>
          <w:ilvl w:val="1"/>
          <w:numId w:val="3"/>
        </w:numPr>
        <w:rPr>
          <w:rFonts w:ascii="Times New Roman" w:cs="Times New Roman" w:eastAsia="Times New Roman" w:hAnsi="Times New Roman"/>
          <w:sz w:val="22"/>
          <w:szCs w:val="22"/>
          <w:color w:val="auto"/>
        </w:rPr>
      </w:pPr>
      <w:r>
        <w:rPr>
          <w:rFonts w:ascii="Calibri" w:cs="Calibri" w:eastAsia="Calibri" w:hAnsi="Calibri"/>
          <w:sz w:val="22"/>
          <w:szCs w:val="22"/>
          <w:color w:val="auto"/>
        </w:rPr>
        <w:t>Upon dosing of the frst patent with camonsertb in Roche’s Phase 2 TAPISTRY trial (NCT04589845), Repare earned a $40 million milestone payment from its collaboraton with Roche, which was subsequently received in February 2024. In October 2023, Roche also dosed the frst patent in a camonsertb-based arm in its Phase 1b/2 clinical trial of multple immunotherapy-based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ind w:right="40"/>
        <w:spacing w:after="0"/>
        <w:rPr>
          <w:sz w:val="20"/>
          <w:szCs w:val="20"/>
          <w:color w:val="auto"/>
        </w:rPr>
      </w:pPr>
      <w:r>
        <w:rPr>
          <w:rFonts w:ascii="Calibri" w:cs="Calibri" w:eastAsia="Calibri" w:hAnsi="Calibri"/>
          <w:sz w:val="22"/>
          <w:szCs w:val="22"/>
          <w:color w:val="auto"/>
        </w:rPr>
        <w:t>combinatons in partcipants with metastatc non-small cell lung cancer (Morpheus Lung; NCT03337698).</w:t>
      </w:r>
    </w:p>
    <w:p>
      <w:pPr>
        <w:spacing w:after="0" w:line="230" w:lineRule="exact"/>
        <w:rPr>
          <w:sz w:val="20"/>
          <w:szCs w:val="20"/>
          <w:color w:val="auto"/>
        </w:rPr>
      </w:pPr>
    </w:p>
    <w:p>
      <w:pPr>
        <w:jc w:val="both"/>
        <w:ind w:left="1020" w:hanging="503"/>
        <w:spacing w:after="0" w:line="238" w:lineRule="auto"/>
        <w:tabs>
          <w:tab w:leader="none" w:pos="102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Since incepton of the Roche camonsertb collaboraton, Repare has earned a cumulatve total of $182.6 million pursuant to the Roche collaboraton agreement, including the upfront payment, the milestone payment, as well as additonal reimbursements from Roche. In February 2024, Repare received writen notce from Roche of their electon to terminate the Roche collaboraton agreement. The terminaton will become efectve in May 2024, at which tme Repare will regain global development and commercializaton rights for camonsertb from Roche.</w:t>
      </w:r>
    </w:p>
    <w:p>
      <w:pPr>
        <w:spacing w:after="0" w:line="223"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RP-1664</w:t>
      </w:r>
    </w:p>
    <w:p>
      <w:pPr>
        <w:spacing w:after="0" w:line="120" w:lineRule="exact"/>
        <w:rPr>
          <w:rFonts w:ascii="Times New Roman" w:cs="Times New Roman" w:eastAsia="Times New Roman" w:hAnsi="Times New Roman"/>
          <w:sz w:val="22"/>
          <w:szCs w:val="22"/>
          <w:color w:val="auto"/>
        </w:rPr>
      </w:pPr>
    </w:p>
    <w:p>
      <w:pPr>
        <w:jc w:val="both"/>
        <w:ind w:left="1020" w:hanging="503"/>
        <w:spacing w:after="0" w:line="238" w:lineRule="auto"/>
        <w:tabs>
          <w:tab w:leader="none" w:pos="102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Dosed the frst patent in the multcenter, open-label Phase 1 dose escalaton trial of RP-1664 in adult and adolescent patents with TRIM37-high solid tumors in February 2024. Repare disclosed polo-like kinase 4 (PLK4) as the target of the RP-1664 development program and reported that RP-1664 demonstrated potent and selectve inhibiton of PLK4 and synthetc lethality in TRIM37-high tumor cells in preclinical studies.</w:t>
      </w:r>
    </w:p>
    <w:p>
      <w:pPr>
        <w:spacing w:after="0" w:line="220"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RP-3467</w:t>
      </w:r>
    </w:p>
    <w:p>
      <w:pPr>
        <w:spacing w:after="0" w:line="120" w:lineRule="exact"/>
        <w:rPr>
          <w:rFonts w:ascii="Times New Roman" w:cs="Times New Roman" w:eastAsia="Times New Roman" w:hAnsi="Times New Roman"/>
          <w:sz w:val="22"/>
          <w:szCs w:val="22"/>
          <w:color w:val="auto"/>
        </w:rPr>
      </w:pPr>
    </w:p>
    <w:p>
      <w:pPr>
        <w:jc w:val="both"/>
        <w:ind w:left="1020" w:hanging="503"/>
        <w:spacing w:after="0" w:line="237" w:lineRule="auto"/>
        <w:tabs>
          <w:tab w:leader="none" w:pos="1020" w:val="left"/>
        </w:tabs>
        <w:numPr>
          <w:ilvl w:val="1"/>
          <w:numId w:val="4"/>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Reported comprehensive preclinical data for RP-3467, a potental best-in-class Polθ ATPase inhibitor. RP-3467 demonstrated complete, sustained regressions preclinically in combinaton with PARP inhibitors, and compelling ant-tumor actvity in combinaton with radioligand therapy and chemotherapy.</w:t>
      </w:r>
    </w:p>
    <w:p>
      <w:pPr>
        <w:spacing w:after="0" w:line="32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2024 Outlook:</w:t>
      </w:r>
    </w:p>
    <w:p>
      <w:pPr>
        <w:spacing w:after="0" w:line="122" w:lineRule="exact"/>
        <w:rPr>
          <w:sz w:val="20"/>
          <w:szCs w:val="20"/>
          <w:color w:val="auto"/>
        </w:rPr>
      </w:pPr>
    </w:p>
    <w:p>
      <w:pPr>
        <w:ind w:left="1020" w:hanging="503"/>
        <w:spacing w:after="0" w:line="235"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Initate a Phase 1/1b clinical trial of lunresertb and Debio 0123, a WEE1 inhibitor, in the frst half of 2024 as a fourth arm of the ongoing MYTHIC clinical trial.</w:t>
      </w:r>
    </w:p>
    <w:p>
      <w:pPr>
        <w:spacing w:after="0" w:line="122" w:lineRule="exact"/>
        <w:rPr>
          <w:rFonts w:ascii="Times New Roman" w:cs="Times New Roman" w:eastAsia="Times New Roman" w:hAnsi="Times New Roman"/>
          <w:sz w:val="22"/>
          <w:szCs w:val="22"/>
          <w:color w:val="auto"/>
        </w:rPr>
      </w:pPr>
    </w:p>
    <w:p>
      <w:pPr>
        <w:ind w:left="1020" w:right="20" w:hanging="503"/>
        <w:spacing w:after="0" w:line="235"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Report inital data from the Phase 1 MINOTAUR trial evaluatng lunresertb in combinaton with FOLFIRI for the treatment of advanced solid tumors in the frst half of 2024.</w:t>
      </w:r>
    </w:p>
    <w:p>
      <w:pPr>
        <w:spacing w:after="0" w:line="122" w:lineRule="exact"/>
        <w:rPr>
          <w:rFonts w:ascii="Times New Roman" w:cs="Times New Roman" w:eastAsia="Times New Roman" w:hAnsi="Times New Roman"/>
          <w:sz w:val="22"/>
          <w:szCs w:val="22"/>
          <w:color w:val="auto"/>
        </w:rPr>
      </w:pPr>
    </w:p>
    <w:p>
      <w:pPr>
        <w:ind w:left="1020" w:hanging="503"/>
        <w:spacing w:after="0" w:line="235"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Disclose additonal camonsertb clinical development plans beyond the TRESR and ATTACC clinical trials sponsored by Repare in the second quarter of 2024.</w:t>
      </w:r>
    </w:p>
    <w:p>
      <w:pPr>
        <w:spacing w:after="0" w:line="122" w:lineRule="exact"/>
        <w:rPr>
          <w:rFonts w:ascii="Times New Roman" w:cs="Times New Roman" w:eastAsia="Times New Roman" w:hAnsi="Times New Roman"/>
          <w:sz w:val="22"/>
          <w:szCs w:val="22"/>
          <w:color w:val="auto"/>
        </w:rPr>
      </w:pPr>
    </w:p>
    <w:p>
      <w:pPr>
        <w:ind w:left="1020" w:hanging="503"/>
        <w:spacing w:after="0" w:line="235"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Report data from the dose expansion cohorts of the Phase 1 MYTHIC trial evaluatng lunresertb in combinaton with camonsertb in selectvely advanced solid tumors in the second half of 2024.</w:t>
      </w:r>
    </w:p>
    <w:p>
      <w:pPr>
        <w:spacing w:after="0" w:line="122" w:lineRule="exact"/>
        <w:rPr>
          <w:rFonts w:ascii="Times New Roman" w:cs="Times New Roman" w:eastAsia="Times New Roman" w:hAnsi="Times New Roman"/>
          <w:sz w:val="22"/>
          <w:szCs w:val="22"/>
          <w:color w:val="auto"/>
        </w:rPr>
      </w:pPr>
    </w:p>
    <w:p>
      <w:pPr>
        <w:ind w:left="1020" w:hanging="503"/>
        <w:spacing w:after="0" w:line="235" w:lineRule="auto"/>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Report inital data from the Phase 1 MAGNETIC trial evaluatng lunresertb in combinaton with gemcitabine for the treatment of advanced solid tumors in the second half of 2024. Enrollment in this trial is now closed.</w:t>
      </w:r>
    </w:p>
    <w:p>
      <w:pPr>
        <w:spacing w:after="0" w:line="109"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5"/>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Initaton of a Phase 1 dose fnding trial of RP-3467 in the second half of 2024.</w:t>
      </w:r>
    </w:p>
    <w:p>
      <w:pPr>
        <w:spacing w:after="0" w:line="32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Fourth Quarter and Full Year 2023 Financial Results:</w:t>
      </w:r>
    </w:p>
    <w:p>
      <w:pPr>
        <w:spacing w:after="0" w:line="120" w:lineRule="exact"/>
        <w:rPr>
          <w:sz w:val="20"/>
          <w:szCs w:val="20"/>
          <w:color w:val="auto"/>
        </w:rPr>
      </w:pPr>
    </w:p>
    <w:p>
      <w:pPr>
        <w:jc w:val="both"/>
        <w:ind w:left="1020" w:hanging="503"/>
        <w:spacing w:after="0" w:line="238" w:lineRule="auto"/>
        <w:tabs>
          <w:tab w:leader="none" w:pos="1020" w:val="left"/>
        </w:tabs>
        <w:numPr>
          <w:ilvl w:val="0"/>
          <w:numId w:val="6"/>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Cash, cash equivalents, and marketable securites: </w:t>
      </w:r>
      <w:r>
        <w:rPr>
          <w:rFonts w:ascii="Calibri" w:cs="Calibri" w:eastAsia="Calibri" w:hAnsi="Calibri"/>
          <w:sz w:val="22"/>
          <w:szCs w:val="22"/>
          <w:color w:val="auto"/>
        </w:rPr>
        <w:t>Cash, cash equivalents, and marketable securites as of</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December 31, 2023 were $223.6 million. In February 2024, Repare received a $40 million milestone payment from Roche upon dosing of the frst patent with camonsertb in Roche’s TAPISTRY trial. The Company believes that its cash, cash equivalents, and marketable securites are sufcient to fund its operatons into mid-2026.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5" w:name="page6"/>
    <w:bookmarkEnd w:id="5"/>
    <w:p>
      <w:pPr>
        <w:jc w:val="both"/>
        <w:ind w:left="1020" w:hanging="503"/>
        <w:spacing w:after="0"/>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Revenue from collaboraton agreements: </w:t>
      </w:r>
      <w:r>
        <w:rPr>
          <w:rFonts w:ascii="Calibri" w:cs="Calibri" w:eastAsia="Calibri" w:hAnsi="Calibri"/>
          <w:sz w:val="22"/>
          <w:szCs w:val="22"/>
          <w:color w:val="auto"/>
        </w:rPr>
        <w:t>Revenue from collaboraton agreements was $13.0 million and $51.1</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million for the three- and twelve-month periods ended December 31, 2023, respectvely, as compared to $18.2 million and $131.8 million for the three- and twelve-month periods ended December 31, 2022, respectvely. The decrease in revenue for the three-month period was due to lower deferred revenue recognized from the Roche collaboraton and the BMS collaboraton. The decrease in revenue for the twelve-month period was primarily due to a decrease in revenue recognized under the Roche collaboraton mainly as a result of the $108.0 million revenue recognized in 2022 pursuant to the satsfacton of the Company's performance obligatons for the issuance of the combined licenses and the clinical trial materials transferred. The decrease in the twelve-month period was partally ofset by higher deferred revenue recognized from the BMS collaboraton and the Ono collaboraton.</w:t>
      </w:r>
    </w:p>
    <w:p>
      <w:pPr>
        <w:spacing w:after="0" w:line="121" w:lineRule="exact"/>
        <w:rPr>
          <w:rFonts w:ascii="Times New Roman" w:cs="Times New Roman" w:eastAsia="Times New Roman" w:hAnsi="Times New Roman"/>
          <w:sz w:val="22"/>
          <w:szCs w:val="22"/>
          <w:color w:val="auto"/>
        </w:rPr>
      </w:pPr>
    </w:p>
    <w:p>
      <w:pPr>
        <w:jc w:val="both"/>
        <w:ind w:left="1020" w:hanging="503"/>
        <w:spacing w:after="0" w:line="239" w:lineRule="auto"/>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Research and development expenses, net of tax credits (Net R&amp;D): </w:t>
      </w:r>
      <w:r>
        <w:rPr>
          <w:rFonts w:ascii="Calibri" w:cs="Calibri" w:eastAsia="Calibri" w:hAnsi="Calibri"/>
          <w:sz w:val="22"/>
          <w:szCs w:val="22"/>
          <w:color w:val="auto"/>
        </w:rPr>
        <w:t>Net R&amp;D expenses were $35.3 million and</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$133.6 million for the three- and twelve-month periods ended December 31, 2023, respectvely, as compared to $29.9 million and $119.1 million for the three- and twelve-month periods ended December 31, 2022, respectvely. The increase in Net R&amp;D expenses for the three- and twelve-month periods were primarily due to higher personnel-related costs and direct external costs related to the progress of our lunresertb clinical program, as well as the advancement of preclinical programs into IND-enabling studies.</w:t>
      </w:r>
    </w:p>
    <w:p>
      <w:pPr>
        <w:spacing w:after="0" w:line="123" w:lineRule="exact"/>
        <w:rPr>
          <w:rFonts w:ascii="Times New Roman" w:cs="Times New Roman" w:eastAsia="Times New Roman" w:hAnsi="Times New Roman"/>
          <w:sz w:val="22"/>
          <w:szCs w:val="22"/>
          <w:color w:val="auto"/>
        </w:rPr>
      </w:pPr>
    </w:p>
    <w:p>
      <w:pPr>
        <w:jc w:val="both"/>
        <w:ind w:left="1020" w:hanging="503"/>
        <w:spacing w:after="0" w:line="238" w:lineRule="auto"/>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General and administratve (G&amp;A) expenses: </w:t>
      </w:r>
      <w:r>
        <w:rPr>
          <w:rFonts w:ascii="Calibri" w:cs="Calibri" w:eastAsia="Calibri" w:hAnsi="Calibri"/>
          <w:sz w:val="22"/>
          <w:szCs w:val="22"/>
          <w:color w:val="auto"/>
        </w:rPr>
        <w:t>G&amp;A expenses were $8.6 million and $33.8 million for the three- and</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twelve-month periods ended December 31, 2023, respectvely, compared to $7.9 million and $32.6 million for the three- and twelve-month periods ended December 31, 2022, respectvely. The increase in G&amp;A expenses was primarily due to higher personnel-related costs, partally ofset by lower D&amp;O insurance premiums and reduced professional fees associated with the Roche collaboraton agreement.</w:t>
      </w:r>
    </w:p>
    <w:p>
      <w:pPr>
        <w:spacing w:after="0" w:line="126" w:lineRule="exact"/>
        <w:rPr>
          <w:rFonts w:ascii="Times New Roman" w:cs="Times New Roman" w:eastAsia="Times New Roman" w:hAnsi="Times New Roman"/>
          <w:sz w:val="22"/>
          <w:szCs w:val="22"/>
          <w:color w:val="auto"/>
        </w:rPr>
      </w:pPr>
    </w:p>
    <w:p>
      <w:pPr>
        <w:jc w:val="both"/>
        <w:ind w:left="1020" w:hanging="503"/>
        <w:spacing w:after="0" w:line="237" w:lineRule="auto"/>
        <w:tabs>
          <w:tab w:leader="none" w:pos="1020" w:val="left"/>
        </w:tabs>
        <w:numPr>
          <w:ilvl w:val="0"/>
          <w:numId w:val="7"/>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Net loss: </w:t>
      </w:r>
      <w:r>
        <w:rPr>
          <w:rFonts w:ascii="Calibri" w:cs="Calibri" w:eastAsia="Calibri" w:hAnsi="Calibri"/>
          <w:sz w:val="22"/>
          <w:szCs w:val="22"/>
          <w:color w:val="auto"/>
        </w:rPr>
        <w:t>Net loss was $28.0 million, or $0.67 per share, and $93.8 million, or $2.23 per share, in the three- and</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twelve-month periods ended December 31, 2023, respectvely, and $31.7 million, or $0.75 per share, and $29.0 million, or $0.69 per share, in the three- and twelve-month periods ended December 31, 2022, respectvely.</w:t>
      </w:r>
    </w:p>
    <w:p>
      <w:pPr>
        <w:spacing w:after="0" w:line="32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Repare Therapeutcs’ SNIPRx® Platorm</w:t>
      </w:r>
    </w:p>
    <w:p>
      <w:pPr>
        <w:spacing w:after="0" w:line="120"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color w:val="auto"/>
        </w:rPr>
        <w:t>Repare’s SNIPRx® platorm is a genome-wide CRISPR-based screening approach that utlizes proprietary isogenic cell lines to identfy novel and known synthetc lethal gene pairs and the corresponding patents who are most likely to beneft from the Company’s therapies based on the genetc profle of their tumors. Repare’s platorm enables the development of precision therapeutcs in patents whose tumors contain one or more genomic alteratons identfed by SNIPRx® screening, in order to selectvely target those tumors in patents most likely to achieve clinical beneft from resultng product candidates.</w:t>
      </w:r>
    </w:p>
    <w:p>
      <w:pPr>
        <w:spacing w:after="0" w:line="32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Repare Therapeutcs Inc.</w:t>
      </w:r>
    </w:p>
    <w:p>
      <w:pPr>
        <w:spacing w:after="0" w:line="120"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color w:val="auto"/>
        </w:rPr>
        <w:t>Repare Therapeutcs is a leading clinical-stage precision oncology company enabled by its proprietary synthetc lethality approach to the discovery and development of novel therapeutcs. The Company utlizes its genome-wide, CRISPR-enabled SNIPRx® platorm to systematcally discover and develop highly targeted cancer therapies focused on genomic instability, including DNA damage repair. The Company’s pipeline includes lunresertb (also known as RP-6306), a PKMYT1 inhibitor currently in Phase 1/2 clinical development; camonsertb (also known as RP-3500), a potental leading ATR inhibitor currently in Phase 1/2 clinical development; RP-1664, a Phase 1 PLK4 inhibitor; RP-3467, a preclinical Polθ ATPase inhibitor program; as well as additonal, undisclosed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 w:name="page7"/>
    <w:bookmarkEnd w:id="6"/>
    <w:p>
      <w:pPr>
        <w:jc w:val="both"/>
        <w:spacing w:after="0" w:line="235" w:lineRule="auto"/>
        <w:rPr>
          <w:sz w:val="20"/>
          <w:szCs w:val="20"/>
          <w:color w:val="auto"/>
        </w:rPr>
      </w:pPr>
      <w:r>
        <w:rPr>
          <w:rFonts w:ascii="Calibri" w:cs="Calibri" w:eastAsia="Calibri" w:hAnsi="Calibri"/>
          <w:sz w:val="22"/>
          <w:szCs w:val="22"/>
          <w:color w:val="auto"/>
        </w:rPr>
        <w:t>preclinical programs. For more informaton, please visit www.reparerx.com and follow @Reparerx on X (formerly Twiter) and LinkedIn.</w:t>
      </w:r>
    </w:p>
    <w:p>
      <w:pPr>
        <w:spacing w:after="0" w:line="112" w:lineRule="exact"/>
        <w:rPr>
          <w:sz w:val="20"/>
          <w:szCs w:val="20"/>
          <w:color w:val="auto"/>
        </w:rPr>
      </w:pPr>
    </w:p>
    <w:p>
      <w:pPr>
        <w:spacing w:after="0"/>
        <w:rPr>
          <w:sz w:val="20"/>
          <w:szCs w:val="20"/>
          <w:color w:val="auto"/>
        </w:rPr>
      </w:pPr>
      <w:r>
        <w:rPr>
          <w:rFonts w:ascii="Calibri" w:cs="Calibri" w:eastAsia="Calibri" w:hAnsi="Calibri"/>
          <w:sz w:val="22"/>
          <w:szCs w:val="22"/>
          <w:color w:val="auto"/>
        </w:rPr>
        <w:t>SNIPRx® is a registered trademark of Repare Therapeutcs Inc.</w:t>
      </w:r>
    </w:p>
    <w:p>
      <w:pPr>
        <w:spacing w:after="0" w:line="32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161" w:lineRule="exact"/>
        <w:rPr>
          <w:sz w:val="20"/>
          <w:szCs w:val="20"/>
          <w:color w:val="auto"/>
        </w:rPr>
      </w:pPr>
    </w:p>
    <w:p>
      <w:pPr>
        <w:jc w:val="both"/>
        <w:spacing w:after="0" w:line="252" w:lineRule="auto"/>
        <w:rPr>
          <w:sz w:val="20"/>
          <w:szCs w:val="20"/>
          <w:color w:val="auto"/>
        </w:rPr>
      </w:pPr>
      <w:r>
        <w:rPr>
          <w:rFonts w:ascii="Calibri" w:cs="Calibri" w:eastAsia="Calibri" w:hAnsi="Calibri"/>
          <w:sz w:val="21"/>
          <w:szCs w:val="21"/>
          <w:color w:val="auto"/>
        </w:rPr>
        <w:t>This press release contains “forward-looking statements” within the meaning of the Private Securites Litgaton Reform Act of 1995 and securites laws in Canada. All statements in this press release other than statements of historical facts are “forward-looking statements. These statements may be identfed by words such as “aims,” “antcipates,” “believes,” “could,” “estmates,” “expects,” “forecasts,” “goal,” “intends,” “may,” “plans,” “possible,” “potental,” “seeks,” “will” and variatons of these words or similar expressions that are intended to identfy forward-looking statements, although not all forward-looking statements contain these words. Forward-looking statements in this press release include, but are not limited to, statements regarding: the design, objectves, initaton, tming, progress and results of current and future preclinical studies and clinical trials of the Company’s product candidates, including its Phase 1 MYTHIC trial evaluatng lunresertb alone and in combinaton with camonsertb, its MINOTAUR trial evaluatng lunresertb in combinaton with FOLFIRI, its MAGNETIC trial evaluatng lunresertb in combinaton with gemcitabine, its Phase 1/1b trial of Debio 0123 and lunresertb in partnership with Debiopharm, its Phase 1 trial of RP-1664, its Phase 1 trial of RP-3467, and its additonal clinical development plans for camonsertb beyond the TRESR and ATTACC clinical trials; the tolerability, efcacy and clinical progress of camonsertb, lunresertb, RP-1664 and RP-3467; the potental of RP-3467 as a best-in-class Polθ ATPase inhibitor; the potental synergy of Debio 0123 and lunresertb and potental benefts of the collaboraton; the Company’s antcipated cash runway; and the benefts and ability to discover further targets and clinical candidates from the Company’s discovery platorm. These forward-looking statements are based on the Company’s expectatons and assumptons as of the date of this press release. Each of these forward-looking statements involves risks and uncertaintes that could cause the Company’s clinical development programs, future results or performance to difer materially from those expressed or implied by the forward-looking statements. Many factors may cause diferences between current expectatons and actual results, including: the potental that success in preclinical testng and earlier clinical trials does not ensure that later clinical trials will generate the same results or otherwise provide adequate data to demonstrate the efcacy and safety of a product candidate; the impacts of macroeconomic conditons, including the confict in Ukraine and the confict in the Middle East, heightened infaton and uncertain credit and fnancial markets, on the Company’s business, clinical trials and fnancial positon; unexpected safety or efcacy data observed during preclinical studies or clinical trials; clinical trial site actvaton or enrollment rates that are lower than expected; the Company’s ability to realize the benefts of its collaboraton and license agreements; changes in expected or existng competton; changes in the regulatory environment; the uncertaintes and tming of the regulatory approval process; and unexpected litgaton or other disputes. Other factors that may cause the Company’s actual results to difer from those expressed or implied in the forward-looking statements in this press release are identfed in the secton ttled "Risk Factors" in the Company’s Annual Report on Form 10-K for the year ended December 31, 2023 fled with the Securites and Exchange Commission (“SEC”) and the Québec Autorité des Marchés Financiers ("AMF") on February 28, 2024. The Company expressly disclaims any obligaton to update any forward-looking statements contained herein, whether as a result of any new informaton, future events, changed circumstances or otherwise, except as otherwise required by law. For more informaton, please visit reparerx.com and follow Repare on Twiter at @RepareRx and on LinkedIn at htps://www.linkedin.com/company/repare-therapeutcs/.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802640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U.S. dollars,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111,268</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159,521</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112,359</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184,420</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 receivable</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10,813</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receivables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4,323</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w:t>
            </w:r>
          </w:p>
        </w:tc>
        <w:tc>
          <w:tcPr>
            <w:tcW w:w="9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4,749</w:t>
            </w:r>
          </w:p>
        </w:tc>
        <w:tc>
          <w:tcPr>
            <w:tcW w:w="2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243,688</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353,979</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4,228</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5,371</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60" w:type="dxa"/>
            <w:vAlign w:val="bottom"/>
            <w:tcBorders>
              <w:bottom w:val="single" w:sz="8" w:color="auto"/>
            </w:tcBorders>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253,901</w:t>
            </w:r>
          </w:p>
        </w:tc>
        <w:tc>
          <w:tcPr>
            <w:tcW w:w="2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364,075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280" w:type="dxa"/>
            <w:vAlign w:val="bottom"/>
          </w:tcPr>
          <w:p>
            <w:pPr>
              <w:spacing w:after="0"/>
              <w:rPr>
                <w:sz w:val="19"/>
                <w:szCs w:val="19"/>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24,057</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21,645</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10,222</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53,102</w:t>
            </w:r>
          </w:p>
        </w:tc>
        <w:tc>
          <w:tcPr>
            <w:tcW w:w="100" w:type="dxa"/>
            <w:vAlign w:val="bottom"/>
            <w:shd w:val="clear" w:color="auto" w:fill="CFF0FC"/>
          </w:tcPr>
          <w:p>
            <w:pPr>
              <w:spacing w:after="0"/>
              <w:rPr>
                <w:sz w:val="20"/>
                <w:szCs w:val="20"/>
                <w:color w:val="auto"/>
              </w:rPr>
            </w:pPr>
          </w:p>
        </w:tc>
      </w:tr>
      <w:tr>
        <w:trPr>
          <w:trHeight w:val="22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payable</w:t>
            </w: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39,079</w:t>
            </w:r>
          </w:p>
        </w:tc>
        <w:tc>
          <w:tcPr>
            <w:tcW w:w="280" w:type="dxa"/>
            <w:vAlign w:val="bottom"/>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78,619</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100" w:type="dxa"/>
            <w:vAlign w:val="bottom"/>
          </w:tcPr>
          <w:p>
            <w:pPr>
              <w:spacing w:after="0"/>
              <w:rPr>
                <w:sz w:val="19"/>
                <w:szCs w:val="19"/>
                <w:color w:val="auto"/>
              </w:rPr>
            </w:pPr>
          </w:p>
        </w:tc>
      </w:tr>
      <w:tr>
        <w:trPr>
          <w:trHeight w:val="23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9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2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41,819</w:t>
            </w:r>
          </w:p>
        </w:tc>
        <w:tc>
          <w:tcPr>
            <w:tcW w:w="2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84,558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Preferred shares, no par value per share; unlimited shares authorized as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of December 31, 2023 and December 31, 2022, respectively; 0 shares issued</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and outstanding as of December 31, 2023 and December 31, 2022, respectively</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shares, no par value per share; unlimited shares authorized as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of December 31, 2023 and December 31, 2022; 42,176,041 and 42,036,193</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shares issued and outstanding as of December 31, 2023 and December 31, 2022,</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respectively</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483,350</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482,032</w:t>
            </w:r>
          </w:p>
        </w:tc>
        <w:tc>
          <w:tcPr>
            <w:tcW w:w="100" w:type="dxa"/>
            <w:vAlign w:val="bottom"/>
          </w:tcPr>
          <w:p>
            <w:pPr>
              <w:spacing w:after="0"/>
              <w:rPr>
                <w:sz w:val="19"/>
                <w:szCs w:val="19"/>
                <w:color w:val="auto"/>
              </w:rPr>
            </w:pPr>
          </w:p>
        </w:tc>
      </w:tr>
      <w:tr>
        <w:trPr>
          <w:trHeight w:val="239"/>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61,813</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37,226</w:t>
            </w:r>
          </w:p>
        </w:tc>
        <w:tc>
          <w:tcPr>
            <w:tcW w:w="100" w:type="dxa"/>
            <w:vAlign w:val="bottom"/>
            <w:shd w:val="clear" w:color="auto" w:fill="CFF0FC"/>
          </w:tcPr>
          <w:p>
            <w:pPr>
              <w:spacing w:after="0"/>
              <w:rPr>
                <w:sz w:val="20"/>
                <w:szCs w:val="20"/>
                <w:color w:val="auto"/>
              </w:rPr>
            </w:pPr>
          </w:p>
        </w:tc>
      </w:tr>
      <w:tr>
        <w:trPr>
          <w:trHeight w:val="220"/>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(428 )</w:t>
            </w:r>
          </w:p>
        </w:tc>
      </w:tr>
      <w:tr>
        <w:trPr>
          <w:trHeight w:val="23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9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98"/>
              </w:rPr>
              <w:t>(333,109 )</w:t>
            </w:r>
          </w:p>
        </w:tc>
        <w:tc>
          <w:tcPr>
            <w:tcW w:w="5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(239,313 )</w:t>
            </w:r>
          </w:p>
        </w:tc>
      </w:tr>
      <w:tr>
        <w:trPr>
          <w:trHeight w:val="22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212,082</w:t>
            </w:r>
          </w:p>
        </w:tc>
        <w:tc>
          <w:tcPr>
            <w:tcW w:w="280" w:type="dxa"/>
            <w:vAlign w:val="bottom"/>
            <w:tcBorders>
              <w:top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279,517</w:t>
            </w:r>
          </w:p>
        </w:tc>
        <w:tc>
          <w:tcPr>
            <w:tcW w:w="100" w:type="dxa"/>
            <w:vAlign w:val="bottom"/>
            <w:tcBorders>
              <w:top w:val="single" w:sz="8" w:color="CFF0FC"/>
            </w:tcBorders>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960" w:type="dxa"/>
            <w:vAlign w:val="bottom"/>
            <w:tcBorders>
              <w:bottom w:val="single" w:sz="8" w:color="auto"/>
            </w:tcBorders>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253,901</w:t>
            </w:r>
          </w:p>
        </w:tc>
        <w:tc>
          <w:tcPr>
            <w:tcW w:w="28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364,075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182"/>
        </w:trPr>
        <w:tc>
          <w:tcPr>
            <w:tcW w:w="77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-5314315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-5314315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-4422775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-4405630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-4422775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-4405630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-2931160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-1104900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U.S. dollars,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3"/>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7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agreements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51,133</w:t>
            </w:r>
          </w:p>
        </w:tc>
        <w:tc>
          <w:tcPr>
            <w:tcW w:w="28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net of tax credits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133,593</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119,066</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33,764</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167,357</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151,626</w:t>
            </w:r>
          </w:p>
        </w:tc>
        <w:tc>
          <w:tcPr>
            <w:tcW w:w="100" w:type="dxa"/>
            <w:vAlign w:val="bottom"/>
          </w:tcPr>
          <w:p>
            <w:pPr>
              <w:spacing w:after="0"/>
              <w:rPr>
                <w:sz w:val="20"/>
                <w:szCs w:val="20"/>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(116,224 )</w:t>
            </w:r>
          </w:p>
        </w:tc>
        <w:tc>
          <w:tcPr>
            <w:tcW w:w="5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(19,796 )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and unrealized (loss) gain on foreign exchange</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(170 )</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(119 )</w:t>
            </w: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280" w:type="dxa"/>
            <w:vAlign w:val="bottom"/>
            <w:tcBorders>
              <w:top w:val="single" w:sz="8" w:color="CFF0FC"/>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tcBorders>
              <w:top w:val="single" w:sz="8" w:color="CFF0FC"/>
            </w:tcBorders>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(103,179 )</w:t>
            </w:r>
          </w:p>
        </w:tc>
        <w:tc>
          <w:tcPr>
            <w:tcW w:w="5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(13,900 )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(15,147 )</w:t>
            </w: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(93,796 )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(29,047 )</w:t>
            </w:r>
          </w:p>
        </w:tc>
      </w:tr>
      <w:tr>
        <w:trPr>
          <w:trHeight w:val="22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available-for-sale marketable securities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(428 )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8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(428 )</w:t>
            </w: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(93,340 )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(29,475 )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shareholders—basic and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(0.69 )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42,093,293</w:t>
            </w:r>
          </w:p>
        </w:tc>
        <w:tc>
          <w:tcPr>
            <w:tcW w:w="28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41,922,042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554"/>
        </w:trPr>
        <w:tc>
          <w:tcPr>
            <w:tcW w:w="7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7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Key financial highlights: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Revenues from collaboration agreements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net of tax credits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35,266</w:t>
            </w:r>
          </w:p>
        </w:tc>
        <w:tc>
          <w:tcPr>
            <w:tcW w:w="28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(28,030 )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(31,658 )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per share attributable to common shareholders—basic and diluted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(0.67 )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(0.75 )</w:t>
            </w: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42,139,096</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41,979,869</w:t>
            </w:r>
          </w:p>
        </w:tc>
        <w:tc>
          <w:tcPr>
            <w:tcW w:w="100" w:type="dxa"/>
            <w:vAlign w:val="bottom"/>
          </w:tcPr>
          <w:p>
            <w:pPr>
              <w:spacing w:after="0"/>
              <w:rPr>
                <w:sz w:val="20"/>
                <w:szCs w:val="20"/>
                <w:color w:val="auto"/>
              </w:rPr>
            </w:pPr>
          </w:p>
        </w:tc>
      </w:tr>
      <w:tr>
        <w:trPr>
          <w:trHeight w:val="988"/>
        </w:trPr>
        <w:tc>
          <w:tcPr>
            <w:tcW w:w="77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-4996815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-4996815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-4671060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-4671060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-4045585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-4045585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-3402330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-3385820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-3385820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-3068320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-2742565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-2725420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-2382520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-2365375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spacing w:after="0"/>
        <w:rPr>
          <w:sz w:val="20"/>
          <w:szCs w:val="20"/>
          <w:color w:val="auto"/>
        </w:rPr>
      </w:pPr>
      <w:r>
        <w:rPr>
          <w:rFonts w:ascii="Calibri" w:cs="Calibri" w:eastAsia="Calibri" w:hAnsi="Calibri"/>
          <w:sz w:val="22"/>
          <w:szCs w:val="22"/>
          <w:b w:val="1"/>
          <w:bCs w:val="1"/>
          <w:color w:val="auto"/>
        </w:rPr>
        <w:t>Repare Contact:</w:t>
      </w:r>
    </w:p>
    <w:p>
      <w:pPr>
        <w:spacing w:after="0" w:line="109" w:lineRule="exact"/>
        <w:rPr>
          <w:sz w:val="20"/>
          <w:szCs w:val="20"/>
          <w:color w:val="auto"/>
        </w:rPr>
      </w:pPr>
    </w:p>
    <w:p>
      <w:pPr>
        <w:spacing w:after="0"/>
        <w:rPr>
          <w:sz w:val="20"/>
          <w:szCs w:val="20"/>
          <w:color w:val="auto"/>
        </w:rPr>
      </w:pPr>
      <w:r>
        <w:rPr>
          <w:rFonts w:ascii="Calibri" w:cs="Calibri" w:eastAsia="Calibri" w:hAnsi="Calibri"/>
          <w:sz w:val="22"/>
          <w:szCs w:val="22"/>
          <w:color w:val="auto"/>
        </w:rPr>
        <w:t>Robin Garner</w:t>
      </w:r>
    </w:p>
    <w:p>
      <w:pPr>
        <w:spacing w:after="0" w:line="12" w:lineRule="exact"/>
        <w:rPr>
          <w:sz w:val="20"/>
          <w:szCs w:val="20"/>
          <w:color w:val="auto"/>
        </w:rPr>
      </w:pPr>
    </w:p>
    <w:p>
      <w:pPr>
        <w:spacing w:after="0"/>
        <w:rPr>
          <w:sz w:val="20"/>
          <w:szCs w:val="20"/>
          <w:color w:val="auto"/>
        </w:rPr>
      </w:pPr>
      <w:r>
        <w:rPr>
          <w:rFonts w:ascii="Calibri" w:cs="Calibri" w:eastAsia="Calibri" w:hAnsi="Calibri"/>
          <w:sz w:val="21"/>
          <w:szCs w:val="21"/>
          <w:color w:val="auto"/>
        </w:rPr>
        <w:t>Vice President and Head of Investor Relatons</w:t>
      </w:r>
    </w:p>
    <w:p>
      <w:pPr>
        <w:spacing w:after="0" w:line="3" w:lineRule="exact"/>
        <w:rPr>
          <w:sz w:val="20"/>
          <w:szCs w:val="20"/>
          <w:color w:val="auto"/>
        </w:rPr>
      </w:pPr>
    </w:p>
    <w:p>
      <w:pPr>
        <w:spacing w:after="0"/>
        <w:rPr>
          <w:sz w:val="20"/>
          <w:szCs w:val="20"/>
          <w:color w:val="auto"/>
        </w:rPr>
      </w:pPr>
      <w:r>
        <w:rPr>
          <w:rFonts w:ascii="Calibri" w:cs="Calibri" w:eastAsia="Calibri" w:hAnsi="Calibri"/>
          <w:sz w:val="22"/>
          <w:szCs w:val="22"/>
          <w:color w:val="auto"/>
        </w:rPr>
        <w:t>Repare Therapeutcs Inc.</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investor@reparerx.com</w:t>
      </w:r>
    </w:p>
    <w:p>
      <w:pPr>
        <w:spacing w:after="0" w:line="32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Investors:</w:t>
      </w:r>
    </w:p>
    <w:p>
      <w:pPr>
        <w:spacing w:after="0" w:line="107" w:lineRule="exact"/>
        <w:rPr>
          <w:sz w:val="20"/>
          <w:szCs w:val="20"/>
          <w:color w:val="auto"/>
        </w:rPr>
      </w:pPr>
    </w:p>
    <w:p>
      <w:pPr>
        <w:spacing w:after="0"/>
        <w:rPr>
          <w:sz w:val="20"/>
          <w:szCs w:val="20"/>
          <w:color w:val="auto"/>
        </w:rPr>
      </w:pPr>
      <w:r>
        <w:rPr>
          <w:rFonts w:ascii="Calibri" w:cs="Calibri" w:eastAsia="Calibri" w:hAnsi="Calibri"/>
          <w:sz w:val="22"/>
          <w:szCs w:val="22"/>
          <w:color w:val="auto"/>
        </w:rPr>
        <w:t>Mathew DeYoung</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Argot Partners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repare@argotpartners.com</w:t>
      </w:r>
    </w:p>
    <w:p>
      <w:pPr>
        <w:spacing w:after="0" w:line="32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Media:</w:t>
      </w:r>
    </w:p>
    <w:p>
      <w:pPr>
        <w:spacing w:after="0" w:line="109" w:lineRule="exact"/>
        <w:rPr>
          <w:sz w:val="20"/>
          <w:szCs w:val="20"/>
          <w:color w:val="auto"/>
        </w:rPr>
      </w:pPr>
    </w:p>
    <w:p>
      <w:pPr>
        <w:spacing w:after="0"/>
        <w:rPr>
          <w:sz w:val="20"/>
          <w:szCs w:val="20"/>
          <w:color w:val="auto"/>
        </w:rPr>
      </w:pPr>
      <w:r>
        <w:rPr>
          <w:rFonts w:ascii="Calibri" w:cs="Calibri" w:eastAsia="Calibri" w:hAnsi="Calibri"/>
          <w:sz w:val="22"/>
          <w:szCs w:val="22"/>
          <w:color w:val="auto"/>
        </w:rPr>
        <w:t>David Rosen</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Argot Partners</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david.rosen@argotpartners.com</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212-600-1902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2"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2024-02-28T06:20:50Z</dcterms:created>
  <dcterms:modified xsi:type="dcterms:W3CDTF">2024-02-28T06:20:50Z</dcterms:modified>
</cp:coreProperties>
</file>