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20"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SCHEDULE 13D</w:t>
      </w:r>
    </w:p>
    <w:p>
      <w:pPr>
        <w:spacing w:after="0" w:line="200" w:lineRule="exact"/>
        <w:rPr>
          <w:sz w:val="24"/>
          <w:szCs w:val="24"/>
          <w:color w:val="auto"/>
        </w:rPr>
      </w:pPr>
    </w:p>
    <w:p>
      <w:pPr>
        <w:spacing w:after="0" w:line="304"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0" w:lineRule="exact"/>
        <w:rPr>
          <w:sz w:val="24"/>
          <w:szCs w:val="24"/>
          <w:color w:val="auto"/>
        </w:rPr>
      </w:pPr>
    </w:p>
    <w:p>
      <w:pPr>
        <w:spacing w:after="0" w:line="322"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Repare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1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Issuer)</w:t>
      </w:r>
    </w:p>
    <w:p>
      <w:pPr>
        <w:spacing w:after="0" w:line="30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(Title of Class of Securities)</w:t>
      </w:r>
    </w:p>
    <w:p>
      <w:pPr>
        <w:spacing w:after="0" w:line="30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333333"/>
        </w:rPr>
        <w:t>760273102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(CUSIP Number)</w:t>
      </w:r>
    </w:p>
    <w:p>
      <w:pPr>
        <w:spacing w:after="0" w:line="30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OrbiMed Advisors LLC</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OrbiMed Capital GP VII LLC</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OrbiMed Capital LLC</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601 Lexington Avenue, 54th Floor</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New York, NY 10022</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Telephone: (212) 739-6400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Address and Telephone Number of Person Authorized to</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Receive Notices and Communications)</w:t>
      </w:r>
    </w:p>
    <w:p>
      <w:pPr>
        <w:spacing w:after="0" w:line="28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June 19,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(Date of Event which Requires Filing of this Statement)</w:t>
      </w:r>
    </w:p>
    <w:p>
      <w:pPr>
        <w:spacing w:after="0" w:line="293"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5" w:lineRule="exact"/>
        <w:rPr>
          <w:sz w:val="24"/>
          <w:szCs w:val="24"/>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§240.13d-7(b)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 whom copies are to be sent.</w:t>
      </w:r>
    </w:p>
    <w:p>
      <w:pPr>
        <w:spacing w:after="0" w:line="193" w:lineRule="exact"/>
        <w:rPr>
          <w:sz w:val="24"/>
          <w:szCs w:val="24"/>
          <w:color w:val="auto"/>
        </w:rPr>
      </w:pPr>
    </w:p>
    <w:p>
      <w:pPr>
        <w:ind w:left="260" w:hanging="252"/>
        <w:spacing w:after="0" w:line="277" w:lineRule="auto"/>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97" w:lineRule="exact"/>
        <w:rPr>
          <w:sz w:val="24"/>
          <w:szCs w:val="24"/>
          <w:color w:val="auto"/>
        </w:rPr>
      </w:pPr>
    </w:p>
    <w:p>
      <w:pPr>
        <w:ind w:right="8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40"/>
          </w:cols>
          <w:pgMar w:left="320" w:top="702" w:right="439" w:bottom="1440" w:gutter="0" w:footer="0" w:header="0"/>
        </w:sectPr>
      </w:pPr>
    </w:p>
    <w:bookmarkStart w:id="1" w:name="page2"/>
    <w:bookmarkEnd w:id="1"/>
    <w:p>
      <w:pPr>
        <w:ind w:left="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2160270"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60270" cy="308610"/>
                    </a:xfrm>
                    <a:prstGeom prst="rect">
                      <a:avLst/>
                    </a:prstGeom>
                    <a:noFill/>
                  </pic:spPr>
                </pic:pic>
              </a:graphicData>
            </a:graphic>
          </wp:anchor>
        </w:drawing>
        <w:t xml:space="preserve">CUSIP No. </w:t>
      </w:r>
      <w:r>
        <w:rPr>
          <w:rFonts w:ascii="Arial" w:cs="Arial" w:eastAsia="Arial" w:hAnsi="Arial"/>
          <w:sz w:val="18"/>
          <w:szCs w:val="18"/>
          <w:b w:val="1"/>
          <w:bCs w:val="1"/>
          <w:color w:val="333333"/>
        </w:rPr>
        <w:t>760273102</w:t>
      </w:r>
    </w:p>
    <w:p>
      <w:pPr>
        <w:spacing w:after="0" w:line="385"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500" w:type="dxa"/>
            <w:vAlign w:val="bottom"/>
            <w:tcBorders>
              <w:top w:val="single" w:sz="8" w:color="auto"/>
              <w:left w:val="single" w:sz="8" w:color="auto"/>
            </w:tcBorders>
            <w:vMerge w:val="restart"/>
          </w:tcPr>
          <w:p>
            <w:pPr>
              <w:jc w:val="center"/>
              <w:ind w:left="97"/>
              <w:spacing w:after="0"/>
              <w:rPr>
                <w:sz w:val="20"/>
                <w:szCs w:val="20"/>
                <w:color w:val="auto"/>
              </w:rPr>
            </w:pPr>
            <w:r>
              <w:rPr>
                <w:rFonts w:ascii="Arial" w:cs="Arial" w:eastAsia="Arial" w:hAnsi="Arial"/>
                <w:sz w:val="25"/>
                <w:szCs w:val="25"/>
                <w:color w:val="auto"/>
                <w:w w:val="85"/>
              </w:rPr>
              <w:t>1</w:t>
            </w:r>
          </w:p>
        </w:tc>
        <w:tc>
          <w:tcPr>
            <w:tcW w:w="220" w:type="dxa"/>
            <w:vAlign w:val="bottom"/>
            <w:tcBorders>
              <w:top w:val="single" w:sz="8" w:color="auto"/>
              <w:right w:val="single" w:sz="8" w:color="auto"/>
            </w:tcBorders>
          </w:tcPr>
          <w:p>
            <w:pPr>
              <w:spacing w:after="0"/>
              <w:rPr>
                <w:sz w:val="23"/>
                <w:szCs w:val="23"/>
                <w:color w:val="auto"/>
              </w:rPr>
            </w:pPr>
          </w:p>
        </w:tc>
        <w:tc>
          <w:tcPr>
            <w:tcW w:w="828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color w:val="auto"/>
              </w:rPr>
              <w:t>Names of Reporting Persons.</w:t>
            </w:r>
          </w:p>
        </w:tc>
        <w:tc>
          <w:tcPr>
            <w:tcW w:w="224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500" w:type="dxa"/>
            <w:vAlign w:val="bottom"/>
            <w:tcBorders>
              <w:left w:val="single" w:sz="8" w:color="auto"/>
            </w:tcBorders>
            <w:vMerge w:val="continue"/>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2020" w:type="dxa"/>
            <w:vAlign w:val="bottom"/>
            <w:gridSpan w:val="2"/>
            <w:vMerge w:val="restart"/>
          </w:tcPr>
          <w:p>
            <w:pPr>
              <w:ind w:left="40"/>
              <w:spacing w:after="0"/>
              <w:rPr>
                <w:sz w:val="20"/>
                <w:szCs w:val="20"/>
                <w:color w:val="auto"/>
              </w:rPr>
            </w:pPr>
            <w:r>
              <w:rPr>
                <w:rFonts w:ascii="Arial" w:cs="Arial" w:eastAsia="Arial" w:hAnsi="Arial"/>
                <w:sz w:val="18"/>
                <w:szCs w:val="18"/>
                <w:color w:val="auto"/>
              </w:rPr>
              <w:t>OrbiMed Advisors LLC</w:t>
            </w:r>
          </w:p>
        </w:tc>
        <w:tc>
          <w:tcPr>
            <w:tcW w:w="626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2020" w:type="dxa"/>
            <w:vAlign w:val="bottom"/>
            <w:gridSpan w:val="2"/>
            <w:vMerge w:val="continue"/>
          </w:tcPr>
          <w:p>
            <w:pPr>
              <w:spacing w:after="0"/>
              <w:rPr>
                <w:sz w:val="5"/>
                <w:szCs w:val="5"/>
                <w:color w:val="auto"/>
              </w:rPr>
            </w:pPr>
          </w:p>
        </w:tc>
        <w:tc>
          <w:tcPr>
            <w:tcW w:w="6260" w:type="dxa"/>
            <w:vAlign w:val="bottom"/>
          </w:tcPr>
          <w:p>
            <w:pPr>
              <w:spacing w:after="0"/>
              <w:rPr>
                <w:sz w:val="5"/>
                <w:szCs w:val="5"/>
                <w:color w:val="auto"/>
              </w:rPr>
            </w:pP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8280" w:type="dxa"/>
            <w:vAlign w:val="bottom"/>
            <w:tcBorders>
              <w:bottom w:val="single" w:sz="8" w:color="auto"/>
            </w:tcBorders>
            <w:gridSpan w:val="3"/>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72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25"/>
                <w:szCs w:val="25"/>
                <w:color w:val="auto"/>
                <w:w w:val="85"/>
              </w:rPr>
              <w:t>2</w:t>
            </w:r>
          </w:p>
        </w:tc>
        <w:tc>
          <w:tcPr>
            <w:tcW w:w="8280" w:type="dxa"/>
            <w:vAlign w:val="bottom"/>
            <w:gridSpan w:val="3"/>
          </w:tcPr>
          <w:p>
            <w:pPr>
              <w:ind w:left="4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2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gridSpan w:val="2"/>
            <w:vMerge w:val="continue"/>
          </w:tcPr>
          <w:p>
            <w:pPr>
              <w:spacing w:after="0"/>
              <w:rPr>
                <w:sz w:val="18"/>
                <w:szCs w:val="18"/>
                <w:color w:val="auto"/>
              </w:rPr>
            </w:pPr>
          </w:p>
        </w:tc>
        <w:tc>
          <w:tcPr>
            <w:tcW w:w="1340" w:type="dxa"/>
            <w:vAlign w:val="bottom"/>
          </w:tcPr>
          <w:p>
            <w:pPr>
              <w:ind w:left="40"/>
              <w:spacing w:after="0"/>
              <w:rPr>
                <w:sz w:val="20"/>
                <w:szCs w:val="20"/>
                <w:color w:val="auto"/>
              </w:rPr>
            </w:pPr>
            <w:r>
              <w:rPr>
                <w:rFonts w:ascii="Arial" w:cs="Arial" w:eastAsia="Arial" w:hAnsi="Arial"/>
                <w:sz w:val="18"/>
                <w:szCs w:val="18"/>
                <w:color w:val="auto"/>
              </w:rPr>
              <w:t>(a) o</w:t>
            </w:r>
          </w:p>
        </w:tc>
        <w:tc>
          <w:tcPr>
            <w:tcW w:w="68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340" w:type="dxa"/>
            <w:vAlign w:val="bottom"/>
          </w:tcPr>
          <w:p>
            <w:pPr>
              <w:ind w:left="40"/>
              <w:spacing w:after="0"/>
              <w:rPr>
                <w:sz w:val="20"/>
                <w:szCs w:val="20"/>
                <w:color w:val="auto"/>
              </w:rPr>
            </w:pPr>
            <w:r>
              <w:rPr>
                <w:rFonts w:ascii="Arial" w:cs="Arial" w:eastAsia="Arial" w:hAnsi="Arial"/>
                <w:sz w:val="18"/>
                <w:szCs w:val="18"/>
                <w:color w:val="auto"/>
              </w:rPr>
              <w:t>(b) o</w:t>
            </w:r>
          </w:p>
        </w:tc>
        <w:tc>
          <w:tcPr>
            <w:tcW w:w="68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6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00" w:type="dxa"/>
            <w:vAlign w:val="bottom"/>
            <w:tcBorders>
              <w:left w:val="single" w:sz="8" w:color="auto"/>
            </w:tcBorders>
            <w:vMerge w:val="restart"/>
          </w:tcPr>
          <w:p>
            <w:pPr>
              <w:jc w:val="center"/>
              <w:ind w:left="97"/>
              <w:spacing w:after="0"/>
              <w:rPr>
                <w:sz w:val="20"/>
                <w:szCs w:val="20"/>
                <w:color w:val="auto"/>
              </w:rPr>
            </w:pPr>
            <w:r>
              <w:rPr>
                <w:rFonts w:ascii="Arial" w:cs="Arial" w:eastAsia="Arial" w:hAnsi="Arial"/>
                <w:sz w:val="25"/>
                <w:szCs w:val="25"/>
                <w:color w:val="auto"/>
                <w:w w:val="85"/>
              </w:rPr>
              <w:t>3</w:t>
            </w:r>
          </w:p>
        </w:tc>
        <w:tc>
          <w:tcPr>
            <w:tcW w:w="220" w:type="dxa"/>
            <w:vAlign w:val="bottom"/>
            <w:tcBorders>
              <w:right w:val="single" w:sz="8" w:color="auto"/>
            </w:tcBorders>
          </w:tcPr>
          <w:p>
            <w:pPr>
              <w:spacing w:after="0"/>
              <w:rPr>
                <w:sz w:val="22"/>
                <w:szCs w:val="22"/>
                <w:color w:val="auto"/>
              </w:rPr>
            </w:pPr>
          </w:p>
        </w:tc>
        <w:tc>
          <w:tcPr>
            <w:tcW w:w="134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2"/>
                <w:szCs w:val="22"/>
                <w:color w:val="auto"/>
              </w:rPr>
            </w:pPr>
          </w:p>
        </w:tc>
        <w:tc>
          <w:tcPr>
            <w:tcW w:w="6260" w:type="dxa"/>
            <w:vAlign w:val="bottom"/>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500" w:type="dxa"/>
            <w:vAlign w:val="bottom"/>
            <w:tcBorders>
              <w:left w:val="single" w:sz="8" w:color="auto"/>
            </w:tcBorders>
            <w:vMerge w:val="continue"/>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60" w:type="dxa"/>
            <w:vAlign w:val="bottom"/>
          </w:tcPr>
          <w:p>
            <w:pPr>
              <w:spacing w:after="0"/>
              <w:rPr>
                <w:sz w:val="13"/>
                <w:szCs w:val="13"/>
                <w:color w:val="auto"/>
              </w:rPr>
            </w:pPr>
          </w:p>
        </w:tc>
        <w:tc>
          <w:tcPr>
            <w:tcW w:w="22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500" w:type="dxa"/>
            <w:vAlign w:val="bottom"/>
            <w:tcBorders>
              <w:left w:val="single" w:sz="8" w:color="auto"/>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8280" w:type="dxa"/>
            <w:vAlign w:val="bottom"/>
            <w:tcBorders>
              <w:bottom w:val="single" w:sz="8" w:color="auto"/>
            </w:tcBorders>
            <w:gridSpan w:val="3"/>
          </w:tcPr>
          <w:p>
            <w:pPr>
              <w:spacing w:after="0"/>
              <w:rPr>
                <w:sz w:val="9"/>
                <w:szCs w:val="9"/>
                <w:color w:val="auto"/>
              </w:rPr>
            </w:pPr>
          </w:p>
        </w:tc>
        <w:tc>
          <w:tcPr>
            <w:tcW w:w="22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500" w:type="dxa"/>
            <w:vAlign w:val="bottom"/>
            <w:tcBorders>
              <w:left w:val="single" w:sz="8" w:color="auto"/>
            </w:tcBorders>
            <w:vMerge w:val="restart"/>
          </w:tcPr>
          <w:p>
            <w:pPr>
              <w:jc w:val="center"/>
              <w:ind w:left="97"/>
              <w:spacing w:after="0"/>
              <w:rPr>
                <w:sz w:val="20"/>
                <w:szCs w:val="20"/>
                <w:color w:val="auto"/>
              </w:rPr>
            </w:pPr>
            <w:r>
              <w:rPr>
                <w:rFonts w:ascii="Arial" w:cs="Arial" w:eastAsia="Arial" w:hAnsi="Arial"/>
                <w:sz w:val="25"/>
                <w:szCs w:val="25"/>
                <w:color w:val="auto"/>
                <w:w w:val="85"/>
              </w:rPr>
              <w:t>4</w:t>
            </w:r>
          </w:p>
        </w:tc>
        <w:tc>
          <w:tcPr>
            <w:tcW w:w="220" w:type="dxa"/>
            <w:vAlign w:val="bottom"/>
            <w:tcBorders>
              <w:right w:val="single" w:sz="8" w:color="auto"/>
            </w:tcBorders>
          </w:tcPr>
          <w:p>
            <w:pPr>
              <w:spacing w:after="0"/>
              <w:rPr>
                <w:sz w:val="22"/>
                <w:szCs w:val="22"/>
                <w:color w:val="auto"/>
              </w:rPr>
            </w:pPr>
          </w:p>
        </w:tc>
        <w:tc>
          <w:tcPr>
            <w:tcW w:w="8280" w:type="dxa"/>
            <w:vAlign w:val="bottom"/>
            <w:gridSpan w:val="3"/>
          </w:tcPr>
          <w:p>
            <w:pPr>
              <w:ind w:left="40"/>
              <w:spacing w:after="0"/>
              <w:rPr>
                <w:sz w:val="20"/>
                <w:szCs w:val="20"/>
                <w:color w:val="auto"/>
              </w:rPr>
            </w:pPr>
            <w:r>
              <w:rPr>
                <w:rFonts w:ascii="Arial" w:cs="Arial" w:eastAsia="Arial" w:hAnsi="Arial"/>
                <w:sz w:val="18"/>
                <w:szCs w:val="18"/>
                <w:color w:val="auto"/>
              </w:rPr>
              <w:t>Source of Funds (See Instructions)</w:t>
            </w: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500" w:type="dxa"/>
            <w:vAlign w:val="bottom"/>
            <w:tcBorders>
              <w:left w:val="single" w:sz="8" w:color="auto"/>
            </w:tcBorders>
            <w:vMerge w:val="continue"/>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1340" w:type="dxa"/>
            <w:vAlign w:val="bottom"/>
            <w:vMerge w:val="restart"/>
          </w:tcPr>
          <w:p>
            <w:pPr>
              <w:ind w:left="40"/>
              <w:spacing w:after="0"/>
              <w:rPr>
                <w:sz w:val="20"/>
                <w:szCs w:val="20"/>
                <w:color w:val="auto"/>
              </w:rPr>
            </w:pPr>
            <w:r>
              <w:rPr>
                <w:rFonts w:ascii="Arial" w:cs="Arial" w:eastAsia="Arial" w:hAnsi="Arial"/>
                <w:sz w:val="18"/>
                <w:szCs w:val="18"/>
                <w:color w:val="auto"/>
              </w:rPr>
              <w:t>AF</w:t>
            </w:r>
          </w:p>
        </w:tc>
        <w:tc>
          <w:tcPr>
            <w:tcW w:w="680" w:type="dxa"/>
            <w:vAlign w:val="bottom"/>
          </w:tcPr>
          <w:p>
            <w:pPr>
              <w:spacing w:after="0"/>
              <w:rPr>
                <w:sz w:val="23"/>
                <w:szCs w:val="23"/>
                <w:color w:val="auto"/>
              </w:rPr>
            </w:pPr>
          </w:p>
        </w:tc>
        <w:tc>
          <w:tcPr>
            <w:tcW w:w="6260" w:type="dxa"/>
            <w:vAlign w:val="bottom"/>
          </w:tcPr>
          <w:p>
            <w:pPr>
              <w:spacing w:after="0"/>
              <w:rPr>
                <w:sz w:val="23"/>
                <w:szCs w:val="23"/>
                <w:color w:val="auto"/>
              </w:rPr>
            </w:pPr>
          </w:p>
        </w:tc>
        <w:tc>
          <w:tcPr>
            <w:tcW w:w="22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500" w:type="dxa"/>
            <w:vAlign w:val="bottom"/>
            <w:tcBorders>
              <w:left w:val="single" w:sz="8" w:color="auto"/>
            </w:tcBorders>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34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8280" w:type="dxa"/>
            <w:vAlign w:val="bottom"/>
            <w:tcBorders>
              <w:bottom w:val="single" w:sz="8" w:color="auto"/>
            </w:tcBorders>
            <w:gridSpan w:val="3"/>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00" w:type="dxa"/>
            <w:vAlign w:val="bottom"/>
            <w:tcBorders>
              <w:left w:val="single" w:sz="8" w:color="auto"/>
            </w:tcBorders>
            <w:vMerge w:val="restart"/>
          </w:tcPr>
          <w:p>
            <w:pPr>
              <w:jc w:val="center"/>
              <w:ind w:left="97"/>
              <w:spacing w:after="0"/>
              <w:rPr>
                <w:sz w:val="20"/>
                <w:szCs w:val="20"/>
                <w:color w:val="auto"/>
              </w:rPr>
            </w:pPr>
            <w:r>
              <w:rPr>
                <w:rFonts w:ascii="Arial" w:cs="Arial" w:eastAsia="Arial" w:hAnsi="Arial"/>
                <w:sz w:val="25"/>
                <w:szCs w:val="25"/>
                <w:color w:val="auto"/>
                <w:w w:val="85"/>
              </w:rPr>
              <w:t>5</w:t>
            </w:r>
          </w:p>
        </w:tc>
        <w:tc>
          <w:tcPr>
            <w:tcW w:w="220" w:type="dxa"/>
            <w:vAlign w:val="bottom"/>
            <w:tcBorders>
              <w:right w:val="single" w:sz="8" w:color="auto"/>
            </w:tcBorders>
          </w:tcPr>
          <w:p>
            <w:pPr>
              <w:spacing w:after="0"/>
              <w:rPr>
                <w:sz w:val="22"/>
                <w:szCs w:val="22"/>
                <w:color w:val="auto"/>
              </w:rPr>
            </w:pPr>
          </w:p>
        </w:tc>
        <w:tc>
          <w:tcPr>
            <w:tcW w:w="8280" w:type="dxa"/>
            <w:vAlign w:val="bottom"/>
            <w:gridSpan w:val="3"/>
          </w:tcPr>
          <w:p>
            <w:pPr>
              <w:ind w:left="4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2240" w:type="dxa"/>
            <w:vAlign w:val="bottom"/>
            <w:tcBorders>
              <w:right w:val="single" w:sz="8" w:color="auto"/>
            </w:tcBorders>
          </w:tcPr>
          <w:p>
            <w:pPr>
              <w:ind w:left="19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157"/>
        </w:trPr>
        <w:tc>
          <w:tcPr>
            <w:tcW w:w="500" w:type="dxa"/>
            <w:vAlign w:val="bottom"/>
            <w:tcBorders>
              <w:left w:val="single" w:sz="8" w:color="auto"/>
            </w:tcBorders>
            <w:vMerge w:val="continue"/>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60" w:type="dxa"/>
            <w:vAlign w:val="bottom"/>
          </w:tcPr>
          <w:p>
            <w:pPr>
              <w:spacing w:after="0"/>
              <w:rPr>
                <w:sz w:val="13"/>
                <w:szCs w:val="13"/>
                <w:color w:val="auto"/>
              </w:rPr>
            </w:pPr>
          </w:p>
        </w:tc>
        <w:tc>
          <w:tcPr>
            <w:tcW w:w="22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500" w:type="dxa"/>
            <w:vAlign w:val="bottom"/>
            <w:tcBorders>
              <w:left w:val="single" w:sz="8" w:color="auto"/>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8280" w:type="dxa"/>
            <w:vAlign w:val="bottom"/>
            <w:tcBorders>
              <w:bottom w:val="single" w:sz="8" w:color="auto"/>
            </w:tcBorders>
            <w:gridSpan w:val="3"/>
          </w:tcPr>
          <w:p>
            <w:pPr>
              <w:spacing w:after="0"/>
              <w:rPr>
                <w:sz w:val="9"/>
                <w:szCs w:val="9"/>
                <w:color w:val="auto"/>
              </w:rPr>
            </w:pPr>
          </w:p>
        </w:tc>
        <w:tc>
          <w:tcPr>
            <w:tcW w:w="22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500" w:type="dxa"/>
            <w:vAlign w:val="bottom"/>
            <w:tcBorders>
              <w:left w:val="single" w:sz="8" w:color="auto"/>
            </w:tcBorders>
            <w:vMerge w:val="restart"/>
          </w:tcPr>
          <w:p>
            <w:pPr>
              <w:jc w:val="center"/>
              <w:ind w:left="97"/>
              <w:spacing w:after="0"/>
              <w:rPr>
                <w:sz w:val="20"/>
                <w:szCs w:val="20"/>
                <w:color w:val="auto"/>
              </w:rPr>
            </w:pPr>
            <w:r>
              <w:rPr>
                <w:rFonts w:ascii="Arial" w:cs="Arial" w:eastAsia="Arial" w:hAnsi="Arial"/>
                <w:sz w:val="25"/>
                <w:szCs w:val="25"/>
                <w:color w:val="auto"/>
                <w:w w:val="85"/>
              </w:rPr>
              <w:t>6</w:t>
            </w:r>
          </w:p>
        </w:tc>
        <w:tc>
          <w:tcPr>
            <w:tcW w:w="220" w:type="dxa"/>
            <w:vAlign w:val="bottom"/>
            <w:tcBorders>
              <w:right w:val="single" w:sz="8" w:color="auto"/>
            </w:tcBorders>
          </w:tcPr>
          <w:p>
            <w:pPr>
              <w:spacing w:after="0"/>
              <w:rPr>
                <w:sz w:val="21"/>
                <w:szCs w:val="21"/>
                <w:color w:val="auto"/>
              </w:rPr>
            </w:pPr>
          </w:p>
        </w:tc>
        <w:tc>
          <w:tcPr>
            <w:tcW w:w="8280" w:type="dxa"/>
            <w:vAlign w:val="bottom"/>
            <w:gridSpan w:val="3"/>
          </w:tcPr>
          <w:p>
            <w:pPr>
              <w:ind w:left="40"/>
              <w:spacing w:after="0"/>
              <w:rPr>
                <w:sz w:val="20"/>
                <w:szCs w:val="20"/>
                <w:color w:val="auto"/>
              </w:rPr>
            </w:pPr>
            <w:r>
              <w:rPr>
                <w:rFonts w:ascii="Arial" w:cs="Arial" w:eastAsia="Arial" w:hAnsi="Arial"/>
                <w:sz w:val="18"/>
                <w:szCs w:val="18"/>
                <w:color w:val="auto"/>
              </w:rPr>
              <w:t>Citizenship or Place of Organization</w:t>
            </w:r>
          </w:p>
        </w:tc>
        <w:tc>
          <w:tcPr>
            <w:tcW w:w="2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500" w:type="dxa"/>
            <w:vAlign w:val="bottom"/>
            <w:tcBorders>
              <w:left w:val="single" w:sz="8" w:color="auto"/>
            </w:tcBorders>
            <w:vMerge w:val="continue"/>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340" w:type="dxa"/>
            <w:vAlign w:val="bottom"/>
            <w:vMerge w:val="restart"/>
          </w:tcPr>
          <w:p>
            <w:pPr>
              <w:ind w:left="40"/>
              <w:spacing w:after="0"/>
              <w:rPr>
                <w:sz w:val="20"/>
                <w:szCs w:val="20"/>
                <w:color w:val="auto"/>
              </w:rPr>
            </w:pPr>
            <w:r>
              <w:rPr>
                <w:rFonts w:ascii="Arial" w:cs="Arial" w:eastAsia="Arial" w:hAnsi="Arial"/>
                <w:sz w:val="18"/>
                <w:szCs w:val="18"/>
                <w:color w:val="auto"/>
              </w:rPr>
              <w:t>Delaware</w:t>
            </w:r>
          </w:p>
        </w:tc>
        <w:tc>
          <w:tcPr>
            <w:tcW w:w="68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60" w:type="dxa"/>
            <w:vAlign w:val="bottom"/>
          </w:tcPr>
          <w:p>
            <w:pPr>
              <w:spacing w:after="0"/>
              <w:rPr>
                <w:sz w:val="5"/>
                <w:szCs w:val="5"/>
                <w:color w:val="auto"/>
              </w:rPr>
            </w:pP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6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500" w:type="dxa"/>
            <w:vAlign w:val="bottom"/>
            <w:tcBorders>
              <w:left w:val="single" w:sz="8" w:color="auto"/>
            </w:tcBorders>
          </w:tcPr>
          <w:p>
            <w:pPr>
              <w:spacing w:after="0"/>
              <w:rPr>
                <w:sz w:val="21"/>
                <w:szCs w:val="21"/>
                <w:color w:val="auto"/>
              </w:rPr>
            </w:pPr>
          </w:p>
        </w:tc>
        <w:tc>
          <w:tcPr>
            <w:tcW w:w="1560" w:type="dxa"/>
            <w:vAlign w:val="bottom"/>
            <w:tcBorders>
              <w:right w:val="single" w:sz="8" w:color="auto"/>
            </w:tcBorders>
            <w:gridSpan w:val="2"/>
            <w:vMerge w:val="restart"/>
          </w:tcPr>
          <w:p>
            <w:pPr>
              <w:jc w:val="center"/>
              <w:ind w:right="390"/>
              <w:spacing w:after="0"/>
              <w:rPr>
                <w:sz w:val="20"/>
                <w:szCs w:val="20"/>
                <w:color w:val="auto"/>
              </w:rPr>
            </w:pPr>
            <w:r>
              <w:rPr>
                <w:rFonts w:ascii="Arial" w:cs="Arial" w:eastAsia="Arial" w:hAnsi="Arial"/>
                <w:sz w:val="18"/>
                <w:szCs w:val="18"/>
                <w:color w:val="auto"/>
                <w:w w:val="96"/>
              </w:rPr>
              <w:t>NUMBER OF</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7</w:t>
            </w:r>
          </w:p>
        </w:tc>
        <w:tc>
          <w:tcPr>
            <w:tcW w:w="626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2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500" w:type="dxa"/>
            <w:vAlign w:val="bottom"/>
            <w:tcBorders>
              <w:left w:val="single" w:sz="8" w:color="auto"/>
            </w:tcBorders>
          </w:tcPr>
          <w:p>
            <w:pPr>
              <w:spacing w:after="0"/>
              <w:rPr>
                <w:sz w:val="15"/>
                <w:szCs w:val="15"/>
                <w:color w:val="auto"/>
              </w:rPr>
            </w:pPr>
          </w:p>
        </w:tc>
        <w:tc>
          <w:tcPr>
            <w:tcW w:w="1560" w:type="dxa"/>
            <w:vAlign w:val="bottom"/>
            <w:tcBorders>
              <w:right w:val="single" w:sz="8" w:color="auto"/>
            </w:tcBorders>
            <w:gridSpan w:val="2"/>
            <w:vMerge w:val="continue"/>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6260" w:type="dxa"/>
            <w:vAlign w:val="bottom"/>
          </w:tcPr>
          <w:p>
            <w:pPr>
              <w:ind w:left="40"/>
              <w:spacing w:after="0" w:line="176" w:lineRule="exact"/>
              <w:rPr>
                <w:sz w:val="20"/>
                <w:szCs w:val="20"/>
                <w:color w:val="auto"/>
              </w:rPr>
            </w:pPr>
            <w:r>
              <w:rPr>
                <w:rFonts w:ascii="Arial" w:cs="Arial" w:eastAsia="Arial" w:hAnsi="Arial"/>
                <w:sz w:val="18"/>
                <w:szCs w:val="18"/>
                <w:color w:val="auto"/>
              </w:rPr>
              <w:t>0</w:t>
            </w:r>
          </w:p>
        </w:tc>
        <w:tc>
          <w:tcPr>
            <w:tcW w:w="22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500" w:type="dxa"/>
            <w:vAlign w:val="bottom"/>
            <w:tcBorders>
              <w:lef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Borders>
              <w:right w:val="single" w:sz="8" w:color="auto"/>
            </w:tcBorders>
            <w:vMerge w:val="restart"/>
          </w:tcPr>
          <w:p>
            <w:pPr>
              <w:jc w:val="center"/>
              <w:ind w:right="590"/>
              <w:spacing w:after="0" w:line="201" w:lineRule="exact"/>
              <w:rPr>
                <w:sz w:val="20"/>
                <w:szCs w:val="20"/>
                <w:color w:val="auto"/>
              </w:rPr>
            </w:pPr>
            <w:r>
              <w:rPr>
                <w:rFonts w:ascii="Arial" w:cs="Arial" w:eastAsia="Arial" w:hAnsi="Arial"/>
                <w:sz w:val="18"/>
                <w:szCs w:val="18"/>
                <w:color w:val="auto"/>
                <w:w w:val="89"/>
              </w:rPr>
              <w:t>SHARES</w:t>
            </w:r>
          </w:p>
        </w:tc>
        <w:tc>
          <w:tcPr>
            <w:tcW w:w="680" w:type="dxa"/>
            <w:vAlign w:val="bottom"/>
            <w:tcBorders>
              <w:bottom w:val="single" w:sz="8" w:color="auto"/>
              <w:right w:val="single" w:sz="8" w:color="auto"/>
            </w:tcBorders>
          </w:tcPr>
          <w:p>
            <w:pPr>
              <w:spacing w:after="0"/>
              <w:rPr>
                <w:sz w:val="8"/>
                <w:szCs w:val="8"/>
                <w:color w:val="auto"/>
              </w:rPr>
            </w:pPr>
          </w:p>
        </w:tc>
        <w:tc>
          <w:tcPr>
            <w:tcW w:w="6260" w:type="dxa"/>
            <w:vAlign w:val="bottom"/>
            <w:tcBorders>
              <w:bottom w:val="single" w:sz="8" w:color="auto"/>
            </w:tcBorders>
          </w:tcPr>
          <w:p>
            <w:pPr>
              <w:spacing w:after="0"/>
              <w:rPr>
                <w:sz w:val="8"/>
                <w:szCs w:val="8"/>
                <w:color w:val="auto"/>
              </w:rPr>
            </w:pPr>
          </w:p>
        </w:tc>
        <w:tc>
          <w:tcPr>
            <w:tcW w:w="2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500" w:type="dxa"/>
            <w:vAlign w:val="bottom"/>
            <w:tcBorders>
              <w:left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26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680" w:type="dxa"/>
            <w:vAlign w:val="bottom"/>
            <w:tcBorders>
              <w:right w:val="single" w:sz="8" w:color="auto"/>
            </w:tcBorders>
            <w:vMerge w:val="restart"/>
          </w:tcPr>
          <w:p>
            <w:pPr>
              <w:jc w:val="center"/>
              <w:spacing w:after="0" w:line="216" w:lineRule="exact"/>
              <w:rPr>
                <w:sz w:val="20"/>
                <w:szCs w:val="20"/>
                <w:color w:val="auto"/>
              </w:rPr>
            </w:pPr>
            <w:r>
              <w:rPr>
                <w:rFonts w:ascii="Arial" w:cs="Arial" w:eastAsia="Arial" w:hAnsi="Arial"/>
                <w:sz w:val="25"/>
                <w:szCs w:val="25"/>
                <w:color w:val="auto"/>
                <w:w w:val="85"/>
              </w:rPr>
              <w:t>8</w:t>
            </w:r>
          </w:p>
        </w:tc>
        <w:tc>
          <w:tcPr>
            <w:tcW w:w="626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60" w:type="dxa"/>
            <w:vAlign w:val="bottom"/>
            <w:tcBorders>
              <w:left w:val="single" w:sz="8" w:color="auto"/>
              <w:right w:val="single" w:sz="8" w:color="auto"/>
            </w:tcBorders>
            <w:gridSpan w:val="3"/>
            <w:vMerge w:val="continue"/>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6260" w:type="dxa"/>
            <w:vAlign w:val="bottom"/>
            <w:vMerge w:val="restart"/>
          </w:tcPr>
          <w:p>
            <w:pPr>
              <w:ind w:left="40"/>
              <w:spacing w:after="0"/>
              <w:rPr>
                <w:sz w:val="20"/>
                <w:szCs w:val="20"/>
                <w:color w:val="auto"/>
              </w:rPr>
            </w:pPr>
            <w:r>
              <w:rPr>
                <w:rFonts w:ascii="Arial" w:cs="Arial" w:eastAsia="Arial" w:hAnsi="Arial"/>
                <w:sz w:val="18"/>
                <w:szCs w:val="18"/>
                <w:color w:val="auto"/>
              </w:rPr>
              <w:t>3,276,325</w:t>
            </w:r>
          </w:p>
        </w:tc>
        <w:tc>
          <w:tcPr>
            <w:tcW w:w="22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500" w:type="dxa"/>
            <w:vAlign w:val="bottom"/>
            <w:tcBorders>
              <w:left w:val="single" w:sz="8" w:color="auto"/>
            </w:tcBorders>
          </w:tcPr>
          <w:p>
            <w:pPr>
              <w:spacing w:after="0"/>
              <w:rPr>
                <w:sz w:val="19"/>
                <w:szCs w:val="19"/>
                <w:color w:val="auto"/>
              </w:rPr>
            </w:pPr>
          </w:p>
        </w:tc>
        <w:tc>
          <w:tcPr>
            <w:tcW w:w="156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color w:val="auto"/>
                <w:w w:val="97"/>
              </w:rPr>
              <w:t>OWNED BY</w:t>
            </w:r>
          </w:p>
        </w:tc>
        <w:tc>
          <w:tcPr>
            <w:tcW w:w="680" w:type="dxa"/>
            <w:vAlign w:val="bottom"/>
            <w:tcBorders>
              <w:bottom w:val="single" w:sz="8" w:color="auto"/>
              <w:right w:val="single" w:sz="8" w:color="auto"/>
            </w:tcBorders>
          </w:tcPr>
          <w:p>
            <w:pPr>
              <w:spacing w:after="0"/>
              <w:rPr>
                <w:sz w:val="19"/>
                <w:szCs w:val="19"/>
                <w:color w:val="auto"/>
              </w:rPr>
            </w:pPr>
          </w:p>
        </w:tc>
        <w:tc>
          <w:tcPr>
            <w:tcW w:w="6260" w:type="dxa"/>
            <w:vAlign w:val="bottom"/>
            <w:tcBorders>
              <w:bottom w:val="single" w:sz="8" w:color="auto"/>
            </w:tcBorders>
            <w:vMerge w:val="continue"/>
          </w:tcPr>
          <w:p>
            <w:pPr>
              <w:spacing w:after="0"/>
              <w:rPr>
                <w:sz w:val="19"/>
                <w:szCs w:val="19"/>
                <w:color w:val="auto"/>
              </w:rPr>
            </w:pPr>
          </w:p>
        </w:tc>
        <w:tc>
          <w:tcPr>
            <w:tcW w:w="22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0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Borders>
              <w:right w:val="single" w:sz="8" w:color="auto"/>
            </w:tcBorders>
          </w:tcPr>
          <w:p>
            <w:pPr>
              <w:jc w:val="center"/>
              <w:ind w:right="630"/>
              <w:spacing w:after="0" w:line="202" w:lineRule="exact"/>
              <w:rPr>
                <w:sz w:val="20"/>
                <w:szCs w:val="20"/>
                <w:color w:val="auto"/>
              </w:rPr>
            </w:pPr>
            <w:r>
              <w:rPr>
                <w:rFonts w:ascii="Arial" w:cs="Arial" w:eastAsia="Arial" w:hAnsi="Arial"/>
                <w:sz w:val="18"/>
                <w:szCs w:val="18"/>
                <w:color w:val="auto"/>
                <w:w w:val="99"/>
              </w:rPr>
              <w:t>EACH</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9</w:t>
            </w:r>
          </w:p>
        </w:tc>
        <w:tc>
          <w:tcPr>
            <w:tcW w:w="6260" w:type="dxa"/>
            <w:vAlign w:val="bottom"/>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2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156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color w:val="auto"/>
                <w:w w:val="93"/>
              </w:rPr>
              <w:t>REPORTING</w:t>
            </w:r>
          </w:p>
        </w:tc>
        <w:tc>
          <w:tcPr>
            <w:tcW w:w="680" w:type="dxa"/>
            <w:vAlign w:val="bottom"/>
            <w:tcBorders>
              <w:right w:val="single" w:sz="8" w:color="auto"/>
            </w:tcBorders>
            <w:vMerge w:val="continue"/>
          </w:tcPr>
          <w:p>
            <w:pPr>
              <w:spacing w:after="0"/>
              <w:rPr>
                <w:sz w:val="18"/>
                <w:szCs w:val="18"/>
                <w:color w:val="auto"/>
              </w:rPr>
            </w:pPr>
          </w:p>
        </w:tc>
        <w:tc>
          <w:tcPr>
            <w:tcW w:w="6260" w:type="dxa"/>
            <w:vAlign w:val="bottom"/>
          </w:tcPr>
          <w:p>
            <w:pPr>
              <w:ind w:left="40"/>
              <w:spacing w:after="0"/>
              <w:rPr>
                <w:sz w:val="20"/>
                <w:szCs w:val="20"/>
                <w:color w:val="auto"/>
              </w:rPr>
            </w:pPr>
            <w:r>
              <w:rPr>
                <w:rFonts w:ascii="Arial" w:cs="Arial" w:eastAsia="Arial" w:hAnsi="Arial"/>
                <w:sz w:val="18"/>
                <w:szCs w:val="18"/>
                <w:color w:val="auto"/>
              </w:rPr>
              <w:t>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500" w:type="dxa"/>
            <w:vAlign w:val="bottom"/>
            <w:tcBorders>
              <w:lef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Borders>
              <w:right w:val="single" w:sz="8" w:color="auto"/>
            </w:tcBorders>
            <w:vMerge w:val="restart"/>
          </w:tcPr>
          <w:p>
            <w:pPr>
              <w:jc w:val="center"/>
              <w:ind w:right="590"/>
              <w:spacing w:after="0" w:line="201" w:lineRule="exact"/>
              <w:rPr>
                <w:sz w:val="20"/>
                <w:szCs w:val="20"/>
                <w:color w:val="auto"/>
              </w:rPr>
            </w:pPr>
            <w:r>
              <w:rPr>
                <w:rFonts w:ascii="Arial" w:cs="Arial" w:eastAsia="Arial" w:hAnsi="Arial"/>
                <w:sz w:val="18"/>
                <w:szCs w:val="18"/>
                <w:color w:val="auto"/>
                <w:w w:val="86"/>
              </w:rPr>
              <w:t>PERSON</w:t>
            </w:r>
          </w:p>
        </w:tc>
        <w:tc>
          <w:tcPr>
            <w:tcW w:w="680" w:type="dxa"/>
            <w:vAlign w:val="bottom"/>
            <w:tcBorders>
              <w:bottom w:val="single" w:sz="8" w:color="auto"/>
              <w:right w:val="single" w:sz="8" w:color="auto"/>
            </w:tcBorders>
          </w:tcPr>
          <w:p>
            <w:pPr>
              <w:spacing w:after="0"/>
              <w:rPr>
                <w:sz w:val="8"/>
                <w:szCs w:val="8"/>
                <w:color w:val="auto"/>
              </w:rPr>
            </w:pPr>
          </w:p>
        </w:tc>
        <w:tc>
          <w:tcPr>
            <w:tcW w:w="6260" w:type="dxa"/>
            <w:vAlign w:val="bottom"/>
            <w:tcBorders>
              <w:bottom w:val="single" w:sz="8" w:color="auto"/>
            </w:tcBorders>
          </w:tcPr>
          <w:p>
            <w:pPr>
              <w:spacing w:after="0"/>
              <w:rPr>
                <w:sz w:val="8"/>
                <w:szCs w:val="8"/>
                <w:color w:val="auto"/>
              </w:rPr>
            </w:pPr>
          </w:p>
        </w:tc>
        <w:tc>
          <w:tcPr>
            <w:tcW w:w="2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500" w:type="dxa"/>
            <w:vAlign w:val="bottom"/>
            <w:tcBorders>
              <w:left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26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500" w:type="dxa"/>
            <w:vAlign w:val="bottom"/>
            <w:tcBorders>
              <w:lef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Borders>
              <w:right w:val="single" w:sz="8" w:color="auto"/>
            </w:tcBorders>
            <w:vMerge w:val="restart"/>
          </w:tcPr>
          <w:p>
            <w:pPr>
              <w:jc w:val="center"/>
              <w:ind w:right="630"/>
              <w:spacing w:after="0"/>
              <w:rPr>
                <w:sz w:val="20"/>
                <w:szCs w:val="20"/>
                <w:color w:val="auto"/>
              </w:rPr>
            </w:pPr>
            <w:r>
              <w:rPr>
                <w:rFonts w:ascii="Arial" w:cs="Arial" w:eastAsia="Arial" w:hAnsi="Arial"/>
                <w:sz w:val="18"/>
                <w:szCs w:val="18"/>
                <w:color w:val="auto"/>
                <w:w w:val="99"/>
              </w:rPr>
              <w:t>WITH</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10</w:t>
            </w:r>
          </w:p>
        </w:tc>
        <w:tc>
          <w:tcPr>
            <w:tcW w:w="626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0" w:type="dxa"/>
            <w:vAlign w:val="bottom"/>
            <w:tcBorders>
              <w:lef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Borders>
              <w:right w:val="single" w:sz="8" w:color="auto"/>
            </w:tcBorders>
            <w:vMerge w:val="continue"/>
          </w:tcPr>
          <w:p>
            <w:pPr>
              <w:spacing w:after="0"/>
              <w:rPr>
                <w:sz w:val="14"/>
                <w:szCs w:val="14"/>
                <w:color w:val="auto"/>
              </w:rPr>
            </w:pPr>
          </w:p>
        </w:tc>
        <w:tc>
          <w:tcPr>
            <w:tcW w:w="680" w:type="dxa"/>
            <w:vAlign w:val="bottom"/>
            <w:tcBorders>
              <w:right w:val="single" w:sz="8" w:color="auto"/>
            </w:tcBorders>
            <w:vMerge w:val="continue"/>
          </w:tcPr>
          <w:p>
            <w:pPr>
              <w:spacing w:after="0"/>
              <w:rPr>
                <w:sz w:val="14"/>
                <w:szCs w:val="14"/>
                <w:color w:val="auto"/>
              </w:rPr>
            </w:pPr>
          </w:p>
        </w:tc>
        <w:tc>
          <w:tcPr>
            <w:tcW w:w="6260" w:type="dxa"/>
            <w:vAlign w:val="bottom"/>
            <w:vMerge w:val="restart"/>
          </w:tcPr>
          <w:p>
            <w:pPr>
              <w:ind w:left="40"/>
              <w:spacing w:after="0"/>
              <w:rPr>
                <w:sz w:val="20"/>
                <w:szCs w:val="20"/>
                <w:color w:val="auto"/>
              </w:rPr>
            </w:pPr>
            <w:r>
              <w:rPr>
                <w:rFonts w:ascii="Arial" w:cs="Arial" w:eastAsia="Arial" w:hAnsi="Arial"/>
                <w:sz w:val="18"/>
                <w:szCs w:val="18"/>
                <w:color w:val="auto"/>
              </w:rPr>
              <w:t>3,276,325</w:t>
            </w: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34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6260" w:type="dxa"/>
            <w:vAlign w:val="bottom"/>
            <w:vMerge w:val="continue"/>
          </w:tcPr>
          <w:p>
            <w:pPr>
              <w:spacing w:after="0"/>
              <w:rPr>
                <w:sz w:val="5"/>
                <w:szCs w:val="5"/>
                <w:color w:val="auto"/>
              </w:rPr>
            </w:pP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626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500" w:type="dxa"/>
            <w:vAlign w:val="bottom"/>
            <w:tcBorders>
              <w:left w:val="single" w:sz="8" w:color="auto"/>
            </w:tcBorders>
            <w:vMerge w:val="restart"/>
          </w:tcPr>
          <w:p>
            <w:pPr>
              <w:jc w:val="center"/>
              <w:ind w:left="97"/>
              <w:spacing w:after="0"/>
              <w:rPr>
                <w:sz w:val="20"/>
                <w:szCs w:val="20"/>
                <w:color w:val="auto"/>
              </w:rPr>
            </w:pPr>
            <w:r>
              <w:rPr>
                <w:rFonts w:ascii="Arial" w:cs="Arial" w:eastAsia="Arial" w:hAnsi="Arial"/>
                <w:sz w:val="25"/>
                <w:szCs w:val="25"/>
                <w:color w:val="auto"/>
                <w:w w:val="86"/>
              </w:rPr>
              <w:t>11</w:t>
            </w:r>
          </w:p>
        </w:tc>
        <w:tc>
          <w:tcPr>
            <w:tcW w:w="220" w:type="dxa"/>
            <w:vAlign w:val="bottom"/>
            <w:tcBorders>
              <w:right w:val="single" w:sz="8" w:color="auto"/>
            </w:tcBorders>
          </w:tcPr>
          <w:p>
            <w:pPr>
              <w:spacing w:after="0"/>
              <w:rPr>
                <w:sz w:val="21"/>
                <w:szCs w:val="21"/>
                <w:color w:val="auto"/>
              </w:rPr>
            </w:pPr>
          </w:p>
        </w:tc>
        <w:tc>
          <w:tcPr>
            <w:tcW w:w="8280" w:type="dxa"/>
            <w:vAlign w:val="bottom"/>
            <w:gridSpan w:val="3"/>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2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500" w:type="dxa"/>
            <w:vAlign w:val="bottom"/>
            <w:tcBorders>
              <w:left w:val="single" w:sz="8" w:color="auto"/>
            </w:tcBorders>
            <w:vMerge w:val="continue"/>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340" w:type="dxa"/>
            <w:vAlign w:val="bottom"/>
            <w:vMerge w:val="restart"/>
          </w:tcPr>
          <w:p>
            <w:pPr>
              <w:ind w:left="40"/>
              <w:spacing w:after="0"/>
              <w:rPr>
                <w:sz w:val="20"/>
                <w:szCs w:val="20"/>
                <w:color w:val="auto"/>
              </w:rPr>
            </w:pPr>
            <w:r>
              <w:rPr>
                <w:rFonts w:ascii="Arial" w:cs="Arial" w:eastAsia="Arial" w:hAnsi="Arial"/>
                <w:sz w:val="18"/>
                <w:szCs w:val="18"/>
                <w:color w:val="auto"/>
              </w:rPr>
              <w:t>3,276,325</w:t>
            </w:r>
          </w:p>
        </w:tc>
        <w:tc>
          <w:tcPr>
            <w:tcW w:w="68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60" w:type="dxa"/>
            <w:vAlign w:val="bottom"/>
          </w:tcPr>
          <w:p>
            <w:pPr>
              <w:spacing w:after="0"/>
              <w:rPr>
                <w:sz w:val="5"/>
                <w:szCs w:val="5"/>
                <w:color w:val="auto"/>
              </w:rPr>
            </w:pP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6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00" w:type="dxa"/>
            <w:vAlign w:val="bottom"/>
            <w:tcBorders>
              <w:left w:val="single" w:sz="8" w:color="auto"/>
            </w:tcBorders>
            <w:vMerge w:val="restart"/>
          </w:tcPr>
          <w:p>
            <w:pPr>
              <w:jc w:val="center"/>
              <w:ind w:left="97"/>
              <w:spacing w:after="0"/>
              <w:rPr>
                <w:sz w:val="20"/>
                <w:szCs w:val="20"/>
                <w:color w:val="auto"/>
              </w:rPr>
            </w:pPr>
            <w:r>
              <w:rPr>
                <w:rFonts w:ascii="Arial" w:cs="Arial" w:eastAsia="Arial" w:hAnsi="Arial"/>
                <w:sz w:val="25"/>
                <w:szCs w:val="25"/>
                <w:color w:val="auto"/>
                <w:w w:val="86"/>
              </w:rPr>
              <w:t>12</w:t>
            </w:r>
          </w:p>
        </w:tc>
        <w:tc>
          <w:tcPr>
            <w:tcW w:w="220" w:type="dxa"/>
            <w:vAlign w:val="bottom"/>
            <w:tcBorders>
              <w:right w:val="single" w:sz="8" w:color="auto"/>
            </w:tcBorders>
          </w:tcPr>
          <w:p>
            <w:pPr>
              <w:spacing w:after="0"/>
              <w:rPr>
                <w:sz w:val="22"/>
                <w:szCs w:val="22"/>
                <w:color w:val="auto"/>
              </w:rPr>
            </w:pPr>
          </w:p>
        </w:tc>
        <w:tc>
          <w:tcPr>
            <w:tcW w:w="8280" w:type="dxa"/>
            <w:vAlign w:val="bottom"/>
            <w:gridSpan w:val="3"/>
          </w:tcPr>
          <w:p>
            <w:pPr>
              <w:ind w:left="4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2240" w:type="dxa"/>
            <w:vAlign w:val="bottom"/>
            <w:tcBorders>
              <w:right w:val="single" w:sz="8" w:color="auto"/>
            </w:tcBorders>
          </w:tcPr>
          <w:p>
            <w:pPr>
              <w:ind w:left="19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157"/>
        </w:trPr>
        <w:tc>
          <w:tcPr>
            <w:tcW w:w="500" w:type="dxa"/>
            <w:vAlign w:val="bottom"/>
            <w:tcBorders>
              <w:left w:val="single" w:sz="8" w:color="auto"/>
            </w:tcBorders>
            <w:vMerge w:val="continue"/>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60" w:type="dxa"/>
            <w:vAlign w:val="bottom"/>
          </w:tcPr>
          <w:p>
            <w:pPr>
              <w:spacing w:after="0"/>
              <w:rPr>
                <w:sz w:val="13"/>
                <w:szCs w:val="13"/>
                <w:color w:val="auto"/>
              </w:rPr>
            </w:pPr>
          </w:p>
        </w:tc>
        <w:tc>
          <w:tcPr>
            <w:tcW w:w="22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500" w:type="dxa"/>
            <w:vAlign w:val="bottom"/>
            <w:tcBorders>
              <w:left w:val="single" w:sz="8" w:color="auto"/>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260" w:type="dxa"/>
            <w:vAlign w:val="bottom"/>
            <w:tcBorders>
              <w:bottom w:val="single" w:sz="8" w:color="auto"/>
            </w:tcBorders>
          </w:tcPr>
          <w:p>
            <w:pPr>
              <w:spacing w:after="0"/>
              <w:rPr>
                <w:sz w:val="9"/>
                <w:szCs w:val="9"/>
                <w:color w:val="auto"/>
              </w:rPr>
            </w:pPr>
          </w:p>
        </w:tc>
        <w:tc>
          <w:tcPr>
            <w:tcW w:w="22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500" w:type="dxa"/>
            <w:vAlign w:val="bottom"/>
            <w:tcBorders>
              <w:left w:val="single" w:sz="8" w:color="auto"/>
            </w:tcBorders>
            <w:vMerge w:val="restart"/>
          </w:tcPr>
          <w:p>
            <w:pPr>
              <w:jc w:val="center"/>
              <w:ind w:left="97"/>
              <w:spacing w:after="0"/>
              <w:rPr>
                <w:sz w:val="20"/>
                <w:szCs w:val="20"/>
                <w:color w:val="auto"/>
              </w:rPr>
            </w:pPr>
            <w:r>
              <w:rPr>
                <w:rFonts w:ascii="Arial" w:cs="Arial" w:eastAsia="Arial" w:hAnsi="Arial"/>
                <w:sz w:val="25"/>
                <w:szCs w:val="25"/>
                <w:color w:val="auto"/>
                <w:w w:val="86"/>
              </w:rPr>
              <w:t>13</w:t>
            </w:r>
          </w:p>
        </w:tc>
        <w:tc>
          <w:tcPr>
            <w:tcW w:w="220" w:type="dxa"/>
            <w:vAlign w:val="bottom"/>
            <w:tcBorders>
              <w:right w:val="single" w:sz="8" w:color="auto"/>
            </w:tcBorders>
          </w:tcPr>
          <w:p>
            <w:pPr>
              <w:spacing w:after="0"/>
              <w:rPr>
                <w:sz w:val="21"/>
                <w:szCs w:val="21"/>
                <w:color w:val="auto"/>
              </w:rPr>
            </w:pPr>
          </w:p>
        </w:tc>
        <w:tc>
          <w:tcPr>
            <w:tcW w:w="8280" w:type="dxa"/>
            <w:vAlign w:val="bottom"/>
            <w:gridSpan w:val="3"/>
          </w:tcPr>
          <w:p>
            <w:pPr>
              <w:ind w:left="40"/>
              <w:spacing w:after="0"/>
              <w:rPr>
                <w:sz w:val="20"/>
                <w:szCs w:val="20"/>
                <w:color w:val="auto"/>
              </w:rPr>
            </w:pPr>
            <w:r>
              <w:rPr>
                <w:rFonts w:ascii="Arial" w:cs="Arial" w:eastAsia="Arial" w:hAnsi="Arial"/>
                <w:sz w:val="18"/>
                <w:szCs w:val="18"/>
                <w:color w:val="auto"/>
              </w:rPr>
              <w:t>Percent of Class Represented by Amount in Row (11)</w:t>
            </w:r>
          </w:p>
        </w:tc>
        <w:tc>
          <w:tcPr>
            <w:tcW w:w="2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500" w:type="dxa"/>
            <w:vAlign w:val="bottom"/>
            <w:tcBorders>
              <w:left w:val="single" w:sz="8" w:color="auto"/>
            </w:tcBorders>
            <w:vMerge w:val="continue"/>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340" w:type="dxa"/>
            <w:vAlign w:val="bottom"/>
            <w:vMerge w:val="restart"/>
          </w:tcPr>
          <w:p>
            <w:pPr>
              <w:ind w:left="40"/>
              <w:spacing w:after="0"/>
              <w:rPr>
                <w:sz w:val="20"/>
                <w:szCs w:val="20"/>
                <w:color w:val="auto"/>
              </w:rPr>
            </w:pPr>
            <w:r>
              <w:rPr>
                <w:rFonts w:ascii="Arial" w:cs="Arial" w:eastAsia="Arial" w:hAnsi="Arial"/>
                <w:sz w:val="18"/>
                <w:szCs w:val="18"/>
                <w:color w:val="auto"/>
              </w:rPr>
              <w:t>8.9%*</w:t>
            </w:r>
          </w:p>
        </w:tc>
        <w:tc>
          <w:tcPr>
            <w:tcW w:w="68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60" w:type="dxa"/>
            <w:vAlign w:val="bottom"/>
          </w:tcPr>
          <w:p>
            <w:pPr>
              <w:spacing w:after="0"/>
              <w:rPr>
                <w:sz w:val="5"/>
                <w:szCs w:val="5"/>
                <w:color w:val="auto"/>
              </w:rPr>
            </w:pP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6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500" w:type="dxa"/>
            <w:vAlign w:val="bottom"/>
            <w:tcBorders>
              <w:left w:val="single" w:sz="8" w:color="auto"/>
            </w:tcBorders>
            <w:vMerge w:val="restart"/>
          </w:tcPr>
          <w:p>
            <w:pPr>
              <w:jc w:val="center"/>
              <w:ind w:left="97"/>
              <w:spacing w:after="0"/>
              <w:rPr>
                <w:sz w:val="20"/>
                <w:szCs w:val="20"/>
                <w:color w:val="auto"/>
              </w:rPr>
            </w:pPr>
            <w:r>
              <w:rPr>
                <w:rFonts w:ascii="Arial" w:cs="Arial" w:eastAsia="Arial" w:hAnsi="Arial"/>
                <w:sz w:val="25"/>
                <w:szCs w:val="25"/>
                <w:color w:val="auto"/>
                <w:w w:val="86"/>
              </w:rPr>
              <w:t>14</w:t>
            </w:r>
          </w:p>
        </w:tc>
        <w:tc>
          <w:tcPr>
            <w:tcW w:w="220" w:type="dxa"/>
            <w:vAlign w:val="bottom"/>
            <w:tcBorders>
              <w:right w:val="single" w:sz="8" w:color="auto"/>
            </w:tcBorders>
          </w:tcPr>
          <w:p>
            <w:pPr>
              <w:spacing w:after="0"/>
              <w:rPr>
                <w:sz w:val="21"/>
                <w:szCs w:val="21"/>
                <w:color w:val="auto"/>
              </w:rPr>
            </w:pPr>
          </w:p>
        </w:tc>
        <w:tc>
          <w:tcPr>
            <w:tcW w:w="8280" w:type="dxa"/>
            <w:vAlign w:val="bottom"/>
            <w:gridSpan w:val="3"/>
          </w:tcPr>
          <w:p>
            <w:pPr>
              <w:ind w:left="40"/>
              <w:spacing w:after="0"/>
              <w:rPr>
                <w:sz w:val="20"/>
                <w:szCs w:val="20"/>
                <w:color w:val="auto"/>
              </w:rPr>
            </w:pPr>
            <w:r>
              <w:rPr>
                <w:rFonts w:ascii="Arial" w:cs="Arial" w:eastAsia="Arial" w:hAnsi="Arial"/>
                <w:sz w:val="18"/>
                <w:szCs w:val="18"/>
                <w:color w:val="auto"/>
              </w:rPr>
              <w:t>Type of Reporting Person (See Instructions)</w:t>
            </w:r>
          </w:p>
        </w:tc>
        <w:tc>
          <w:tcPr>
            <w:tcW w:w="2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500" w:type="dxa"/>
            <w:vAlign w:val="bottom"/>
            <w:tcBorders>
              <w:left w:val="single" w:sz="8" w:color="auto"/>
            </w:tcBorders>
            <w:vMerge w:val="continue"/>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340" w:type="dxa"/>
            <w:vAlign w:val="bottom"/>
            <w:vMerge w:val="restart"/>
          </w:tcPr>
          <w:p>
            <w:pPr>
              <w:ind w:left="40"/>
              <w:spacing w:after="0"/>
              <w:rPr>
                <w:sz w:val="20"/>
                <w:szCs w:val="20"/>
                <w:color w:val="auto"/>
              </w:rPr>
            </w:pPr>
            <w:r>
              <w:rPr>
                <w:rFonts w:ascii="Arial" w:cs="Arial" w:eastAsia="Arial" w:hAnsi="Arial"/>
                <w:sz w:val="18"/>
                <w:szCs w:val="18"/>
                <w:color w:val="auto"/>
              </w:rPr>
              <w:t>IA</w:t>
            </w:r>
          </w:p>
        </w:tc>
        <w:tc>
          <w:tcPr>
            <w:tcW w:w="68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60" w:type="dxa"/>
            <w:vAlign w:val="bottom"/>
          </w:tcPr>
          <w:p>
            <w:pPr>
              <w:spacing w:after="0"/>
              <w:rPr>
                <w:sz w:val="5"/>
                <w:szCs w:val="5"/>
                <w:color w:val="auto"/>
              </w:rPr>
            </w:pP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6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ind w:right="100" w:firstLine="8"/>
        <w:spacing w:after="0" w:line="238" w:lineRule="auto"/>
        <w:tabs>
          <w:tab w:leader="none" w:pos="108" w:val="left"/>
        </w:tabs>
        <w:numPr>
          <w:ilvl w:val="0"/>
          <w:numId w:val="2"/>
        </w:numPr>
        <w:rPr>
          <w:rFonts w:ascii="Arial" w:cs="Arial" w:eastAsia="Arial" w:hAnsi="Arial"/>
          <w:sz w:val="14"/>
          <w:szCs w:val="14"/>
          <w:color w:val="auto"/>
        </w:rPr>
      </w:pPr>
      <w:r>
        <w:rPr>
          <w:rFonts w:ascii="Arial" w:cs="Arial" w:eastAsia="Arial" w:hAnsi="Arial"/>
          <w:sz w:val="14"/>
          <w:szCs w:val="14"/>
          <w:color w:val="auto"/>
        </w:rPr>
        <w:t>This percentage is calculated based upon 36,668,085 shares of common stock outstanding of Repare Therapeutics Inc. (the “</w:t>
      </w:r>
      <w:r>
        <w:rPr>
          <w:rFonts w:ascii="Arial" w:cs="Arial" w:eastAsia="Arial" w:hAnsi="Arial"/>
          <w:sz w:val="14"/>
          <w:szCs w:val="14"/>
          <w:u w:val="single" w:color="auto"/>
          <w:color w:val="auto"/>
        </w:rPr>
        <w:t>Issuer</w:t>
      </w:r>
      <w:r>
        <w:rPr>
          <w:rFonts w:ascii="Arial" w:cs="Arial" w:eastAsia="Arial" w:hAnsi="Arial"/>
          <w:sz w:val="14"/>
          <w:szCs w:val="14"/>
          <w:color w:val="auto"/>
        </w:rPr>
        <w:t>”), as set forth in the Issuer’s Rule 424(b)(4) Prospectus filed with the Securities and Exchange Commission (“</w:t>
      </w:r>
      <w:r>
        <w:rPr>
          <w:rFonts w:ascii="Arial" w:cs="Arial" w:eastAsia="Arial" w:hAnsi="Arial"/>
          <w:sz w:val="14"/>
          <w:szCs w:val="14"/>
          <w:u w:val="single" w:color="auto"/>
          <w:color w:val="auto"/>
        </w:rPr>
        <w:t>SEC</w:t>
      </w:r>
      <w:r>
        <w:rPr>
          <w:rFonts w:ascii="Arial" w:cs="Arial" w:eastAsia="Arial" w:hAnsi="Arial"/>
          <w:sz w:val="14"/>
          <w:szCs w:val="14"/>
          <w:color w:val="auto"/>
        </w:rPr>
        <w:t>”) on June 19, 2020 and giving effect to the additional 1,650,000 shares of common stock issued and sold by the Issuer to the underwriters pursuant to the underwriters’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2" w:name="page3"/>
    <w:bookmarkEnd w:id="2"/>
    <w:p>
      <w:pPr>
        <w:ind w:left="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2160270"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60270" cy="308610"/>
                    </a:xfrm>
                    <a:prstGeom prst="rect">
                      <a:avLst/>
                    </a:prstGeom>
                    <a:noFill/>
                  </pic:spPr>
                </pic:pic>
              </a:graphicData>
            </a:graphic>
          </wp:anchor>
        </w:drawing>
        <w:t xml:space="preserve">CUSIP No. </w:t>
      </w:r>
      <w:r>
        <w:rPr>
          <w:rFonts w:ascii="Arial" w:cs="Arial" w:eastAsia="Arial" w:hAnsi="Arial"/>
          <w:sz w:val="18"/>
          <w:szCs w:val="18"/>
          <w:b w:val="1"/>
          <w:bCs w:val="1"/>
          <w:color w:val="333333"/>
        </w:rPr>
        <w:t>760273102</w:t>
      </w:r>
    </w:p>
    <w:p>
      <w:pPr>
        <w:spacing w:after="0" w:line="385"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500" w:type="dxa"/>
            <w:vAlign w:val="bottom"/>
            <w:tcBorders>
              <w:top w:val="single" w:sz="8" w:color="auto"/>
              <w:left w:val="single" w:sz="8" w:color="auto"/>
            </w:tcBorders>
            <w:vMerge w:val="restart"/>
          </w:tcPr>
          <w:p>
            <w:pPr>
              <w:jc w:val="center"/>
              <w:ind w:left="97"/>
              <w:spacing w:after="0"/>
              <w:rPr>
                <w:sz w:val="20"/>
                <w:szCs w:val="20"/>
                <w:color w:val="auto"/>
              </w:rPr>
            </w:pPr>
            <w:r>
              <w:rPr>
                <w:rFonts w:ascii="Arial" w:cs="Arial" w:eastAsia="Arial" w:hAnsi="Arial"/>
                <w:sz w:val="25"/>
                <w:szCs w:val="25"/>
                <w:color w:val="auto"/>
                <w:w w:val="85"/>
              </w:rPr>
              <w:t>1</w:t>
            </w:r>
          </w:p>
        </w:tc>
        <w:tc>
          <w:tcPr>
            <w:tcW w:w="220" w:type="dxa"/>
            <w:vAlign w:val="bottom"/>
            <w:tcBorders>
              <w:top w:val="single" w:sz="8" w:color="auto"/>
              <w:right w:val="single" w:sz="8" w:color="auto"/>
            </w:tcBorders>
          </w:tcPr>
          <w:p>
            <w:pPr>
              <w:spacing w:after="0"/>
              <w:rPr>
                <w:sz w:val="23"/>
                <w:szCs w:val="23"/>
                <w:color w:val="auto"/>
              </w:rPr>
            </w:pPr>
          </w:p>
        </w:tc>
        <w:tc>
          <w:tcPr>
            <w:tcW w:w="828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color w:val="auto"/>
              </w:rPr>
              <w:t>Names of Reporting Persons.</w:t>
            </w:r>
          </w:p>
        </w:tc>
        <w:tc>
          <w:tcPr>
            <w:tcW w:w="224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500" w:type="dxa"/>
            <w:vAlign w:val="bottom"/>
            <w:tcBorders>
              <w:left w:val="single" w:sz="8" w:color="auto"/>
            </w:tcBorders>
            <w:vMerge w:val="continue"/>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8280" w:type="dxa"/>
            <w:vAlign w:val="bottom"/>
            <w:gridSpan w:val="3"/>
            <w:vMerge w:val="restart"/>
          </w:tcPr>
          <w:p>
            <w:pPr>
              <w:ind w:left="40"/>
              <w:spacing w:after="0"/>
              <w:rPr>
                <w:sz w:val="20"/>
                <w:szCs w:val="20"/>
                <w:color w:val="auto"/>
              </w:rPr>
            </w:pPr>
            <w:r>
              <w:rPr>
                <w:rFonts w:ascii="Arial" w:cs="Arial" w:eastAsia="Arial" w:hAnsi="Arial"/>
                <w:sz w:val="18"/>
                <w:szCs w:val="18"/>
                <w:color w:val="auto"/>
              </w:rPr>
              <w:t>OrbiMed Capital GP VII LLC</w:t>
            </w: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8280" w:type="dxa"/>
            <w:vAlign w:val="bottom"/>
            <w:gridSpan w:val="3"/>
            <w:vMerge w:val="continue"/>
          </w:tcPr>
          <w:p>
            <w:pPr>
              <w:spacing w:after="0"/>
              <w:rPr>
                <w:sz w:val="5"/>
                <w:szCs w:val="5"/>
                <w:color w:val="auto"/>
              </w:rPr>
            </w:pP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8280" w:type="dxa"/>
            <w:vAlign w:val="bottom"/>
            <w:tcBorders>
              <w:bottom w:val="single" w:sz="8" w:color="auto"/>
            </w:tcBorders>
            <w:gridSpan w:val="3"/>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500" w:type="dxa"/>
            <w:vAlign w:val="bottom"/>
            <w:tcBorders>
              <w:left w:val="single" w:sz="8" w:color="auto"/>
            </w:tcBorders>
            <w:vMerge w:val="restart"/>
          </w:tcPr>
          <w:p>
            <w:pPr>
              <w:jc w:val="center"/>
              <w:ind w:left="97"/>
              <w:spacing w:after="0"/>
              <w:rPr>
                <w:sz w:val="20"/>
                <w:szCs w:val="20"/>
                <w:color w:val="auto"/>
              </w:rPr>
            </w:pPr>
            <w:r>
              <w:rPr>
                <w:rFonts w:ascii="Arial" w:cs="Arial" w:eastAsia="Arial" w:hAnsi="Arial"/>
                <w:sz w:val="25"/>
                <w:szCs w:val="25"/>
                <w:color w:val="auto"/>
                <w:w w:val="85"/>
              </w:rPr>
              <w:t>2</w:t>
            </w:r>
          </w:p>
        </w:tc>
        <w:tc>
          <w:tcPr>
            <w:tcW w:w="220" w:type="dxa"/>
            <w:vAlign w:val="bottom"/>
            <w:tcBorders>
              <w:right w:val="single" w:sz="8" w:color="auto"/>
            </w:tcBorders>
          </w:tcPr>
          <w:p>
            <w:pPr>
              <w:spacing w:after="0"/>
              <w:rPr>
                <w:sz w:val="21"/>
                <w:szCs w:val="21"/>
                <w:color w:val="auto"/>
              </w:rPr>
            </w:pPr>
          </w:p>
        </w:tc>
        <w:tc>
          <w:tcPr>
            <w:tcW w:w="8280" w:type="dxa"/>
            <w:vAlign w:val="bottom"/>
            <w:gridSpan w:val="3"/>
          </w:tcPr>
          <w:p>
            <w:pPr>
              <w:ind w:left="4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2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vMerge w:val="continue"/>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340" w:type="dxa"/>
            <w:vAlign w:val="bottom"/>
          </w:tcPr>
          <w:p>
            <w:pPr>
              <w:ind w:left="40"/>
              <w:spacing w:after="0"/>
              <w:rPr>
                <w:sz w:val="20"/>
                <w:szCs w:val="20"/>
                <w:color w:val="auto"/>
              </w:rPr>
            </w:pPr>
            <w:r>
              <w:rPr>
                <w:rFonts w:ascii="Arial" w:cs="Arial" w:eastAsia="Arial" w:hAnsi="Arial"/>
                <w:sz w:val="18"/>
                <w:szCs w:val="18"/>
                <w:color w:val="auto"/>
              </w:rPr>
              <w:t>(a) o</w:t>
            </w:r>
          </w:p>
        </w:tc>
        <w:tc>
          <w:tcPr>
            <w:tcW w:w="68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340" w:type="dxa"/>
            <w:vAlign w:val="bottom"/>
          </w:tcPr>
          <w:p>
            <w:pPr>
              <w:ind w:left="40"/>
              <w:spacing w:after="0"/>
              <w:rPr>
                <w:sz w:val="20"/>
                <w:szCs w:val="20"/>
                <w:color w:val="auto"/>
              </w:rPr>
            </w:pPr>
            <w:r>
              <w:rPr>
                <w:rFonts w:ascii="Arial" w:cs="Arial" w:eastAsia="Arial" w:hAnsi="Arial"/>
                <w:sz w:val="18"/>
                <w:szCs w:val="18"/>
                <w:color w:val="auto"/>
              </w:rPr>
              <w:t>(b) o</w:t>
            </w:r>
          </w:p>
        </w:tc>
        <w:tc>
          <w:tcPr>
            <w:tcW w:w="68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6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500" w:type="dxa"/>
            <w:vAlign w:val="bottom"/>
            <w:tcBorders>
              <w:left w:val="single" w:sz="8" w:color="auto"/>
            </w:tcBorders>
          </w:tcPr>
          <w:p>
            <w:pPr>
              <w:jc w:val="center"/>
              <w:ind w:left="97"/>
              <w:spacing w:after="0"/>
              <w:rPr>
                <w:sz w:val="20"/>
                <w:szCs w:val="20"/>
                <w:color w:val="auto"/>
              </w:rPr>
            </w:pPr>
            <w:r>
              <w:rPr>
                <w:rFonts w:ascii="Arial" w:cs="Arial" w:eastAsia="Arial" w:hAnsi="Arial"/>
                <w:sz w:val="25"/>
                <w:szCs w:val="25"/>
                <w:color w:val="auto"/>
                <w:w w:val="85"/>
              </w:rPr>
              <w:t>3</w:t>
            </w:r>
          </w:p>
        </w:tc>
        <w:tc>
          <w:tcPr>
            <w:tcW w:w="220" w:type="dxa"/>
            <w:vAlign w:val="bottom"/>
            <w:tcBorders>
              <w:right w:val="single" w:sz="8" w:color="auto"/>
            </w:tcBorders>
          </w:tcPr>
          <w:p>
            <w:pPr>
              <w:spacing w:after="0"/>
              <w:rPr>
                <w:sz w:val="24"/>
                <w:szCs w:val="24"/>
                <w:color w:val="auto"/>
              </w:rPr>
            </w:pPr>
          </w:p>
        </w:tc>
        <w:tc>
          <w:tcPr>
            <w:tcW w:w="134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500" w:type="dxa"/>
            <w:vAlign w:val="bottom"/>
            <w:tcBorders>
              <w:left w:val="single" w:sz="8" w:color="auto"/>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8280" w:type="dxa"/>
            <w:vAlign w:val="bottom"/>
            <w:tcBorders>
              <w:bottom w:val="single" w:sz="8" w:color="auto"/>
            </w:tcBorders>
            <w:gridSpan w:val="3"/>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500" w:type="dxa"/>
            <w:vAlign w:val="bottom"/>
            <w:tcBorders>
              <w:left w:val="single" w:sz="8" w:color="auto"/>
            </w:tcBorders>
            <w:vMerge w:val="restart"/>
          </w:tcPr>
          <w:p>
            <w:pPr>
              <w:jc w:val="center"/>
              <w:ind w:left="97"/>
              <w:spacing w:after="0"/>
              <w:rPr>
                <w:sz w:val="20"/>
                <w:szCs w:val="20"/>
                <w:color w:val="auto"/>
              </w:rPr>
            </w:pPr>
            <w:r>
              <w:rPr>
                <w:rFonts w:ascii="Arial" w:cs="Arial" w:eastAsia="Arial" w:hAnsi="Arial"/>
                <w:sz w:val="25"/>
                <w:szCs w:val="25"/>
                <w:color w:val="auto"/>
                <w:w w:val="85"/>
              </w:rPr>
              <w:t>4</w:t>
            </w:r>
          </w:p>
        </w:tc>
        <w:tc>
          <w:tcPr>
            <w:tcW w:w="220" w:type="dxa"/>
            <w:vAlign w:val="bottom"/>
            <w:tcBorders>
              <w:right w:val="single" w:sz="8" w:color="auto"/>
            </w:tcBorders>
          </w:tcPr>
          <w:p>
            <w:pPr>
              <w:spacing w:after="0"/>
              <w:rPr>
                <w:sz w:val="21"/>
                <w:szCs w:val="21"/>
                <w:color w:val="auto"/>
              </w:rPr>
            </w:pPr>
          </w:p>
        </w:tc>
        <w:tc>
          <w:tcPr>
            <w:tcW w:w="8280" w:type="dxa"/>
            <w:vAlign w:val="bottom"/>
            <w:gridSpan w:val="3"/>
          </w:tcPr>
          <w:p>
            <w:pPr>
              <w:ind w:left="40"/>
              <w:spacing w:after="0"/>
              <w:rPr>
                <w:sz w:val="20"/>
                <w:szCs w:val="20"/>
                <w:color w:val="auto"/>
              </w:rPr>
            </w:pPr>
            <w:r>
              <w:rPr>
                <w:rFonts w:ascii="Arial" w:cs="Arial" w:eastAsia="Arial" w:hAnsi="Arial"/>
                <w:sz w:val="18"/>
                <w:szCs w:val="18"/>
                <w:color w:val="auto"/>
              </w:rPr>
              <w:t>Source of Funds (See Instructions)</w:t>
            </w:r>
          </w:p>
        </w:tc>
        <w:tc>
          <w:tcPr>
            <w:tcW w:w="2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500" w:type="dxa"/>
            <w:vAlign w:val="bottom"/>
            <w:tcBorders>
              <w:left w:val="single" w:sz="8" w:color="auto"/>
            </w:tcBorders>
            <w:vMerge w:val="continue"/>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340" w:type="dxa"/>
            <w:vAlign w:val="bottom"/>
            <w:vMerge w:val="restart"/>
          </w:tcPr>
          <w:p>
            <w:pPr>
              <w:ind w:left="40"/>
              <w:spacing w:after="0"/>
              <w:rPr>
                <w:sz w:val="20"/>
                <w:szCs w:val="20"/>
                <w:color w:val="auto"/>
              </w:rPr>
            </w:pPr>
            <w:r>
              <w:rPr>
                <w:rFonts w:ascii="Arial" w:cs="Arial" w:eastAsia="Arial" w:hAnsi="Arial"/>
                <w:sz w:val="18"/>
                <w:szCs w:val="18"/>
                <w:color w:val="auto"/>
              </w:rPr>
              <w:t>AF</w:t>
            </w:r>
          </w:p>
        </w:tc>
        <w:tc>
          <w:tcPr>
            <w:tcW w:w="68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60" w:type="dxa"/>
            <w:vAlign w:val="bottom"/>
          </w:tcPr>
          <w:p>
            <w:pPr>
              <w:spacing w:after="0"/>
              <w:rPr>
                <w:sz w:val="5"/>
                <w:szCs w:val="5"/>
                <w:color w:val="auto"/>
              </w:rPr>
            </w:pP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8280" w:type="dxa"/>
            <w:vAlign w:val="bottom"/>
            <w:tcBorders>
              <w:bottom w:val="single" w:sz="8" w:color="auto"/>
            </w:tcBorders>
            <w:gridSpan w:val="3"/>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500" w:type="dxa"/>
            <w:vAlign w:val="bottom"/>
            <w:tcBorders>
              <w:left w:val="single" w:sz="8" w:color="auto"/>
            </w:tcBorders>
          </w:tcPr>
          <w:p>
            <w:pPr>
              <w:jc w:val="center"/>
              <w:ind w:left="97"/>
              <w:spacing w:after="0"/>
              <w:rPr>
                <w:sz w:val="20"/>
                <w:szCs w:val="20"/>
                <w:color w:val="auto"/>
              </w:rPr>
            </w:pPr>
            <w:r>
              <w:rPr>
                <w:rFonts w:ascii="Arial" w:cs="Arial" w:eastAsia="Arial" w:hAnsi="Arial"/>
                <w:sz w:val="25"/>
                <w:szCs w:val="25"/>
                <w:color w:val="auto"/>
                <w:w w:val="85"/>
              </w:rPr>
              <w:t>5</w:t>
            </w:r>
          </w:p>
        </w:tc>
        <w:tc>
          <w:tcPr>
            <w:tcW w:w="220" w:type="dxa"/>
            <w:vAlign w:val="bottom"/>
            <w:tcBorders>
              <w:right w:val="single" w:sz="8" w:color="auto"/>
            </w:tcBorders>
          </w:tcPr>
          <w:p>
            <w:pPr>
              <w:spacing w:after="0"/>
              <w:rPr>
                <w:sz w:val="24"/>
                <w:szCs w:val="24"/>
                <w:color w:val="auto"/>
              </w:rPr>
            </w:pPr>
          </w:p>
        </w:tc>
        <w:tc>
          <w:tcPr>
            <w:tcW w:w="8280" w:type="dxa"/>
            <w:vAlign w:val="bottom"/>
            <w:gridSpan w:val="3"/>
          </w:tcPr>
          <w:p>
            <w:pPr>
              <w:ind w:left="4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2240" w:type="dxa"/>
            <w:vAlign w:val="bottom"/>
            <w:tcBorders>
              <w:right w:val="single" w:sz="8" w:color="auto"/>
            </w:tcBorders>
          </w:tcPr>
          <w:p>
            <w:pPr>
              <w:ind w:left="19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39"/>
        </w:trPr>
        <w:tc>
          <w:tcPr>
            <w:tcW w:w="500" w:type="dxa"/>
            <w:vAlign w:val="bottom"/>
            <w:tcBorders>
              <w:left w:val="single" w:sz="8" w:color="auto"/>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8280" w:type="dxa"/>
            <w:vAlign w:val="bottom"/>
            <w:tcBorders>
              <w:bottom w:val="single" w:sz="8" w:color="auto"/>
            </w:tcBorders>
            <w:gridSpan w:val="3"/>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500" w:type="dxa"/>
            <w:vAlign w:val="bottom"/>
            <w:tcBorders>
              <w:left w:val="single" w:sz="8" w:color="auto"/>
            </w:tcBorders>
            <w:vMerge w:val="restart"/>
          </w:tcPr>
          <w:p>
            <w:pPr>
              <w:jc w:val="center"/>
              <w:ind w:left="97"/>
              <w:spacing w:after="0"/>
              <w:rPr>
                <w:sz w:val="20"/>
                <w:szCs w:val="20"/>
                <w:color w:val="auto"/>
              </w:rPr>
            </w:pPr>
            <w:r>
              <w:rPr>
                <w:rFonts w:ascii="Arial" w:cs="Arial" w:eastAsia="Arial" w:hAnsi="Arial"/>
                <w:sz w:val="25"/>
                <w:szCs w:val="25"/>
                <w:color w:val="auto"/>
                <w:w w:val="85"/>
              </w:rPr>
              <w:t>6</w:t>
            </w:r>
          </w:p>
        </w:tc>
        <w:tc>
          <w:tcPr>
            <w:tcW w:w="220" w:type="dxa"/>
            <w:vAlign w:val="bottom"/>
            <w:tcBorders>
              <w:right w:val="single" w:sz="8" w:color="auto"/>
            </w:tcBorders>
          </w:tcPr>
          <w:p>
            <w:pPr>
              <w:spacing w:after="0"/>
              <w:rPr>
                <w:sz w:val="21"/>
                <w:szCs w:val="21"/>
                <w:color w:val="auto"/>
              </w:rPr>
            </w:pPr>
          </w:p>
        </w:tc>
        <w:tc>
          <w:tcPr>
            <w:tcW w:w="8280" w:type="dxa"/>
            <w:vAlign w:val="bottom"/>
            <w:gridSpan w:val="3"/>
          </w:tcPr>
          <w:p>
            <w:pPr>
              <w:ind w:left="40"/>
              <w:spacing w:after="0"/>
              <w:rPr>
                <w:sz w:val="20"/>
                <w:szCs w:val="20"/>
                <w:color w:val="auto"/>
              </w:rPr>
            </w:pPr>
            <w:r>
              <w:rPr>
                <w:rFonts w:ascii="Arial" w:cs="Arial" w:eastAsia="Arial" w:hAnsi="Arial"/>
                <w:sz w:val="18"/>
                <w:szCs w:val="18"/>
                <w:color w:val="auto"/>
              </w:rPr>
              <w:t>Citizenship or Place of Organization</w:t>
            </w:r>
          </w:p>
        </w:tc>
        <w:tc>
          <w:tcPr>
            <w:tcW w:w="2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500" w:type="dxa"/>
            <w:vAlign w:val="bottom"/>
            <w:tcBorders>
              <w:left w:val="single" w:sz="8" w:color="auto"/>
            </w:tcBorders>
            <w:vMerge w:val="continue"/>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340" w:type="dxa"/>
            <w:vAlign w:val="bottom"/>
            <w:vMerge w:val="restart"/>
          </w:tcPr>
          <w:p>
            <w:pPr>
              <w:ind w:left="40"/>
              <w:spacing w:after="0"/>
              <w:rPr>
                <w:sz w:val="20"/>
                <w:szCs w:val="20"/>
                <w:color w:val="auto"/>
              </w:rPr>
            </w:pPr>
            <w:r>
              <w:rPr>
                <w:rFonts w:ascii="Arial" w:cs="Arial" w:eastAsia="Arial" w:hAnsi="Arial"/>
                <w:sz w:val="18"/>
                <w:szCs w:val="18"/>
                <w:color w:val="auto"/>
              </w:rPr>
              <w:t>Delaware</w:t>
            </w:r>
          </w:p>
        </w:tc>
        <w:tc>
          <w:tcPr>
            <w:tcW w:w="68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60" w:type="dxa"/>
            <w:vAlign w:val="bottom"/>
          </w:tcPr>
          <w:p>
            <w:pPr>
              <w:spacing w:after="0"/>
              <w:rPr>
                <w:sz w:val="5"/>
                <w:szCs w:val="5"/>
                <w:color w:val="auto"/>
              </w:rPr>
            </w:pP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6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500" w:type="dxa"/>
            <w:vAlign w:val="bottom"/>
            <w:tcBorders>
              <w:left w:val="single" w:sz="8" w:color="auto"/>
            </w:tcBorders>
          </w:tcPr>
          <w:p>
            <w:pPr>
              <w:spacing w:after="0"/>
              <w:rPr>
                <w:sz w:val="21"/>
                <w:szCs w:val="21"/>
                <w:color w:val="auto"/>
              </w:rPr>
            </w:pPr>
          </w:p>
        </w:tc>
        <w:tc>
          <w:tcPr>
            <w:tcW w:w="1560" w:type="dxa"/>
            <w:vAlign w:val="bottom"/>
            <w:tcBorders>
              <w:right w:val="single" w:sz="8" w:color="auto"/>
            </w:tcBorders>
            <w:gridSpan w:val="2"/>
            <w:vMerge w:val="restart"/>
          </w:tcPr>
          <w:p>
            <w:pPr>
              <w:jc w:val="center"/>
              <w:ind w:right="390"/>
              <w:spacing w:after="0"/>
              <w:rPr>
                <w:sz w:val="20"/>
                <w:szCs w:val="20"/>
                <w:color w:val="auto"/>
              </w:rPr>
            </w:pPr>
            <w:r>
              <w:rPr>
                <w:rFonts w:ascii="Arial" w:cs="Arial" w:eastAsia="Arial" w:hAnsi="Arial"/>
                <w:sz w:val="18"/>
                <w:szCs w:val="18"/>
                <w:color w:val="auto"/>
                <w:w w:val="96"/>
              </w:rPr>
              <w:t>NUMBER OF</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7</w:t>
            </w:r>
          </w:p>
        </w:tc>
        <w:tc>
          <w:tcPr>
            <w:tcW w:w="626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2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500" w:type="dxa"/>
            <w:vAlign w:val="bottom"/>
            <w:tcBorders>
              <w:left w:val="single" w:sz="8" w:color="auto"/>
            </w:tcBorders>
          </w:tcPr>
          <w:p>
            <w:pPr>
              <w:spacing w:after="0"/>
              <w:rPr>
                <w:sz w:val="15"/>
                <w:szCs w:val="15"/>
                <w:color w:val="auto"/>
              </w:rPr>
            </w:pPr>
          </w:p>
        </w:tc>
        <w:tc>
          <w:tcPr>
            <w:tcW w:w="1560" w:type="dxa"/>
            <w:vAlign w:val="bottom"/>
            <w:tcBorders>
              <w:right w:val="single" w:sz="8" w:color="auto"/>
            </w:tcBorders>
            <w:gridSpan w:val="2"/>
            <w:vMerge w:val="continue"/>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6260" w:type="dxa"/>
            <w:vAlign w:val="bottom"/>
          </w:tcPr>
          <w:p>
            <w:pPr>
              <w:ind w:left="40"/>
              <w:spacing w:after="0" w:line="176" w:lineRule="exact"/>
              <w:rPr>
                <w:sz w:val="20"/>
                <w:szCs w:val="20"/>
                <w:color w:val="auto"/>
              </w:rPr>
            </w:pPr>
            <w:r>
              <w:rPr>
                <w:rFonts w:ascii="Arial" w:cs="Arial" w:eastAsia="Arial" w:hAnsi="Arial"/>
                <w:sz w:val="18"/>
                <w:szCs w:val="18"/>
                <w:color w:val="auto"/>
              </w:rPr>
              <w:t>0</w:t>
            </w:r>
          </w:p>
        </w:tc>
        <w:tc>
          <w:tcPr>
            <w:tcW w:w="22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500" w:type="dxa"/>
            <w:vAlign w:val="bottom"/>
            <w:tcBorders>
              <w:lef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Borders>
              <w:right w:val="single" w:sz="8" w:color="auto"/>
            </w:tcBorders>
            <w:vMerge w:val="restart"/>
          </w:tcPr>
          <w:p>
            <w:pPr>
              <w:jc w:val="center"/>
              <w:ind w:right="590"/>
              <w:spacing w:after="0" w:line="201" w:lineRule="exact"/>
              <w:rPr>
                <w:sz w:val="20"/>
                <w:szCs w:val="20"/>
                <w:color w:val="auto"/>
              </w:rPr>
            </w:pPr>
            <w:r>
              <w:rPr>
                <w:rFonts w:ascii="Arial" w:cs="Arial" w:eastAsia="Arial" w:hAnsi="Arial"/>
                <w:sz w:val="18"/>
                <w:szCs w:val="18"/>
                <w:color w:val="auto"/>
                <w:w w:val="89"/>
              </w:rPr>
              <w:t>SHARES</w:t>
            </w:r>
          </w:p>
        </w:tc>
        <w:tc>
          <w:tcPr>
            <w:tcW w:w="680" w:type="dxa"/>
            <w:vAlign w:val="bottom"/>
            <w:tcBorders>
              <w:bottom w:val="single" w:sz="8" w:color="auto"/>
              <w:right w:val="single" w:sz="8" w:color="auto"/>
            </w:tcBorders>
          </w:tcPr>
          <w:p>
            <w:pPr>
              <w:spacing w:after="0"/>
              <w:rPr>
                <w:sz w:val="8"/>
                <w:szCs w:val="8"/>
                <w:color w:val="auto"/>
              </w:rPr>
            </w:pPr>
          </w:p>
        </w:tc>
        <w:tc>
          <w:tcPr>
            <w:tcW w:w="6260" w:type="dxa"/>
            <w:vAlign w:val="bottom"/>
            <w:tcBorders>
              <w:bottom w:val="single" w:sz="8" w:color="auto"/>
            </w:tcBorders>
          </w:tcPr>
          <w:p>
            <w:pPr>
              <w:spacing w:after="0"/>
              <w:rPr>
                <w:sz w:val="8"/>
                <w:szCs w:val="8"/>
                <w:color w:val="auto"/>
              </w:rPr>
            </w:pPr>
          </w:p>
        </w:tc>
        <w:tc>
          <w:tcPr>
            <w:tcW w:w="2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500" w:type="dxa"/>
            <w:vAlign w:val="bottom"/>
            <w:tcBorders>
              <w:left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26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680" w:type="dxa"/>
            <w:vAlign w:val="bottom"/>
            <w:tcBorders>
              <w:right w:val="single" w:sz="8" w:color="auto"/>
            </w:tcBorders>
            <w:vMerge w:val="restart"/>
          </w:tcPr>
          <w:p>
            <w:pPr>
              <w:jc w:val="center"/>
              <w:spacing w:after="0" w:line="216" w:lineRule="exact"/>
              <w:rPr>
                <w:sz w:val="20"/>
                <w:szCs w:val="20"/>
                <w:color w:val="auto"/>
              </w:rPr>
            </w:pPr>
            <w:r>
              <w:rPr>
                <w:rFonts w:ascii="Arial" w:cs="Arial" w:eastAsia="Arial" w:hAnsi="Arial"/>
                <w:sz w:val="25"/>
                <w:szCs w:val="25"/>
                <w:color w:val="auto"/>
                <w:w w:val="85"/>
              </w:rPr>
              <w:t>8</w:t>
            </w:r>
          </w:p>
        </w:tc>
        <w:tc>
          <w:tcPr>
            <w:tcW w:w="626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60" w:type="dxa"/>
            <w:vAlign w:val="bottom"/>
            <w:tcBorders>
              <w:left w:val="single" w:sz="8" w:color="auto"/>
              <w:right w:val="single" w:sz="8" w:color="auto"/>
            </w:tcBorders>
            <w:gridSpan w:val="3"/>
            <w:vMerge w:val="continue"/>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6260" w:type="dxa"/>
            <w:vAlign w:val="bottom"/>
            <w:vMerge w:val="restart"/>
          </w:tcPr>
          <w:p>
            <w:pPr>
              <w:ind w:left="40"/>
              <w:spacing w:after="0"/>
              <w:rPr>
                <w:sz w:val="20"/>
                <w:szCs w:val="20"/>
                <w:color w:val="auto"/>
              </w:rPr>
            </w:pPr>
            <w:r>
              <w:rPr>
                <w:rFonts w:ascii="Arial" w:cs="Arial" w:eastAsia="Arial" w:hAnsi="Arial"/>
                <w:sz w:val="18"/>
                <w:szCs w:val="18"/>
                <w:color w:val="auto"/>
              </w:rPr>
              <w:t>3,276,325</w:t>
            </w:r>
          </w:p>
        </w:tc>
        <w:tc>
          <w:tcPr>
            <w:tcW w:w="22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500" w:type="dxa"/>
            <w:vAlign w:val="bottom"/>
            <w:tcBorders>
              <w:left w:val="single" w:sz="8" w:color="auto"/>
            </w:tcBorders>
          </w:tcPr>
          <w:p>
            <w:pPr>
              <w:spacing w:after="0"/>
              <w:rPr>
                <w:sz w:val="19"/>
                <w:szCs w:val="19"/>
                <w:color w:val="auto"/>
              </w:rPr>
            </w:pPr>
          </w:p>
        </w:tc>
        <w:tc>
          <w:tcPr>
            <w:tcW w:w="156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color w:val="auto"/>
                <w:w w:val="97"/>
              </w:rPr>
              <w:t>OWNED BY</w:t>
            </w:r>
          </w:p>
        </w:tc>
        <w:tc>
          <w:tcPr>
            <w:tcW w:w="680" w:type="dxa"/>
            <w:vAlign w:val="bottom"/>
            <w:tcBorders>
              <w:bottom w:val="single" w:sz="8" w:color="auto"/>
              <w:right w:val="single" w:sz="8" w:color="auto"/>
            </w:tcBorders>
          </w:tcPr>
          <w:p>
            <w:pPr>
              <w:spacing w:after="0"/>
              <w:rPr>
                <w:sz w:val="19"/>
                <w:szCs w:val="19"/>
                <w:color w:val="auto"/>
              </w:rPr>
            </w:pPr>
          </w:p>
        </w:tc>
        <w:tc>
          <w:tcPr>
            <w:tcW w:w="6260" w:type="dxa"/>
            <w:vAlign w:val="bottom"/>
            <w:tcBorders>
              <w:bottom w:val="single" w:sz="8" w:color="auto"/>
            </w:tcBorders>
            <w:vMerge w:val="continue"/>
          </w:tcPr>
          <w:p>
            <w:pPr>
              <w:spacing w:after="0"/>
              <w:rPr>
                <w:sz w:val="19"/>
                <w:szCs w:val="19"/>
                <w:color w:val="auto"/>
              </w:rPr>
            </w:pPr>
          </w:p>
        </w:tc>
        <w:tc>
          <w:tcPr>
            <w:tcW w:w="22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0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Borders>
              <w:right w:val="single" w:sz="8" w:color="auto"/>
            </w:tcBorders>
          </w:tcPr>
          <w:p>
            <w:pPr>
              <w:jc w:val="center"/>
              <w:ind w:right="630"/>
              <w:spacing w:after="0" w:line="202" w:lineRule="exact"/>
              <w:rPr>
                <w:sz w:val="20"/>
                <w:szCs w:val="20"/>
                <w:color w:val="auto"/>
              </w:rPr>
            </w:pPr>
            <w:r>
              <w:rPr>
                <w:rFonts w:ascii="Arial" w:cs="Arial" w:eastAsia="Arial" w:hAnsi="Arial"/>
                <w:sz w:val="18"/>
                <w:szCs w:val="18"/>
                <w:color w:val="auto"/>
                <w:w w:val="99"/>
              </w:rPr>
              <w:t>EACH</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9</w:t>
            </w:r>
          </w:p>
        </w:tc>
        <w:tc>
          <w:tcPr>
            <w:tcW w:w="6260" w:type="dxa"/>
            <w:vAlign w:val="bottom"/>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2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156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color w:val="auto"/>
                <w:w w:val="93"/>
              </w:rPr>
              <w:t>REPORTING</w:t>
            </w:r>
          </w:p>
        </w:tc>
        <w:tc>
          <w:tcPr>
            <w:tcW w:w="680" w:type="dxa"/>
            <w:vAlign w:val="bottom"/>
            <w:tcBorders>
              <w:right w:val="single" w:sz="8" w:color="auto"/>
            </w:tcBorders>
            <w:vMerge w:val="continue"/>
          </w:tcPr>
          <w:p>
            <w:pPr>
              <w:spacing w:after="0"/>
              <w:rPr>
                <w:sz w:val="18"/>
                <w:szCs w:val="18"/>
                <w:color w:val="auto"/>
              </w:rPr>
            </w:pPr>
          </w:p>
        </w:tc>
        <w:tc>
          <w:tcPr>
            <w:tcW w:w="6260" w:type="dxa"/>
            <w:vAlign w:val="bottom"/>
          </w:tcPr>
          <w:p>
            <w:pPr>
              <w:ind w:left="40"/>
              <w:spacing w:after="0"/>
              <w:rPr>
                <w:sz w:val="20"/>
                <w:szCs w:val="20"/>
                <w:color w:val="auto"/>
              </w:rPr>
            </w:pPr>
            <w:r>
              <w:rPr>
                <w:rFonts w:ascii="Arial" w:cs="Arial" w:eastAsia="Arial" w:hAnsi="Arial"/>
                <w:sz w:val="18"/>
                <w:szCs w:val="18"/>
                <w:color w:val="auto"/>
              </w:rPr>
              <w:t>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500" w:type="dxa"/>
            <w:vAlign w:val="bottom"/>
            <w:tcBorders>
              <w:lef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Borders>
              <w:right w:val="single" w:sz="8" w:color="auto"/>
            </w:tcBorders>
            <w:vMerge w:val="restart"/>
          </w:tcPr>
          <w:p>
            <w:pPr>
              <w:jc w:val="center"/>
              <w:ind w:right="590"/>
              <w:spacing w:after="0" w:line="201" w:lineRule="exact"/>
              <w:rPr>
                <w:sz w:val="20"/>
                <w:szCs w:val="20"/>
                <w:color w:val="auto"/>
              </w:rPr>
            </w:pPr>
            <w:r>
              <w:rPr>
                <w:rFonts w:ascii="Arial" w:cs="Arial" w:eastAsia="Arial" w:hAnsi="Arial"/>
                <w:sz w:val="18"/>
                <w:szCs w:val="18"/>
                <w:color w:val="auto"/>
                <w:w w:val="86"/>
              </w:rPr>
              <w:t>PERSON</w:t>
            </w:r>
          </w:p>
        </w:tc>
        <w:tc>
          <w:tcPr>
            <w:tcW w:w="680" w:type="dxa"/>
            <w:vAlign w:val="bottom"/>
            <w:tcBorders>
              <w:bottom w:val="single" w:sz="8" w:color="auto"/>
              <w:right w:val="single" w:sz="8" w:color="auto"/>
            </w:tcBorders>
          </w:tcPr>
          <w:p>
            <w:pPr>
              <w:spacing w:after="0"/>
              <w:rPr>
                <w:sz w:val="8"/>
                <w:szCs w:val="8"/>
                <w:color w:val="auto"/>
              </w:rPr>
            </w:pPr>
          </w:p>
        </w:tc>
        <w:tc>
          <w:tcPr>
            <w:tcW w:w="6260" w:type="dxa"/>
            <w:vAlign w:val="bottom"/>
            <w:tcBorders>
              <w:bottom w:val="single" w:sz="8" w:color="auto"/>
            </w:tcBorders>
          </w:tcPr>
          <w:p>
            <w:pPr>
              <w:spacing w:after="0"/>
              <w:rPr>
                <w:sz w:val="8"/>
                <w:szCs w:val="8"/>
                <w:color w:val="auto"/>
              </w:rPr>
            </w:pPr>
          </w:p>
        </w:tc>
        <w:tc>
          <w:tcPr>
            <w:tcW w:w="2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500" w:type="dxa"/>
            <w:vAlign w:val="bottom"/>
            <w:tcBorders>
              <w:left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26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500" w:type="dxa"/>
            <w:vAlign w:val="bottom"/>
            <w:tcBorders>
              <w:lef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Borders>
              <w:right w:val="single" w:sz="8" w:color="auto"/>
            </w:tcBorders>
            <w:vMerge w:val="restart"/>
          </w:tcPr>
          <w:p>
            <w:pPr>
              <w:jc w:val="center"/>
              <w:ind w:right="630"/>
              <w:spacing w:after="0"/>
              <w:rPr>
                <w:sz w:val="20"/>
                <w:szCs w:val="20"/>
                <w:color w:val="auto"/>
              </w:rPr>
            </w:pPr>
            <w:r>
              <w:rPr>
                <w:rFonts w:ascii="Arial" w:cs="Arial" w:eastAsia="Arial" w:hAnsi="Arial"/>
                <w:sz w:val="18"/>
                <w:szCs w:val="18"/>
                <w:color w:val="auto"/>
                <w:w w:val="99"/>
              </w:rPr>
              <w:t>WITH</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10</w:t>
            </w:r>
          </w:p>
        </w:tc>
        <w:tc>
          <w:tcPr>
            <w:tcW w:w="626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0" w:type="dxa"/>
            <w:vAlign w:val="bottom"/>
            <w:tcBorders>
              <w:lef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Borders>
              <w:right w:val="single" w:sz="8" w:color="auto"/>
            </w:tcBorders>
            <w:vMerge w:val="continue"/>
          </w:tcPr>
          <w:p>
            <w:pPr>
              <w:spacing w:after="0"/>
              <w:rPr>
                <w:sz w:val="14"/>
                <w:szCs w:val="14"/>
                <w:color w:val="auto"/>
              </w:rPr>
            </w:pPr>
          </w:p>
        </w:tc>
        <w:tc>
          <w:tcPr>
            <w:tcW w:w="680" w:type="dxa"/>
            <w:vAlign w:val="bottom"/>
            <w:tcBorders>
              <w:right w:val="single" w:sz="8" w:color="auto"/>
            </w:tcBorders>
            <w:vMerge w:val="continue"/>
          </w:tcPr>
          <w:p>
            <w:pPr>
              <w:spacing w:after="0"/>
              <w:rPr>
                <w:sz w:val="14"/>
                <w:szCs w:val="14"/>
                <w:color w:val="auto"/>
              </w:rPr>
            </w:pPr>
          </w:p>
        </w:tc>
        <w:tc>
          <w:tcPr>
            <w:tcW w:w="6260" w:type="dxa"/>
            <w:vAlign w:val="bottom"/>
            <w:vMerge w:val="restart"/>
          </w:tcPr>
          <w:p>
            <w:pPr>
              <w:ind w:left="40"/>
              <w:spacing w:after="0"/>
              <w:rPr>
                <w:sz w:val="20"/>
                <w:szCs w:val="20"/>
                <w:color w:val="auto"/>
              </w:rPr>
            </w:pPr>
            <w:r>
              <w:rPr>
                <w:rFonts w:ascii="Arial" w:cs="Arial" w:eastAsia="Arial" w:hAnsi="Arial"/>
                <w:sz w:val="18"/>
                <w:szCs w:val="18"/>
                <w:color w:val="auto"/>
              </w:rPr>
              <w:t>3,276,325</w:t>
            </w: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34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6260" w:type="dxa"/>
            <w:vAlign w:val="bottom"/>
            <w:vMerge w:val="continue"/>
          </w:tcPr>
          <w:p>
            <w:pPr>
              <w:spacing w:after="0"/>
              <w:rPr>
                <w:sz w:val="5"/>
                <w:szCs w:val="5"/>
                <w:color w:val="auto"/>
              </w:rPr>
            </w:pP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626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500" w:type="dxa"/>
            <w:vAlign w:val="bottom"/>
            <w:tcBorders>
              <w:left w:val="single" w:sz="8" w:color="auto"/>
            </w:tcBorders>
            <w:vMerge w:val="restart"/>
          </w:tcPr>
          <w:p>
            <w:pPr>
              <w:jc w:val="center"/>
              <w:ind w:left="97"/>
              <w:spacing w:after="0"/>
              <w:rPr>
                <w:sz w:val="20"/>
                <w:szCs w:val="20"/>
                <w:color w:val="auto"/>
              </w:rPr>
            </w:pPr>
            <w:r>
              <w:rPr>
                <w:rFonts w:ascii="Arial" w:cs="Arial" w:eastAsia="Arial" w:hAnsi="Arial"/>
                <w:sz w:val="25"/>
                <w:szCs w:val="25"/>
                <w:color w:val="auto"/>
                <w:w w:val="86"/>
              </w:rPr>
              <w:t>11</w:t>
            </w:r>
          </w:p>
        </w:tc>
        <w:tc>
          <w:tcPr>
            <w:tcW w:w="220" w:type="dxa"/>
            <w:vAlign w:val="bottom"/>
            <w:tcBorders>
              <w:right w:val="single" w:sz="8" w:color="auto"/>
            </w:tcBorders>
          </w:tcPr>
          <w:p>
            <w:pPr>
              <w:spacing w:after="0"/>
              <w:rPr>
                <w:sz w:val="21"/>
                <w:szCs w:val="21"/>
                <w:color w:val="auto"/>
              </w:rPr>
            </w:pPr>
          </w:p>
        </w:tc>
        <w:tc>
          <w:tcPr>
            <w:tcW w:w="8280" w:type="dxa"/>
            <w:vAlign w:val="bottom"/>
            <w:gridSpan w:val="3"/>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2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500" w:type="dxa"/>
            <w:vAlign w:val="bottom"/>
            <w:tcBorders>
              <w:left w:val="single" w:sz="8" w:color="auto"/>
            </w:tcBorders>
            <w:vMerge w:val="continue"/>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340" w:type="dxa"/>
            <w:vAlign w:val="bottom"/>
            <w:vMerge w:val="restart"/>
          </w:tcPr>
          <w:p>
            <w:pPr>
              <w:ind w:left="40"/>
              <w:spacing w:after="0"/>
              <w:rPr>
                <w:sz w:val="20"/>
                <w:szCs w:val="20"/>
                <w:color w:val="auto"/>
              </w:rPr>
            </w:pPr>
            <w:r>
              <w:rPr>
                <w:rFonts w:ascii="Arial" w:cs="Arial" w:eastAsia="Arial" w:hAnsi="Arial"/>
                <w:sz w:val="18"/>
                <w:szCs w:val="18"/>
                <w:color w:val="auto"/>
              </w:rPr>
              <w:t>3,276,325</w:t>
            </w:r>
          </w:p>
        </w:tc>
        <w:tc>
          <w:tcPr>
            <w:tcW w:w="68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60" w:type="dxa"/>
            <w:vAlign w:val="bottom"/>
          </w:tcPr>
          <w:p>
            <w:pPr>
              <w:spacing w:after="0"/>
              <w:rPr>
                <w:sz w:val="5"/>
                <w:szCs w:val="5"/>
                <w:color w:val="auto"/>
              </w:rPr>
            </w:pP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6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500" w:type="dxa"/>
            <w:vAlign w:val="bottom"/>
            <w:tcBorders>
              <w:left w:val="single" w:sz="8" w:color="auto"/>
            </w:tcBorders>
          </w:tcPr>
          <w:p>
            <w:pPr>
              <w:jc w:val="center"/>
              <w:ind w:left="97"/>
              <w:spacing w:after="0"/>
              <w:rPr>
                <w:sz w:val="20"/>
                <w:szCs w:val="20"/>
                <w:color w:val="auto"/>
              </w:rPr>
            </w:pPr>
            <w:r>
              <w:rPr>
                <w:rFonts w:ascii="Arial" w:cs="Arial" w:eastAsia="Arial" w:hAnsi="Arial"/>
                <w:sz w:val="25"/>
                <w:szCs w:val="25"/>
                <w:color w:val="auto"/>
                <w:w w:val="86"/>
              </w:rPr>
              <w:t>12</w:t>
            </w:r>
          </w:p>
        </w:tc>
        <w:tc>
          <w:tcPr>
            <w:tcW w:w="220" w:type="dxa"/>
            <w:vAlign w:val="bottom"/>
            <w:tcBorders>
              <w:right w:val="single" w:sz="8" w:color="auto"/>
            </w:tcBorders>
          </w:tcPr>
          <w:p>
            <w:pPr>
              <w:spacing w:after="0"/>
              <w:rPr>
                <w:sz w:val="24"/>
                <w:szCs w:val="24"/>
                <w:color w:val="auto"/>
              </w:rPr>
            </w:pPr>
          </w:p>
        </w:tc>
        <w:tc>
          <w:tcPr>
            <w:tcW w:w="8280" w:type="dxa"/>
            <w:vAlign w:val="bottom"/>
            <w:gridSpan w:val="3"/>
          </w:tcPr>
          <w:p>
            <w:pPr>
              <w:ind w:left="4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2240" w:type="dxa"/>
            <w:vAlign w:val="bottom"/>
            <w:tcBorders>
              <w:right w:val="single" w:sz="8" w:color="auto"/>
            </w:tcBorders>
          </w:tcPr>
          <w:p>
            <w:pPr>
              <w:ind w:left="19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39"/>
        </w:trPr>
        <w:tc>
          <w:tcPr>
            <w:tcW w:w="500" w:type="dxa"/>
            <w:vAlign w:val="bottom"/>
            <w:tcBorders>
              <w:left w:val="single" w:sz="8" w:color="auto"/>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260" w:type="dxa"/>
            <w:vAlign w:val="bottom"/>
            <w:tcBorders>
              <w:bottom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500" w:type="dxa"/>
            <w:vAlign w:val="bottom"/>
            <w:tcBorders>
              <w:left w:val="single" w:sz="8" w:color="auto"/>
            </w:tcBorders>
            <w:vMerge w:val="restart"/>
          </w:tcPr>
          <w:p>
            <w:pPr>
              <w:jc w:val="center"/>
              <w:ind w:left="97"/>
              <w:spacing w:after="0"/>
              <w:rPr>
                <w:sz w:val="20"/>
                <w:szCs w:val="20"/>
                <w:color w:val="auto"/>
              </w:rPr>
            </w:pPr>
            <w:r>
              <w:rPr>
                <w:rFonts w:ascii="Arial" w:cs="Arial" w:eastAsia="Arial" w:hAnsi="Arial"/>
                <w:sz w:val="25"/>
                <w:szCs w:val="25"/>
                <w:color w:val="auto"/>
                <w:w w:val="86"/>
              </w:rPr>
              <w:t>13</w:t>
            </w:r>
          </w:p>
        </w:tc>
        <w:tc>
          <w:tcPr>
            <w:tcW w:w="220" w:type="dxa"/>
            <w:vAlign w:val="bottom"/>
            <w:tcBorders>
              <w:right w:val="single" w:sz="8" w:color="auto"/>
            </w:tcBorders>
          </w:tcPr>
          <w:p>
            <w:pPr>
              <w:spacing w:after="0"/>
              <w:rPr>
                <w:sz w:val="21"/>
                <w:szCs w:val="21"/>
                <w:color w:val="auto"/>
              </w:rPr>
            </w:pPr>
          </w:p>
        </w:tc>
        <w:tc>
          <w:tcPr>
            <w:tcW w:w="8280" w:type="dxa"/>
            <w:vAlign w:val="bottom"/>
            <w:gridSpan w:val="3"/>
          </w:tcPr>
          <w:p>
            <w:pPr>
              <w:ind w:left="40"/>
              <w:spacing w:after="0"/>
              <w:rPr>
                <w:sz w:val="20"/>
                <w:szCs w:val="20"/>
                <w:color w:val="auto"/>
              </w:rPr>
            </w:pPr>
            <w:r>
              <w:rPr>
                <w:rFonts w:ascii="Arial" w:cs="Arial" w:eastAsia="Arial" w:hAnsi="Arial"/>
                <w:sz w:val="18"/>
                <w:szCs w:val="18"/>
                <w:color w:val="auto"/>
              </w:rPr>
              <w:t>Percent of Class Represented by Amount in Row (11)</w:t>
            </w:r>
          </w:p>
        </w:tc>
        <w:tc>
          <w:tcPr>
            <w:tcW w:w="2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500" w:type="dxa"/>
            <w:vAlign w:val="bottom"/>
            <w:tcBorders>
              <w:left w:val="single" w:sz="8" w:color="auto"/>
            </w:tcBorders>
            <w:vMerge w:val="continue"/>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340" w:type="dxa"/>
            <w:vAlign w:val="bottom"/>
            <w:vMerge w:val="restart"/>
          </w:tcPr>
          <w:p>
            <w:pPr>
              <w:ind w:left="40"/>
              <w:spacing w:after="0"/>
              <w:rPr>
                <w:sz w:val="20"/>
                <w:szCs w:val="20"/>
                <w:color w:val="auto"/>
              </w:rPr>
            </w:pPr>
            <w:r>
              <w:rPr>
                <w:rFonts w:ascii="Arial" w:cs="Arial" w:eastAsia="Arial" w:hAnsi="Arial"/>
                <w:sz w:val="18"/>
                <w:szCs w:val="18"/>
                <w:color w:val="auto"/>
              </w:rPr>
              <w:t>8.9%*</w:t>
            </w:r>
          </w:p>
        </w:tc>
        <w:tc>
          <w:tcPr>
            <w:tcW w:w="68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60" w:type="dxa"/>
            <w:vAlign w:val="bottom"/>
          </w:tcPr>
          <w:p>
            <w:pPr>
              <w:spacing w:after="0"/>
              <w:rPr>
                <w:sz w:val="5"/>
                <w:szCs w:val="5"/>
                <w:color w:val="auto"/>
              </w:rPr>
            </w:pP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6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500" w:type="dxa"/>
            <w:vAlign w:val="bottom"/>
            <w:tcBorders>
              <w:left w:val="single" w:sz="8" w:color="auto"/>
            </w:tcBorders>
            <w:vMerge w:val="restart"/>
          </w:tcPr>
          <w:p>
            <w:pPr>
              <w:jc w:val="center"/>
              <w:ind w:left="97"/>
              <w:spacing w:after="0"/>
              <w:rPr>
                <w:sz w:val="20"/>
                <w:szCs w:val="20"/>
                <w:color w:val="auto"/>
              </w:rPr>
            </w:pPr>
            <w:r>
              <w:rPr>
                <w:rFonts w:ascii="Arial" w:cs="Arial" w:eastAsia="Arial" w:hAnsi="Arial"/>
                <w:sz w:val="25"/>
                <w:szCs w:val="25"/>
                <w:color w:val="auto"/>
                <w:w w:val="86"/>
              </w:rPr>
              <w:t>14</w:t>
            </w:r>
          </w:p>
        </w:tc>
        <w:tc>
          <w:tcPr>
            <w:tcW w:w="220" w:type="dxa"/>
            <w:vAlign w:val="bottom"/>
            <w:tcBorders>
              <w:right w:val="single" w:sz="8" w:color="auto"/>
            </w:tcBorders>
          </w:tcPr>
          <w:p>
            <w:pPr>
              <w:spacing w:after="0"/>
              <w:rPr>
                <w:sz w:val="21"/>
                <w:szCs w:val="21"/>
                <w:color w:val="auto"/>
              </w:rPr>
            </w:pPr>
          </w:p>
        </w:tc>
        <w:tc>
          <w:tcPr>
            <w:tcW w:w="8280" w:type="dxa"/>
            <w:vAlign w:val="bottom"/>
            <w:gridSpan w:val="3"/>
          </w:tcPr>
          <w:p>
            <w:pPr>
              <w:ind w:left="40"/>
              <w:spacing w:after="0"/>
              <w:rPr>
                <w:sz w:val="20"/>
                <w:szCs w:val="20"/>
                <w:color w:val="auto"/>
              </w:rPr>
            </w:pPr>
            <w:r>
              <w:rPr>
                <w:rFonts w:ascii="Arial" w:cs="Arial" w:eastAsia="Arial" w:hAnsi="Arial"/>
                <w:sz w:val="18"/>
                <w:szCs w:val="18"/>
                <w:color w:val="auto"/>
              </w:rPr>
              <w:t>Type of Reporting Person (See Instructions)</w:t>
            </w:r>
          </w:p>
        </w:tc>
        <w:tc>
          <w:tcPr>
            <w:tcW w:w="2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500" w:type="dxa"/>
            <w:vAlign w:val="bottom"/>
            <w:tcBorders>
              <w:left w:val="single" w:sz="8" w:color="auto"/>
            </w:tcBorders>
            <w:vMerge w:val="continue"/>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340" w:type="dxa"/>
            <w:vAlign w:val="bottom"/>
            <w:vMerge w:val="restart"/>
          </w:tcPr>
          <w:p>
            <w:pPr>
              <w:ind w:left="40"/>
              <w:spacing w:after="0"/>
              <w:rPr>
                <w:sz w:val="20"/>
                <w:szCs w:val="20"/>
                <w:color w:val="auto"/>
              </w:rPr>
            </w:pPr>
            <w:r>
              <w:rPr>
                <w:rFonts w:ascii="Arial" w:cs="Arial" w:eastAsia="Arial" w:hAnsi="Arial"/>
                <w:sz w:val="18"/>
                <w:szCs w:val="18"/>
                <w:color w:val="auto"/>
              </w:rPr>
              <w:t>OO</w:t>
            </w:r>
          </w:p>
        </w:tc>
        <w:tc>
          <w:tcPr>
            <w:tcW w:w="68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60" w:type="dxa"/>
            <w:vAlign w:val="bottom"/>
          </w:tcPr>
          <w:p>
            <w:pPr>
              <w:spacing w:after="0"/>
              <w:rPr>
                <w:sz w:val="5"/>
                <w:szCs w:val="5"/>
                <w:color w:val="auto"/>
              </w:rPr>
            </w:pP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6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ind w:right="100" w:firstLine="8"/>
        <w:spacing w:after="0" w:line="238" w:lineRule="auto"/>
        <w:tabs>
          <w:tab w:leader="none" w:pos="108" w:val="left"/>
        </w:tabs>
        <w:numPr>
          <w:ilvl w:val="0"/>
          <w:numId w:val="3"/>
        </w:numPr>
        <w:rPr>
          <w:rFonts w:ascii="Arial" w:cs="Arial" w:eastAsia="Arial" w:hAnsi="Arial"/>
          <w:sz w:val="14"/>
          <w:szCs w:val="14"/>
          <w:color w:val="auto"/>
        </w:rPr>
      </w:pPr>
      <w:r>
        <w:rPr>
          <w:rFonts w:ascii="Arial" w:cs="Arial" w:eastAsia="Arial" w:hAnsi="Arial"/>
          <w:sz w:val="14"/>
          <w:szCs w:val="14"/>
          <w:color w:val="auto"/>
        </w:rPr>
        <w:t>This percentage is calculated based upon 36,668,085 shares of common stock outstanding of Repare Therapeutics Inc. (the “</w:t>
      </w:r>
      <w:r>
        <w:rPr>
          <w:rFonts w:ascii="Arial" w:cs="Arial" w:eastAsia="Arial" w:hAnsi="Arial"/>
          <w:sz w:val="14"/>
          <w:szCs w:val="14"/>
          <w:u w:val="single" w:color="auto"/>
          <w:color w:val="auto"/>
        </w:rPr>
        <w:t>Issuer</w:t>
      </w:r>
      <w:r>
        <w:rPr>
          <w:rFonts w:ascii="Arial" w:cs="Arial" w:eastAsia="Arial" w:hAnsi="Arial"/>
          <w:sz w:val="14"/>
          <w:szCs w:val="14"/>
          <w:color w:val="auto"/>
        </w:rPr>
        <w:t>”), as set forth in the Issuer’s Rule 424(b)(4) Prospectus filed with the Securities and Exchange Commission (“</w:t>
      </w:r>
      <w:r>
        <w:rPr>
          <w:rFonts w:ascii="Arial" w:cs="Arial" w:eastAsia="Arial" w:hAnsi="Arial"/>
          <w:sz w:val="14"/>
          <w:szCs w:val="14"/>
          <w:u w:val="single" w:color="auto"/>
          <w:color w:val="auto"/>
        </w:rPr>
        <w:t>SEC</w:t>
      </w:r>
      <w:r>
        <w:rPr>
          <w:rFonts w:ascii="Arial" w:cs="Arial" w:eastAsia="Arial" w:hAnsi="Arial"/>
          <w:sz w:val="14"/>
          <w:szCs w:val="14"/>
          <w:color w:val="auto"/>
        </w:rPr>
        <w:t>”) on June 19, 2020 and giving effect to the additional 1,650,000 shares of common stock issued and sold by the Issuer to the underwriters pursuant to the underwriters’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659130</wp:posOffset>
            </wp:positionV>
            <wp:extent cx="713232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3" w:name="page4"/>
    <w:bookmarkEnd w:id="3"/>
    <w:p>
      <w:pPr>
        <w:ind w:left="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678053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80530" cy="308610"/>
                    </a:xfrm>
                    <a:prstGeom prst="rect">
                      <a:avLst/>
                    </a:prstGeom>
                    <a:noFill/>
                  </pic:spPr>
                </pic:pic>
              </a:graphicData>
            </a:graphic>
          </wp:anchor>
        </w:drawing>
        <w:t xml:space="preserve">CUSIP No. </w:t>
      </w:r>
      <w:r>
        <w:rPr>
          <w:rFonts w:ascii="Arial" w:cs="Arial" w:eastAsia="Arial" w:hAnsi="Arial"/>
          <w:sz w:val="18"/>
          <w:szCs w:val="18"/>
          <w:b w:val="1"/>
          <w:bCs w:val="1"/>
          <w:color w:val="333333"/>
        </w:rPr>
        <w:t>760273102</w:t>
      </w:r>
    </w:p>
    <w:p>
      <w:pPr>
        <w:spacing w:after="0" w:line="200" w:lineRule="exact"/>
        <w:rPr>
          <w:sz w:val="20"/>
          <w:szCs w:val="20"/>
          <w:color w:val="auto"/>
        </w:rPr>
      </w:pP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540" w:type="dxa"/>
            <w:vAlign w:val="bottom"/>
            <w:tcBorders>
              <w:top w:val="single" w:sz="8" w:color="auto"/>
              <w:left w:val="single" w:sz="8" w:color="auto"/>
            </w:tcBorders>
            <w:vMerge w:val="restart"/>
          </w:tcPr>
          <w:p>
            <w:pPr>
              <w:jc w:val="center"/>
              <w:ind w:left="64"/>
              <w:spacing w:after="0"/>
              <w:rPr>
                <w:sz w:val="20"/>
                <w:szCs w:val="20"/>
                <w:color w:val="auto"/>
              </w:rPr>
            </w:pPr>
            <w:r>
              <w:rPr>
                <w:rFonts w:ascii="Arial" w:cs="Arial" w:eastAsia="Arial" w:hAnsi="Arial"/>
                <w:sz w:val="25"/>
                <w:szCs w:val="25"/>
                <w:color w:val="auto"/>
                <w:w w:val="85"/>
              </w:rPr>
              <w:t>1</w:t>
            </w:r>
          </w:p>
        </w:tc>
        <w:tc>
          <w:tcPr>
            <w:tcW w:w="180" w:type="dxa"/>
            <w:vAlign w:val="bottom"/>
            <w:tcBorders>
              <w:top w:val="single" w:sz="8" w:color="auto"/>
              <w:right w:val="single" w:sz="8" w:color="auto"/>
            </w:tcBorders>
          </w:tcPr>
          <w:p>
            <w:pPr>
              <w:spacing w:after="0"/>
              <w:rPr>
                <w:sz w:val="23"/>
                <w:szCs w:val="23"/>
                <w:color w:val="auto"/>
              </w:rPr>
            </w:pPr>
          </w:p>
        </w:tc>
        <w:tc>
          <w:tcPr>
            <w:tcW w:w="826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rPr>
              <w:t>Names of Reporting Persons.</w:t>
            </w:r>
          </w:p>
        </w:tc>
        <w:tc>
          <w:tcPr>
            <w:tcW w:w="216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540" w:type="dxa"/>
            <w:vAlign w:val="bottom"/>
            <w:tcBorders>
              <w:left w:val="single" w:sz="8" w:color="auto"/>
            </w:tcBorders>
            <w:vMerge w:val="continue"/>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800" w:type="dxa"/>
            <w:vAlign w:val="bottom"/>
            <w:gridSpan w:val="3"/>
            <w:vMerge w:val="restart"/>
          </w:tcPr>
          <w:p>
            <w:pPr>
              <w:ind w:left="40"/>
              <w:spacing w:after="0"/>
              <w:rPr>
                <w:sz w:val="20"/>
                <w:szCs w:val="20"/>
                <w:color w:val="auto"/>
              </w:rPr>
            </w:pPr>
            <w:r>
              <w:rPr>
                <w:rFonts w:ascii="Arial" w:cs="Arial" w:eastAsia="Arial" w:hAnsi="Arial"/>
                <w:sz w:val="18"/>
                <w:szCs w:val="18"/>
                <w:color w:val="auto"/>
              </w:rPr>
              <w:t>OrbiMed Capital LLC</w:t>
            </w:r>
          </w:p>
        </w:tc>
        <w:tc>
          <w:tcPr>
            <w:tcW w:w="6460" w:type="dxa"/>
            <w:vAlign w:val="bottom"/>
          </w:tcPr>
          <w:p>
            <w:pPr>
              <w:spacing w:after="0"/>
              <w:rPr>
                <w:sz w:val="14"/>
                <w:szCs w:val="14"/>
                <w:color w:val="auto"/>
              </w:rPr>
            </w:pPr>
          </w:p>
        </w:tc>
        <w:tc>
          <w:tcPr>
            <w:tcW w:w="2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540" w:type="dxa"/>
            <w:vAlign w:val="bottom"/>
            <w:tcBorders>
              <w:left w:val="single" w:sz="8" w:color="auto"/>
            </w:tcBorders>
          </w:tcPr>
          <w:p>
            <w:pPr>
              <w:spacing w:after="0"/>
              <w:rPr>
                <w:sz w:val="5"/>
                <w:szCs w:val="5"/>
                <w:color w:val="auto"/>
              </w:rPr>
            </w:pPr>
          </w:p>
        </w:tc>
        <w:tc>
          <w:tcPr>
            <w:tcW w:w="180" w:type="dxa"/>
            <w:vAlign w:val="bottom"/>
            <w:tcBorders>
              <w:right w:val="single" w:sz="8" w:color="auto"/>
            </w:tcBorders>
          </w:tcPr>
          <w:p>
            <w:pPr>
              <w:spacing w:after="0"/>
              <w:rPr>
                <w:sz w:val="5"/>
                <w:szCs w:val="5"/>
                <w:color w:val="auto"/>
              </w:rPr>
            </w:pPr>
          </w:p>
        </w:tc>
        <w:tc>
          <w:tcPr>
            <w:tcW w:w="1800" w:type="dxa"/>
            <w:vAlign w:val="bottom"/>
            <w:gridSpan w:val="3"/>
            <w:vMerge w:val="continue"/>
          </w:tcPr>
          <w:p>
            <w:pPr>
              <w:spacing w:after="0"/>
              <w:rPr>
                <w:sz w:val="5"/>
                <w:szCs w:val="5"/>
                <w:color w:val="auto"/>
              </w:rPr>
            </w:pPr>
          </w:p>
        </w:tc>
        <w:tc>
          <w:tcPr>
            <w:tcW w:w="6460" w:type="dxa"/>
            <w:vAlign w:val="bottom"/>
          </w:tcPr>
          <w:p>
            <w:pPr>
              <w:spacing w:after="0"/>
              <w:rPr>
                <w:sz w:val="5"/>
                <w:szCs w:val="5"/>
                <w:color w:val="auto"/>
              </w:rPr>
            </w:pPr>
          </w:p>
        </w:tc>
        <w:tc>
          <w:tcPr>
            <w:tcW w:w="21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40" w:type="dxa"/>
            <w:vAlign w:val="bottom"/>
            <w:tcBorders>
              <w:left w:val="single" w:sz="8" w:color="auto"/>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8260" w:type="dxa"/>
            <w:vAlign w:val="bottom"/>
            <w:tcBorders>
              <w:bottom w:val="single" w:sz="8" w:color="auto"/>
            </w:tcBorders>
            <w:gridSpan w:val="4"/>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540" w:type="dxa"/>
            <w:vAlign w:val="bottom"/>
            <w:tcBorders>
              <w:left w:val="single" w:sz="8" w:color="auto"/>
            </w:tcBorders>
            <w:vMerge w:val="restart"/>
          </w:tcPr>
          <w:p>
            <w:pPr>
              <w:jc w:val="center"/>
              <w:ind w:left="64"/>
              <w:spacing w:after="0"/>
              <w:rPr>
                <w:sz w:val="20"/>
                <w:szCs w:val="20"/>
                <w:color w:val="auto"/>
              </w:rPr>
            </w:pPr>
            <w:r>
              <w:rPr>
                <w:rFonts w:ascii="Arial" w:cs="Arial" w:eastAsia="Arial" w:hAnsi="Arial"/>
                <w:sz w:val="25"/>
                <w:szCs w:val="25"/>
                <w:color w:val="auto"/>
                <w:w w:val="85"/>
              </w:rPr>
              <w:t>2</w:t>
            </w:r>
          </w:p>
        </w:tc>
        <w:tc>
          <w:tcPr>
            <w:tcW w:w="180" w:type="dxa"/>
            <w:vAlign w:val="bottom"/>
            <w:tcBorders>
              <w:right w:val="single" w:sz="8" w:color="auto"/>
            </w:tcBorders>
          </w:tcPr>
          <w:p>
            <w:pPr>
              <w:spacing w:after="0"/>
              <w:rPr>
                <w:sz w:val="21"/>
                <w:szCs w:val="21"/>
                <w:color w:val="auto"/>
              </w:rPr>
            </w:pPr>
          </w:p>
        </w:tc>
        <w:tc>
          <w:tcPr>
            <w:tcW w:w="826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21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40" w:type="dxa"/>
            <w:vAlign w:val="bottom"/>
            <w:tcBorders>
              <w:left w:val="single" w:sz="8" w:color="auto"/>
            </w:tcBorders>
            <w:vMerge w:val="continue"/>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Arial" w:cs="Arial" w:eastAsia="Arial" w:hAnsi="Arial"/>
                <w:sz w:val="18"/>
                <w:szCs w:val="18"/>
                <w:color w:val="auto"/>
              </w:rPr>
              <w:t>(a) o</w:t>
            </w:r>
          </w:p>
        </w:tc>
        <w:tc>
          <w:tcPr>
            <w:tcW w:w="54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Borders>
              <w:left w:val="single" w:sz="8" w:color="auto"/>
            </w:tcBorders>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260" w:type="dxa"/>
            <w:vAlign w:val="bottom"/>
            <w:gridSpan w:val="2"/>
          </w:tcPr>
          <w:p>
            <w:pPr>
              <w:ind w:left="40"/>
              <w:spacing w:after="0"/>
              <w:rPr>
                <w:sz w:val="20"/>
                <w:szCs w:val="20"/>
                <w:color w:val="auto"/>
              </w:rPr>
            </w:pPr>
            <w:r>
              <w:rPr>
                <w:rFonts w:ascii="Arial" w:cs="Arial" w:eastAsia="Arial" w:hAnsi="Arial"/>
                <w:sz w:val="18"/>
                <w:szCs w:val="18"/>
                <w:color w:val="auto"/>
              </w:rPr>
              <w:t>(b) o</w:t>
            </w:r>
          </w:p>
        </w:tc>
        <w:tc>
          <w:tcPr>
            <w:tcW w:w="54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2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540" w:type="dxa"/>
            <w:vAlign w:val="bottom"/>
            <w:tcBorders>
              <w:left w:val="single" w:sz="8" w:color="auto"/>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tcBorders>
            <w:gridSpan w:val="2"/>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460" w:type="dxa"/>
            <w:vAlign w:val="bottom"/>
            <w:tcBorders>
              <w:bottom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540" w:type="dxa"/>
            <w:vAlign w:val="bottom"/>
            <w:tcBorders>
              <w:left w:val="single" w:sz="8" w:color="auto"/>
            </w:tcBorders>
          </w:tcPr>
          <w:p>
            <w:pPr>
              <w:jc w:val="center"/>
              <w:ind w:left="64"/>
              <w:spacing w:after="0"/>
              <w:rPr>
                <w:sz w:val="20"/>
                <w:szCs w:val="20"/>
                <w:color w:val="auto"/>
              </w:rPr>
            </w:pPr>
            <w:r>
              <w:rPr>
                <w:rFonts w:ascii="Arial" w:cs="Arial" w:eastAsia="Arial" w:hAnsi="Arial"/>
                <w:sz w:val="25"/>
                <w:szCs w:val="25"/>
                <w:color w:val="auto"/>
                <w:w w:val="85"/>
              </w:rPr>
              <w:t>3</w:t>
            </w:r>
          </w:p>
        </w:tc>
        <w:tc>
          <w:tcPr>
            <w:tcW w:w="180" w:type="dxa"/>
            <w:vAlign w:val="bottom"/>
            <w:tcBorders>
              <w:right w:val="single" w:sz="8" w:color="auto"/>
            </w:tcBorders>
          </w:tcPr>
          <w:p>
            <w:pPr>
              <w:spacing w:after="0"/>
              <w:rPr>
                <w:sz w:val="24"/>
                <w:szCs w:val="24"/>
                <w:color w:val="auto"/>
              </w:rPr>
            </w:pPr>
          </w:p>
        </w:tc>
        <w:tc>
          <w:tcPr>
            <w:tcW w:w="126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54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2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540" w:type="dxa"/>
            <w:vAlign w:val="bottom"/>
            <w:tcBorders>
              <w:left w:val="single" w:sz="8" w:color="auto"/>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8260" w:type="dxa"/>
            <w:vAlign w:val="bottom"/>
            <w:tcBorders>
              <w:bottom w:val="single" w:sz="8" w:color="auto"/>
            </w:tcBorders>
            <w:gridSpan w:val="4"/>
          </w:tcPr>
          <w:p>
            <w:pPr>
              <w:spacing w:after="0"/>
              <w:rPr>
                <w:sz w:val="3"/>
                <w:szCs w:val="3"/>
                <w:color w:val="auto"/>
              </w:rPr>
            </w:pPr>
          </w:p>
        </w:tc>
        <w:tc>
          <w:tcPr>
            <w:tcW w:w="21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540" w:type="dxa"/>
            <w:vAlign w:val="bottom"/>
            <w:tcBorders>
              <w:left w:val="single" w:sz="8" w:color="auto"/>
            </w:tcBorders>
            <w:vMerge w:val="restart"/>
          </w:tcPr>
          <w:p>
            <w:pPr>
              <w:jc w:val="center"/>
              <w:ind w:left="64"/>
              <w:spacing w:after="0"/>
              <w:rPr>
                <w:sz w:val="20"/>
                <w:szCs w:val="20"/>
                <w:color w:val="auto"/>
              </w:rPr>
            </w:pPr>
            <w:r>
              <w:rPr>
                <w:rFonts w:ascii="Arial" w:cs="Arial" w:eastAsia="Arial" w:hAnsi="Arial"/>
                <w:sz w:val="25"/>
                <w:szCs w:val="25"/>
                <w:color w:val="auto"/>
                <w:w w:val="85"/>
              </w:rPr>
              <w:t>4</w:t>
            </w:r>
          </w:p>
        </w:tc>
        <w:tc>
          <w:tcPr>
            <w:tcW w:w="180" w:type="dxa"/>
            <w:vAlign w:val="bottom"/>
            <w:tcBorders>
              <w:right w:val="single" w:sz="8" w:color="auto"/>
            </w:tcBorders>
          </w:tcPr>
          <w:p>
            <w:pPr>
              <w:spacing w:after="0"/>
              <w:rPr>
                <w:sz w:val="21"/>
                <w:szCs w:val="21"/>
                <w:color w:val="auto"/>
              </w:rPr>
            </w:pPr>
          </w:p>
        </w:tc>
        <w:tc>
          <w:tcPr>
            <w:tcW w:w="8260" w:type="dxa"/>
            <w:vAlign w:val="bottom"/>
            <w:gridSpan w:val="4"/>
          </w:tcPr>
          <w:p>
            <w:pPr>
              <w:ind w:left="40"/>
              <w:spacing w:after="0"/>
              <w:rPr>
                <w:sz w:val="20"/>
                <w:szCs w:val="20"/>
                <w:color w:val="auto"/>
              </w:rPr>
            </w:pPr>
            <w:r>
              <w:rPr>
                <w:rFonts w:ascii="Arial" w:cs="Arial" w:eastAsia="Arial" w:hAnsi="Arial"/>
                <w:sz w:val="18"/>
                <w:szCs w:val="18"/>
                <w:color w:val="auto"/>
              </w:rPr>
              <w:t>Source of Funds (See Instructions)</w:t>
            </w:r>
          </w:p>
        </w:tc>
        <w:tc>
          <w:tcPr>
            <w:tcW w:w="21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540" w:type="dxa"/>
            <w:vAlign w:val="bottom"/>
            <w:tcBorders>
              <w:left w:val="single" w:sz="8" w:color="auto"/>
            </w:tcBorders>
            <w:vMerge w:val="continue"/>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8"/>
                <w:szCs w:val="18"/>
                <w:color w:val="auto"/>
              </w:rPr>
              <w:t>AF</w:t>
            </w:r>
          </w:p>
        </w:tc>
        <w:tc>
          <w:tcPr>
            <w:tcW w:w="54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540" w:type="dxa"/>
            <w:vAlign w:val="bottom"/>
            <w:tcBorders>
              <w:left w:val="single" w:sz="8" w:color="auto"/>
            </w:tcBorders>
          </w:tcPr>
          <w:p>
            <w:pPr>
              <w:spacing w:after="0"/>
              <w:rPr>
                <w:sz w:val="5"/>
                <w:szCs w:val="5"/>
                <w:color w:val="auto"/>
              </w:rPr>
            </w:pPr>
          </w:p>
        </w:tc>
        <w:tc>
          <w:tcPr>
            <w:tcW w:w="180" w:type="dxa"/>
            <w:vAlign w:val="bottom"/>
            <w:tcBorders>
              <w:right w:val="single" w:sz="8" w:color="auto"/>
            </w:tcBorders>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6460" w:type="dxa"/>
            <w:vAlign w:val="bottom"/>
          </w:tcPr>
          <w:p>
            <w:pPr>
              <w:spacing w:after="0"/>
              <w:rPr>
                <w:sz w:val="5"/>
                <w:szCs w:val="5"/>
                <w:color w:val="auto"/>
              </w:rPr>
            </w:pPr>
          </w:p>
        </w:tc>
        <w:tc>
          <w:tcPr>
            <w:tcW w:w="21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40" w:type="dxa"/>
            <w:vAlign w:val="bottom"/>
            <w:tcBorders>
              <w:left w:val="single" w:sz="8" w:color="auto"/>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8260" w:type="dxa"/>
            <w:vAlign w:val="bottom"/>
            <w:tcBorders>
              <w:bottom w:val="single" w:sz="8" w:color="auto"/>
            </w:tcBorders>
            <w:gridSpan w:val="4"/>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540" w:type="dxa"/>
            <w:vAlign w:val="bottom"/>
            <w:tcBorders>
              <w:left w:val="single" w:sz="8" w:color="auto"/>
            </w:tcBorders>
            <w:vMerge w:val="restart"/>
          </w:tcPr>
          <w:p>
            <w:pPr>
              <w:jc w:val="center"/>
              <w:ind w:left="64"/>
              <w:spacing w:after="0"/>
              <w:rPr>
                <w:sz w:val="20"/>
                <w:szCs w:val="20"/>
                <w:color w:val="auto"/>
              </w:rPr>
            </w:pPr>
            <w:r>
              <w:rPr>
                <w:rFonts w:ascii="Arial" w:cs="Arial" w:eastAsia="Arial" w:hAnsi="Arial"/>
                <w:sz w:val="25"/>
                <w:szCs w:val="25"/>
                <w:color w:val="auto"/>
                <w:w w:val="85"/>
              </w:rPr>
              <w:t>5</w:t>
            </w:r>
          </w:p>
        </w:tc>
        <w:tc>
          <w:tcPr>
            <w:tcW w:w="180" w:type="dxa"/>
            <w:vAlign w:val="bottom"/>
            <w:tcBorders>
              <w:right w:val="single" w:sz="8" w:color="auto"/>
            </w:tcBorders>
          </w:tcPr>
          <w:p>
            <w:pPr>
              <w:spacing w:after="0"/>
              <w:rPr>
                <w:sz w:val="22"/>
                <w:szCs w:val="22"/>
                <w:color w:val="auto"/>
              </w:rPr>
            </w:pPr>
          </w:p>
        </w:tc>
        <w:tc>
          <w:tcPr>
            <w:tcW w:w="8260" w:type="dxa"/>
            <w:vAlign w:val="bottom"/>
            <w:gridSpan w:val="4"/>
          </w:tcPr>
          <w:p>
            <w:pPr>
              <w:ind w:left="4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2160" w:type="dxa"/>
            <w:vAlign w:val="bottom"/>
            <w:tcBorders>
              <w:right w:val="single" w:sz="8" w:color="auto"/>
            </w:tcBorders>
          </w:tcPr>
          <w:p>
            <w:pPr>
              <w:ind w:left="188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157"/>
        </w:trPr>
        <w:tc>
          <w:tcPr>
            <w:tcW w:w="540" w:type="dxa"/>
            <w:vAlign w:val="bottom"/>
            <w:tcBorders>
              <w:left w:val="single" w:sz="8" w:color="auto"/>
            </w:tcBorders>
            <w:vMerge w:val="continue"/>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60" w:type="dxa"/>
            <w:vAlign w:val="bottom"/>
          </w:tcPr>
          <w:p>
            <w:pPr>
              <w:spacing w:after="0"/>
              <w:rPr>
                <w:sz w:val="13"/>
                <w:szCs w:val="13"/>
                <w:color w:val="auto"/>
              </w:rPr>
            </w:pPr>
          </w:p>
        </w:tc>
        <w:tc>
          <w:tcPr>
            <w:tcW w:w="21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540" w:type="dxa"/>
            <w:vAlign w:val="bottom"/>
            <w:tcBorders>
              <w:left w:val="single" w:sz="8" w:color="auto"/>
              <w:bottom w:val="single" w:sz="8" w:color="auto"/>
            </w:tcBorders>
          </w:tcPr>
          <w:p>
            <w:pPr>
              <w:spacing w:after="0"/>
              <w:rPr>
                <w:sz w:val="9"/>
                <w:szCs w:val="9"/>
                <w:color w:val="auto"/>
              </w:rPr>
            </w:pPr>
          </w:p>
        </w:tc>
        <w:tc>
          <w:tcPr>
            <w:tcW w:w="180" w:type="dxa"/>
            <w:vAlign w:val="bottom"/>
            <w:tcBorders>
              <w:bottom w:val="single" w:sz="8" w:color="auto"/>
              <w:right w:val="single" w:sz="8" w:color="auto"/>
            </w:tcBorders>
          </w:tcPr>
          <w:p>
            <w:pPr>
              <w:spacing w:after="0"/>
              <w:rPr>
                <w:sz w:val="9"/>
                <w:szCs w:val="9"/>
                <w:color w:val="auto"/>
              </w:rPr>
            </w:pPr>
          </w:p>
        </w:tc>
        <w:tc>
          <w:tcPr>
            <w:tcW w:w="8260" w:type="dxa"/>
            <w:vAlign w:val="bottom"/>
            <w:tcBorders>
              <w:bottom w:val="single" w:sz="8" w:color="auto"/>
            </w:tcBorders>
            <w:gridSpan w:val="4"/>
          </w:tcPr>
          <w:p>
            <w:pPr>
              <w:spacing w:after="0"/>
              <w:rPr>
                <w:sz w:val="9"/>
                <w:szCs w:val="9"/>
                <w:color w:val="auto"/>
              </w:rPr>
            </w:pPr>
          </w:p>
        </w:tc>
        <w:tc>
          <w:tcPr>
            <w:tcW w:w="21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540" w:type="dxa"/>
            <w:vAlign w:val="bottom"/>
            <w:tcBorders>
              <w:left w:val="single" w:sz="8" w:color="auto"/>
            </w:tcBorders>
            <w:vMerge w:val="restart"/>
          </w:tcPr>
          <w:p>
            <w:pPr>
              <w:jc w:val="center"/>
              <w:ind w:left="64"/>
              <w:spacing w:after="0"/>
              <w:rPr>
                <w:sz w:val="20"/>
                <w:szCs w:val="20"/>
                <w:color w:val="auto"/>
              </w:rPr>
            </w:pPr>
            <w:r>
              <w:rPr>
                <w:rFonts w:ascii="Arial" w:cs="Arial" w:eastAsia="Arial" w:hAnsi="Arial"/>
                <w:sz w:val="25"/>
                <w:szCs w:val="25"/>
                <w:color w:val="auto"/>
                <w:w w:val="85"/>
              </w:rPr>
              <w:t>6</w:t>
            </w:r>
          </w:p>
        </w:tc>
        <w:tc>
          <w:tcPr>
            <w:tcW w:w="180" w:type="dxa"/>
            <w:vAlign w:val="bottom"/>
            <w:tcBorders>
              <w:right w:val="single" w:sz="8" w:color="auto"/>
            </w:tcBorders>
          </w:tcPr>
          <w:p>
            <w:pPr>
              <w:spacing w:after="0"/>
              <w:rPr>
                <w:sz w:val="21"/>
                <w:szCs w:val="21"/>
                <w:color w:val="auto"/>
              </w:rPr>
            </w:pPr>
          </w:p>
        </w:tc>
        <w:tc>
          <w:tcPr>
            <w:tcW w:w="826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21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540" w:type="dxa"/>
            <w:vAlign w:val="bottom"/>
            <w:tcBorders>
              <w:left w:val="single" w:sz="8" w:color="auto"/>
            </w:tcBorders>
            <w:vMerge w:val="continue"/>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8"/>
                <w:szCs w:val="18"/>
                <w:color w:val="auto"/>
                <w:w w:val="92"/>
              </w:rPr>
              <w:t>Cayman Islands</w:t>
            </w:r>
          </w:p>
        </w:tc>
        <w:tc>
          <w:tcPr>
            <w:tcW w:w="54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540" w:type="dxa"/>
            <w:vAlign w:val="bottom"/>
            <w:tcBorders>
              <w:left w:val="single" w:sz="8" w:color="auto"/>
            </w:tcBorders>
          </w:tcPr>
          <w:p>
            <w:pPr>
              <w:spacing w:after="0"/>
              <w:rPr>
                <w:sz w:val="5"/>
                <w:szCs w:val="5"/>
                <w:color w:val="auto"/>
              </w:rPr>
            </w:pPr>
          </w:p>
        </w:tc>
        <w:tc>
          <w:tcPr>
            <w:tcW w:w="180" w:type="dxa"/>
            <w:vAlign w:val="bottom"/>
            <w:tcBorders>
              <w:right w:val="single" w:sz="8" w:color="auto"/>
            </w:tcBorders>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6460" w:type="dxa"/>
            <w:vAlign w:val="bottom"/>
          </w:tcPr>
          <w:p>
            <w:pPr>
              <w:spacing w:after="0"/>
              <w:rPr>
                <w:sz w:val="5"/>
                <w:szCs w:val="5"/>
                <w:color w:val="auto"/>
              </w:rPr>
            </w:pPr>
          </w:p>
        </w:tc>
        <w:tc>
          <w:tcPr>
            <w:tcW w:w="21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40" w:type="dxa"/>
            <w:vAlign w:val="bottom"/>
            <w:tcBorders>
              <w:left w:val="single" w:sz="8" w:color="auto"/>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460" w:type="dxa"/>
            <w:vAlign w:val="bottom"/>
            <w:tcBorders>
              <w:bottom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8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140" w:type="dxa"/>
            <w:vAlign w:val="bottom"/>
          </w:tcPr>
          <w:p>
            <w:pPr>
              <w:spacing w:after="0"/>
              <w:rPr>
                <w:sz w:val="21"/>
                <w:szCs w:val="21"/>
                <w:color w:val="auto"/>
              </w:rPr>
            </w:pPr>
          </w:p>
        </w:tc>
        <w:tc>
          <w:tcPr>
            <w:tcW w:w="540" w:type="dxa"/>
            <w:vAlign w:val="bottom"/>
            <w:tcBorders>
              <w:right w:val="single" w:sz="8" w:color="auto"/>
            </w:tcBorders>
            <w:vMerge w:val="restart"/>
          </w:tcPr>
          <w:p>
            <w:pPr>
              <w:jc w:val="center"/>
              <w:ind w:right="34"/>
              <w:spacing w:after="0"/>
              <w:rPr>
                <w:sz w:val="20"/>
                <w:szCs w:val="20"/>
                <w:color w:val="auto"/>
              </w:rPr>
            </w:pPr>
            <w:r>
              <w:rPr>
                <w:rFonts w:ascii="Arial" w:cs="Arial" w:eastAsia="Arial" w:hAnsi="Arial"/>
                <w:sz w:val="25"/>
                <w:szCs w:val="25"/>
                <w:color w:val="auto"/>
              </w:rPr>
              <w:t>7</w:t>
            </w:r>
          </w:p>
        </w:tc>
        <w:tc>
          <w:tcPr>
            <w:tcW w:w="646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21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840" w:type="dxa"/>
            <w:vAlign w:val="bottom"/>
            <w:tcBorders>
              <w:left w:val="single" w:sz="8" w:color="auto"/>
              <w:right w:val="single" w:sz="8" w:color="auto"/>
            </w:tcBorders>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Borders>
              <w:right w:val="single" w:sz="8" w:color="auto"/>
            </w:tcBorders>
            <w:vMerge w:val="continue"/>
          </w:tcPr>
          <w:p>
            <w:pPr>
              <w:spacing w:after="0"/>
              <w:rPr>
                <w:sz w:val="15"/>
                <w:szCs w:val="15"/>
                <w:color w:val="auto"/>
              </w:rPr>
            </w:pPr>
          </w:p>
        </w:tc>
        <w:tc>
          <w:tcPr>
            <w:tcW w:w="6460" w:type="dxa"/>
            <w:vAlign w:val="bottom"/>
          </w:tcPr>
          <w:p>
            <w:pPr>
              <w:ind w:left="40"/>
              <w:spacing w:after="0" w:line="176" w:lineRule="exact"/>
              <w:rPr>
                <w:sz w:val="20"/>
                <w:szCs w:val="20"/>
                <w:color w:val="auto"/>
              </w:rPr>
            </w:pPr>
            <w:r>
              <w:rPr>
                <w:rFonts w:ascii="Arial" w:cs="Arial" w:eastAsia="Arial" w:hAnsi="Arial"/>
                <w:sz w:val="18"/>
                <w:szCs w:val="18"/>
                <w:color w:val="auto"/>
              </w:rPr>
              <w:t>150,000</w:t>
            </w:r>
          </w:p>
        </w:tc>
        <w:tc>
          <w:tcPr>
            <w:tcW w:w="2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540" w:type="dxa"/>
            <w:vAlign w:val="bottom"/>
            <w:tcBorders>
              <w:left w:val="single" w:sz="8" w:color="auto"/>
            </w:tcBorders>
          </w:tcPr>
          <w:p>
            <w:pPr>
              <w:spacing w:after="0"/>
              <w:rPr>
                <w:sz w:val="8"/>
                <w:szCs w:val="8"/>
                <w:color w:val="auto"/>
              </w:rPr>
            </w:pPr>
          </w:p>
        </w:tc>
        <w:tc>
          <w:tcPr>
            <w:tcW w:w="1300" w:type="dxa"/>
            <w:vAlign w:val="bottom"/>
            <w:tcBorders>
              <w:right w:val="single" w:sz="8" w:color="auto"/>
            </w:tcBorders>
            <w:gridSpan w:val="2"/>
            <w:vMerge w:val="restart"/>
          </w:tcPr>
          <w:p>
            <w:pPr>
              <w:jc w:val="center"/>
              <w:ind w:right="430"/>
              <w:spacing w:after="0" w:line="201" w:lineRule="exact"/>
              <w:rPr>
                <w:sz w:val="20"/>
                <w:szCs w:val="20"/>
                <w:color w:val="auto"/>
              </w:rPr>
            </w:pPr>
            <w:r>
              <w:rPr>
                <w:rFonts w:ascii="Arial" w:cs="Arial" w:eastAsia="Arial" w:hAnsi="Arial"/>
                <w:sz w:val="18"/>
                <w:szCs w:val="18"/>
                <w:color w:val="auto"/>
                <w:w w:val="94"/>
              </w:rPr>
              <w:t>SHARES</w:t>
            </w: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right w:val="single" w:sz="8" w:color="auto"/>
            </w:tcBorders>
          </w:tcPr>
          <w:p>
            <w:pPr>
              <w:spacing w:after="0"/>
              <w:rPr>
                <w:sz w:val="8"/>
                <w:szCs w:val="8"/>
                <w:color w:val="auto"/>
              </w:rPr>
            </w:pPr>
          </w:p>
        </w:tc>
        <w:tc>
          <w:tcPr>
            <w:tcW w:w="6460" w:type="dxa"/>
            <w:vAlign w:val="bottom"/>
            <w:tcBorders>
              <w:bottom w:val="single" w:sz="8" w:color="auto"/>
            </w:tcBorders>
          </w:tcPr>
          <w:p>
            <w:pPr>
              <w:spacing w:after="0"/>
              <w:rPr>
                <w:sz w:val="8"/>
                <w:szCs w:val="8"/>
                <w:color w:val="auto"/>
              </w:rPr>
            </w:pPr>
          </w:p>
        </w:tc>
        <w:tc>
          <w:tcPr>
            <w:tcW w:w="21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540" w:type="dxa"/>
            <w:vAlign w:val="bottom"/>
            <w:tcBorders>
              <w:left w:val="single" w:sz="8" w:color="auto"/>
            </w:tcBorders>
          </w:tcPr>
          <w:p>
            <w:pPr>
              <w:spacing w:after="0"/>
              <w:rPr>
                <w:sz w:val="6"/>
                <w:szCs w:val="6"/>
                <w:color w:val="auto"/>
              </w:rPr>
            </w:pPr>
          </w:p>
        </w:tc>
        <w:tc>
          <w:tcPr>
            <w:tcW w:w="1300" w:type="dxa"/>
            <w:vAlign w:val="bottom"/>
            <w:tcBorders>
              <w:right w:val="single" w:sz="8" w:color="auto"/>
            </w:tcBorders>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646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1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8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140" w:type="dxa"/>
            <w:vAlign w:val="bottom"/>
          </w:tcPr>
          <w:p>
            <w:pPr>
              <w:spacing w:after="0"/>
              <w:rPr>
                <w:sz w:val="14"/>
                <w:szCs w:val="14"/>
                <w:color w:val="auto"/>
              </w:rPr>
            </w:pPr>
          </w:p>
        </w:tc>
        <w:tc>
          <w:tcPr>
            <w:tcW w:w="540" w:type="dxa"/>
            <w:vAlign w:val="bottom"/>
            <w:tcBorders>
              <w:right w:val="single" w:sz="8" w:color="auto"/>
            </w:tcBorders>
            <w:vMerge w:val="restart"/>
          </w:tcPr>
          <w:p>
            <w:pPr>
              <w:jc w:val="center"/>
              <w:ind w:right="34"/>
              <w:spacing w:after="0" w:line="216" w:lineRule="exact"/>
              <w:rPr>
                <w:sz w:val="20"/>
                <w:szCs w:val="20"/>
                <w:color w:val="auto"/>
              </w:rPr>
            </w:pPr>
            <w:r>
              <w:rPr>
                <w:rFonts w:ascii="Arial" w:cs="Arial" w:eastAsia="Arial" w:hAnsi="Arial"/>
                <w:sz w:val="25"/>
                <w:szCs w:val="25"/>
                <w:color w:val="auto"/>
              </w:rPr>
              <w:t>8</w:t>
            </w:r>
          </w:p>
        </w:tc>
        <w:tc>
          <w:tcPr>
            <w:tcW w:w="6460" w:type="dxa"/>
            <w:vAlign w:val="bottom"/>
            <w:vMerge w:val="continue"/>
          </w:tcPr>
          <w:p>
            <w:pPr>
              <w:spacing w:after="0"/>
              <w:rPr>
                <w:sz w:val="14"/>
                <w:szCs w:val="14"/>
                <w:color w:val="auto"/>
              </w:rPr>
            </w:pPr>
          </w:p>
        </w:tc>
        <w:tc>
          <w:tcPr>
            <w:tcW w:w="2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840" w:type="dxa"/>
            <w:vAlign w:val="bottom"/>
            <w:tcBorders>
              <w:left w:val="single" w:sz="8" w:color="auto"/>
              <w:right w:val="single" w:sz="8" w:color="auto"/>
            </w:tcBorders>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right w:val="single" w:sz="8" w:color="auto"/>
            </w:tcBorders>
            <w:vMerge w:val="continue"/>
          </w:tcPr>
          <w:p>
            <w:pPr>
              <w:spacing w:after="0"/>
              <w:rPr>
                <w:sz w:val="4"/>
                <w:szCs w:val="4"/>
                <w:color w:val="auto"/>
              </w:rPr>
            </w:pPr>
          </w:p>
        </w:tc>
        <w:tc>
          <w:tcPr>
            <w:tcW w:w="64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1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8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7"/>
              </w:rPr>
              <w:t>OWNED BY</w:t>
            </w: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spacing w:after="0"/>
              <w:rPr>
                <w:sz w:val="19"/>
                <w:szCs w:val="19"/>
                <w:color w:val="auto"/>
              </w:rPr>
            </w:pPr>
          </w:p>
        </w:tc>
        <w:tc>
          <w:tcPr>
            <w:tcW w:w="6460" w:type="dxa"/>
            <w:vAlign w:val="bottom"/>
            <w:tcBorders>
              <w:bottom w:val="single" w:sz="8" w:color="auto"/>
            </w:tcBorders>
            <w:vMerge w:val="continue"/>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40" w:type="dxa"/>
            <w:vAlign w:val="bottom"/>
            <w:tcBorders>
              <w:left w:val="single" w:sz="8" w:color="auto"/>
            </w:tcBorders>
          </w:tcPr>
          <w:p>
            <w:pPr>
              <w:spacing w:after="0"/>
              <w:rPr>
                <w:sz w:val="17"/>
                <w:szCs w:val="17"/>
                <w:color w:val="auto"/>
              </w:rPr>
            </w:pPr>
          </w:p>
        </w:tc>
        <w:tc>
          <w:tcPr>
            <w:tcW w:w="1300" w:type="dxa"/>
            <w:vAlign w:val="bottom"/>
            <w:tcBorders>
              <w:right w:val="single" w:sz="8" w:color="auto"/>
            </w:tcBorders>
            <w:gridSpan w:val="2"/>
          </w:tcPr>
          <w:p>
            <w:pPr>
              <w:jc w:val="center"/>
              <w:ind w:right="430"/>
              <w:spacing w:after="0" w:line="202" w:lineRule="exact"/>
              <w:rPr>
                <w:sz w:val="20"/>
                <w:szCs w:val="20"/>
                <w:color w:val="auto"/>
              </w:rPr>
            </w:pPr>
            <w:r>
              <w:rPr>
                <w:rFonts w:ascii="Arial" w:cs="Arial" w:eastAsia="Arial" w:hAnsi="Arial"/>
                <w:sz w:val="18"/>
                <w:szCs w:val="18"/>
                <w:color w:val="auto"/>
                <w:w w:val="99"/>
              </w:rPr>
              <w:t>EACH</w:t>
            </w:r>
          </w:p>
        </w:tc>
        <w:tc>
          <w:tcPr>
            <w:tcW w:w="140" w:type="dxa"/>
            <w:vAlign w:val="bottom"/>
          </w:tcPr>
          <w:p>
            <w:pPr>
              <w:spacing w:after="0"/>
              <w:rPr>
                <w:sz w:val="17"/>
                <w:szCs w:val="17"/>
                <w:color w:val="auto"/>
              </w:rPr>
            </w:pPr>
          </w:p>
        </w:tc>
        <w:tc>
          <w:tcPr>
            <w:tcW w:w="540" w:type="dxa"/>
            <w:vAlign w:val="bottom"/>
            <w:tcBorders>
              <w:right w:val="single" w:sz="8" w:color="auto"/>
            </w:tcBorders>
            <w:vMerge w:val="restart"/>
          </w:tcPr>
          <w:p>
            <w:pPr>
              <w:jc w:val="center"/>
              <w:ind w:right="34"/>
              <w:spacing w:after="0"/>
              <w:rPr>
                <w:sz w:val="20"/>
                <w:szCs w:val="20"/>
                <w:color w:val="auto"/>
              </w:rPr>
            </w:pPr>
            <w:r>
              <w:rPr>
                <w:rFonts w:ascii="Arial" w:cs="Arial" w:eastAsia="Arial" w:hAnsi="Arial"/>
                <w:sz w:val="25"/>
                <w:szCs w:val="25"/>
                <w:color w:val="auto"/>
              </w:rPr>
              <w:t>9</w:t>
            </w:r>
          </w:p>
        </w:tc>
        <w:tc>
          <w:tcPr>
            <w:tcW w:w="6460" w:type="dxa"/>
            <w:vAlign w:val="bottom"/>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2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3"/>
              </w:rPr>
              <w:t>REPORTING</w:t>
            </w:r>
          </w:p>
        </w:tc>
        <w:tc>
          <w:tcPr>
            <w:tcW w:w="140" w:type="dxa"/>
            <w:vAlign w:val="bottom"/>
          </w:tcPr>
          <w:p>
            <w:pPr>
              <w:spacing w:after="0"/>
              <w:rPr>
                <w:sz w:val="18"/>
                <w:szCs w:val="18"/>
                <w:color w:val="auto"/>
              </w:rPr>
            </w:pPr>
          </w:p>
        </w:tc>
        <w:tc>
          <w:tcPr>
            <w:tcW w:w="540" w:type="dxa"/>
            <w:vAlign w:val="bottom"/>
            <w:tcBorders>
              <w:right w:val="single" w:sz="8" w:color="auto"/>
            </w:tcBorders>
            <w:vMerge w:val="continue"/>
          </w:tcPr>
          <w:p>
            <w:pPr>
              <w:spacing w:after="0"/>
              <w:rPr>
                <w:sz w:val="18"/>
                <w:szCs w:val="18"/>
                <w:color w:val="auto"/>
              </w:rPr>
            </w:pPr>
          </w:p>
        </w:tc>
        <w:tc>
          <w:tcPr>
            <w:tcW w:w="6460" w:type="dxa"/>
            <w:vAlign w:val="bottom"/>
          </w:tcPr>
          <w:p>
            <w:pPr>
              <w:ind w:left="40"/>
              <w:spacing w:after="0"/>
              <w:rPr>
                <w:sz w:val="20"/>
                <w:szCs w:val="20"/>
                <w:color w:val="auto"/>
              </w:rPr>
            </w:pPr>
            <w:r>
              <w:rPr>
                <w:rFonts w:ascii="Arial" w:cs="Arial" w:eastAsia="Arial" w:hAnsi="Arial"/>
                <w:sz w:val="18"/>
                <w:szCs w:val="18"/>
                <w:color w:val="auto"/>
              </w:rPr>
              <w:t>150,000</w:t>
            </w:r>
          </w:p>
        </w:tc>
        <w:tc>
          <w:tcPr>
            <w:tcW w:w="2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540" w:type="dxa"/>
            <w:vAlign w:val="bottom"/>
            <w:tcBorders>
              <w:left w:val="single" w:sz="8" w:color="auto"/>
            </w:tcBorders>
          </w:tcPr>
          <w:p>
            <w:pPr>
              <w:spacing w:after="0"/>
              <w:rPr>
                <w:sz w:val="8"/>
                <w:szCs w:val="8"/>
                <w:color w:val="auto"/>
              </w:rPr>
            </w:pPr>
          </w:p>
        </w:tc>
        <w:tc>
          <w:tcPr>
            <w:tcW w:w="1300" w:type="dxa"/>
            <w:vAlign w:val="bottom"/>
            <w:tcBorders>
              <w:right w:val="single" w:sz="8" w:color="auto"/>
            </w:tcBorders>
            <w:gridSpan w:val="2"/>
            <w:vMerge w:val="restart"/>
          </w:tcPr>
          <w:p>
            <w:pPr>
              <w:jc w:val="center"/>
              <w:ind w:right="430"/>
              <w:spacing w:after="0" w:line="201" w:lineRule="exact"/>
              <w:rPr>
                <w:sz w:val="20"/>
                <w:szCs w:val="20"/>
                <w:color w:val="auto"/>
              </w:rPr>
            </w:pPr>
            <w:r>
              <w:rPr>
                <w:rFonts w:ascii="Arial" w:cs="Arial" w:eastAsia="Arial" w:hAnsi="Arial"/>
                <w:sz w:val="18"/>
                <w:szCs w:val="18"/>
                <w:color w:val="auto"/>
                <w:w w:val="92"/>
              </w:rPr>
              <w:t>PERSON</w:t>
            </w: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right w:val="single" w:sz="8" w:color="auto"/>
            </w:tcBorders>
          </w:tcPr>
          <w:p>
            <w:pPr>
              <w:spacing w:after="0"/>
              <w:rPr>
                <w:sz w:val="8"/>
                <w:szCs w:val="8"/>
                <w:color w:val="auto"/>
              </w:rPr>
            </w:pPr>
          </w:p>
        </w:tc>
        <w:tc>
          <w:tcPr>
            <w:tcW w:w="6460" w:type="dxa"/>
            <w:vAlign w:val="bottom"/>
            <w:tcBorders>
              <w:bottom w:val="single" w:sz="8" w:color="auto"/>
            </w:tcBorders>
          </w:tcPr>
          <w:p>
            <w:pPr>
              <w:spacing w:after="0"/>
              <w:rPr>
                <w:sz w:val="8"/>
                <w:szCs w:val="8"/>
                <w:color w:val="auto"/>
              </w:rPr>
            </w:pPr>
          </w:p>
        </w:tc>
        <w:tc>
          <w:tcPr>
            <w:tcW w:w="21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540" w:type="dxa"/>
            <w:vAlign w:val="bottom"/>
            <w:tcBorders>
              <w:left w:val="single" w:sz="8" w:color="auto"/>
            </w:tcBorders>
          </w:tcPr>
          <w:p>
            <w:pPr>
              <w:spacing w:after="0"/>
              <w:rPr>
                <w:sz w:val="6"/>
                <w:szCs w:val="6"/>
                <w:color w:val="auto"/>
              </w:rPr>
            </w:pPr>
          </w:p>
        </w:tc>
        <w:tc>
          <w:tcPr>
            <w:tcW w:w="1300" w:type="dxa"/>
            <w:vAlign w:val="bottom"/>
            <w:tcBorders>
              <w:right w:val="single" w:sz="8" w:color="auto"/>
            </w:tcBorders>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646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1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540" w:type="dxa"/>
            <w:vAlign w:val="bottom"/>
            <w:tcBorders>
              <w:lef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Borders>
              <w:right w:val="single" w:sz="8" w:color="auto"/>
            </w:tcBorders>
            <w:vMerge w:val="restart"/>
          </w:tcPr>
          <w:p>
            <w:pPr>
              <w:jc w:val="center"/>
              <w:ind w:right="590"/>
              <w:spacing w:after="0"/>
              <w:rPr>
                <w:sz w:val="20"/>
                <w:szCs w:val="20"/>
                <w:color w:val="auto"/>
              </w:rPr>
            </w:pPr>
            <w:r>
              <w:rPr>
                <w:rFonts w:ascii="Arial" w:cs="Arial" w:eastAsia="Arial" w:hAnsi="Arial"/>
                <w:sz w:val="18"/>
                <w:szCs w:val="18"/>
                <w:color w:val="auto"/>
                <w:w w:val="95"/>
              </w:rPr>
              <w:t>WITH</w:t>
            </w:r>
          </w:p>
        </w:tc>
        <w:tc>
          <w:tcPr>
            <w:tcW w:w="140" w:type="dxa"/>
            <w:vAlign w:val="bottom"/>
          </w:tcPr>
          <w:p>
            <w:pPr>
              <w:spacing w:after="0"/>
              <w:rPr>
                <w:sz w:val="14"/>
                <w:szCs w:val="14"/>
                <w:color w:val="auto"/>
              </w:rPr>
            </w:pPr>
          </w:p>
        </w:tc>
        <w:tc>
          <w:tcPr>
            <w:tcW w:w="540" w:type="dxa"/>
            <w:vAlign w:val="bottom"/>
            <w:tcBorders>
              <w:right w:val="single" w:sz="8" w:color="auto"/>
            </w:tcBorders>
            <w:vMerge w:val="restart"/>
          </w:tcPr>
          <w:p>
            <w:pPr>
              <w:jc w:val="center"/>
              <w:ind w:right="34"/>
              <w:spacing w:after="0"/>
              <w:rPr>
                <w:sz w:val="20"/>
                <w:szCs w:val="20"/>
                <w:color w:val="auto"/>
              </w:rPr>
            </w:pPr>
            <w:r>
              <w:rPr>
                <w:rFonts w:ascii="Arial" w:cs="Arial" w:eastAsia="Arial" w:hAnsi="Arial"/>
                <w:sz w:val="25"/>
                <w:szCs w:val="25"/>
                <w:color w:val="auto"/>
                <w:w w:val="93"/>
              </w:rPr>
              <w:t>10</w:t>
            </w:r>
          </w:p>
        </w:tc>
        <w:tc>
          <w:tcPr>
            <w:tcW w:w="6460" w:type="dxa"/>
            <w:vAlign w:val="bottom"/>
            <w:vMerge w:val="continue"/>
          </w:tcPr>
          <w:p>
            <w:pPr>
              <w:spacing w:after="0"/>
              <w:rPr>
                <w:sz w:val="14"/>
                <w:szCs w:val="14"/>
                <w:color w:val="auto"/>
              </w:rPr>
            </w:pPr>
          </w:p>
        </w:tc>
        <w:tc>
          <w:tcPr>
            <w:tcW w:w="2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0" w:type="dxa"/>
            <w:vAlign w:val="bottom"/>
            <w:tcBorders>
              <w:lef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Borders>
              <w:right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Borders>
              <w:right w:val="single" w:sz="8" w:color="auto"/>
            </w:tcBorders>
            <w:vMerge w:val="continue"/>
          </w:tcPr>
          <w:p>
            <w:pPr>
              <w:spacing w:after="0"/>
              <w:rPr>
                <w:sz w:val="14"/>
                <w:szCs w:val="14"/>
                <w:color w:val="auto"/>
              </w:rPr>
            </w:pPr>
          </w:p>
        </w:tc>
        <w:tc>
          <w:tcPr>
            <w:tcW w:w="64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540" w:type="dxa"/>
            <w:vAlign w:val="bottom"/>
            <w:tcBorders>
              <w:lef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Borders>
              <w:right w:val="single" w:sz="8" w:color="auto"/>
            </w:tcBorders>
          </w:tcPr>
          <w:p>
            <w:pPr>
              <w:spacing w:after="0"/>
              <w:rPr>
                <w:sz w:val="5"/>
                <w:szCs w:val="5"/>
                <w:color w:val="auto"/>
              </w:rPr>
            </w:pPr>
          </w:p>
        </w:tc>
        <w:tc>
          <w:tcPr>
            <w:tcW w:w="6460" w:type="dxa"/>
            <w:vAlign w:val="bottom"/>
            <w:vMerge w:val="continue"/>
          </w:tcPr>
          <w:p>
            <w:pPr>
              <w:spacing w:after="0"/>
              <w:rPr>
                <w:sz w:val="5"/>
                <w:szCs w:val="5"/>
                <w:color w:val="auto"/>
              </w:rPr>
            </w:pPr>
          </w:p>
        </w:tc>
        <w:tc>
          <w:tcPr>
            <w:tcW w:w="21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40" w:type="dxa"/>
            <w:vAlign w:val="bottom"/>
            <w:tcBorders>
              <w:left w:val="single" w:sz="8" w:color="auto"/>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gridSpan w:val="2"/>
          </w:tcPr>
          <w:p>
            <w:pPr>
              <w:spacing w:after="0"/>
              <w:rPr>
                <w:sz w:val="4"/>
                <w:szCs w:val="4"/>
                <w:color w:val="auto"/>
              </w:rPr>
            </w:pPr>
          </w:p>
        </w:tc>
        <w:tc>
          <w:tcPr>
            <w:tcW w:w="6460" w:type="dxa"/>
            <w:vAlign w:val="bottom"/>
            <w:tcBorders>
              <w:bottom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540" w:type="dxa"/>
            <w:vAlign w:val="bottom"/>
            <w:tcBorders>
              <w:left w:val="single" w:sz="8" w:color="auto"/>
            </w:tcBorders>
            <w:vMerge w:val="restart"/>
          </w:tcPr>
          <w:p>
            <w:pPr>
              <w:jc w:val="center"/>
              <w:ind w:left="64"/>
              <w:spacing w:after="0"/>
              <w:rPr>
                <w:sz w:val="20"/>
                <w:szCs w:val="20"/>
                <w:color w:val="auto"/>
              </w:rPr>
            </w:pPr>
            <w:r>
              <w:rPr>
                <w:rFonts w:ascii="Arial" w:cs="Arial" w:eastAsia="Arial" w:hAnsi="Arial"/>
                <w:sz w:val="25"/>
                <w:szCs w:val="25"/>
                <w:color w:val="auto"/>
                <w:w w:val="86"/>
              </w:rPr>
              <w:t>11</w:t>
            </w:r>
          </w:p>
        </w:tc>
        <w:tc>
          <w:tcPr>
            <w:tcW w:w="180" w:type="dxa"/>
            <w:vAlign w:val="bottom"/>
            <w:tcBorders>
              <w:right w:val="single" w:sz="8" w:color="auto"/>
            </w:tcBorders>
          </w:tcPr>
          <w:p>
            <w:pPr>
              <w:spacing w:after="0"/>
              <w:rPr>
                <w:sz w:val="21"/>
                <w:szCs w:val="21"/>
                <w:color w:val="auto"/>
              </w:rPr>
            </w:pPr>
          </w:p>
        </w:tc>
        <w:tc>
          <w:tcPr>
            <w:tcW w:w="826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21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540" w:type="dxa"/>
            <w:vAlign w:val="bottom"/>
            <w:tcBorders>
              <w:left w:val="single" w:sz="8" w:color="auto"/>
            </w:tcBorders>
            <w:vMerge w:val="continue"/>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120" w:type="dxa"/>
            <w:vAlign w:val="bottom"/>
            <w:vMerge w:val="restart"/>
          </w:tcPr>
          <w:p>
            <w:pPr>
              <w:ind w:left="40"/>
              <w:spacing w:after="0"/>
              <w:rPr>
                <w:sz w:val="20"/>
                <w:szCs w:val="20"/>
                <w:color w:val="auto"/>
              </w:rPr>
            </w:pPr>
            <w:r>
              <w:rPr>
                <w:rFonts w:ascii="Arial" w:cs="Arial" w:eastAsia="Arial" w:hAnsi="Arial"/>
                <w:sz w:val="18"/>
                <w:szCs w:val="18"/>
                <w:color w:val="auto"/>
              </w:rPr>
              <w:t>150,000</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540" w:type="dxa"/>
            <w:vAlign w:val="bottom"/>
            <w:tcBorders>
              <w:left w:val="single" w:sz="8" w:color="auto"/>
            </w:tcBorders>
          </w:tcPr>
          <w:p>
            <w:pPr>
              <w:spacing w:after="0"/>
              <w:rPr>
                <w:sz w:val="5"/>
                <w:szCs w:val="5"/>
                <w:color w:val="auto"/>
              </w:rPr>
            </w:pPr>
          </w:p>
        </w:tc>
        <w:tc>
          <w:tcPr>
            <w:tcW w:w="180" w:type="dxa"/>
            <w:vAlign w:val="bottom"/>
            <w:tcBorders>
              <w:right w:val="single" w:sz="8" w:color="auto"/>
            </w:tcBorders>
          </w:tcPr>
          <w:p>
            <w:pPr>
              <w:spacing w:after="0"/>
              <w:rPr>
                <w:sz w:val="5"/>
                <w:szCs w:val="5"/>
                <w:color w:val="auto"/>
              </w:rPr>
            </w:pPr>
          </w:p>
        </w:tc>
        <w:tc>
          <w:tcPr>
            <w:tcW w:w="11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60" w:type="dxa"/>
            <w:vAlign w:val="bottom"/>
          </w:tcPr>
          <w:p>
            <w:pPr>
              <w:spacing w:after="0"/>
              <w:rPr>
                <w:sz w:val="5"/>
                <w:szCs w:val="5"/>
                <w:color w:val="auto"/>
              </w:rPr>
            </w:pPr>
          </w:p>
        </w:tc>
        <w:tc>
          <w:tcPr>
            <w:tcW w:w="21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40" w:type="dxa"/>
            <w:vAlign w:val="bottom"/>
            <w:tcBorders>
              <w:left w:val="single" w:sz="8" w:color="auto"/>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gridSpan w:val="2"/>
          </w:tcPr>
          <w:p>
            <w:pPr>
              <w:spacing w:after="0"/>
              <w:rPr>
                <w:sz w:val="4"/>
                <w:szCs w:val="4"/>
                <w:color w:val="auto"/>
              </w:rPr>
            </w:pPr>
          </w:p>
        </w:tc>
        <w:tc>
          <w:tcPr>
            <w:tcW w:w="6460" w:type="dxa"/>
            <w:vAlign w:val="bottom"/>
            <w:tcBorders>
              <w:bottom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40" w:type="dxa"/>
            <w:vAlign w:val="bottom"/>
            <w:tcBorders>
              <w:left w:val="single" w:sz="8" w:color="auto"/>
            </w:tcBorders>
            <w:vMerge w:val="restart"/>
          </w:tcPr>
          <w:p>
            <w:pPr>
              <w:jc w:val="center"/>
              <w:ind w:left="64"/>
              <w:spacing w:after="0"/>
              <w:rPr>
                <w:sz w:val="20"/>
                <w:szCs w:val="20"/>
                <w:color w:val="auto"/>
              </w:rPr>
            </w:pPr>
            <w:r>
              <w:rPr>
                <w:rFonts w:ascii="Arial" w:cs="Arial" w:eastAsia="Arial" w:hAnsi="Arial"/>
                <w:sz w:val="25"/>
                <w:szCs w:val="25"/>
                <w:color w:val="auto"/>
                <w:w w:val="86"/>
              </w:rPr>
              <w:t>12</w:t>
            </w:r>
          </w:p>
        </w:tc>
        <w:tc>
          <w:tcPr>
            <w:tcW w:w="180" w:type="dxa"/>
            <w:vAlign w:val="bottom"/>
            <w:tcBorders>
              <w:right w:val="single" w:sz="8" w:color="auto"/>
            </w:tcBorders>
          </w:tcPr>
          <w:p>
            <w:pPr>
              <w:spacing w:after="0"/>
              <w:rPr>
                <w:sz w:val="22"/>
                <w:szCs w:val="22"/>
                <w:color w:val="auto"/>
              </w:rPr>
            </w:pPr>
          </w:p>
        </w:tc>
        <w:tc>
          <w:tcPr>
            <w:tcW w:w="8260" w:type="dxa"/>
            <w:vAlign w:val="bottom"/>
            <w:gridSpan w:val="4"/>
          </w:tcPr>
          <w:p>
            <w:pPr>
              <w:ind w:left="4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2160" w:type="dxa"/>
            <w:vAlign w:val="bottom"/>
            <w:tcBorders>
              <w:right w:val="single" w:sz="8" w:color="auto"/>
            </w:tcBorders>
          </w:tcPr>
          <w:p>
            <w:pPr>
              <w:ind w:left="188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157"/>
        </w:trPr>
        <w:tc>
          <w:tcPr>
            <w:tcW w:w="540" w:type="dxa"/>
            <w:vAlign w:val="bottom"/>
            <w:tcBorders>
              <w:left w:val="single" w:sz="8" w:color="auto"/>
            </w:tcBorders>
            <w:vMerge w:val="continue"/>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60" w:type="dxa"/>
            <w:vAlign w:val="bottom"/>
          </w:tcPr>
          <w:p>
            <w:pPr>
              <w:spacing w:after="0"/>
              <w:rPr>
                <w:sz w:val="13"/>
                <w:szCs w:val="13"/>
                <w:color w:val="auto"/>
              </w:rPr>
            </w:pPr>
          </w:p>
        </w:tc>
        <w:tc>
          <w:tcPr>
            <w:tcW w:w="21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540" w:type="dxa"/>
            <w:vAlign w:val="bottom"/>
            <w:tcBorders>
              <w:left w:val="single" w:sz="8" w:color="auto"/>
              <w:bottom w:val="single" w:sz="8" w:color="auto"/>
            </w:tcBorders>
          </w:tcPr>
          <w:p>
            <w:pPr>
              <w:spacing w:after="0"/>
              <w:rPr>
                <w:sz w:val="9"/>
                <w:szCs w:val="9"/>
                <w:color w:val="auto"/>
              </w:rPr>
            </w:pPr>
          </w:p>
        </w:tc>
        <w:tc>
          <w:tcPr>
            <w:tcW w:w="18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gridSpan w:val="2"/>
          </w:tcPr>
          <w:p>
            <w:pPr>
              <w:spacing w:after="0"/>
              <w:rPr>
                <w:sz w:val="9"/>
                <w:szCs w:val="9"/>
                <w:color w:val="auto"/>
              </w:rPr>
            </w:pPr>
          </w:p>
        </w:tc>
        <w:tc>
          <w:tcPr>
            <w:tcW w:w="6460" w:type="dxa"/>
            <w:vAlign w:val="bottom"/>
            <w:tcBorders>
              <w:bottom w:val="single" w:sz="8" w:color="auto"/>
            </w:tcBorders>
          </w:tcPr>
          <w:p>
            <w:pPr>
              <w:spacing w:after="0"/>
              <w:rPr>
                <w:sz w:val="9"/>
                <w:szCs w:val="9"/>
                <w:color w:val="auto"/>
              </w:rPr>
            </w:pPr>
          </w:p>
        </w:tc>
        <w:tc>
          <w:tcPr>
            <w:tcW w:w="21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540" w:type="dxa"/>
            <w:vAlign w:val="bottom"/>
            <w:tcBorders>
              <w:left w:val="single" w:sz="8" w:color="auto"/>
            </w:tcBorders>
            <w:vMerge w:val="restart"/>
          </w:tcPr>
          <w:p>
            <w:pPr>
              <w:jc w:val="center"/>
              <w:ind w:left="64"/>
              <w:spacing w:after="0"/>
              <w:rPr>
                <w:sz w:val="20"/>
                <w:szCs w:val="20"/>
                <w:color w:val="auto"/>
              </w:rPr>
            </w:pPr>
            <w:r>
              <w:rPr>
                <w:rFonts w:ascii="Arial" w:cs="Arial" w:eastAsia="Arial" w:hAnsi="Arial"/>
                <w:sz w:val="25"/>
                <w:szCs w:val="25"/>
                <w:color w:val="auto"/>
                <w:w w:val="86"/>
              </w:rPr>
              <w:t>13</w:t>
            </w:r>
          </w:p>
        </w:tc>
        <w:tc>
          <w:tcPr>
            <w:tcW w:w="180" w:type="dxa"/>
            <w:vAlign w:val="bottom"/>
            <w:tcBorders>
              <w:right w:val="single" w:sz="8" w:color="auto"/>
            </w:tcBorders>
          </w:tcPr>
          <w:p>
            <w:pPr>
              <w:spacing w:after="0"/>
              <w:rPr>
                <w:sz w:val="21"/>
                <w:szCs w:val="21"/>
                <w:color w:val="auto"/>
              </w:rPr>
            </w:pPr>
          </w:p>
        </w:tc>
        <w:tc>
          <w:tcPr>
            <w:tcW w:w="826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(11)</w:t>
            </w:r>
          </w:p>
        </w:tc>
        <w:tc>
          <w:tcPr>
            <w:tcW w:w="21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540" w:type="dxa"/>
            <w:vAlign w:val="bottom"/>
            <w:tcBorders>
              <w:left w:val="single" w:sz="8" w:color="auto"/>
            </w:tcBorders>
            <w:vMerge w:val="continue"/>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120" w:type="dxa"/>
            <w:vAlign w:val="bottom"/>
            <w:vMerge w:val="restart"/>
          </w:tcPr>
          <w:p>
            <w:pPr>
              <w:ind w:left="40"/>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540" w:type="dxa"/>
            <w:vAlign w:val="bottom"/>
            <w:tcBorders>
              <w:left w:val="single" w:sz="8" w:color="auto"/>
            </w:tcBorders>
          </w:tcPr>
          <w:p>
            <w:pPr>
              <w:spacing w:after="0"/>
              <w:rPr>
                <w:sz w:val="5"/>
                <w:szCs w:val="5"/>
                <w:color w:val="auto"/>
              </w:rPr>
            </w:pPr>
          </w:p>
        </w:tc>
        <w:tc>
          <w:tcPr>
            <w:tcW w:w="180" w:type="dxa"/>
            <w:vAlign w:val="bottom"/>
            <w:tcBorders>
              <w:right w:val="single" w:sz="8" w:color="auto"/>
            </w:tcBorders>
          </w:tcPr>
          <w:p>
            <w:pPr>
              <w:spacing w:after="0"/>
              <w:rPr>
                <w:sz w:val="5"/>
                <w:szCs w:val="5"/>
                <w:color w:val="auto"/>
              </w:rPr>
            </w:pPr>
          </w:p>
        </w:tc>
        <w:tc>
          <w:tcPr>
            <w:tcW w:w="11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60" w:type="dxa"/>
            <w:vAlign w:val="bottom"/>
          </w:tcPr>
          <w:p>
            <w:pPr>
              <w:spacing w:after="0"/>
              <w:rPr>
                <w:sz w:val="5"/>
                <w:szCs w:val="5"/>
                <w:color w:val="auto"/>
              </w:rPr>
            </w:pPr>
          </w:p>
        </w:tc>
        <w:tc>
          <w:tcPr>
            <w:tcW w:w="21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40" w:type="dxa"/>
            <w:vAlign w:val="bottom"/>
            <w:tcBorders>
              <w:left w:val="single" w:sz="8" w:color="auto"/>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gridSpan w:val="2"/>
          </w:tcPr>
          <w:p>
            <w:pPr>
              <w:spacing w:after="0"/>
              <w:rPr>
                <w:sz w:val="4"/>
                <w:szCs w:val="4"/>
                <w:color w:val="auto"/>
              </w:rPr>
            </w:pPr>
          </w:p>
        </w:tc>
        <w:tc>
          <w:tcPr>
            <w:tcW w:w="6460" w:type="dxa"/>
            <w:vAlign w:val="bottom"/>
            <w:tcBorders>
              <w:bottom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540" w:type="dxa"/>
            <w:vAlign w:val="bottom"/>
            <w:tcBorders>
              <w:left w:val="single" w:sz="8" w:color="auto"/>
            </w:tcBorders>
            <w:vMerge w:val="restart"/>
          </w:tcPr>
          <w:p>
            <w:pPr>
              <w:jc w:val="center"/>
              <w:ind w:left="64"/>
              <w:spacing w:after="0"/>
              <w:rPr>
                <w:sz w:val="20"/>
                <w:szCs w:val="20"/>
                <w:color w:val="auto"/>
              </w:rPr>
            </w:pPr>
            <w:r>
              <w:rPr>
                <w:rFonts w:ascii="Arial" w:cs="Arial" w:eastAsia="Arial" w:hAnsi="Arial"/>
                <w:sz w:val="25"/>
                <w:szCs w:val="25"/>
                <w:color w:val="auto"/>
                <w:w w:val="86"/>
              </w:rPr>
              <w:t>14</w:t>
            </w:r>
          </w:p>
        </w:tc>
        <w:tc>
          <w:tcPr>
            <w:tcW w:w="180" w:type="dxa"/>
            <w:vAlign w:val="bottom"/>
            <w:tcBorders>
              <w:right w:val="single" w:sz="8" w:color="auto"/>
            </w:tcBorders>
          </w:tcPr>
          <w:p>
            <w:pPr>
              <w:spacing w:after="0"/>
              <w:rPr>
                <w:sz w:val="21"/>
                <w:szCs w:val="21"/>
                <w:color w:val="auto"/>
              </w:rPr>
            </w:pPr>
          </w:p>
        </w:tc>
        <w:tc>
          <w:tcPr>
            <w:tcW w:w="826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 (See Instructions)</w:t>
            </w:r>
          </w:p>
        </w:tc>
        <w:tc>
          <w:tcPr>
            <w:tcW w:w="21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540" w:type="dxa"/>
            <w:vAlign w:val="bottom"/>
            <w:tcBorders>
              <w:left w:val="single" w:sz="8" w:color="auto"/>
            </w:tcBorders>
            <w:vMerge w:val="continue"/>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8"/>
                <w:szCs w:val="18"/>
                <w:color w:val="auto"/>
              </w:rPr>
              <w:t>IA</w:t>
            </w:r>
          </w:p>
        </w:tc>
        <w:tc>
          <w:tcPr>
            <w:tcW w:w="54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540" w:type="dxa"/>
            <w:vAlign w:val="bottom"/>
            <w:tcBorders>
              <w:left w:val="single" w:sz="8" w:color="auto"/>
            </w:tcBorders>
          </w:tcPr>
          <w:p>
            <w:pPr>
              <w:spacing w:after="0"/>
              <w:rPr>
                <w:sz w:val="5"/>
                <w:szCs w:val="5"/>
                <w:color w:val="auto"/>
              </w:rPr>
            </w:pPr>
          </w:p>
        </w:tc>
        <w:tc>
          <w:tcPr>
            <w:tcW w:w="180" w:type="dxa"/>
            <w:vAlign w:val="bottom"/>
            <w:tcBorders>
              <w:right w:val="single" w:sz="8" w:color="auto"/>
            </w:tcBorders>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6460" w:type="dxa"/>
            <w:vAlign w:val="bottom"/>
          </w:tcPr>
          <w:p>
            <w:pPr>
              <w:spacing w:after="0"/>
              <w:rPr>
                <w:sz w:val="5"/>
                <w:szCs w:val="5"/>
                <w:color w:val="auto"/>
              </w:rPr>
            </w:pPr>
          </w:p>
        </w:tc>
        <w:tc>
          <w:tcPr>
            <w:tcW w:w="21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40" w:type="dxa"/>
            <w:vAlign w:val="bottom"/>
            <w:tcBorders>
              <w:left w:val="single" w:sz="8" w:color="auto"/>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460" w:type="dxa"/>
            <w:vAlign w:val="bottom"/>
            <w:tcBorders>
              <w:bottom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ind w:firstLine="8"/>
        <w:spacing w:after="0" w:line="238" w:lineRule="auto"/>
        <w:tabs>
          <w:tab w:leader="none" w:pos="108" w:val="left"/>
        </w:tabs>
        <w:numPr>
          <w:ilvl w:val="0"/>
          <w:numId w:val="4"/>
        </w:numPr>
        <w:rPr>
          <w:rFonts w:ascii="Arial" w:cs="Arial" w:eastAsia="Arial" w:hAnsi="Arial"/>
          <w:sz w:val="14"/>
          <w:szCs w:val="14"/>
          <w:color w:val="auto"/>
        </w:rPr>
      </w:pPr>
      <w:r>
        <w:rPr>
          <w:rFonts w:ascii="Arial" w:cs="Arial" w:eastAsia="Arial" w:hAnsi="Arial"/>
          <w:sz w:val="14"/>
          <w:szCs w:val="14"/>
          <w:color w:val="auto"/>
        </w:rPr>
        <w:t>This percentage is calculated based upon 36,668,085 shares of common stock outstanding of Repare Therapeutics Inc. (the “</w:t>
      </w:r>
      <w:r>
        <w:rPr>
          <w:rFonts w:ascii="Arial" w:cs="Arial" w:eastAsia="Arial" w:hAnsi="Arial"/>
          <w:sz w:val="14"/>
          <w:szCs w:val="14"/>
          <w:u w:val="single" w:color="auto"/>
          <w:color w:val="auto"/>
        </w:rPr>
        <w:t>Issuer</w:t>
      </w:r>
      <w:r>
        <w:rPr>
          <w:rFonts w:ascii="Arial" w:cs="Arial" w:eastAsia="Arial" w:hAnsi="Arial"/>
          <w:sz w:val="14"/>
          <w:szCs w:val="14"/>
          <w:color w:val="auto"/>
        </w:rPr>
        <w:t>”), as set forth in the Issuer’s Rule 424(b)(4) Prospectus filed with the Securities and Exchange Commission (“</w:t>
      </w:r>
      <w:r>
        <w:rPr>
          <w:rFonts w:ascii="Arial" w:cs="Arial" w:eastAsia="Arial" w:hAnsi="Arial"/>
          <w:sz w:val="14"/>
          <w:szCs w:val="14"/>
          <w:u w:val="single" w:color="auto"/>
          <w:color w:val="auto"/>
        </w:rPr>
        <w:t>SEC</w:t>
      </w:r>
      <w:r>
        <w:rPr>
          <w:rFonts w:ascii="Arial" w:cs="Arial" w:eastAsia="Arial" w:hAnsi="Arial"/>
          <w:sz w:val="14"/>
          <w:szCs w:val="14"/>
          <w:color w:val="auto"/>
        </w:rPr>
        <w:t>”) on June 19, 2020 and giving effect to the additional 1,650,000 shares of common stock issued and sold by the Issuer to the underwriters pursuant to the underwriters’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779145</wp:posOffset>
            </wp:positionV>
            <wp:extent cx="71323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140"/>
          </w:cols>
          <w:pgMar w:left="320" w:top="715"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1. Security and Issuer</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Schedule 13D (the “</w:t>
      </w:r>
      <w:r>
        <w:rPr>
          <w:rFonts w:ascii="Arial" w:cs="Arial" w:eastAsia="Arial" w:hAnsi="Arial"/>
          <w:sz w:val="18"/>
          <w:szCs w:val="18"/>
          <w:u w:val="single" w:color="auto"/>
          <w:color w:val="auto"/>
        </w:rPr>
        <w:t>Statement</w:t>
      </w:r>
      <w:r>
        <w:rPr>
          <w:rFonts w:ascii="Arial" w:cs="Arial" w:eastAsia="Arial" w:hAnsi="Arial"/>
          <w:sz w:val="18"/>
          <w:szCs w:val="18"/>
          <w:color w:val="auto"/>
        </w:rPr>
        <w:t>”) relates to the common stock, par value $0.001 per share (the “</w:t>
      </w:r>
      <w:r>
        <w:rPr>
          <w:rFonts w:ascii="Arial" w:cs="Arial" w:eastAsia="Arial" w:hAnsi="Arial"/>
          <w:sz w:val="18"/>
          <w:szCs w:val="18"/>
          <w:u w:val="single" w:color="auto"/>
          <w:color w:val="auto"/>
        </w:rPr>
        <w:t>Shares</w:t>
      </w:r>
      <w:r>
        <w:rPr>
          <w:rFonts w:ascii="Arial" w:cs="Arial" w:eastAsia="Arial" w:hAnsi="Arial"/>
          <w:sz w:val="18"/>
          <w:szCs w:val="18"/>
          <w:color w:val="auto"/>
        </w:rPr>
        <w:t>”) of Repare Therapeutics Inc., a corporation organized under the Business Corporations Act (Quèbec) (the “</w:t>
      </w:r>
      <w:r>
        <w:rPr>
          <w:rFonts w:ascii="Arial" w:cs="Arial" w:eastAsia="Arial" w:hAnsi="Arial"/>
          <w:sz w:val="18"/>
          <w:szCs w:val="18"/>
          <w:u w:val="single" w:color="auto"/>
          <w:color w:val="auto"/>
        </w:rPr>
        <w:t>Issuer</w:t>
      </w:r>
      <w:r>
        <w:rPr>
          <w:rFonts w:ascii="Arial" w:cs="Arial" w:eastAsia="Arial" w:hAnsi="Arial"/>
          <w:sz w:val="18"/>
          <w:szCs w:val="18"/>
          <w:color w:val="auto"/>
        </w:rPr>
        <w:t>”), with its principal executive offices located at 7210 Frederick-Banting, Suite 100, Montrèal, Quèbec, Canada H4S 2A1. The Shares are listed on the NASDAQ Global Market under the ticker symbol “RPTX” .. Information given in response to each item shall be deemed incorporated by reference in all other items, as applicable.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June 12, 2020, the Issuer effected a reverse stock-split at a ratio of 1-for-6.062 (the “</w:t>
      </w:r>
      <w:r>
        <w:rPr>
          <w:rFonts w:ascii="Arial" w:cs="Arial" w:eastAsia="Arial" w:hAnsi="Arial"/>
          <w:sz w:val="18"/>
          <w:szCs w:val="18"/>
          <w:u w:val="single" w:color="auto"/>
          <w:color w:val="auto"/>
        </w:rPr>
        <w:t>Reverse Stock Split</w:t>
      </w:r>
      <w:r>
        <w:rPr>
          <w:rFonts w:ascii="Arial" w:cs="Arial" w:eastAsia="Arial" w:hAnsi="Arial"/>
          <w:sz w:val="18"/>
          <w:szCs w:val="18"/>
          <w:color w:val="auto"/>
        </w:rPr>
        <w:t>”). References in this Statement to numbers of Shares and exercise prices give effect to the Reverse Stock Split.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June 23, 2020, the Issuer completed its initial public offering pursuant to which the Issuer agreed to issue and sell to the participants 11,000,000 Shares (the “</w:t>
      </w:r>
      <w:r>
        <w:rPr>
          <w:rFonts w:ascii="Arial" w:cs="Arial" w:eastAsia="Arial" w:hAnsi="Arial"/>
          <w:sz w:val="18"/>
          <w:szCs w:val="18"/>
          <w:u w:val="single" w:color="auto"/>
          <w:color w:val="auto"/>
        </w:rPr>
        <w:t>IPO</w:t>
      </w:r>
      <w:r>
        <w:rPr>
          <w:rFonts w:ascii="Arial" w:cs="Arial" w:eastAsia="Arial" w:hAnsi="Arial"/>
          <w:sz w:val="18"/>
          <w:szCs w:val="18"/>
          <w:color w:val="auto"/>
        </w:rPr>
        <w:t>” ). In addition, the Issuer granted the underwriters an option to purchase, at the public offering price less any underwriting discounts and commissions, up to an additional 1,650,000 Shares. The purchase price for each Share was $20.00. As a result of the IPO, and the underwriters exercise of their option, the Issuer’s total number of outstanding Shares increased to 36,668,085.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ind w:firstLine="656"/>
        <w:spacing w:after="0" w:line="277" w:lineRule="auto"/>
        <w:tabs>
          <w:tab w:leader="none" w:pos="91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Schedule 13D is being filed by OrbiMed Advisors LLC (“</w:t>
      </w:r>
      <w:r>
        <w:rPr>
          <w:rFonts w:ascii="Arial" w:cs="Arial" w:eastAsia="Arial" w:hAnsi="Arial"/>
          <w:sz w:val="18"/>
          <w:szCs w:val="18"/>
          <w:u w:val="single" w:color="auto"/>
          <w:color w:val="auto"/>
        </w:rPr>
        <w:t>OrbiMed Advisors</w:t>
      </w:r>
      <w:r>
        <w:rPr>
          <w:rFonts w:ascii="Arial" w:cs="Arial" w:eastAsia="Arial" w:hAnsi="Arial"/>
          <w:sz w:val="18"/>
          <w:szCs w:val="18"/>
          <w:color w:val="auto"/>
        </w:rPr>
        <w:t>”), OrbiMed Capital GP VII LLC (“</w:t>
      </w:r>
      <w:r>
        <w:rPr>
          <w:rFonts w:ascii="Arial" w:cs="Arial" w:eastAsia="Arial" w:hAnsi="Arial"/>
          <w:sz w:val="18"/>
          <w:szCs w:val="18"/>
          <w:u w:val="single" w:color="auto"/>
          <w:color w:val="auto"/>
        </w:rPr>
        <w:t>OrbiMed GP</w:t>
      </w:r>
      <w:r>
        <w:rPr>
          <w:rFonts w:ascii="Arial" w:cs="Arial" w:eastAsia="Arial" w:hAnsi="Arial"/>
          <w:sz w:val="18"/>
          <w:szCs w:val="18"/>
          <w:color w:val="auto"/>
        </w:rPr>
        <w:t>”) and OrbiMed Capital LLC (“</w:t>
      </w:r>
      <w:r>
        <w:rPr>
          <w:rFonts w:ascii="Arial" w:cs="Arial" w:eastAsia="Arial" w:hAnsi="Arial"/>
          <w:sz w:val="18"/>
          <w:szCs w:val="18"/>
          <w:u w:val="single" w:color="auto"/>
          <w:color w:val="auto"/>
        </w:rPr>
        <w:t>OrbiMed Capital</w:t>
      </w:r>
      <w:r>
        <w:rPr>
          <w:rFonts w:ascii="Arial" w:cs="Arial" w:eastAsia="Arial" w:hAnsi="Arial"/>
          <w:sz w:val="18"/>
          <w:szCs w:val="18"/>
          <w:color w:val="auto"/>
        </w:rPr>
        <w:t>”) (collectively, the “</w:t>
      </w:r>
      <w:r>
        <w:rPr>
          <w:rFonts w:ascii="Arial" w:cs="Arial" w:eastAsia="Arial" w:hAnsi="Arial"/>
          <w:sz w:val="18"/>
          <w:szCs w:val="18"/>
          <w:u w:val="single" w:color="auto"/>
          <w:color w:val="auto"/>
        </w:rPr>
        <w:t>Reporting Persons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704"/>
        <w:spacing w:after="0" w:line="286" w:lineRule="auto"/>
        <w:tabs>
          <w:tab w:leader="none" w:pos="954" w:val="left"/>
        </w:tabs>
        <w:numPr>
          <w:ilvl w:val="1"/>
          <w:numId w:val="5"/>
        </w:numPr>
        <w:rPr>
          <w:rFonts w:ascii="Arial" w:cs="Arial" w:eastAsia="Arial" w:hAnsi="Arial"/>
          <w:sz w:val="17"/>
          <w:szCs w:val="17"/>
          <w:color w:val="auto"/>
        </w:rPr>
      </w:pPr>
      <w:r>
        <w:rPr>
          <w:rFonts w:ascii="Arial" w:cs="Arial" w:eastAsia="Arial" w:hAnsi="Arial"/>
          <w:sz w:val="17"/>
          <w:szCs w:val="17"/>
          <w:color w:val="auto"/>
        </w:rPr>
        <w:t>— (c), (f) OrbiMed Advisors, a limited liability company organized under the laws of Delaware and a registered investment adviser under the Investment Advisers Act of 1940, as amended, is the managing member or general partner of certain entities as more particularly described in Item 6 below. OrbiMed Advisors has its principal offices at 601 Lexington Avenue, 54th Floor, New York, New York 10022.</w:t>
      </w:r>
    </w:p>
    <w:p>
      <w:pPr>
        <w:spacing w:after="0" w:line="165"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OrbiMed GP, a limited liability company organized under the laws of Delaware, is the general partner of a limited partnership as more particularly described in Item 6 below. OrbiMed GP has its principal offices at 601 Lexington Avenue, 54th Floor, New York, New York 10022.</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OrbiMed Capital, a limited liability company organized under the laws of Delaware and a registered investment adviser under the Investment Advisers Act of 1940, as amended, is the investment adviser of certain entities as more particularly described in Item 6 below. OrbiMed Capital has its principal offices at 601 Lexington Avenue, 54th Floor, New York, New York 10022.</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directors and executive officers of OrbiMed Advisors, OrbiMed Capital, and OrbiMed GP are set forth on Schedules I, II, and III, respectively, attached hereto. Schedules I, II and III set forth the following information with respect to each such person:</w:t>
      </w:r>
    </w:p>
    <w:p>
      <w:pPr>
        <w:spacing w:after="0" w:line="170" w:lineRule="exact"/>
        <w:rPr>
          <w:sz w:val="20"/>
          <w:szCs w:val="20"/>
          <w:color w:val="auto"/>
        </w:rPr>
      </w:pPr>
    </w:p>
    <w:p>
      <w:pPr>
        <w:ind w:left="1280" w:hanging="624"/>
        <w:spacing w:after="0"/>
        <w:tabs>
          <w:tab w:leader="none" w:pos="1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business address;</w:t>
      </w:r>
    </w:p>
    <w:p>
      <w:pPr>
        <w:spacing w:after="0" w:line="225" w:lineRule="exact"/>
        <w:rPr>
          <w:rFonts w:ascii="Arial" w:cs="Arial" w:eastAsia="Arial" w:hAnsi="Arial"/>
          <w:sz w:val="18"/>
          <w:szCs w:val="18"/>
          <w:color w:val="auto"/>
        </w:rPr>
      </w:pPr>
    </w:p>
    <w:p>
      <w:pPr>
        <w:ind w:right="20" w:firstLine="656"/>
        <w:spacing w:after="0" w:line="277" w:lineRule="auto"/>
        <w:tabs>
          <w:tab w:leader="none" w:pos="1394"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present principal occupation of employment and the name, principal business and address of any corporation or other organization in which such employment is conducted; and</w:t>
      </w:r>
    </w:p>
    <w:p>
      <w:pPr>
        <w:spacing w:after="0" w:line="170" w:lineRule="exact"/>
        <w:rPr>
          <w:rFonts w:ascii="Arial" w:cs="Arial" w:eastAsia="Arial" w:hAnsi="Arial"/>
          <w:sz w:val="18"/>
          <w:szCs w:val="18"/>
          <w:color w:val="auto"/>
        </w:rPr>
      </w:pPr>
    </w:p>
    <w:p>
      <w:pPr>
        <w:ind w:left="1280" w:hanging="624"/>
        <w:spacing w:after="0"/>
        <w:tabs>
          <w:tab w:leader="none" w:pos="1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25" w:lineRule="exact"/>
        <w:rPr>
          <w:sz w:val="20"/>
          <w:szCs w:val="20"/>
          <w:color w:val="auto"/>
        </w:rPr>
      </w:pPr>
    </w:p>
    <w:p>
      <w:pPr>
        <w:jc w:val="both"/>
        <w:ind w:firstLine="656"/>
        <w:spacing w:after="0" w:line="279" w:lineRule="auto"/>
        <w:tabs>
          <w:tab w:leader="none" w:pos="915" w:val="left"/>
        </w:tabs>
        <w:numPr>
          <w:ilvl w:val="0"/>
          <w:numId w:val="7"/>
        </w:numPr>
        <w:rPr>
          <w:rFonts w:ascii="Arial" w:cs="Arial" w:eastAsia="Arial" w:hAnsi="Arial"/>
          <w:sz w:val="17"/>
          <w:szCs w:val="17"/>
          <w:color w:val="auto"/>
        </w:rPr>
      </w:pPr>
      <w:r>
        <w:rPr>
          <w:rFonts w:ascii="Arial" w:cs="Arial" w:eastAsia="Arial" w:hAnsi="Arial"/>
          <w:sz w:val="17"/>
          <w:szCs w:val="17"/>
          <w:color w:val="auto"/>
        </w:rPr>
        <w:t>— (e) During the last five years, neither the Reporting Persons nor any Person named in Schedules I through III has been (i) convicted in a criminal proceeding (excluding traffic violations or similar misdemeanors) or (ii)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September 2019, OrbiMed Advisors and OrbiMed GP, pursuant to their authority under the limited partnership agreement of OrbiMed Private Investments VII, LP (“</w:t>
      </w:r>
      <w:r>
        <w:rPr>
          <w:rFonts w:ascii="Arial" w:cs="Arial" w:eastAsia="Arial" w:hAnsi="Arial"/>
          <w:sz w:val="18"/>
          <w:szCs w:val="18"/>
          <w:u w:val="single" w:color="auto"/>
          <w:color w:val="auto"/>
        </w:rPr>
        <w:t>OPI VII</w:t>
      </w:r>
      <w:r>
        <w:rPr>
          <w:rFonts w:ascii="Arial" w:cs="Arial" w:eastAsia="Arial" w:hAnsi="Arial"/>
          <w:sz w:val="18"/>
          <w:szCs w:val="18"/>
          <w:color w:val="auto"/>
        </w:rPr>
        <w:t>”), as more particularly referred to in Item 6 below, caused OPI VII to purchase 2,601,325 shares of Series B Preferred Stock of the Issuer. In connection with the IPO, shares of Series B Preferred Stock were subsequently converted (on the closing of the IPO) into Shares on a 1-for-1 basis.</w:t>
      </w:r>
    </w:p>
    <w:p>
      <w:pPr>
        <w:spacing w:after="0" w:line="187" w:lineRule="exact"/>
        <w:rPr>
          <w:sz w:val="20"/>
          <w:szCs w:val="20"/>
          <w:color w:val="auto"/>
        </w:rPr>
      </w:pPr>
    </w:p>
    <w:p>
      <w:pPr>
        <w:ind w:right="760" w:firstLine="648"/>
        <w:spacing w:after="0" w:line="308" w:lineRule="auto"/>
        <w:rPr>
          <w:sz w:val="20"/>
          <w:szCs w:val="20"/>
          <w:color w:val="auto"/>
        </w:rPr>
      </w:pPr>
      <w:r>
        <w:rPr>
          <w:rFonts w:ascii="Arial" w:cs="Arial" w:eastAsia="Arial" w:hAnsi="Arial"/>
          <w:sz w:val="17"/>
          <w:szCs w:val="17"/>
          <w:color w:val="auto"/>
        </w:rPr>
        <w:t>On and prior to the close of June 19, 2020, OrbiMed Advisors and OrbiMed GP, pursuant to their authority under the limited partnership agreement of OPI VII, as more particularly referred to in Item 6 below, caused OPI VII to purchase 675,000 Shares in the IPO.</w:t>
      </w:r>
    </w:p>
    <w:p>
      <w:pPr>
        <w:spacing w:after="0" w:line="146" w:lineRule="exact"/>
        <w:rPr>
          <w:sz w:val="20"/>
          <w:szCs w:val="20"/>
          <w:color w:val="auto"/>
        </w:rPr>
      </w:pPr>
    </w:p>
    <w:p>
      <w:pPr>
        <w:ind w:right="700" w:firstLine="360"/>
        <w:spacing w:after="0" w:line="277" w:lineRule="auto"/>
        <w:rPr>
          <w:sz w:val="20"/>
          <w:szCs w:val="20"/>
          <w:color w:val="auto"/>
        </w:rPr>
      </w:pPr>
      <w:r>
        <w:rPr>
          <w:rFonts w:ascii="Arial" w:cs="Arial" w:eastAsia="Arial" w:hAnsi="Arial"/>
          <w:sz w:val="18"/>
          <w:szCs w:val="18"/>
          <w:color w:val="auto"/>
        </w:rPr>
        <w:t>On and prior to the close of June 19, 2020, OrbiMed Capital, as the investment advisor to The Biotech Growth Trust PLC (“</w:t>
      </w:r>
      <w:r>
        <w:rPr>
          <w:rFonts w:ascii="Arial" w:cs="Arial" w:eastAsia="Arial" w:hAnsi="Arial"/>
          <w:sz w:val="18"/>
          <w:szCs w:val="18"/>
          <w:u w:val="single" w:color="auto"/>
          <w:color w:val="auto"/>
        </w:rPr>
        <w:t>BIOG</w:t>
      </w:r>
      <w:r>
        <w:rPr>
          <w:rFonts w:ascii="Arial" w:cs="Arial" w:eastAsia="Arial" w:hAnsi="Arial"/>
          <w:sz w:val="18"/>
          <w:szCs w:val="18"/>
          <w:color w:val="auto"/>
        </w:rPr>
        <w:t>”), as more particularly referred to in Item 6 below, caused BIOG to purchase 50,800 Shares in the IPO.</w:t>
      </w:r>
    </w:p>
    <w:p>
      <w:pPr>
        <w:spacing w:after="0" w:line="170"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On and prior to the close of June 19, 2020, OrbiMed Capital, as the investment advisor to OrbiMed Partners Master Fund Limited (“</w:t>
      </w:r>
      <w:r>
        <w:rPr>
          <w:rFonts w:ascii="Arial" w:cs="Arial" w:eastAsia="Arial" w:hAnsi="Arial"/>
          <w:sz w:val="18"/>
          <w:szCs w:val="18"/>
          <w:u w:val="single" w:color="auto"/>
          <w:color w:val="auto"/>
        </w:rPr>
        <w:t>OPM</w:t>
      </w:r>
      <w:r>
        <w:rPr>
          <w:rFonts w:ascii="Arial" w:cs="Arial" w:eastAsia="Arial" w:hAnsi="Arial"/>
          <w:sz w:val="18"/>
          <w:szCs w:val="18"/>
          <w:color w:val="auto"/>
        </w:rPr>
        <w:t>”), as more particularly referred to in Item 6 below, caused OPM to purchase 99,200 Shares in the IPO.</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source of funds for such purchases was the working capital of OPI VII, OPM, and BIOG.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As a result of the transactions described in this Item 3, OrbiMed Advisors and OrbiMed GP may collectively be deemed to be the beneficial owners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approximately 8.9% of the outstanding Shares and OrbiMed Capital, as the investment advisor to BIOG and OPM, may be deemed to be the beneficial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owner of 0.4% of the outstanding Shares.  OrbiMed GP, as the general partner of OPI VII, may be deemed to be the beneficial owner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8.9% of the outstanding Shares. OrbiMed Advisors, as the managing member of OrbiMed GP, may be deemed to be the beneficial owner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8.9% of the outstanding Shares. None of the Reporting Persons have acquired or disposed of any additional Shares since June 23,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statement relates to the acquisition of Shares by the Reporting Persons. The Shares acquired by the Reporting Persons were acquired for the purpose of making an investment in the Issuer and not with the intention of acquiring control of the Issuer’s business on behalf of the Reporting Persons’ respective advisory clients.</w:t>
      </w:r>
    </w:p>
    <w:p>
      <w:pPr>
        <w:spacing w:after="0" w:line="2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Reporting Persons from time to time intend to review their investment in the Issuer on the basis of various factors, including the Issuer’s business, financial condition, results of operations and prospects, general economic and industry conditions, the securities markets in general and those for the Issuer’s Shares in particular, as well as other developments and other investment opportunities. Based upon such review, the Reporting Persons will take such actions in the future as the Reporting Persons may deem appropriate in light of the circumstances existing from time to time. If the Reporting Persons believe that further investment in the Issuer is attractive, whether because of the market price of Shares or otherwise, they may acquire Shares or other securities of the Issuer either in the open market or in privately negotiated transactions. Similarly, depending on market and other factors, the Reporting Persons may determine to dispose of some or all of the Shares currently owned by the Reporting Persons or otherwise acquired by the Reporting Persons either in the open market or in privately negotiated transactions.</w:t>
      </w:r>
    </w:p>
    <w:p>
      <w:pPr>
        <w:spacing w:after="0" w:line="20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Except as set forth in this Schedule 13D, the Reporting Persons have not formulated any plans or proposals which relate to or would result in: (a) the acquisition by any person of additional securities of the Issuer or the disposition of securities of the Issuer, (b) an extraordinary corporate transaction, such as a merger, reorganization or liquidation, involving the Issuer or any of its subsidiaries, (c) a sale or transfer of a material amount of the assets of the Issuer or any of its subsidiaries, (d) any change in the present Board of Directors or management of the Issuer, including any plans or proposals to change the number or term of directors or to fill any existing vacancies on the board, (e) any material change in the Issuer’s capitalization or dividend policy of the Issuer, (f) any other material change in the Issuer’s business or corporate structure, (g) any change in the Issuer’s charter or bylaws or other instrument corresponding thereto or other action which may impede the acquisition of control of the Issuer by any person, (h) causing a class of the Issuer’s securities to be deregistered or delisted from a national securities exchange or to cease to be authorized to be quoted in an inter-dealer quotation system of a registered national securities association, (i) a class of equity securities of the Issuer becoming eligible for termination of registration pursuant to Section 12(g)(4) of the Act or (j) any action similar to any of those enumerated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jc w:val="both"/>
        <w:ind w:firstLine="733"/>
        <w:spacing w:after="0" w:line="259" w:lineRule="auto"/>
        <w:tabs>
          <w:tab w:leader="none" w:pos="1002" w:val="left"/>
        </w:tabs>
        <w:numPr>
          <w:ilvl w:val="0"/>
          <w:numId w:val="8"/>
        </w:numPr>
        <w:rPr>
          <w:rFonts w:ascii="Arial" w:cs="Arial" w:eastAsia="Arial" w:hAnsi="Arial"/>
          <w:sz w:val="18"/>
          <w:szCs w:val="18"/>
          <w:color w:val="auto"/>
        </w:rPr>
      </w:pPr>
      <w:r>
        <w:rPr>
          <w:rFonts w:ascii="Arial" w:cs="Arial" w:eastAsia="Arial" w:hAnsi="Arial"/>
          <w:sz w:val="18"/>
          <w:szCs w:val="18"/>
          <w:color w:val="auto"/>
        </w:rPr>
        <w:t>— (b) The following disclosure is based upon 36,668,085 outstanding Shares of the Issuer, as set forth in the Issuer’s Rule 424(b)(4) Prospectus filed with the Securities and Exchange Commission on June 19, 2020 and giving effect to the additional 1,650,000 Shares sold by the Issuer to the underwriters pursuant to the underwriters’ option (according to the Form 8-K as filed by the issuer with the Securities and Exchange Commission on June 23, 2020).</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of the date of this filing, OPI VII, a limited partnership organized under the laws of Delaware, holds 3,276,325 Shares constituting approximately 8.9% of the issued and outstanding Shares. OrbiMed GP is the general partner of OPI VII, pursuant to the terms of the limited partnership agreement of OPI VII, and OrbiMed Advisors is the managing member of OrbiMed GP, pursuant to the terms of the limited liability company agreement of OrbiMed GP. As a result, OrbiMed Advisors and OrbiMed GP share power to direct the vote and disposition of the Shares held by OPI VII and may be deemed directly or indirectly, including by reason of their mutual affiliation, to be the beneficial owners of the Shares held by OPI VII. OrbiMed Advisors exercises this investment and voting power through a management committee comprised of Carl L. Gordon, Sven H. Borho, and Jonathan T. Silverstein, each of whom disclaims beneficial ownership of the Shares held by OPI VII.</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OrbiMed Advisors and OrbiMed GP, pursuant to their authority under the limited partnership agreement of OPI VII, caused OPI VII to enter into the agreements referred to in Item 6 below.</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As of the date of this filing, BIOG, a publicly-listed investment trust organized under the laws of England, holds 50,800 Shares constituting approximately 0.1% of the issued and outstanding Shares. OrbiMed Capital is the investment advisor of BIOG. As a result, OrbiMed Capital has the power to direct the vote and disposition of the Shares held by BIOG and may be deemed directly or indirectly, including by reason of mutual affiliation, to be the beneficial owner of the Shares held by BIOG. OrbiMed Capital disclaims any beneficial ownership over the shares of the other Reporting Persons. OrbiMed Capital exercises this investment and voting power through a management committee comprised of Carl L. Gordon, Sven H. Borho, and Jonathan T. Silverstein, each of whom disclaims beneficial ownership of the Shares held by BIOG.</w:t>
      </w:r>
    </w:p>
    <w:p>
      <w:pPr>
        <w:spacing w:after="0" w:line="178"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As of the date of this filing, OPM, an exempted company organized under the laws of Bermuda, holds 99,200 Shares constituting approximately 0.3% of the issued and outstanding Shares. OrbiMed Capital is the investment advisor of OPM. As a result, OrbiMed Capital has the power to direct the vote and disposition of the Shares held by OPM and may be deemed directly or indirectly, including by reason of mutual affiliation, to be the beneficial owner of the Shares held by OPM. OrbiMed Capital disclaims any beneficial ownership over the shares of the other Reporting Persons. OrbiMed Capital exercises this investment and voting power through a management committee comprised of Carl L. Gordon, Sven H. Borho, and Jonathan T. Silverstein, each of whom disclaims beneficial ownership of the Shares held by OPM.</w:t>
      </w:r>
    </w:p>
    <w:p>
      <w:pPr>
        <w:spacing w:after="0" w:line="178" w:lineRule="exact"/>
        <w:rPr>
          <w:sz w:val="20"/>
          <w:szCs w:val="20"/>
          <w:color w:val="auto"/>
        </w:rPr>
      </w:pPr>
    </w:p>
    <w:p>
      <w:pPr>
        <w:ind w:left="900" w:hanging="244"/>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Except as disclosed in Item 3, the Reporting Persons have not effected any transactions during the past sixty (60) days in any Shares.</w:t>
      </w:r>
    </w:p>
    <w:p>
      <w:pPr>
        <w:spacing w:after="0" w:line="236" w:lineRule="exact"/>
        <w:rPr>
          <w:rFonts w:ascii="Arial" w:cs="Arial" w:eastAsia="Arial" w:hAnsi="Arial"/>
          <w:sz w:val="17"/>
          <w:szCs w:val="17"/>
          <w:color w:val="auto"/>
        </w:rPr>
      </w:pPr>
    </w:p>
    <w:p>
      <w:pPr>
        <w:ind w:left="920" w:hanging="264"/>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to the relationships between the Reporting Persons described in Items 2 and 5 above, OrbiMed GP is the general partner of OPI VII, pursuant to the terms of the limited partnership agreement of OPI VII. Pursuant to this agreement and relationship, OrbiMed GP has discretionary investment management authority with respect to the assets of OPI VII. Such authority includes the power to vote and otherwise dispose of securities held by OPI VII. The number of outstanding Shares of the Issuer attributable to OPI VII is 3,276,325. OrbiMed GP, pursuant to its authority under the limited partnership agreement of OPI VII, may be considered to hold indirectly 3,276,325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jc w:val="both"/>
        <w:ind w:firstLine="648"/>
        <w:spacing w:after="0" w:line="275" w:lineRule="auto"/>
        <w:rPr>
          <w:sz w:val="20"/>
          <w:szCs w:val="20"/>
          <w:color w:val="auto"/>
        </w:rPr>
      </w:pPr>
      <w:r>
        <w:rPr>
          <w:rFonts w:ascii="Arial" w:cs="Arial" w:eastAsia="Arial" w:hAnsi="Arial"/>
          <w:sz w:val="17"/>
          <w:szCs w:val="17"/>
          <w:color w:val="auto"/>
        </w:rPr>
        <w:t>OrbiMed Advisors is the managing member of OrbiMed GP, pursuant to the terms of the limited liability company agreement of OrbiMed GP. Pursuant to these agreements and relationships, OrbiMed Advisors and OrbiMed GP have discretionary investment management authority with respect to the assets of OPI VII. Such authority includes the power of OrbiMed GP to vote and otherwise dispose of securities held by OPI VII. The number of outstanding Shares attributable to OPI VII is 3,276,325 Shares. OrbiMed Advisors, pursuant to its authority under the terms of the limited liability company agreement of OrbiMed GP, may also be considered to hold indirectly 3,276,325 Shares.</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OrbiMed Capital is the investment advisor to OPM and BIOG. OrbiMed Capital may be deemed to have voting and investment power over the securities held by OPM and BIOG. Such authority includes the power of OrbiMed Capital to vote and otherwise dispose of securities held by OPM and BIOG. The number of outstanding Shares attributable to OPM is and to BIOG is 150,000 Shares. OrbiMed Capital, as the investment advisor to OPM and BIOG, may also be considered to hold indirectly 150,000 Shares.</w:t>
      </w:r>
    </w:p>
    <w:p>
      <w:pPr>
        <w:spacing w:after="0" w:line="18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David Bonita (“</w:t>
      </w:r>
      <w:r>
        <w:rPr>
          <w:rFonts w:ascii="Arial" w:cs="Arial" w:eastAsia="Arial" w:hAnsi="Arial"/>
          <w:sz w:val="16"/>
          <w:szCs w:val="16"/>
          <w:u w:val="single" w:color="auto"/>
          <w:color w:val="auto"/>
        </w:rPr>
        <w:t>Bonita</w:t>
      </w:r>
      <w:r>
        <w:rPr>
          <w:rFonts w:ascii="Arial" w:cs="Arial" w:eastAsia="Arial" w:hAnsi="Arial"/>
          <w:sz w:val="16"/>
          <w:szCs w:val="16"/>
          <w:color w:val="auto"/>
        </w:rPr>
        <w:t>”), a member of OrbiMed Advisors, is a member of the Board of Directors of the Issuer and, accordingly, OrbiMed Advisors and OrbiMed GP may have the ability to affect and influence control of the Issuer. From time to time, Bonita may receive stock options or other awards of equity-based compensation pursuant to the Issuer’s compensation arrangements for non-employee directors. Pursuant to an agreement with OrbiMed Advisors and OrbiMed GP, Bonita is obligated to transfer any securities issued under any such stock options or other awards, or the economic benefit thereof, to OrbiMed Advisors and OrbiMed GP, which will in turn ensure that such securities or economic benefits are provided to OPI VII.</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85" w:lineRule="exact"/>
        <w:rPr>
          <w:sz w:val="20"/>
          <w:szCs w:val="20"/>
          <w:color w:val="auto"/>
        </w:rPr>
      </w:pPr>
    </w:p>
    <w:p>
      <w:pPr>
        <w:jc w:val="both"/>
        <w:ind w:firstLine="363"/>
        <w:spacing w:after="0" w:line="263" w:lineRule="auto"/>
        <w:rPr>
          <w:sz w:val="20"/>
          <w:szCs w:val="20"/>
          <w:color w:val="auto"/>
        </w:rPr>
      </w:pPr>
      <w:r>
        <w:rPr>
          <w:rFonts w:ascii="Arial" w:cs="Arial" w:eastAsia="Arial" w:hAnsi="Arial"/>
          <w:sz w:val="18"/>
          <w:szCs w:val="18"/>
          <w:color w:val="auto"/>
        </w:rPr>
        <w:t>In addition, OPI VII and certain other stockholders of the Issuer entered into an Amended and Restated Registration Rights Agreement with the Issuer (the “</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dated as of September 3, 2019. Pursuant to the Registration Rights Agreement and subject to the terms and conditions therein, the parties agreed that: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Demand Registration Rights</w:t>
      </w:r>
    </w:p>
    <w:p>
      <w:pPr>
        <w:spacing w:after="0" w:line="225"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At any time beginning six months following the date of the completion of the IPO, the holders of at least a majority of the registrable securities then outstanding of the Issuer may make a written request that the Issuer register some or all of their registrable securities, subject to certain specified conditions and exceptions, including that the aggregated gross offering price of such offering must exceed $50 million. The Issuer is required to use commercially reasonable efforts to effect the registration and will pay all registration expenses, other than underwriting discounts and commissions, related to any demand registration. The Issuer is not obligated to effect more than two of these registrations.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Piggyback Registration Rights</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Whenever the Issuer proposes to file a registration statement under the Securities Act, including a registration statement on Form S-3 as discussed below, other than with respect to a demand registration or a registration statement on Forms S-4 or S-8, OPI VII will be entitled to notice of the registration and have the right, subject to limitations that the underwriters may impose on the number of Shares included in the registration, to include the Shares held by OPI VII in the registration.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 S-3 Registration Rights</w:t>
      </w:r>
    </w:p>
    <w:p>
      <w:pPr>
        <w:spacing w:after="0" w:line="225"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Pursuant to the Registration Rights Agreement, at any time after the Issuer is qualified to file a registration statement on Form S-3 under the Securities Act, and subject to limitations and conditions specified in the Registration Rights Agreement, any holder of the registrable securities then outstanding may make a written request that the Issuer prepare and file a registration statement on Form S-3 covering their Shares, so long as the aggregate price to the public equal or exceeds $5,000,000. The Issuer is not obligated to effect more than two of these Form S-3 registrations in any 12-month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Lock-Up Agreement</w:t>
      </w:r>
    </w:p>
    <w:p>
      <w:pPr>
        <w:spacing w:after="0" w:line="18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 connection with the IPO, OPI VII and certain other stockholders entered into Lock-Up Agreements with the Issuer’ s underwriters. Pursuant to its Lock-Up Agreement, OPI VII agreed that it will not, during the period ending 180 days after the date of the IPO (the “</w:t>
      </w:r>
      <w:r>
        <w:rPr>
          <w:rFonts w:ascii="Arial" w:cs="Arial" w:eastAsia="Arial" w:hAnsi="Arial"/>
          <w:sz w:val="18"/>
          <w:szCs w:val="18"/>
          <w:u w:val="single" w:color="auto"/>
          <w:color w:val="auto"/>
        </w:rPr>
        <w:t>Lock-Up Period</w:t>
      </w:r>
      <w:r>
        <w:rPr>
          <w:rFonts w:ascii="Arial" w:cs="Arial" w:eastAsia="Arial" w:hAnsi="Arial"/>
          <w:sz w:val="18"/>
          <w:szCs w:val="18"/>
          <w:color w:val="auto"/>
        </w:rPr>
        <w:t>” ), directly or indirectly (1) sell, assign, transfer, pledge, contract to sell, or otherwise dispose of, any Shares or securities convertible into or exercisable or exchangeable for Shares with respect to which OPI VII has or acquires the power of disposition or (2) enter into any swap or other agreement that transfers, in whole or in part, the economic risk of ownership of any such Shares.</w:t>
      </w:r>
    </w:p>
    <w:p>
      <w:pPr>
        <w:spacing w:after="0" w:line="188"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After the Lock-Up Period expires, the Reporting Persons’ Shares will be eligible for sale in the public market, subject to any applicable limitations under Rule 144 under the Securities Act, and other applicable U.S. securities laws.</w:t>
      </w:r>
    </w:p>
    <w:p>
      <w:pPr>
        <w:spacing w:after="0" w:line="170"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foregoing description of the Registration Rights Agreement and the Lock-Up Agreement does not purport to be complete and are qualified in their entirety by reference to the full text of the Registration Rights Agreement and Lock-Up Agreement, which are filed as Exhibits 2 and 3 and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4573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5732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20"/>
        <w:spacing w:after="0"/>
        <w:tabs>
          <w:tab w:leader="none" w:pos="144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2" w:lineRule="exact"/>
        <w:rPr>
          <w:sz w:val="20"/>
          <w:szCs w:val="20"/>
          <w:color w:val="auto"/>
        </w:rPr>
      </w:pPr>
    </w:p>
    <w:p>
      <w:pPr>
        <w:ind w:left="1460" w:hanging="1344"/>
        <w:spacing w:after="0"/>
        <w:tabs>
          <w:tab w:leader="none" w:pos="1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Joint Filing Agreement among OrbiMed Advisors LLC, OrbiMed Capital LLC, and OrbiMed Capital GP VII LLC.</w:t>
      </w:r>
    </w:p>
    <w:p>
      <w:pPr>
        <w:spacing w:after="0" w:line="198" w:lineRule="exact"/>
        <w:rPr>
          <w:rFonts w:ascii="Arial" w:cs="Arial" w:eastAsia="Arial" w:hAnsi="Arial"/>
          <w:sz w:val="18"/>
          <w:szCs w:val="18"/>
          <w:color w:val="auto"/>
        </w:rPr>
      </w:pPr>
    </w:p>
    <w:p>
      <w:pPr>
        <w:ind w:left="1460" w:right="160" w:hanging="1344"/>
        <w:spacing w:after="0" w:line="263" w:lineRule="auto"/>
        <w:tabs>
          <w:tab w:leader="none" w:pos="1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Amended and Restated Registration Rights Agreement by and among the Issuer and each of the persons listed on Schedules A and B thereto, dated as of September 3, 2019 (incorporated by reference to Exhibit 4.2 to the Issuer’s Registration Statement on Form S-1 (SEC 333-238822), filed with the SEC on May 29, 2020).</w:t>
      </w:r>
    </w:p>
    <w:p>
      <w:pPr>
        <w:spacing w:after="0" w:line="156" w:lineRule="exact"/>
        <w:rPr>
          <w:rFonts w:ascii="Arial" w:cs="Arial" w:eastAsia="Arial" w:hAnsi="Arial"/>
          <w:sz w:val="18"/>
          <w:szCs w:val="18"/>
          <w:color w:val="auto"/>
        </w:rPr>
      </w:pPr>
    </w:p>
    <w:p>
      <w:pPr>
        <w:ind w:left="1460" w:right="580" w:hanging="1344"/>
        <w:spacing w:after="0" w:line="277" w:lineRule="auto"/>
        <w:tabs>
          <w:tab w:leader="none" w:pos="1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of Lock-Up Agreement filed as Exhibit A to Exhibit 1.1 to the Issuer’s Registration Statement on Form S-1/A (SEC 333-238822), filed with the SEC on June 15,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1351915</wp:posOffset>
            </wp:positionV>
            <wp:extent cx="713232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Dated: June 26, 2020</w:t>
            </w:r>
          </w:p>
        </w:tc>
        <w:tc>
          <w:tcPr>
            <w:tcW w:w="7540" w:type="dxa"/>
            <w:vAlign w:val="bottom"/>
            <w:gridSpan w:val="3"/>
          </w:tcPr>
          <w:p>
            <w:pPr>
              <w:ind w:left="2160"/>
              <w:spacing w:after="0"/>
              <w:rPr>
                <w:sz w:val="20"/>
                <w:szCs w:val="20"/>
                <w:color w:val="auto"/>
              </w:rPr>
            </w:pPr>
            <w:r>
              <w:rPr>
                <w:rFonts w:ascii="Arial" w:cs="Arial" w:eastAsia="Arial" w:hAnsi="Arial"/>
                <w:sz w:val="18"/>
                <w:szCs w:val="18"/>
                <w:color w:val="auto"/>
              </w:rPr>
              <w:t>ORBIMED ADVISORS LLC</w:t>
            </w:r>
          </w:p>
        </w:tc>
        <w:tc>
          <w:tcPr>
            <w:tcW w:w="0" w:type="dxa"/>
            <w:vAlign w:val="bottom"/>
          </w:tcPr>
          <w:p>
            <w:pPr>
              <w:spacing w:after="0"/>
              <w:rPr>
                <w:sz w:val="1"/>
                <w:szCs w:val="1"/>
                <w:color w:val="auto"/>
              </w:rPr>
            </w:pPr>
          </w:p>
        </w:tc>
      </w:tr>
      <w:tr>
        <w:trPr>
          <w:trHeight w:val="729"/>
        </w:trPr>
        <w:tc>
          <w:tcPr>
            <w:tcW w:w="3700" w:type="dxa"/>
            <w:vAlign w:val="bottom"/>
          </w:tcPr>
          <w:p>
            <w:pPr>
              <w:spacing w:after="0"/>
              <w:rPr>
                <w:sz w:val="24"/>
                <w:szCs w:val="24"/>
                <w:color w:val="auto"/>
              </w:rPr>
            </w:pPr>
          </w:p>
        </w:tc>
        <w:tc>
          <w:tcPr>
            <w:tcW w:w="2720" w:type="dxa"/>
            <w:vAlign w:val="bottom"/>
          </w:tcPr>
          <w:p>
            <w:pPr>
              <w:ind w:left="2160"/>
              <w:spacing w:after="0"/>
              <w:rPr>
                <w:sz w:val="20"/>
                <w:szCs w:val="20"/>
                <w:color w:val="auto"/>
              </w:rPr>
            </w:pPr>
            <w:r>
              <w:rPr>
                <w:rFonts w:ascii="Arial" w:cs="Arial" w:eastAsia="Arial" w:hAnsi="Arial"/>
                <w:sz w:val="18"/>
                <w:szCs w:val="18"/>
                <w:color w:val="auto"/>
              </w:rPr>
              <w:t>By:</w:t>
            </w:r>
          </w:p>
        </w:tc>
        <w:tc>
          <w:tcPr>
            <w:tcW w:w="4820" w:type="dxa"/>
            <w:vAlign w:val="bottom"/>
            <w:gridSpan w:val="2"/>
          </w:tcPr>
          <w:p>
            <w:pPr>
              <w:spacing w:after="0"/>
              <w:rPr>
                <w:sz w:val="20"/>
                <w:szCs w:val="20"/>
                <w:color w:val="auto"/>
              </w:rPr>
            </w:pPr>
            <w:r>
              <w:rPr>
                <w:rFonts w:ascii="Arial" w:cs="Arial" w:eastAsia="Arial" w:hAnsi="Arial"/>
                <w:sz w:val="18"/>
                <w:szCs w:val="18"/>
                <w:color w:val="auto"/>
              </w:rPr>
              <w:t>/s/ Carl L. Gordon</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1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7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Name: Carl L. Gordon</w:t>
            </w: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Title: Member</w:t>
            </w:r>
          </w:p>
        </w:tc>
        <w:tc>
          <w:tcPr>
            <w:tcW w:w="0" w:type="dxa"/>
            <w:vAlign w:val="bottom"/>
          </w:tcPr>
          <w:p>
            <w:pPr>
              <w:spacing w:after="0"/>
              <w:rPr>
                <w:sz w:val="1"/>
                <w:szCs w:val="1"/>
                <w:color w:val="auto"/>
              </w:rPr>
            </w:pPr>
          </w:p>
        </w:tc>
      </w:tr>
      <w:tr>
        <w:trPr>
          <w:trHeight w:val="486"/>
        </w:trPr>
        <w:tc>
          <w:tcPr>
            <w:tcW w:w="3700" w:type="dxa"/>
            <w:vAlign w:val="bottom"/>
          </w:tcPr>
          <w:p>
            <w:pPr>
              <w:spacing w:after="0"/>
              <w:rPr>
                <w:sz w:val="24"/>
                <w:szCs w:val="24"/>
                <w:color w:val="auto"/>
              </w:rPr>
            </w:pPr>
          </w:p>
        </w:tc>
        <w:tc>
          <w:tcPr>
            <w:tcW w:w="7540" w:type="dxa"/>
            <w:vAlign w:val="bottom"/>
            <w:gridSpan w:val="3"/>
          </w:tcPr>
          <w:p>
            <w:pPr>
              <w:ind w:left="2160"/>
              <w:spacing w:after="0"/>
              <w:rPr>
                <w:sz w:val="20"/>
                <w:szCs w:val="20"/>
                <w:color w:val="auto"/>
              </w:rPr>
            </w:pPr>
            <w:r>
              <w:rPr>
                <w:rFonts w:ascii="Arial" w:cs="Arial" w:eastAsia="Arial" w:hAnsi="Arial"/>
                <w:sz w:val="18"/>
                <w:szCs w:val="18"/>
                <w:color w:val="auto"/>
              </w:rPr>
              <w:t>ORBIMED CAPITAL GP VII LLC</w:t>
            </w:r>
          </w:p>
        </w:tc>
        <w:tc>
          <w:tcPr>
            <w:tcW w:w="0" w:type="dxa"/>
            <w:vAlign w:val="bottom"/>
          </w:tcPr>
          <w:p>
            <w:pPr>
              <w:spacing w:after="0"/>
              <w:rPr>
                <w:sz w:val="1"/>
                <w:szCs w:val="1"/>
                <w:color w:val="auto"/>
              </w:rPr>
            </w:pPr>
          </w:p>
        </w:tc>
      </w:tr>
      <w:tr>
        <w:trPr>
          <w:trHeight w:val="486"/>
        </w:trPr>
        <w:tc>
          <w:tcPr>
            <w:tcW w:w="3700" w:type="dxa"/>
            <w:vAlign w:val="bottom"/>
          </w:tcPr>
          <w:p>
            <w:pPr>
              <w:spacing w:after="0"/>
              <w:rPr>
                <w:sz w:val="24"/>
                <w:szCs w:val="24"/>
                <w:color w:val="auto"/>
              </w:rPr>
            </w:pPr>
          </w:p>
        </w:tc>
        <w:tc>
          <w:tcPr>
            <w:tcW w:w="2720" w:type="dxa"/>
            <w:vAlign w:val="bottom"/>
          </w:tcPr>
          <w:p>
            <w:pPr>
              <w:ind w:left="2160"/>
              <w:spacing w:after="0"/>
              <w:rPr>
                <w:sz w:val="20"/>
                <w:szCs w:val="20"/>
                <w:color w:val="auto"/>
              </w:rPr>
            </w:pPr>
            <w:r>
              <w:rPr>
                <w:rFonts w:ascii="Arial" w:cs="Arial" w:eastAsia="Arial" w:hAnsi="Arial"/>
                <w:sz w:val="18"/>
                <w:szCs w:val="18"/>
                <w:color w:val="auto"/>
              </w:rPr>
              <w:t>By:</w:t>
            </w:r>
          </w:p>
        </w:tc>
        <w:tc>
          <w:tcPr>
            <w:tcW w:w="4820" w:type="dxa"/>
            <w:vAlign w:val="bottom"/>
            <w:gridSpan w:val="2"/>
          </w:tcPr>
          <w:p>
            <w:pPr>
              <w:spacing w:after="0"/>
              <w:rPr>
                <w:sz w:val="20"/>
                <w:szCs w:val="20"/>
                <w:color w:val="auto"/>
              </w:rPr>
            </w:pPr>
            <w:r>
              <w:rPr>
                <w:rFonts w:ascii="Arial" w:cs="Arial" w:eastAsia="Arial" w:hAnsi="Arial"/>
                <w:sz w:val="18"/>
                <w:szCs w:val="18"/>
                <w:color w:val="auto"/>
              </w:rPr>
              <w:t>ORBIMED ADVISORS LLC, its managing member</w:t>
            </w:r>
          </w:p>
        </w:tc>
        <w:tc>
          <w:tcPr>
            <w:tcW w:w="0" w:type="dxa"/>
            <w:vAlign w:val="bottom"/>
          </w:tcPr>
          <w:p>
            <w:pPr>
              <w:spacing w:after="0"/>
              <w:rPr>
                <w:sz w:val="1"/>
                <w:szCs w:val="1"/>
                <w:color w:val="auto"/>
              </w:rPr>
            </w:pPr>
          </w:p>
        </w:tc>
      </w:tr>
      <w:tr>
        <w:trPr>
          <w:trHeight w:val="486"/>
        </w:trPr>
        <w:tc>
          <w:tcPr>
            <w:tcW w:w="3700" w:type="dxa"/>
            <w:vAlign w:val="bottom"/>
          </w:tcPr>
          <w:p>
            <w:pPr>
              <w:spacing w:after="0"/>
              <w:rPr>
                <w:sz w:val="24"/>
                <w:szCs w:val="24"/>
                <w:color w:val="auto"/>
              </w:rPr>
            </w:pPr>
          </w:p>
        </w:tc>
        <w:tc>
          <w:tcPr>
            <w:tcW w:w="2720" w:type="dxa"/>
            <w:vAlign w:val="bottom"/>
          </w:tcPr>
          <w:p>
            <w:pPr>
              <w:ind w:left="2160"/>
              <w:spacing w:after="0"/>
              <w:rPr>
                <w:sz w:val="20"/>
                <w:szCs w:val="20"/>
                <w:color w:val="auto"/>
              </w:rPr>
            </w:pPr>
            <w:r>
              <w:rPr>
                <w:rFonts w:ascii="Arial" w:cs="Arial" w:eastAsia="Arial" w:hAnsi="Arial"/>
                <w:sz w:val="18"/>
                <w:szCs w:val="18"/>
                <w:color w:val="auto"/>
              </w:rPr>
              <w:t>By:</w:t>
            </w:r>
          </w:p>
        </w:tc>
        <w:tc>
          <w:tcPr>
            <w:tcW w:w="4820" w:type="dxa"/>
            <w:vAlign w:val="bottom"/>
            <w:gridSpan w:val="2"/>
          </w:tcPr>
          <w:p>
            <w:pPr>
              <w:spacing w:after="0"/>
              <w:rPr>
                <w:sz w:val="20"/>
                <w:szCs w:val="20"/>
                <w:color w:val="auto"/>
              </w:rPr>
            </w:pPr>
            <w:r>
              <w:rPr>
                <w:rFonts w:ascii="Arial" w:cs="Arial" w:eastAsia="Arial" w:hAnsi="Arial"/>
                <w:sz w:val="18"/>
                <w:szCs w:val="18"/>
                <w:color w:val="auto"/>
              </w:rPr>
              <w:t>/s/ Carl L. Gordon</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1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7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Name: Carl L. Gordon</w:t>
            </w: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Title: Member of OrbiMed Advisors LLC</w:t>
            </w:r>
          </w:p>
        </w:tc>
        <w:tc>
          <w:tcPr>
            <w:tcW w:w="0" w:type="dxa"/>
            <w:vAlign w:val="bottom"/>
          </w:tcPr>
          <w:p>
            <w:pPr>
              <w:spacing w:after="0"/>
              <w:rPr>
                <w:sz w:val="1"/>
                <w:szCs w:val="1"/>
                <w:color w:val="auto"/>
              </w:rPr>
            </w:pPr>
          </w:p>
        </w:tc>
      </w:tr>
      <w:tr>
        <w:trPr>
          <w:trHeight w:val="432"/>
        </w:trPr>
        <w:tc>
          <w:tcPr>
            <w:tcW w:w="3700" w:type="dxa"/>
            <w:vAlign w:val="bottom"/>
          </w:tcPr>
          <w:p>
            <w:pPr>
              <w:spacing w:after="0"/>
              <w:rPr>
                <w:sz w:val="24"/>
                <w:szCs w:val="24"/>
                <w:color w:val="auto"/>
              </w:rPr>
            </w:pPr>
          </w:p>
        </w:tc>
        <w:tc>
          <w:tcPr>
            <w:tcW w:w="7540" w:type="dxa"/>
            <w:vAlign w:val="bottom"/>
            <w:gridSpan w:val="3"/>
          </w:tcPr>
          <w:p>
            <w:pPr>
              <w:ind w:left="2160"/>
              <w:spacing w:after="0"/>
              <w:rPr>
                <w:sz w:val="20"/>
                <w:szCs w:val="20"/>
                <w:color w:val="auto"/>
              </w:rPr>
            </w:pPr>
            <w:r>
              <w:rPr>
                <w:rFonts w:ascii="Arial" w:cs="Arial" w:eastAsia="Arial" w:hAnsi="Arial"/>
                <w:sz w:val="18"/>
                <w:szCs w:val="18"/>
                <w:color w:val="auto"/>
              </w:rPr>
              <w:t>ORBIMED CAPITAL LLC</w:t>
            </w:r>
          </w:p>
        </w:tc>
        <w:tc>
          <w:tcPr>
            <w:tcW w:w="0" w:type="dxa"/>
            <w:vAlign w:val="bottom"/>
          </w:tcPr>
          <w:p>
            <w:pPr>
              <w:spacing w:after="0"/>
              <w:rPr>
                <w:sz w:val="1"/>
                <w:szCs w:val="1"/>
                <w:color w:val="auto"/>
              </w:rPr>
            </w:pPr>
          </w:p>
        </w:tc>
      </w:tr>
      <w:tr>
        <w:trPr>
          <w:trHeight w:val="486"/>
        </w:trPr>
        <w:tc>
          <w:tcPr>
            <w:tcW w:w="3700" w:type="dxa"/>
            <w:vAlign w:val="bottom"/>
          </w:tcPr>
          <w:p>
            <w:pPr>
              <w:spacing w:after="0"/>
              <w:rPr>
                <w:sz w:val="24"/>
                <w:szCs w:val="24"/>
                <w:color w:val="auto"/>
              </w:rPr>
            </w:pPr>
          </w:p>
        </w:tc>
        <w:tc>
          <w:tcPr>
            <w:tcW w:w="2720" w:type="dxa"/>
            <w:vAlign w:val="bottom"/>
          </w:tcPr>
          <w:p>
            <w:pPr>
              <w:ind w:left="2160"/>
              <w:spacing w:after="0"/>
              <w:rPr>
                <w:sz w:val="20"/>
                <w:szCs w:val="20"/>
                <w:color w:val="auto"/>
              </w:rPr>
            </w:pPr>
            <w:r>
              <w:rPr>
                <w:rFonts w:ascii="Arial" w:cs="Arial" w:eastAsia="Arial" w:hAnsi="Arial"/>
                <w:sz w:val="18"/>
                <w:szCs w:val="18"/>
                <w:color w:val="auto"/>
              </w:rPr>
              <w:t>By:</w:t>
            </w:r>
          </w:p>
        </w:tc>
        <w:tc>
          <w:tcPr>
            <w:tcW w:w="4820" w:type="dxa"/>
            <w:vAlign w:val="bottom"/>
            <w:gridSpan w:val="2"/>
          </w:tcPr>
          <w:p>
            <w:pPr>
              <w:spacing w:after="0"/>
              <w:rPr>
                <w:sz w:val="20"/>
                <w:szCs w:val="20"/>
                <w:color w:val="auto"/>
              </w:rPr>
            </w:pPr>
            <w:r>
              <w:rPr>
                <w:rFonts w:ascii="Arial" w:cs="Arial" w:eastAsia="Arial" w:hAnsi="Arial"/>
                <w:sz w:val="18"/>
                <w:szCs w:val="18"/>
                <w:color w:val="auto"/>
              </w:rPr>
              <w:t>/s/ Carl L. Gordon</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1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7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Name: Carl L. Gordon</w:t>
            </w: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Title: Member</w:t>
            </w:r>
          </w:p>
        </w:tc>
        <w:tc>
          <w:tcPr>
            <w:tcW w:w="0" w:type="dxa"/>
            <w:vAlign w:val="bottom"/>
          </w:tcPr>
          <w:p>
            <w:pPr>
              <w:spacing w:after="0"/>
              <w:rPr>
                <w:sz w:val="1"/>
                <w:szCs w:val="1"/>
                <w:color w:val="auto"/>
              </w:rPr>
            </w:pPr>
          </w:p>
        </w:tc>
      </w:tr>
      <w:tr>
        <w:trPr>
          <w:trHeight w:val="1883"/>
        </w:trPr>
        <w:tc>
          <w:tcPr>
            <w:tcW w:w="37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SCHEDULE I</w:t>
      </w:r>
    </w:p>
    <w:p>
      <w:pPr>
        <w:spacing w:after="0" w:line="200" w:lineRule="exact"/>
        <w:rPr>
          <w:sz w:val="20"/>
          <w:szCs w:val="20"/>
          <w:color w:val="auto"/>
        </w:rPr>
      </w:pPr>
    </w:p>
    <w:p>
      <w:pPr>
        <w:spacing w:after="0" w:line="245" w:lineRule="exact"/>
        <w:rPr>
          <w:sz w:val="20"/>
          <w:szCs w:val="20"/>
          <w:color w:val="auto"/>
        </w:rPr>
      </w:pPr>
    </w:p>
    <w:p>
      <w:pPr>
        <w:jc w:val="both"/>
        <w:ind w:left="80" w:right="340" w:firstLine="583"/>
        <w:spacing w:after="0" w:line="279" w:lineRule="auto"/>
        <w:rPr>
          <w:sz w:val="20"/>
          <w:szCs w:val="20"/>
          <w:color w:val="auto"/>
        </w:rPr>
      </w:pPr>
      <w:r>
        <w:rPr>
          <w:rFonts w:ascii="Arial" w:cs="Arial" w:eastAsia="Arial" w:hAnsi="Arial"/>
          <w:sz w:val="18"/>
          <w:szCs w:val="18"/>
          <w:color w:val="auto"/>
        </w:rPr>
        <w:t>The names and present principal occupations of each of the executive officers and directors of OrbiMed Advisors LLC are set forth below. Unless otherwise noted, each of these persons is a United States citizen and has a business address of 601 Lexington Avenue, 54</w:t>
      </w:r>
      <w:r>
        <w:rPr>
          <w:rFonts w:ascii="Arial" w:cs="Arial" w:eastAsia="Arial" w:hAnsi="Arial"/>
          <w:sz w:val="14"/>
          <w:szCs w:val="14"/>
          <w:color w:val="auto"/>
        </w:rPr>
        <w:t>th</w:t>
      </w:r>
      <w:r>
        <w:rPr>
          <w:rFonts w:ascii="Arial" w:cs="Arial" w:eastAsia="Arial" w:hAnsi="Arial"/>
          <w:sz w:val="18"/>
          <w:szCs w:val="18"/>
          <w:color w:val="auto"/>
        </w:rPr>
        <w:t xml:space="preserve"> Floor, New York, NY 10022.</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40" w:type="dxa"/>
            <w:vAlign w:val="bottom"/>
          </w:tcPr>
          <w:p>
            <w:pPr>
              <w:spacing w:after="0"/>
              <w:rPr>
                <w:sz w:val="17"/>
                <w:szCs w:val="17"/>
                <w:color w:val="auto"/>
              </w:rPr>
            </w:pPr>
          </w:p>
        </w:tc>
        <w:tc>
          <w:tcPr>
            <w:tcW w:w="440" w:type="dxa"/>
            <w:vAlign w:val="bottom"/>
          </w:tcPr>
          <w:p>
            <w:pPr>
              <w:spacing w:after="0"/>
              <w:rPr>
                <w:sz w:val="20"/>
                <w:szCs w:val="20"/>
                <w:color w:val="auto"/>
              </w:rPr>
            </w:pPr>
            <w:r>
              <w:rPr>
                <w:rFonts w:ascii="Arial" w:cs="Arial" w:eastAsia="Arial" w:hAnsi="Arial"/>
                <w:sz w:val="18"/>
                <w:szCs w:val="18"/>
                <w:color w:val="auto"/>
                <w:w w:val="87"/>
              </w:rPr>
              <w:t>Name</w:t>
            </w:r>
          </w:p>
        </w:tc>
        <w:tc>
          <w:tcPr>
            <w:tcW w:w="10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Position with Reporting Person</w:t>
            </w:r>
          </w:p>
        </w:tc>
        <w:tc>
          <w:tcPr>
            <w:tcW w:w="1360" w:type="dxa"/>
            <w:vAlign w:val="bottom"/>
          </w:tcPr>
          <w:p>
            <w:pPr>
              <w:spacing w:after="0"/>
              <w:rPr>
                <w:sz w:val="17"/>
                <w:szCs w:val="17"/>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Principal Occupation</w:t>
            </w:r>
          </w:p>
        </w:tc>
      </w:tr>
      <w:tr>
        <w:trPr>
          <w:trHeight w:val="20"/>
        </w:trPr>
        <w:tc>
          <w:tcPr>
            <w:tcW w:w="15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708"/>
        </w:trPr>
        <w:tc>
          <w:tcPr>
            <w:tcW w:w="1540" w:type="dxa"/>
            <w:vAlign w:val="bottom"/>
          </w:tcPr>
          <w:p>
            <w:pPr>
              <w:spacing w:after="0"/>
              <w:rPr>
                <w:sz w:val="20"/>
                <w:szCs w:val="20"/>
                <w:color w:val="auto"/>
              </w:rPr>
            </w:pPr>
            <w:r>
              <w:rPr>
                <w:rFonts w:ascii="Arial" w:cs="Arial" w:eastAsia="Arial" w:hAnsi="Arial"/>
                <w:sz w:val="18"/>
                <w:szCs w:val="18"/>
                <w:color w:val="auto"/>
              </w:rPr>
              <w:t>Carl L. Gordon</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120" w:type="dxa"/>
            <w:vAlign w:val="bottom"/>
            <w:gridSpan w:val="3"/>
          </w:tcPr>
          <w:p>
            <w:pPr>
              <w:ind w:left="840"/>
              <w:spacing w:after="0"/>
              <w:rPr>
                <w:sz w:val="20"/>
                <w:szCs w:val="20"/>
                <w:color w:val="auto"/>
              </w:rPr>
            </w:pPr>
            <w:r>
              <w:rPr>
                <w:rFonts w:ascii="Arial" w:cs="Arial" w:eastAsia="Arial" w:hAnsi="Arial"/>
                <w:sz w:val="18"/>
                <w:szCs w:val="18"/>
                <w:color w:val="auto"/>
              </w:rPr>
              <w:t>Member</w:t>
            </w:r>
          </w:p>
        </w:tc>
        <w:tc>
          <w:tcPr>
            <w:tcW w:w="4140" w:type="dxa"/>
            <w:vAlign w:val="bottom"/>
            <w:gridSpan w:val="3"/>
          </w:tcPr>
          <w:p>
            <w:pPr>
              <w:ind w:left="440"/>
              <w:spacing w:after="0"/>
              <w:rPr>
                <w:sz w:val="20"/>
                <w:szCs w:val="20"/>
                <w:color w:val="auto"/>
              </w:rPr>
            </w:pPr>
            <w:r>
              <w:rPr>
                <w:rFonts w:ascii="Arial" w:cs="Arial" w:eastAsia="Arial" w:hAnsi="Arial"/>
                <w:sz w:val="18"/>
                <w:szCs w:val="18"/>
                <w:color w:val="auto"/>
              </w:rPr>
              <w:t>Member</w:t>
            </w:r>
          </w:p>
        </w:tc>
      </w:tr>
      <w:tr>
        <w:trPr>
          <w:trHeight w:val="230"/>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Arial" w:cs="Arial" w:eastAsia="Arial" w:hAnsi="Arial"/>
                <w:sz w:val="18"/>
                <w:szCs w:val="18"/>
                <w:color w:val="auto"/>
              </w:rPr>
              <w:t>OrbiMed Advisors LLC</w:t>
            </w:r>
          </w:p>
        </w:tc>
      </w:tr>
      <w:tr>
        <w:trPr>
          <w:trHeight w:val="445"/>
        </w:trPr>
        <w:tc>
          <w:tcPr>
            <w:tcW w:w="2980" w:type="dxa"/>
            <w:vAlign w:val="bottom"/>
            <w:gridSpan w:val="3"/>
          </w:tcPr>
          <w:p>
            <w:pPr>
              <w:spacing w:after="0"/>
              <w:rPr>
                <w:sz w:val="20"/>
                <w:szCs w:val="20"/>
                <w:color w:val="auto"/>
              </w:rPr>
            </w:pPr>
            <w:r>
              <w:rPr>
                <w:rFonts w:ascii="Arial" w:cs="Arial" w:eastAsia="Arial" w:hAnsi="Arial"/>
                <w:sz w:val="18"/>
                <w:szCs w:val="18"/>
                <w:color w:val="auto"/>
              </w:rPr>
              <w:t>Sven H. Borho</w:t>
            </w:r>
          </w:p>
        </w:tc>
        <w:tc>
          <w:tcPr>
            <w:tcW w:w="4120" w:type="dxa"/>
            <w:vAlign w:val="bottom"/>
            <w:gridSpan w:val="3"/>
          </w:tcPr>
          <w:p>
            <w:pPr>
              <w:ind w:left="840"/>
              <w:spacing w:after="0"/>
              <w:rPr>
                <w:sz w:val="20"/>
                <w:szCs w:val="20"/>
                <w:color w:val="auto"/>
              </w:rPr>
            </w:pPr>
            <w:r>
              <w:rPr>
                <w:rFonts w:ascii="Arial" w:cs="Arial" w:eastAsia="Arial" w:hAnsi="Arial"/>
                <w:sz w:val="18"/>
                <w:szCs w:val="18"/>
                <w:color w:val="auto"/>
              </w:rPr>
              <w:t>Member</w:t>
            </w:r>
          </w:p>
        </w:tc>
        <w:tc>
          <w:tcPr>
            <w:tcW w:w="4140" w:type="dxa"/>
            <w:vAlign w:val="bottom"/>
            <w:gridSpan w:val="3"/>
          </w:tcPr>
          <w:p>
            <w:pPr>
              <w:ind w:left="440"/>
              <w:spacing w:after="0"/>
              <w:rPr>
                <w:sz w:val="20"/>
                <w:szCs w:val="20"/>
                <w:color w:val="auto"/>
              </w:rPr>
            </w:pPr>
            <w:r>
              <w:rPr>
                <w:rFonts w:ascii="Arial" w:cs="Arial" w:eastAsia="Arial" w:hAnsi="Arial"/>
                <w:sz w:val="18"/>
                <w:szCs w:val="18"/>
                <w:color w:val="auto"/>
              </w:rPr>
              <w:t>Member</w:t>
            </w:r>
          </w:p>
        </w:tc>
      </w:tr>
      <w:tr>
        <w:trPr>
          <w:trHeight w:val="230"/>
        </w:trPr>
        <w:tc>
          <w:tcPr>
            <w:tcW w:w="2980" w:type="dxa"/>
            <w:vAlign w:val="bottom"/>
            <w:gridSpan w:val="3"/>
          </w:tcPr>
          <w:p>
            <w:pPr>
              <w:spacing w:after="0"/>
              <w:rPr>
                <w:sz w:val="20"/>
                <w:szCs w:val="20"/>
                <w:color w:val="auto"/>
              </w:rPr>
            </w:pPr>
            <w:r>
              <w:rPr>
                <w:rFonts w:ascii="Arial" w:cs="Arial" w:eastAsia="Arial" w:hAnsi="Arial"/>
                <w:sz w:val="18"/>
                <w:szCs w:val="18"/>
                <w:color w:val="auto"/>
              </w:rPr>
              <w:t>German and Swedish Citizen</w:t>
            </w: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Arial" w:cs="Arial" w:eastAsia="Arial" w:hAnsi="Arial"/>
                <w:sz w:val="18"/>
                <w:szCs w:val="18"/>
                <w:color w:val="auto"/>
              </w:rPr>
              <w:t>OrbiMed Advisors LLC</w:t>
            </w:r>
          </w:p>
        </w:tc>
      </w:tr>
      <w:tr>
        <w:trPr>
          <w:trHeight w:val="445"/>
        </w:trPr>
        <w:tc>
          <w:tcPr>
            <w:tcW w:w="2980" w:type="dxa"/>
            <w:vAlign w:val="bottom"/>
            <w:gridSpan w:val="3"/>
          </w:tcPr>
          <w:p>
            <w:pPr>
              <w:spacing w:after="0"/>
              <w:rPr>
                <w:sz w:val="20"/>
                <w:szCs w:val="20"/>
                <w:color w:val="auto"/>
              </w:rPr>
            </w:pPr>
            <w:r>
              <w:rPr>
                <w:rFonts w:ascii="Arial" w:cs="Arial" w:eastAsia="Arial" w:hAnsi="Arial"/>
                <w:sz w:val="18"/>
                <w:szCs w:val="18"/>
                <w:color w:val="auto"/>
              </w:rPr>
              <w:t>Jonathan T. Silverstein</w:t>
            </w:r>
          </w:p>
        </w:tc>
        <w:tc>
          <w:tcPr>
            <w:tcW w:w="4120" w:type="dxa"/>
            <w:vAlign w:val="bottom"/>
            <w:gridSpan w:val="3"/>
          </w:tcPr>
          <w:p>
            <w:pPr>
              <w:ind w:left="840"/>
              <w:spacing w:after="0"/>
              <w:rPr>
                <w:sz w:val="20"/>
                <w:szCs w:val="20"/>
                <w:color w:val="auto"/>
              </w:rPr>
            </w:pPr>
            <w:r>
              <w:rPr>
                <w:rFonts w:ascii="Arial" w:cs="Arial" w:eastAsia="Arial" w:hAnsi="Arial"/>
                <w:sz w:val="18"/>
                <w:szCs w:val="18"/>
                <w:color w:val="auto"/>
              </w:rPr>
              <w:t>Member</w:t>
            </w:r>
          </w:p>
        </w:tc>
        <w:tc>
          <w:tcPr>
            <w:tcW w:w="4140" w:type="dxa"/>
            <w:vAlign w:val="bottom"/>
            <w:gridSpan w:val="3"/>
          </w:tcPr>
          <w:p>
            <w:pPr>
              <w:ind w:left="440"/>
              <w:spacing w:after="0"/>
              <w:rPr>
                <w:sz w:val="20"/>
                <w:szCs w:val="20"/>
                <w:color w:val="auto"/>
              </w:rPr>
            </w:pPr>
            <w:r>
              <w:rPr>
                <w:rFonts w:ascii="Arial" w:cs="Arial" w:eastAsia="Arial" w:hAnsi="Arial"/>
                <w:sz w:val="18"/>
                <w:szCs w:val="18"/>
                <w:color w:val="auto"/>
              </w:rPr>
              <w:t>Member</w:t>
            </w:r>
          </w:p>
        </w:tc>
      </w:tr>
      <w:tr>
        <w:trPr>
          <w:trHeight w:val="230"/>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Arial" w:cs="Arial" w:eastAsia="Arial" w:hAnsi="Arial"/>
                <w:sz w:val="18"/>
                <w:szCs w:val="18"/>
                <w:color w:val="auto"/>
              </w:rPr>
              <w:t>OrbiMed Advisors LLC</w:t>
            </w:r>
          </w:p>
        </w:tc>
      </w:tr>
      <w:tr>
        <w:trPr>
          <w:trHeight w:val="445"/>
        </w:trPr>
        <w:tc>
          <w:tcPr>
            <w:tcW w:w="2980" w:type="dxa"/>
            <w:vAlign w:val="bottom"/>
            <w:gridSpan w:val="3"/>
          </w:tcPr>
          <w:p>
            <w:pPr>
              <w:spacing w:after="0"/>
              <w:rPr>
                <w:sz w:val="20"/>
                <w:szCs w:val="20"/>
                <w:color w:val="auto"/>
              </w:rPr>
            </w:pPr>
            <w:r>
              <w:rPr>
                <w:rFonts w:ascii="Arial" w:cs="Arial" w:eastAsia="Arial" w:hAnsi="Arial"/>
                <w:sz w:val="18"/>
                <w:szCs w:val="18"/>
                <w:color w:val="auto"/>
              </w:rPr>
              <w:t>W. Carter Neild</w:t>
            </w:r>
          </w:p>
        </w:tc>
        <w:tc>
          <w:tcPr>
            <w:tcW w:w="4120" w:type="dxa"/>
            <w:vAlign w:val="bottom"/>
            <w:gridSpan w:val="3"/>
          </w:tcPr>
          <w:p>
            <w:pPr>
              <w:ind w:left="840"/>
              <w:spacing w:after="0"/>
              <w:rPr>
                <w:sz w:val="20"/>
                <w:szCs w:val="20"/>
                <w:color w:val="auto"/>
              </w:rPr>
            </w:pPr>
            <w:r>
              <w:rPr>
                <w:rFonts w:ascii="Arial" w:cs="Arial" w:eastAsia="Arial" w:hAnsi="Arial"/>
                <w:sz w:val="18"/>
                <w:szCs w:val="18"/>
                <w:color w:val="auto"/>
              </w:rPr>
              <w:t>Member</w:t>
            </w:r>
          </w:p>
        </w:tc>
        <w:tc>
          <w:tcPr>
            <w:tcW w:w="4140" w:type="dxa"/>
            <w:vAlign w:val="bottom"/>
            <w:gridSpan w:val="3"/>
          </w:tcPr>
          <w:p>
            <w:pPr>
              <w:ind w:left="440"/>
              <w:spacing w:after="0"/>
              <w:rPr>
                <w:sz w:val="20"/>
                <w:szCs w:val="20"/>
                <w:color w:val="auto"/>
              </w:rPr>
            </w:pPr>
            <w:r>
              <w:rPr>
                <w:rFonts w:ascii="Arial" w:cs="Arial" w:eastAsia="Arial" w:hAnsi="Arial"/>
                <w:sz w:val="18"/>
                <w:szCs w:val="18"/>
                <w:color w:val="auto"/>
              </w:rPr>
              <w:t>Member</w:t>
            </w:r>
          </w:p>
        </w:tc>
      </w:tr>
      <w:tr>
        <w:trPr>
          <w:trHeight w:val="230"/>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Arial" w:cs="Arial" w:eastAsia="Arial" w:hAnsi="Arial"/>
                <w:sz w:val="18"/>
                <w:szCs w:val="18"/>
                <w:color w:val="auto"/>
              </w:rPr>
              <w:t>OrbiMed Advisors LLC</w:t>
            </w:r>
          </w:p>
        </w:tc>
      </w:tr>
      <w:tr>
        <w:trPr>
          <w:trHeight w:val="445"/>
        </w:trPr>
        <w:tc>
          <w:tcPr>
            <w:tcW w:w="2980" w:type="dxa"/>
            <w:vAlign w:val="bottom"/>
            <w:gridSpan w:val="3"/>
          </w:tcPr>
          <w:p>
            <w:pPr>
              <w:spacing w:after="0"/>
              <w:rPr>
                <w:sz w:val="20"/>
                <w:szCs w:val="20"/>
                <w:color w:val="auto"/>
              </w:rPr>
            </w:pPr>
            <w:r>
              <w:rPr>
                <w:rFonts w:ascii="Arial" w:cs="Arial" w:eastAsia="Arial" w:hAnsi="Arial"/>
                <w:sz w:val="18"/>
                <w:szCs w:val="18"/>
                <w:color w:val="auto"/>
              </w:rPr>
              <w:t>Geoffrey C. Hsu</w:t>
            </w:r>
          </w:p>
        </w:tc>
        <w:tc>
          <w:tcPr>
            <w:tcW w:w="4120" w:type="dxa"/>
            <w:vAlign w:val="bottom"/>
            <w:gridSpan w:val="3"/>
          </w:tcPr>
          <w:p>
            <w:pPr>
              <w:ind w:left="840"/>
              <w:spacing w:after="0"/>
              <w:rPr>
                <w:sz w:val="20"/>
                <w:szCs w:val="20"/>
                <w:color w:val="auto"/>
              </w:rPr>
            </w:pPr>
            <w:r>
              <w:rPr>
                <w:rFonts w:ascii="Arial" w:cs="Arial" w:eastAsia="Arial" w:hAnsi="Arial"/>
                <w:sz w:val="18"/>
                <w:szCs w:val="18"/>
                <w:color w:val="auto"/>
              </w:rPr>
              <w:t>Member</w:t>
            </w:r>
          </w:p>
        </w:tc>
        <w:tc>
          <w:tcPr>
            <w:tcW w:w="4140" w:type="dxa"/>
            <w:vAlign w:val="bottom"/>
            <w:gridSpan w:val="3"/>
          </w:tcPr>
          <w:p>
            <w:pPr>
              <w:ind w:left="440"/>
              <w:spacing w:after="0"/>
              <w:rPr>
                <w:sz w:val="20"/>
                <w:szCs w:val="20"/>
                <w:color w:val="auto"/>
              </w:rPr>
            </w:pPr>
            <w:r>
              <w:rPr>
                <w:rFonts w:ascii="Arial" w:cs="Arial" w:eastAsia="Arial" w:hAnsi="Arial"/>
                <w:sz w:val="18"/>
                <w:szCs w:val="18"/>
                <w:color w:val="auto"/>
              </w:rPr>
              <w:t>Member</w:t>
            </w:r>
          </w:p>
        </w:tc>
      </w:tr>
      <w:tr>
        <w:trPr>
          <w:trHeight w:val="230"/>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Arial" w:cs="Arial" w:eastAsia="Arial" w:hAnsi="Arial"/>
                <w:sz w:val="18"/>
                <w:szCs w:val="18"/>
                <w:color w:val="auto"/>
              </w:rPr>
              <w:t>OrbiMed Advisors LLC</w:t>
            </w:r>
          </w:p>
        </w:tc>
      </w:tr>
      <w:tr>
        <w:trPr>
          <w:trHeight w:val="445"/>
        </w:trPr>
        <w:tc>
          <w:tcPr>
            <w:tcW w:w="2980" w:type="dxa"/>
            <w:vAlign w:val="bottom"/>
            <w:gridSpan w:val="3"/>
          </w:tcPr>
          <w:p>
            <w:pPr>
              <w:spacing w:after="0"/>
              <w:rPr>
                <w:sz w:val="20"/>
                <w:szCs w:val="20"/>
                <w:color w:val="auto"/>
              </w:rPr>
            </w:pPr>
            <w:r>
              <w:rPr>
                <w:rFonts w:ascii="Arial" w:cs="Arial" w:eastAsia="Arial" w:hAnsi="Arial"/>
                <w:sz w:val="18"/>
                <w:szCs w:val="18"/>
                <w:color w:val="auto"/>
              </w:rPr>
              <w:t>C. Scotland Stevens</w:t>
            </w:r>
          </w:p>
        </w:tc>
        <w:tc>
          <w:tcPr>
            <w:tcW w:w="4120" w:type="dxa"/>
            <w:vAlign w:val="bottom"/>
            <w:gridSpan w:val="3"/>
          </w:tcPr>
          <w:p>
            <w:pPr>
              <w:ind w:left="840"/>
              <w:spacing w:after="0"/>
              <w:rPr>
                <w:sz w:val="20"/>
                <w:szCs w:val="20"/>
                <w:color w:val="auto"/>
              </w:rPr>
            </w:pPr>
            <w:r>
              <w:rPr>
                <w:rFonts w:ascii="Arial" w:cs="Arial" w:eastAsia="Arial" w:hAnsi="Arial"/>
                <w:sz w:val="18"/>
                <w:szCs w:val="18"/>
                <w:color w:val="auto"/>
              </w:rPr>
              <w:t>Member</w:t>
            </w:r>
          </w:p>
        </w:tc>
        <w:tc>
          <w:tcPr>
            <w:tcW w:w="4140" w:type="dxa"/>
            <w:vAlign w:val="bottom"/>
            <w:gridSpan w:val="3"/>
          </w:tcPr>
          <w:p>
            <w:pPr>
              <w:ind w:left="440"/>
              <w:spacing w:after="0"/>
              <w:rPr>
                <w:sz w:val="20"/>
                <w:szCs w:val="20"/>
                <w:color w:val="auto"/>
              </w:rPr>
            </w:pPr>
            <w:r>
              <w:rPr>
                <w:rFonts w:ascii="Arial" w:cs="Arial" w:eastAsia="Arial" w:hAnsi="Arial"/>
                <w:sz w:val="18"/>
                <w:szCs w:val="18"/>
                <w:color w:val="auto"/>
              </w:rPr>
              <w:t>Member</w:t>
            </w:r>
          </w:p>
        </w:tc>
      </w:tr>
      <w:tr>
        <w:trPr>
          <w:trHeight w:val="230"/>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Arial" w:cs="Arial" w:eastAsia="Arial" w:hAnsi="Arial"/>
                <w:sz w:val="18"/>
                <w:szCs w:val="18"/>
                <w:color w:val="auto"/>
              </w:rPr>
              <w:t>OrbiMed Advisors LLC</w:t>
            </w:r>
          </w:p>
        </w:tc>
      </w:tr>
      <w:tr>
        <w:trPr>
          <w:trHeight w:val="445"/>
        </w:trPr>
        <w:tc>
          <w:tcPr>
            <w:tcW w:w="2980" w:type="dxa"/>
            <w:vAlign w:val="bottom"/>
            <w:gridSpan w:val="3"/>
          </w:tcPr>
          <w:p>
            <w:pPr>
              <w:spacing w:after="0"/>
              <w:rPr>
                <w:sz w:val="20"/>
                <w:szCs w:val="20"/>
                <w:color w:val="auto"/>
              </w:rPr>
            </w:pPr>
            <w:r>
              <w:rPr>
                <w:rFonts w:ascii="Arial" w:cs="Arial" w:eastAsia="Arial" w:hAnsi="Arial"/>
                <w:sz w:val="18"/>
                <w:szCs w:val="18"/>
                <w:color w:val="auto"/>
              </w:rPr>
              <w:t>David P. Bonita</w:t>
            </w:r>
          </w:p>
        </w:tc>
        <w:tc>
          <w:tcPr>
            <w:tcW w:w="4120" w:type="dxa"/>
            <w:vAlign w:val="bottom"/>
            <w:gridSpan w:val="3"/>
          </w:tcPr>
          <w:p>
            <w:pPr>
              <w:ind w:left="840"/>
              <w:spacing w:after="0"/>
              <w:rPr>
                <w:sz w:val="20"/>
                <w:szCs w:val="20"/>
                <w:color w:val="auto"/>
              </w:rPr>
            </w:pPr>
            <w:r>
              <w:rPr>
                <w:rFonts w:ascii="Arial" w:cs="Arial" w:eastAsia="Arial" w:hAnsi="Arial"/>
                <w:sz w:val="18"/>
                <w:szCs w:val="18"/>
                <w:color w:val="auto"/>
              </w:rPr>
              <w:t>Member</w:t>
            </w:r>
          </w:p>
        </w:tc>
        <w:tc>
          <w:tcPr>
            <w:tcW w:w="4140" w:type="dxa"/>
            <w:vAlign w:val="bottom"/>
            <w:gridSpan w:val="3"/>
          </w:tcPr>
          <w:p>
            <w:pPr>
              <w:ind w:left="440"/>
              <w:spacing w:after="0"/>
              <w:rPr>
                <w:sz w:val="20"/>
                <w:szCs w:val="20"/>
                <w:color w:val="auto"/>
              </w:rPr>
            </w:pPr>
            <w:r>
              <w:rPr>
                <w:rFonts w:ascii="Arial" w:cs="Arial" w:eastAsia="Arial" w:hAnsi="Arial"/>
                <w:sz w:val="18"/>
                <w:szCs w:val="18"/>
                <w:color w:val="auto"/>
              </w:rPr>
              <w:t>Member</w:t>
            </w:r>
          </w:p>
        </w:tc>
      </w:tr>
      <w:tr>
        <w:trPr>
          <w:trHeight w:val="230"/>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Arial" w:cs="Arial" w:eastAsia="Arial" w:hAnsi="Arial"/>
                <w:sz w:val="18"/>
                <w:szCs w:val="18"/>
                <w:color w:val="auto"/>
              </w:rPr>
              <w:t>OrbiMed Advisors LLC</w:t>
            </w:r>
          </w:p>
        </w:tc>
      </w:tr>
      <w:tr>
        <w:trPr>
          <w:trHeight w:val="445"/>
        </w:trPr>
        <w:tc>
          <w:tcPr>
            <w:tcW w:w="2980" w:type="dxa"/>
            <w:vAlign w:val="bottom"/>
            <w:gridSpan w:val="3"/>
          </w:tcPr>
          <w:p>
            <w:pPr>
              <w:spacing w:after="0"/>
              <w:rPr>
                <w:sz w:val="20"/>
                <w:szCs w:val="20"/>
                <w:color w:val="auto"/>
              </w:rPr>
            </w:pPr>
            <w:r>
              <w:rPr>
                <w:rFonts w:ascii="Arial" w:cs="Arial" w:eastAsia="Arial" w:hAnsi="Arial"/>
                <w:sz w:val="18"/>
                <w:szCs w:val="18"/>
                <w:color w:val="auto"/>
              </w:rPr>
              <w:t>Trey Block</w:t>
            </w:r>
          </w:p>
        </w:tc>
        <w:tc>
          <w:tcPr>
            <w:tcW w:w="4120" w:type="dxa"/>
            <w:vAlign w:val="bottom"/>
            <w:gridSpan w:val="3"/>
          </w:tcPr>
          <w:p>
            <w:pPr>
              <w:ind w:left="840"/>
              <w:spacing w:after="0"/>
              <w:rPr>
                <w:sz w:val="20"/>
                <w:szCs w:val="20"/>
                <w:color w:val="auto"/>
              </w:rPr>
            </w:pPr>
            <w:r>
              <w:rPr>
                <w:rFonts w:ascii="Arial" w:cs="Arial" w:eastAsia="Arial" w:hAnsi="Arial"/>
                <w:sz w:val="18"/>
                <w:szCs w:val="18"/>
                <w:color w:val="auto"/>
              </w:rPr>
              <w:t>Chief Financial Officer</w:t>
            </w:r>
          </w:p>
        </w:tc>
        <w:tc>
          <w:tcPr>
            <w:tcW w:w="4140" w:type="dxa"/>
            <w:vAlign w:val="bottom"/>
            <w:gridSpan w:val="3"/>
          </w:tcPr>
          <w:p>
            <w:pPr>
              <w:ind w:left="440"/>
              <w:spacing w:after="0"/>
              <w:rPr>
                <w:sz w:val="20"/>
                <w:szCs w:val="20"/>
                <w:color w:val="auto"/>
              </w:rPr>
            </w:pPr>
            <w:r>
              <w:rPr>
                <w:rFonts w:ascii="Arial" w:cs="Arial" w:eastAsia="Arial" w:hAnsi="Arial"/>
                <w:sz w:val="18"/>
                <w:szCs w:val="18"/>
                <w:color w:val="auto"/>
              </w:rPr>
              <w:t>Chief Financial Officer</w:t>
            </w:r>
          </w:p>
        </w:tc>
      </w:tr>
      <w:tr>
        <w:trPr>
          <w:trHeight w:val="230"/>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Arial" w:cs="Arial" w:eastAsia="Arial" w:hAnsi="Arial"/>
                <w:sz w:val="18"/>
                <w:szCs w:val="18"/>
                <w:color w:val="auto"/>
              </w:rPr>
              <w:t>OrbiMed Advisors LLC</w:t>
            </w:r>
          </w:p>
        </w:tc>
      </w:tr>
      <w:tr>
        <w:trPr>
          <w:trHeight w:val="1856"/>
        </w:trPr>
        <w:tc>
          <w:tcPr>
            <w:tcW w:w="15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SCHEDULE II</w:t>
      </w:r>
    </w:p>
    <w:p>
      <w:pPr>
        <w:spacing w:after="0" w:line="229" w:lineRule="exact"/>
        <w:rPr>
          <w:sz w:val="20"/>
          <w:szCs w:val="20"/>
          <w:color w:val="auto"/>
        </w:rPr>
      </w:pPr>
    </w:p>
    <w:p>
      <w:pPr>
        <w:jc w:val="both"/>
        <w:ind w:left="80" w:right="340" w:firstLine="583"/>
        <w:spacing w:after="0" w:line="279" w:lineRule="auto"/>
        <w:rPr>
          <w:sz w:val="20"/>
          <w:szCs w:val="20"/>
          <w:color w:val="auto"/>
        </w:rPr>
      </w:pPr>
      <w:r>
        <w:rPr>
          <w:rFonts w:ascii="Arial" w:cs="Arial" w:eastAsia="Arial" w:hAnsi="Arial"/>
          <w:sz w:val="18"/>
          <w:szCs w:val="18"/>
          <w:color w:val="auto"/>
        </w:rPr>
        <w:t>The names and present principal occupations of each of the executive officers and directors of OrbiMed Capital LLC are set forth below. Unless otherwise noted, each of these persons is a United States citizen and has a business address of 601 Lexington Avenue, 54</w:t>
      </w:r>
      <w:r>
        <w:rPr>
          <w:rFonts w:ascii="Arial" w:cs="Arial" w:eastAsia="Arial" w:hAnsi="Arial"/>
          <w:sz w:val="14"/>
          <w:szCs w:val="14"/>
          <w:color w:val="auto"/>
        </w:rPr>
        <w:t>th</w:t>
      </w:r>
      <w:r>
        <w:rPr>
          <w:rFonts w:ascii="Arial" w:cs="Arial" w:eastAsia="Arial" w:hAnsi="Arial"/>
          <w:sz w:val="18"/>
          <w:szCs w:val="18"/>
          <w:color w:val="auto"/>
        </w:rPr>
        <w:t xml:space="preserve"> Floor, New York, NY 10022.</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40" w:type="dxa"/>
            <w:vAlign w:val="bottom"/>
          </w:tcPr>
          <w:p>
            <w:pPr>
              <w:spacing w:after="0"/>
              <w:rPr>
                <w:sz w:val="17"/>
                <w:szCs w:val="17"/>
                <w:color w:val="auto"/>
              </w:rPr>
            </w:pPr>
          </w:p>
        </w:tc>
        <w:tc>
          <w:tcPr>
            <w:tcW w:w="440" w:type="dxa"/>
            <w:vAlign w:val="bottom"/>
          </w:tcPr>
          <w:p>
            <w:pPr>
              <w:spacing w:after="0"/>
              <w:rPr>
                <w:sz w:val="20"/>
                <w:szCs w:val="20"/>
                <w:color w:val="auto"/>
              </w:rPr>
            </w:pPr>
            <w:r>
              <w:rPr>
                <w:rFonts w:ascii="Arial" w:cs="Arial" w:eastAsia="Arial" w:hAnsi="Arial"/>
                <w:sz w:val="18"/>
                <w:szCs w:val="18"/>
                <w:color w:val="auto"/>
                <w:w w:val="87"/>
              </w:rPr>
              <w:t>Name</w:t>
            </w:r>
          </w:p>
        </w:tc>
        <w:tc>
          <w:tcPr>
            <w:tcW w:w="10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Position with Reporting Person</w:t>
            </w:r>
          </w:p>
        </w:tc>
        <w:tc>
          <w:tcPr>
            <w:tcW w:w="1360" w:type="dxa"/>
            <w:vAlign w:val="bottom"/>
          </w:tcPr>
          <w:p>
            <w:pPr>
              <w:spacing w:after="0"/>
              <w:rPr>
                <w:sz w:val="17"/>
                <w:szCs w:val="17"/>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Principal Occupation</w:t>
            </w:r>
          </w:p>
        </w:tc>
      </w:tr>
      <w:tr>
        <w:trPr>
          <w:trHeight w:val="20"/>
        </w:trPr>
        <w:tc>
          <w:tcPr>
            <w:tcW w:w="15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708"/>
        </w:trPr>
        <w:tc>
          <w:tcPr>
            <w:tcW w:w="1540" w:type="dxa"/>
            <w:vAlign w:val="bottom"/>
          </w:tcPr>
          <w:p>
            <w:pPr>
              <w:spacing w:after="0"/>
              <w:rPr>
                <w:sz w:val="20"/>
                <w:szCs w:val="20"/>
                <w:color w:val="auto"/>
              </w:rPr>
            </w:pPr>
            <w:r>
              <w:rPr>
                <w:rFonts w:ascii="Arial" w:cs="Arial" w:eastAsia="Arial" w:hAnsi="Arial"/>
                <w:sz w:val="18"/>
                <w:szCs w:val="18"/>
                <w:color w:val="auto"/>
              </w:rPr>
              <w:t>Carl L. Gordon</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120" w:type="dxa"/>
            <w:vAlign w:val="bottom"/>
            <w:gridSpan w:val="3"/>
          </w:tcPr>
          <w:p>
            <w:pPr>
              <w:ind w:left="840"/>
              <w:spacing w:after="0"/>
              <w:rPr>
                <w:sz w:val="20"/>
                <w:szCs w:val="20"/>
                <w:color w:val="auto"/>
              </w:rPr>
            </w:pPr>
            <w:r>
              <w:rPr>
                <w:rFonts w:ascii="Arial" w:cs="Arial" w:eastAsia="Arial" w:hAnsi="Arial"/>
                <w:sz w:val="18"/>
                <w:szCs w:val="18"/>
                <w:color w:val="auto"/>
              </w:rPr>
              <w:t>Member</w:t>
            </w:r>
          </w:p>
        </w:tc>
        <w:tc>
          <w:tcPr>
            <w:tcW w:w="4140" w:type="dxa"/>
            <w:vAlign w:val="bottom"/>
            <w:gridSpan w:val="3"/>
          </w:tcPr>
          <w:p>
            <w:pPr>
              <w:ind w:left="440"/>
              <w:spacing w:after="0"/>
              <w:rPr>
                <w:sz w:val="20"/>
                <w:szCs w:val="20"/>
                <w:color w:val="auto"/>
              </w:rPr>
            </w:pPr>
            <w:r>
              <w:rPr>
                <w:rFonts w:ascii="Arial" w:cs="Arial" w:eastAsia="Arial" w:hAnsi="Arial"/>
                <w:sz w:val="18"/>
                <w:szCs w:val="18"/>
                <w:color w:val="auto"/>
              </w:rPr>
              <w:t>Member</w:t>
            </w:r>
          </w:p>
        </w:tc>
      </w:tr>
      <w:tr>
        <w:trPr>
          <w:trHeight w:val="230"/>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Arial" w:cs="Arial" w:eastAsia="Arial" w:hAnsi="Arial"/>
                <w:sz w:val="18"/>
                <w:szCs w:val="18"/>
                <w:color w:val="auto"/>
              </w:rPr>
              <w:t>OrbiMed Capital LLC</w:t>
            </w:r>
          </w:p>
        </w:tc>
      </w:tr>
      <w:tr>
        <w:trPr>
          <w:trHeight w:val="445"/>
        </w:trPr>
        <w:tc>
          <w:tcPr>
            <w:tcW w:w="2980" w:type="dxa"/>
            <w:vAlign w:val="bottom"/>
            <w:gridSpan w:val="3"/>
          </w:tcPr>
          <w:p>
            <w:pPr>
              <w:spacing w:after="0"/>
              <w:rPr>
                <w:sz w:val="20"/>
                <w:szCs w:val="20"/>
                <w:color w:val="auto"/>
              </w:rPr>
            </w:pPr>
            <w:r>
              <w:rPr>
                <w:rFonts w:ascii="Arial" w:cs="Arial" w:eastAsia="Arial" w:hAnsi="Arial"/>
                <w:sz w:val="18"/>
                <w:szCs w:val="18"/>
                <w:color w:val="auto"/>
              </w:rPr>
              <w:t>Sven H. Borho</w:t>
            </w:r>
          </w:p>
        </w:tc>
        <w:tc>
          <w:tcPr>
            <w:tcW w:w="4120" w:type="dxa"/>
            <w:vAlign w:val="bottom"/>
            <w:gridSpan w:val="3"/>
          </w:tcPr>
          <w:p>
            <w:pPr>
              <w:ind w:left="840"/>
              <w:spacing w:after="0"/>
              <w:rPr>
                <w:sz w:val="20"/>
                <w:szCs w:val="20"/>
                <w:color w:val="auto"/>
              </w:rPr>
            </w:pPr>
            <w:r>
              <w:rPr>
                <w:rFonts w:ascii="Arial" w:cs="Arial" w:eastAsia="Arial" w:hAnsi="Arial"/>
                <w:sz w:val="18"/>
                <w:szCs w:val="18"/>
                <w:color w:val="auto"/>
              </w:rPr>
              <w:t>Member</w:t>
            </w:r>
          </w:p>
        </w:tc>
        <w:tc>
          <w:tcPr>
            <w:tcW w:w="4140" w:type="dxa"/>
            <w:vAlign w:val="bottom"/>
            <w:gridSpan w:val="3"/>
          </w:tcPr>
          <w:p>
            <w:pPr>
              <w:ind w:left="440"/>
              <w:spacing w:after="0"/>
              <w:rPr>
                <w:sz w:val="20"/>
                <w:szCs w:val="20"/>
                <w:color w:val="auto"/>
              </w:rPr>
            </w:pPr>
            <w:r>
              <w:rPr>
                <w:rFonts w:ascii="Arial" w:cs="Arial" w:eastAsia="Arial" w:hAnsi="Arial"/>
                <w:sz w:val="18"/>
                <w:szCs w:val="18"/>
                <w:color w:val="auto"/>
              </w:rPr>
              <w:t>Member</w:t>
            </w:r>
          </w:p>
        </w:tc>
      </w:tr>
      <w:tr>
        <w:trPr>
          <w:trHeight w:val="230"/>
        </w:trPr>
        <w:tc>
          <w:tcPr>
            <w:tcW w:w="2980" w:type="dxa"/>
            <w:vAlign w:val="bottom"/>
            <w:gridSpan w:val="3"/>
          </w:tcPr>
          <w:p>
            <w:pPr>
              <w:spacing w:after="0"/>
              <w:rPr>
                <w:sz w:val="20"/>
                <w:szCs w:val="20"/>
                <w:color w:val="auto"/>
              </w:rPr>
            </w:pPr>
            <w:r>
              <w:rPr>
                <w:rFonts w:ascii="Arial" w:cs="Arial" w:eastAsia="Arial" w:hAnsi="Arial"/>
                <w:sz w:val="18"/>
                <w:szCs w:val="18"/>
                <w:color w:val="auto"/>
              </w:rPr>
              <w:t>German and Swedish Citizen</w:t>
            </w: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Arial" w:cs="Arial" w:eastAsia="Arial" w:hAnsi="Arial"/>
                <w:sz w:val="18"/>
                <w:szCs w:val="18"/>
                <w:color w:val="auto"/>
              </w:rPr>
              <w:t>OrbiMed Capital LLC</w:t>
            </w:r>
          </w:p>
        </w:tc>
      </w:tr>
      <w:tr>
        <w:trPr>
          <w:trHeight w:val="445"/>
        </w:trPr>
        <w:tc>
          <w:tcPr>
            <w:tcW w:w="2980" w:type="dxa"/>
            <w:vAlign w:val="bottom"/>
            <w:gridSpan w:val="3"/>
          </w:tcPr>
          <w:p>
            <w:pPr>
              <w:spacing w:after="0"/>
              <w:rPr>
                <w:sz w:val="20"/>
                <w:szCs w:val="20"/>
                <w:color w:val="auto"/>
              </w:rPr>
            </w:pPr>
            <w:r>
              <w:rPr>
                <w:rFonts w:ascii="Arial" w:cs="Arial" w:eastAsia="Arial" w:hAnsi="Arial"/>
                <w:sz w:val="18"/>
                <w:szCs w:val="18"/>
                <w:color w:val="auto"/>
              </w:rPr>
              <w:t>Jonathan T. Silverstein</w:t>
            </w:r>
          </w:p>
        </w:tc>
        <w:tc>
          <w:tcPr>
            <w:tcW w:w="4120" w:type="dxa"/>
            <w:vAlign w:val="bottom"/>
            <w:gridSpan w:val="3"/>
          </w:tcPr>
          <w:p>
            <w:pPr>
              <w:ind w:left="840"/>
              <w:spacing w:after="0"/>
              <w:rPr>
                <w:sz w:val="20"/>
                <w:szCs w:val="20"/>
                <w:color w:val="auto"/>
              </w:rPr>
            </w:pPr>
            <w:r>
              <w:rPr>
                <w:rFonts w:ascii="Arial" w:cs="Arial" w:eastAsia="Arial" w:hAnsi="Arial"/>
                <w:sz w:val="18"/>
                <w:szCs w:val="18"/>
                <w:color w:val="auto"/>
              </w:rPr>
              <w:t>Member</w:t>
            </w:r>
          </w:p>
        </w:tc>
        <w:tc>
          <w:tcPr>
            <w:tcW w:w="4140" w:type="dxa"/>
            <w:vAlign w:val="bottom"/>
            <w:gridSpan w:val="3"/>
          </w:tcPr>
          <w:p>
            <w:pPr>
              <w:ind w:left="440"/>
              <w:spacing w:after="0"/>
              <w:rPr>
                <w:sz w:val="20"/>
                <w:szCs w:val="20"/>
                <w:color w:val="auto"/>
              </w:rPr>
            </w:pPr>
            <w:r>
              <w:rPr>
                <w:rFonts w:ascii="Arial" w:cs="Arial" w:eastAsia="Arial" w:hAnsi="Arial"/>
                <w:sz w:val="18"/>
                <w:szCs w:val="18"/>
                <w:color w:val="auto"/>
              </w:rPr>
              <w:t>Member</w:t>
            </w:r>
          </w:p>
        </w:tc>
      </w:tr>
      <w:tr>
        <w:trPr>
          <w:trHeight w:val="230"/>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Arial" w:cs="Arial" w:eastAsia="Arial" w:hAnsi="Arial"/>
                <w:sz w:val="18"/>
                <w:szCs w:val="18"/>
                <w:color w:val="auto"/>
              </w:rPr>
              <w:t>OrbiMed Capital LLC</w:t>
            </w:r>
          </w:p>
        </w:tc>
      </w:tr>
      <w:tr>
        <w:trPr>
          <w:trHeight w:val="445"/>
        </w:trPr>
        <w:tc>
          <w:tcPr>
            <w:tcW w:w="2980" w:type="dxa"/>
            <w:vAlign w:val="bottom"/>
            <w:gridSpan w:val="3"/>
          </w:tcPr>
          <w:p>
            <w:pPr>
              <w:spacing w:after="0"/>
              <w:rPr>
                <w:sz w:val="20"/>
                <w:szCs w:val="20"/>
                <w:color w:val="auto"/>
              </w:rPr>
            </w:pPr>
            <w:r>
              <w:rPr>
                <w:rFonts w:ascii="Arial" w:cs="Arial" w:eastAsia="Arial" w:hAnsi="Arial"/>
                <w:sz w:val="18"/>
                <w:szCs w:val="18"/>
                <w:color w:val="auto"/>
              </w:rPr>
              <w:t>W. Carter Neild</w:t>
            </w:r>
          </w:p>
        </w:tc>
        <w:tc>
          <w:tcPr>
            <w:tcW w:w="4120" w:type="dxa"/>
            <w:vAlign w:val="bottom"/>
            <w:gridSpan w:val="3"/>
          </w:tcPr>
          <w:p>
            <w:pPr>
              <w:ind w:left="840"/>
              <w:spacing w:after="0"/>
              <w:rPr>
                <w:sz w:val="20"/>
                <w:szCs w:val="20"/>
                <w:color w:val="auto"/>
              </w:rPr>
            </w:pPr>
            <w:r>
              <w:rPr>
                <w:rFonts w:ascii="Arial" w:cs="Arial" w:eastAsia="Arial" w:hAnsi="Arial"/>
                <w:sz w:val="18"/>
                <w:szCs w:val="18"/>
                <w:color w:val="auto"/>
              </w:rPr>
              <w:t>Member</w:t>
            </w:r>
          </w:p>
        </w:tc>
        <w:tc>
          <w:tcPr>
            <w:tcW w:w="4140" w:type="dxa"/>
            <w:vAlign w:val="bottom"/>
            <w:gridSpan w:val="3"/>
          </w:tcPr>
          <w:p>
            <w:pPr>
              <w:ind w:left="440"/>
              <w:spacing w:after="0"/>
              <w:rPr>
                <w:sz w:val="20"/>
                <w:szCs w:val="20"/>
                <w:color w:val="auto"/>
              </w:rPr>
            </w:pPr>
            <w:r>
              <w:rPr>
                <w:rFonts w:ascii="Arial" w:cs="Arial" w:eastAsia="Arial" w:hAnsi="Arial"/>
                <w:sz w:val="18"/>
                <w:szCs w:val="18"/>
                <w:color w:val="auto"/>
              </w:rPr>
              <w:t>Member</w:t>
            </w:r>
          </w:p>
        </w:tc>
      </w:tr>
      <w:tr>
        <w:trPr>
          <w:trHeight w:val="230"/>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Arial" w:cs="Arial" w:eastAsia="Arial" w:hAnsi="Arial"/>
                <w:sz w:val="18"/>
                <w:szCs w:val="18"/>
                <w:color w:val="auto"/>
              </w:rPr>
              <w:t>OrbiMed Capital LLC</w:t>
            </w:r>
          </w:p>
        </w:tc>
      </w:tr>
      <w:tr>
        <w:trPr>
          <w:trHeight w:val="445"/>
        </w:trPr>
        <w:tc>
          <w:tcPr>
            <w:tcW w:w="2980" w:type="dxa"/>
            <w:vAlign w:val="bottom"/>
            <w:gridSpan w:val="3"/>
          </w:tcPr>
          <w:p>
            <w:pPr>
              <w:spacing w:after="0"/>
              <w:rPr>
                <w:sz w:val="20"/>
                <w:szCs w:val="20"/>
                <w:color w:val="auto"/>
              </w:rPr>
            </w:pPr>
            <w:r>
              <w:rPr>
                <w:rFonts w:ascii="Arial" w:cs="Arial" w:eastAsia="Arial" w:hAnsi="Arial"/>
                <w:sz w:val="18"/>
                <w:szCs w:val="18"/>
                <w:color w:val="auto"/>
              </w:rPr>
              <w:t>Geoffrey C. Hsu</w:t>
            </w:r>
          </w:p>
        </w:tc>
        <w:tc>
          <w:tcPr>
            <w:tcW w:w="4120" w:type="dxa"/>
            <w:vAlign w:val="bottom"/>
            <w:gridSpan w:val="3"/>
          </w:tcPr>
          <w:p>
            <w:pPr>
              <w:ind w:left="840"/>
              <w:spacing w:after="0"/>
              <w:rPr>
                <w:sz w:val="20"/>
                <w:szCs w:val="20"/>
                <w:color w:val="auto"/>
              </w:rPr>
            </w:pPr>
            <w:r>
              <w:rPr>
                <w:rFonts w:ascii="Arial" w:cs="Arial" w:eastAsia="Arial" w:hAnsi="Arial"/>
                <w:sz w:val="18"/>
                <w:szCs w:val="18"/>
                <w:color w:val="auto"/>
              </w:rPr>
              <w:t>Member</w:t>
            </w:r>
          </w:p>
        </w:tc>
        <w:tc>
          <w:tcPr>
            <w:tcW w:w="4140" w:type="dxa"/>
            <w:vAlign w:val="bottom"/>
            <w:gridSpan w:val="3"/>
          </w:tcPr>
          <w:p>
            <w:pPr>
              <w:ind w:left="440"/>
              <w:spacing w:after="0"/>
              <w:rPr>
                <w:sz w:val="20"/>
                <w:szCs w:val="20"/>
                <w:color w:val="auto"/>
              </w:rPr>
            </w:pPr>
            <w:r>
              <w:rPr>
                <w:rFonts w:ascii="Arial" w:cs="Arial" w:eastAsia="Arial" w:hAnsi="Arial"/>
                <w:sz w:val="18"/>
                <w:szCs w:val="18"/>
                <w:color w:val="auto"/>
              </w:rPr>
              <w:t>Member</w:t>
            </w:r>
          </w:p>
        </w:tc>
      </w:tr>
      <w:tr>
        <w:trPr>
          <w:trHeight w:val="230"/>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Arial" w:cs="Arial" w:eastAsia="Arial" w:hAnsi="Arial"/>
                <w:sz w:val="18"/>
                <w:szCs w:val="18"/>
                <w:color w:val="auto"/>
              </w:rPr>
              <w:t>OrbiMed Capital LLC</w:t>
            </w:r>
          </w:p>
        </w:tc>
      </w:tr>
      <w:tr>
        <w:trPr>
          <w:trHeight w:val="445"/>
        </w:trPr>
        <w:tc>
          <w:tcPr>
            <w:tcW w:w="2980" w:type="dxa"/>
            <w:vAlign w:val="bottom"/>
            <w:gridSpan w:val="3"/>
          </w:tcPr>
          <w:p>
            <w:pPr>
              <w:spacing w:after="0"/>
              <w:rPr>
                <w:sz w:val="20"/>
                <w:szCs w:val="20"/>
                <w:color w:val="auto"/>
              </w:rPr>
            </w:pPr>
            <w:r>
              <w:rPr>
                <w:rFonts w:ascii="Arial" w:cs="Arial" w:eastAsia="Arial" w:hAnsi="Arial"/>
                <w:sz w:val="18"/>
                <w:szCs w:val="18"/>
                <w:color w:val="auto"/>
              </w:rPr>
              <w:t>C. Scotland Stevens</w:t>
            </w:r>
          </w:p>
        </w:tc>
        <w:tc>
          <w:tcPr>
            <w:tcW w:w="4120" w:type="dxa"/>
            <w:vAlign w:val="bottom"/>
            <w:gridSpan w:val="3"/>
          </w:tcPr>
          <w:p>
            <w:pPr>
              <w:ind w:left="840"/>
              <w:spacing w:after="0"/>
              <w:rPr>
                <w:sz w:val="20"/>
                <w:szCs w:val="20"/>
                <w:color w:val="auto"/>
              </w:rPr>
            </w:pPr>
            <w:r>
              <w:rPr>
                <w:rFonts w:ascii="Arial" w:cs="Arial" w:eastAsia="Arial" w:hAnsi="Arial"/>
                <w:sz w:val="18"/>
                <w:szCs w:val="18"/>
                <w:color w:val="auto"/>
              </w:rPr>
              <w:t>Member</w:t>
            </w:r>
          </w:p>
        </w:tc>
        <w:tc>
          <w:tcPr>
            <w:tcW w:w="4140" w:type="dxa"/>
            <w:vAlign w:val="bottom"/>
            <w:gridSpan w:val="3"/>
          </w:tcPr>
          <w:p>
            <w:pPr>
              <w:ind w:left="440"/>
              <w:spacing w:after="0"/>
              <w:rPr>
                <w:sz w:val="20"/>
                <w:szCs w:val="20"/>
                <w:color w:val="auto"/>
              </w:rPr>
            </w:pPr>
            <w:r>
              <w:rPr>
                <w:rFonts w:ascii="Arial" w:cs="Arial" w:eastAsia="Arial" w:hAnsi="Arial"/>
                <w:sz w:val="18"/>
                <w:szCs w:val="18"/>
                <w:color w:val="auto"/>
              </w:rPr>
              <w:t>Member</w:t>
            </w:r>
          </w:p>
        </w:tc>
      </w:tr>
      <w:tr>
        <w:trPr>
          <w:trHeight w:val="230"/>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Arial" w:cs="Arial" w:eastAsia="Arial" w:hAnsi="Arial"/>
                <w:sz w:val="18"/>
                <w:szCs w:val="18"/>
                <w:color w:val="auto"/>
              </w:rPr>
              <w:t>OrbiMed Capital LLC</w:t>
            </w:r>
          </w:p>
        </w:tc>
      </w:tr>
      <w:tr>
        <w:trPr>
          <w:trHeight w:val="445"/>
        </w:trPr>
        <w:tc>
          <w:tcPr>
            <w:tcW w:w="2980" w:type="dxa"/>
            <w:vAlign w:val="bottom"/>
            <w:gridSpan w:val="3"/>
          </w:tcPr>
          <w:p>
            <w:pPr>
              <w:spacing w:after="0"/>
              <w:rPr>
                <w:sz w:val="20"/>
                <w:szCs w:val="20"/>
                <w:color w:val="auto"/>
              </w:rPr>
            </w:pPr>
            <w:r>
              <w:rPr>
                <w:rFonts w:ascii="Arial" w:cs="Arial" w:eastAsia="Arial" w:hAnsi="Arial"/>
                <w:sz w:val="18"/>
                <w:szCs w:val="18"/>
                <w:color w:val="auto"/>
              </w:rPr>
              <w:t>David P. Bonita</w:t>
            </w:r>
          </w:p>
        </w:tc>
        <w:tc>
          <w:tcPr>
            <w:tcW w:w="4120" w:type="dxa"/>
            <w:vAlign w:val="bottom"/>
            <w:gridSpan w:val="3"/>
          </w:tcPr>
          <w:p>
            <w:pPr>
              <w:ind w:left="840"/>
              <w:spacing w:after="0"/>
              <w:rPr>
                <w:sz w:val="20"/>
                <w:szCs w:val="20"/>
                <w:color w:val="auto"/>
              </w:rPr>
            </w:pPr>
            <w:r>
              <w:rPr>
                <w:rFonts w:ascii="Arial" w:cs="Arial" w:eastAsia="Arial" w:hAnsi="Arial"/>
                <w:sz w:val="18"/>
                <w:szCs w:val="18"/>
                <w:color w:val="auto"/>
              </w:rPr>
              <w:t>Member</w:t>
            </w:r>
          </w:p>
        </w:tc>
        <w:tc>
          <w:tcPr>
            <w:tcW w:w="4140" w:type="dxa"/>
            <w:vAlign w:val="bottom"/>
            <w:gridSpan w:val="3"/>
          </w:tcPr>
          <w:p>
            <w:pPr>
              <w:ind w:left="440"/>
              <w:spacing w:after="0"/>
              <w:rPr>
                <w:sz w:val="20"/>
                <w:szCs w:val="20"/>
                <w:color w:val="auto"/>
              </w:rPr>
            </w:pPr>
            <w:r>
              <w:rPr>
                <w:rFonts w:ascii="Arial" w:cs="Arial" w:eastAsia="Arial" w:hAnsi="Arial"/>
                <w:sz w:val="18"/>
                <w:szCs w:val="18"/>
                <w:color w:val="auto"/>
              </w:rPr>
              <w:t>Member</w:t>
            </w:r>
          </w:p>
        </w:tc>
      </w:tr>
      <w:tr>
        <w:trPr>
          <w:trHeight w:val="230"/>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Arial" w:cs="Arial" w:eastAsia="Arial" w:hAnsi="Arial"/>
                <w:sz w:val="18"/>
                <w:szCs w:val="18"/>
                <w:color w:val="auto"/>
              </w:rPr>
              <w:t>OrbiMed Capital LLC</w:t>
            </w:r>
          </w:p>
        </w:tc>
      </w:tr>
      <w:tr>
        <w:trPr>
          <w:trHeight w:val="445"/>
        </w:trPr>
        <w:tc>
          <w:tcPr>
            <w:tcW w:w="2980" w:type="dxa"/>
            <w:vAlign w:val="bottom"/>
            <w:gridSpan w:val="3"/>
          </w:tcPr>
          <w:p>
            <w:pPr>
              <w:spacing w:after="0"/>
              <w:rPr>
                <w:sz w:val="20"/>
                <w:szCs w:val="20"/>
                <w:color w:val="auto"/>
              </w:rPr>
            </w:pPr>
            <w:r>
              <w:rPr>
                <w:rFonts w:ascii="Arial" w:cs="Arial" w:eastAsia="Arial" w:hAnsi="Arial"/>
                <w:sz w:val="18"/>
                <w:szCs w:val="18"/>
                <w:color w:val="auto"/>
              </w:rPr>
              <w:t>Trey Block</w:t>
            </w:r>
          </w:p>
        </w:tc>
        <w:tc>
          <w:tcPr>
            <w:tcW w:w="4120" w:type="dxa"/>
            <w:vAlign w:val="bottom"/>
            <w:gridSpan w:val="3"/>
          </w:tcPr>
          <w:p>
            <w:pPr>
              <w:ind w:left="840"/>
              <w:spacing w:after="0"/>
              <w:rPr>
                <w:sz w:val="20"/>
                <w:szCs w:val="20"/>
                <w:color w:val="auto"/>
              </w:rPr>
            </w:pPr>
            <w:r>
              <w:rPr>
                <w:rFonts w:ascii="Arial" w:cs="Arial" w:eastAsia="Arial" w:hAnsi="Arial"/>
                <w:sz w:val="18"/>
                <w:szCs w:val="18"/>
                <w:color w:val="auto"/>
              </w:rPr>
              <w:t>Chief Financial Officer</w:t>
            </w:r>
          </w:p>
        </w:tc>
        <w:tc>
          <w:tcPr>
            <w:tcW w:w="4140" w:type="dxa"/>
            <w:vAlign w:val="bottom"/>
            <w:gridSpan w:val="3"/>
          </w:tcPr>
          <w:p>
            <w:pPr>
              <w:ind w:left="440"/>
              <w:spacing w:after="0"/>
              <w:rPr>
                <w:sz w:val="20"/>
                <w:szCs w:val="20"/>
                <w:color w:val="auto"/>
              </w:rPr>
            </w:pPr>
            <w:r>
              <w:rPr>
                <w:rFonts w:ascii="Arial" w:cs="Arial" w:eastAsia="Arial" w:hAnsi="Arial"/>
                <w:sz w:val="18"/>
                <w:szCs w:val="18"/>
                <w:color w:val="auto"/>
              </w:rPr>
              <w:t>Chief Financial Officer</w:t>
            </w:r>
          </w:p>
        </w:tc>
      </w:tr>
      <w:tr>
        <w:trPr>
          <w:trHeight w:val="230"/>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Arial" w:cs="Arial" w:eastAsia="Arial" w:hAnsi="Arial"/>
                <w:sz w:val="18"/>
                <w:szCs w:val="18"/>
                <w:color w:val="auto"/>
              </w:rPr>
              <w:t>OrbiMed Capital LLC</w:t>
            </w:r>
          </w:p>
        </w:tc>
      </w:tr>
      <w:tr>
        <w:trPr>
          <w:trHeight w:val="2072"/>
        </w:trPr>
        <w:tc>
          <w:tcPr>
            <w:tcW w:w="15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12" w:name="page13"/>
    <w:bookmarkEnd w:id="12"/>
    <w:p>
      <w:pPr>
        <w:jc w:val="center"/>
        <w:ind w:right="-199"/>
        <w:spacing w:after="0"/>
        <w:rPr>
          <w:sz w:val="20"/>
          <w:szCs w:val="20"/>
          <w:color w:val="auto"/>
        </w:rPr>
      </w:pPr>
      <w:r>
        <w:rPr>
          <w:rFonts w:ascii="Arial" w:cs="Arial" w:eastAsia="Arial" w:hAnsi="Arial"/>
          <w:sz w:val="18"/>
          <w:szCs w:val="18"/>
          <w:b w:val="1"/>
          <w:bCs w:val="1"/>
          <w:color w:val="auto"/>
        </w:rPr>
        <w:t>SCHEDULE III</w:t>
      </w:r>
    </w:p>
    <w:p>
      <w:pPr>
        <w:spacing w:after="0" w:line="229" w:lineRule="exact"/>
        <w:rPr>
          <w:sz w:val="20"/>
          <w:szCs w:val="20"/>
          <w:color w:val="auto"/>
        </w:rPr>
      </w:pPr>
    </w:p>
    <w:p>
      <w:pPr>
        <w:ind w:firstLine="583"/>
        <w:spacing w:after="0" w:line="277" w:lineRule="auto"/>
        <w:rPr>
          <w:sz w:val="20"/>
          <w:szCs w:val="20"/>
          <w:color w:val="auto"/>
        </w:rPr>
      </w:pPr>
      <w:r>
        <w:rPr>
          <w:rFonts w:ascii="Arial" w:cs="Arial" w:eastAsia="Arial" w:hAnsi="Arial"/>
          <w:sz w:val="18"/>
          <w:szCs w:val="18"/>
          <w:color w:val="auto"/>
        </w:rPr>
        <w:t>The business and operations of OrbiMed Capital GP VII LLC are managed by the executive officers and directors of its managing member, OrbiMed Advisors LLC, set forth in Schedule I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4883785</wp:posOffset>
            </wp:positionV>
            <wp:extent cx="713232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840"/>
          </w:cols>
          <w:pgMar w:left="400" w:top="580" w:right="659" w:bottom="1440" w:gutter="0" w:footer="0" w:header="0"/>
        </w:sectPr>
      </w:pPr>
    </w:p>
    <w:bookmarkStart w:id="13" w:name="page14"/>
    <w:bookmarkEnd w:id="13"/>
    <w:p>
      <w:pPr>
        <w:jc w:val="center"/>
        <w:ind w:right="-103"/>
        <w:spacing w:after="0"/>
        <w:rPr>
          <w:sz w:val="20"/>
          <w:szCs w:val="20"/>
          <w:color w:val="auto"/>
        </w:rPr>
      </w:pPr>
      <w:r>
        <w:rPr>
          <w:rFonts w:ascii="Arial" w:cs="Arial" w:eastAsia="Arial" w:hAnsi="Arial"/>
          <w:sz w:val="18"/>
          <w:szCs w:val="18"/>
          <w:b w:val="1"/>
          <w:bCs w:val="1"/>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325755</wp:posOffset>
            </wp:positionV>
            <wp:extent cx="7132320" cy="14573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732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4"/>
        <w:spacing w:after="0"/>
        <w:tabs>
          <w:tab w:leader="none" w:pos="1324"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2" w:lineRule="exact"/>
        <w:rPr>
          <w:sz w:val="20"/>
          <w:szCs w:val="20"/>
          <w:color w:val="auto"/>
        </w:rPr>
      </w:pPr>
    </w:p>
    <w:p>
      <w:pPr>
        <w:ind w:left="1344" w:hanging="1344"/>
        <w:spacing w:after="0"/>
        <w:tabs>
          <w:tab w:leader="none" w:pos="13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Joint Filing Agreement among OrbiMed Advisors LLC, OrbiMed Capital LLC, and OrbiMed Capital GP VII LLC.</w:t>
      </w:r>
    </w:p>
    <w:p>
      <w:pPr>
        <w:spacing w:after="0" w:line="198" w:lineRule="exact"/>
        <w:rPr>
          <w:rFonts w:ascii="Arial" w:cs="Arial" w:eastAsia="Arial" w:hAnsi="Arial"/>
          <w:sz w:val="18"/>
          <w:szCs w:val="18"/>
          <w:color w:val="auto"/>
        </w:rPr>
      </w:pPr>
    </w:p>
    <w:p>
      <w:pPr>
        <w:ind w:left="1344" w:hanging="1344"/>
        <w:spacing w:after="0" w:line="263" w:lineRule="auto"/>
        <w:tabs>
          <w:tab w:leader="none" w:pos="13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Amended and Restated Registration Rights Agreement by and among the Issuer and each of the persons listed on Schedules A and B thereto, dated as of September 3, 2019 (incorporated by reference to Exhibit 4.2 to the Issuer’s Registration Statement on Form S-1 (SEC 333-238822), filed with the SEC on May 29, 2020).</w:t>
      </w:r>
    </w:p>
    <w:p>
      <w:pPr>
        <w:spacing w:after="0" w:line="156" w:lineRule="exact"/>
        <w:rPr>
          <w:rFonts w:ascii="Arial" w:cs="Arial" w:eastAsia="Arial" w:hAnsi="Arial"/>
          <w:sz w:val="18"/>
          <w:szCs w:val="18"/>
          <w:color w:val="auto"/>
        </w:rPr>
      </w:pPr>
    </w:p>
    <w:p>
      <w:pPr>
        <w:ind w:left="1344" w:right="420" w:hanging="1344"/>
        <w:spacing w:after="0" w:line="277" w:lineRule="auto"/>
        <w:tabs>
          <w:tab w:leader="none" w:pos="13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of Lock-Up Agreement filed as Exhibit A to Exhibit 1.1 to the Issuer’s Registration Statement on Form S-1/A (SEC 333-238822), filed with the SEC on June 15,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1180465</wp:posOffset>
            </wp:positionV>
            <wp:extent cx="713232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924"/>
          </w:cols>
          <w:pgMar w:left="436" w:top="580" w:right="5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u w:val="single" w:color="auto"/>
          <w:color w:val="auto"/>
        </w:rPr>
        <w:t>Exhibit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FILING AGREEMENT</w:t>
      </w:r>
    </w:p>
    <w:p>
      <w:pPr>
        <w:spacing w:after="0" w:line="211" w:lineRule="exact"/>
        <w:rPr>
          <w:sz w:val="20"/>
          <w:szCs w:val="20"/>
          <w:color w:val="auto"/>
        </w:rPr>
      </w:pPr>
    </w:p>
    <w:p>
      <w:pPr>
        <w:jc w:val="both"/>
        <w:ind w:firstLine="733"/>
        <w:spacing w:after="0" w:line="257" w:lineRule="auto"/>
        <w:rPr>
          <w:sz w:val="20"/>
          <w:szCs w:val="20"/>
          <w:color w:val="auto"/>
        </w:rPr>
      </w:pPr>
      <w:r>
        <w:rPr>
          <w:rFonts w:ascii="Arial" w:cs="Arial" w:eastAsia="Arial" w:hAnsi="Arial"/>
          <w:sz w:val="18"/>
          <w:szCs w:val="18"/>
          <w:color w:val="auto"/>
        </w:rPr>
        <w:t>The undersigned hereby agree that the Statement on Schedule 13D, dated June 26, 2020, with respect to the ordinary shares of Repare Therapeutics Inc. is filed on behalf of each of us pursuant to and in accordance with the provisions of Rule 13d-1(k) under the Securities Exchange Act of 1934, as amended. Each of the undersigned agrees to be responsible for the timely filing of this Statement, and for the completeness and accuracy of the information concerning itself contained therein. This Agreement may be executed in any number of counterparts, all of which taken together shall constitute one and the same instrument.</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have executed this Agreement as of the 26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June 2020.</w:t>
      </w:r>
    </w:p>
    <w:p>
      <w:pPr>
        <w:spacing w:after="0" w:line="35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ORBIMED ADVISORS LLC</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20" w:type="dxa"/>
            <w:vAlign w:val="bottom"/>
          </w:tcPr>
          <w:p>
            <w:pPr>
              <w:ind w:left="5860"/>
              <w:spacing w:after="0"/>
              <w:rPr>
                <w:sz w:val="20"/>
                <w:szCs w:val="20"/>
                <w:color w:val="auto"/>
              </w:rPr>
            </w:pPr>
            <w:r>
              <w:rPr>
                <w:rFonts w:ascii="Arial" w:cs="Arial" w:eastAsia="Arial" w:hAnsi="Arial"/>
                <w:sz w:val="18"/>
                <w:szCs w:val="18"/>
                <w:color w:val="auto"/>
              </w:rPr>
              <w:t>By:</w:t>
            </w:r>
          </w:p>
        </w:tc>
        <w:tc>
          <w:tcPr>
            <w:tcW w:w="4820" w:type="dxa"/>
            <w:vAlign w:val="bottom"/>
            <w:gridSpan w:val="2"/>
          </w:tcPr>
          <w:p>
            <w:pPr>
              <w:spacing w:after="0"/>
              <w:rPr>
                <w:sz w:val="20"/>
                <w:szCs w:val="20"/>
                <w:color w:val="auto"/>
              </w:rPr>
            </w:pPr>
            <w:r>
              <w:rPr>
                <w:rFonts w:ascii="Arial" w:cs="Arial" w:eastAsia="Arial" w:hAnsi="Arial"/>
                <w:sz w:val="18"/>
                <w:szCs w:val="18"/>
                <w:color w:val="auto"/>
              </w:rPr>
              <w:t>/s/ Carl L. Gordon</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1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Name: Carl L. Gordon</w:t>
            </w: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2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Title: Member</w:t>
            </w:r>
          </w:p>
        </w:tc>
        <w:tc>
          <w:tcPr>
            <w:tcW w:w="0" w:type="dxa"/>
            <w:vAlign w:val="bottom"/>
          </w:tcPr>
          <w:p>
            <w:pPr>
              <w:spacing w:after="0"/>
              <w:rPr>
                <w:sz w:val="1"/>
                <w:szCs w:val="1"/>
                <w:color w:val="auto"/>
              </w:rPr>
            </w:pPr>
          </w:p>
        </w:tc>
      </w:tr>
      <w:tr>
        <w:trPr>
          <w:trHeight w:val="486"/>
        </w:trPr>
        <w:tc>
          <w:tcPr>
            <w:tcW w:w="11240" w:type="dxa"/>
            <w:vAlign w:val="bottom"/>
            <w:gridSpan w:val="3"/>
          </w:tcPr>
          <w:p>
            <w:pPr>
              <w:ind w:left="5860"/>
              <w:spacing w:after="0"/>
              <w:rPr>
                <w:sz w:val="20"/>
                <w:szCs w:val="20"/>
                <w:color w:val="auto"/>
              </w:rPr>
            </w:pPr>
            <w:r>
              <w:rPr>
                <w:rFonts w:ascii="Arial" w:cs="Arial" w:eastAsia="Arial" w:hAnsi="Arial"/>
                <w:sz w:val="18"/>
                <w:szCs w:val="18"/>
                <w:color w:val="auto"/>
              </w:rPr>
              <w:t>ORBIMED CAPITAL GP VII LLC</w:t>
            </w:r>
          </w:p>
        </w:tc>
        <w:tc>
          <w:tcPr>
            <w:tcW w:w="0" w:type="dxa"/>
            <w:vAlign w:val="bottom"/>
          </w:tcPr>
          <w:p>
            <w:pPr>
              <w:spacing w:after="0"/>
              <w:rPr>
                <w:sz w:val="1"/>
                <w:szCs w:val="1"/>
                <w:color w:val="auto"/>
              </w:rPr>
            </w:pPr>
          </w:p>
        </w:tc>
      </w:tr>
      <w:tr>
        <w:trPr>
          <w:trHeight w:val="486"/>
        </w:trPr>
        <w:tc>
          <w:tcPr>
            <w:tcW w:w="6420" w:type="dxa"/>
            <w:vAlign w:val="bottom"/>
          </w:tcPr>
          <w:p>
            <w:pPr>
              <w:ind w:left="5860"/>
              <w:spacing w:after="0"/>
              <w:rPr>
                <w:sz w:val="20"/>
                <w:szCs w:val="20"/>
                <w:color w:val="auto"/>
              </w:rPr>
            </w:pPr>
            <w:r>
              <w:rPr>
                <w:rFonts w:ascii="Arial" w:cs="Arial" w:eastAsia="Arial" w:hAnsi="Arial"/>
                <w:sz w:val="18"/>
                <w:szCs w:val="18"/>
                <w:color w:val="auto"/>
              </w:rPr>
              <w:t>By:</w:t>
            </w:r>
          </w:p>
        </w:tc>
        <w:tc>
          <w:tcPr>
            <w:tcW w:w="4820" w:type="dxa"/>
            <w:vAlign w:val="bottom"/>
            <w:gridSpan w:val="2"/>
          </w:tcPr>
          <w:p>
            <w:pPr>
              <w:spacing w:after="0"/>
              <w:rPr>
                <w:sz w:val="20"/>
                <w:szCs w:val="20"/>
                <w:color w:val="auto"/>
              </w:rPr>
            </w:pPr>
            <w:r>
              <w:rPr>
                <w:rFonts w:ascii="Arial" w:cs="Arial" w:eastAsia="Arial" w:hAnsi="Arial"/>
                <w:sz w:val="18"/>
                <w:szCs w:val="18"/>
                <w:color w:val="auto"/>
              </w:rPr>
              <w:t>ORBIMED ADVISORS LLC, its managing member</w:t>
            </w:r>
          </w:p>
        </w:tc>
        <w:tc>
          <w:tcPr>
            <w:tcW w:w="0" w:type="dxa"/>
            <w:vAlign w:val="bottom"/>
          </w:tcPr>
          <w:p>
            <w:pPr>
              <w:spacing w:after="0"/>
              <w:rPr>
                <w:sz w:val="1"/>
                <w:szCs w:val="1"/>
                <w:color w:val="auto"/>
              </w:rPr>
            </w:pPr>
          </w:p>
        </w:tc>
      </w:tr>
      <w:tr>
        <w:trPr>
          <w:trHeight w:val="486"/>
        </w:trPr>
        <w:tc>
          <w:tcPr>
            <w:tcW w:w="6420" w:type="dxa"/>
            <w:vAlign w:val="bottom"/>
          </w:tcPr>
          <w:p>
            <w:pPr>
              <w:ind w:left="5860"/>
              <w:spacing w:after="0"/>
              <w:rPr>
                <w:sz w:val="20"/>
                <w:szCs w:val="20"/>
                <w:color w:val="auto"/>
              </w:rPr>
            </w:pPr>
            <w:r>
              <w:rPr>
                <w:rFonts w:ascii="Arial" w:cs="Arial" w:eastAsia="Arial" w:hAnsi="Arial"/>
                <w:sz w:val="18"/>
                <w:szCs w:val="18"/>
                <w:color w:val="auto"/>
              </w:rPr>
              <w:t>By:</w:t>
            </w:r>
          </w:p>
        </w:tc>
        <w:tc>
          <w:tcPr>
            <w:tcW w:w="4820" w:type="dxa"/>
            <w:vAlign w:val="bottom"/>
            <w:gridSpan w:val="2"/>
          </w:tcPr>
          <w:p>
            <w:pPr>
              <w:spacing w:after="0"/>
              <w:rPr>
                <w:sz w:val="20"/>
                <w:szCs w:val="20"/>
                <w:color w:val="auto"/>
              </w:rPr>
            </w:pPr>
            <w:r>
              <w:rPr>
                <w:rFonts w:ascii="Arial" w:cs="Arial" w:eastAsia="Arial" w:hAnsi="Arial"/>
                <w:sz w:val="18"/>
                <w:szCs w:val="18"/>
                <w:color w:val="auto"/>
              </w:rPr>
              <w:t>/s/ Carl L. Gordon</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1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Name: Carl L. Gordon</w:t>
            </w: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2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Title: Member of OrbiMed Advisors LLC</w:t>
            </w:r>
          </w:p>
        </w:tc>
        <w:tc>
          <w:tcPr>
            <w:tcW w:w="0" w:type="dxa"/>
            <w:vAlign w:val="bottom"/>
          </w:tcPr>
          <w:p>
            <w:pPr>
              <w:spacing w:after="0"/>
              <w:rPr>
                <w:sz w:val="1"/>
                <w:szCs w:val="1"/>
                <w:color w:val="auto"/>
              </w:rPr>
            </w:pPr>
          </w:p>
        </w:tc>
      </w:tr>
      <w:tr>
        <w:trPr>
          <w:trHeight w:val="486"/>
        </w:trPr>
        <w:tc>
          <w:tcPr>
            <w:tcW w:w="11240" w:type="dxa"/>
            <w:vAlign w:val="bottom"/>
            <w:gridSpan w:val="3"/>
          </w:tcPr>
          <w:p>
            <w:pPr>
              <w:ind w:left="5860"/>
              <w:spacing w:after="0"/>
              <w:rPr>
                <w:sz w:val="20"/>
                <w:szCs w:val="20"/>
                <w:color w:val="auto"/>
              </w:rPr>
            </w:pPr>
            <w:r>
              <w:rPr>
                <w:rFonts w:ascii="Arial" w:cs="Arial" w:eastAsia="Arial" w:hAnsi="Arial"/>
                <w:sz w:val="18"/>
                <w:szCs w:val="18"/>
                <w:color w:val="auto"/>
              </w:rPr>
              <w:t>ORBIMED CAPITAL LLC</w:t>
            </w:r>
          </w:p>
        </w:tc>
        <w:tc>
          <w:tcPr>
            <w:tcW w:w="0" w:type="dxa"/>
            <w:vAlign w:val="bottom"/>
          </w:tcPr>
          <w:p>
            <w:pPr>
              <w:spacing w:after="0"/>
              <w:rPr>
                <w:sz w:val="1"/>
                <w:szCs w:val="1"/>
                <w:color w:val="auto"/>
              </w:rPr>
            </w:pPr>
          </w:p>
        </w:tc>
      </w:tr>
      <w:tr>
        <w:trPr>
          <w:trHeight w:val="486"/>
        </w:trPr>
        <w:tc>
          <w:tcPr>
            <w:tcW w:w="6420" w:type="dxa"/>
            <w:vAlign w:val="bottom"/>
          </w:tcPr>
          <w:p>
            <w:pPr>
              <w:ind w:left="5860"/>
              <w:spacing w:after="0"/>
              <w:rPr>
                <w:sz w:val="20"/>
                <w:szCs w:val="20"/>
                <w:color w:val="auto"/>
              </w:rPr>
            </w:pPr>
            <w:r>
              <w:rPr>
                <w:rFonts w:ascii="Arial" w:cs="Arial" w:eastAsia="Arial" w:hAnsi="Arial"/>
                <w:sz w:val="18"/>
                <w:szCs w:val="18"/>
                <w:color w:val="auto"/>
              </w:rPr>
              <w:t>By:</w:t>
            </w:r>
          </w:p>
        </w:tc>
        <w:tc>
          <w:tcPr>
            <w:tcW w:w="4820" w:type="dxa"/>
            <w:vAlign w:val="bottom"/>
            <w:gridSpan w:val="2"/>
          </w:tcPr>
          <w:p>
            <w:pPr>
              <w:spacing w:after="0"/>
              <w:rPr>
                <w:sz w:val="20"/>
                <w:szCs w:val="20"/>
                <w:color w:val="auto"/>
              </w:rPr>
            </w:pPr>
            <w:r>
              <w:rPr>
                <w:rFonts w:ascii="Arial" w:cs="Arial" w:eastAsia="Arial" w:hAnsi="Arial"/>
                <w:sz w:val="18"/>
                <w:szCs w:val="18"/>
                <w:color w:val="auto"/>
              </w:rPr>
              <w:t>/s/ Carl L. Gordon</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1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Name: Carl L. Gordon</w:t>
            </w: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2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Title: Member</w:t>
            </w:r>
          </w:p>
        </w:tc>
        <w:tc>
          <w:tcPr>
            <w:tcW w:w="0" w:type="dxa"/>
            <w:vAlign w:val="bottom"/>
          </w:tcPr>
          <w:p>
            <w:pPr>
              <w:spacing w:after="0"/>
              <w:rPr>
                <w:sz w:val="1"/>
                <w:szCs w:val="1"/>
                <w:color w:val="auto"/>
              </w:rPr>
            </w:pPr>
          </w:p>
        </w:tc>
      </w:tr>
      <w:tr>
        <w:trPr>
          <w:trHeight w:val="1586"/>
        </w:trPr>
        <w:tc>
          <w:tcPr>
            <w:tcW w:w="64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lowerLetter"/>
      <w:start w:val="1"/>
    </w:lvl>
    <w:lvl w:ilvl="1">
      <w:lvlJc w:val="left"/>
      <w:lvlText w:val="(%2)"/>
      <w:numFmt w:val="lowerLetter"/>
      <w:start w:val="2"/>
    </w:lvl>
  </w:abstractNum>
  <w:abstractNum w:abstractNumId="5">
    <w:nsid w:val="515F007C"/>
    <w:multiLevelType w:val="hybridMultilevel"/>
    <w:lvl w:ilvl="0">
      <w:lvlJc w:val="left"/>
      <w:lvlText w:val="(%1)"/>
      <w:numFmt w:val="lowerRoman"/>
      <w:start w:val="1"/>
    </w:lvl>
  </w:abstractNum>
  <w:abstractNum w:abstractNumId="6">
    <w:nsid w:val="5BD062C2"/>
    <w:multiLevelType w:val="hybridMultilevel"/>
    <w:lvl w:ilvl="0">
      <w:lvlJc w:val="left"/>
      <w:lvlText w:val="(%1)"/>
      <w:numFmt w:val="lowerLetter"/>
      <w:start w:val="4"/>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2020-06-26T05:08:29Z</dcterms:created>
  <dcterms:modified xsi:type="dcterms:W3CDTF">2020-06-26T05:08:29Z</dcterms:modified>
</cp:coreProperties>
</file>