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4" w:type="dxa"/>
        <w:tblCellMar>
          <w:top w:w="0" w:type="dxa"/>
          <w:left w:w="0" w:type="dxa"/>
          <w:bottom w:w="0" w:type="dxa"/>
          <w:right w:w="0" w:type="dxa"/>
        </w:tblCellMar>
      </w:tblPr>
      <w:tr>
        <w:trPr>
          <w:trHeight w:val="230"/>
        </w:trPr>
        <w:tc>
          <w:tcPr>
            <w:tcW w:w="5620" w:type="dxa"/>
            <w:vAlign w:val="bottom"/>
          </w:tcPr>
          <w:p>
            <w:pPr>
              <w:spacing w:after="0"/>
              <w:rPr>
                <w:sz w:val="20"/>
                <w:szCs w:val="20"/>
                <w:color w:val="auto"/>
              </w:rPr>
            </w:pPr>
            <w:r>
              <w:rPr>
                <w:rFonts w:ascii="Arial" w:cs="Arial" w:eastAsia="Arial" w:hAnsi="Arial"/>
                <w:sz w:val="16"/>
                <w:szCs w:val="16"/>
                <w:color w:val="auto"/>
              </w:rPr>
              <w:t>Divakar Gupta</w:t>
            </w:r>
          </w:p>
        </w:tc>
        <w:tc>
          <w:tcPr>
            <w:tcW w:w="5400" w:type="dxa"/>
            <w:vAlign w:val="bottom"/>
          </w:tcPr>
          <w:p>
            <w:pPr>
              <w:ind w:left="4300"/>
              <w:spacing w:after="0"/>
              <w:rPr>
                <w:sz w:val="20"/>
                <w:szCs w:val="20"/>
                <w:color w:val="auto"/>
              </w:rPr>
            </w:pPr>
            <w:r>
              <w:rPr>
                <w:rFonts w:ascii="Arial" w:cs="Arial" w:eastAsia="Arial" w:hAnsi="Arial"/>
                <w:sz w:val="20"/>
                <w:szCs w:val="20"/>
                <w:color w:val="auto"/>
                <w:w w:val="99"/>
              </w:rPr>
              <w:t>VIA EDGAR</w:t>
            </w:r>
          </w:p>
        </w:tc>
      </w:tr>
      <w:tr>
        <w:trPr>
          <w:trHeight w:val="203"/>
        </w:trPr>
        <w:tc>
          <w:tcPr>
            <w:tcW w:w="5620" w:type="dxa"/>
            <w:vAlign w:val="bottom"/>
          </w:tcPr>
          <w:p>
            <w:pPr>
              <w:spacing w:after="0"/>
              <w:rPr>
                <w:sz w:val="20"/>
                <w:szCs w:val="20"/>
                <w:color w:val="auto"/>
              </w:rPr>
            </w:pPr>
            <w:r>
              <w:rPr>
                <w:rFonts w:ascii="Arial" w:cs="Arial" w:eastAsia="Arial" w:hAnsi="Arial"/>
                <w:sz w:val="16"/>
                <w:szCs w:val="16"/>
                <w:color w:val="auto"/>
              </w:rPr>
              <w:t>+1 212 479 6474</w:t>
            </w:r>
          </w:p>
        </w:tc>
        <w:tc>
          <w:tcPr>
            <w:tcW w:w="5400" w:type="dxa"/>
            <w:vAlign w:val="bottom"/>
          </w:tcPr>
          <w:p>
            <w:pPr>
              <w:spacing w:after="0"/>
              <w:rPr>
                <w:sz w:val="17"/>
                <w:szCs w:val="17"/>
                <w:color w:val="auto"/>
              </w:rPr>
            </w:pPr>
          </w:p>
        </w:tc>
      </w:tr>
      <w:tr>
        <w:trPr>
          <w:trHeight w:val="206"/>
        </w:trPr>
        <w:tc>
          <w:tcPr>
            <w:tcW w:w="5620" w:type="dxa"/>
            <w:vAlign w:val="bottom"/>
          </w:tcPr>
          <w:p>
            <w:pPr>
              <w:spacing w:after="0"/>
              <w:rPr>
                <w:sz w:val="20"/>
                <w:szCs w:val="20"/>
                <w:color w:val="auto"/>
              </w:rPr>
            </w:pPr>
            <w:r>
              <w:rPr>
                <w:rFonts w:ascii="Arial" w:cs="Arial" w:eastAsia="Arial" w:hAnsi="Arial"/>
                <w:sz w:val="16"/>
                <w:szCs w:val="16"/>
                <w:color w:val="auto"/>
              </w:rPr>
              <w:t>dgupta@cooley.com</w:t>
            </w:r>
          </w:p>
        </w:tc>
        <w:tc>
          <w:tcPr>
            <w:tcW w:w="5400" w:type="dxa"/>
            <w:vAlign w:val="bottom"/>
          </w:tcPr>
          <w:p>
            <w:pPr>
              <w:spacing w:after="0"/>
              <w:rPr>
                <w:sz w:val="17"/>
                <w:szCs w:val="17"/>
                <w:color w:val="auto"/>
              </w:rPr>
            </w:pPr>
          </w:p>
        </w:tc>
      </w:tr>
    </w:tbl>
    <w:p>
      <w:pPr>
        <w:spacing w:after="0" w:line="221"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276860</wp:posOffset>
            </wp:positionH>
            <wp:positionV relativeFrom="page">
              <wp:posOffset>157480</wp:posOffset>
            </wp:positionV>
            <wp:extent cx="1174115" cy="386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174115" cy="386080"/>
                    </a:xfrm>
                    <a:prstGeom prst="rect">
                      <a:avLst/>
                    </a:prstGeom>
                    <a:noFill/>
                  </pic:spPr>
                </pic:pic>
              </a:graphicData>
            </a:graphic>
          </wp:anchor>
        </w:drawing>
      </w:r>
    </w:p>
    <w:p>
      <w:pPr>
        <w:ind w:left="4"/>
        <w:spacing w:after="0"/>
        <w:rPr>
          <w:sz w:val="20"/>
          <w:szCs w:val="20"/>
          <w:color w:val="auto"/>
        </w:rPr>
      </w:pPr>
      <w:r>
        <w:rPr>
          <w:rFonts w:ascii="Arial" w:cs="Arial" w:eastAsia="Arial" w:hAnsi="Arial"/>
          <w:sz w:val="18"/>
          <w:szCs w:val="18"/>
          <w:color w:val="auto"/>
        </w:rPr>
        <w:t>May 29, 2020</w:t>
      </w:r>
    </w:p>
    <w:p>
      <w:pPr>
        <w:spacing w:after="0" w:line="225" w:lineRule="exact"/>
        <w:rPr>
          <w:sz w:val="24"/>
          <w:szCs w:val="24"/>
          <w:color w:val="auto"/>
        </w:rPr>
      </w:pPr>
    </w:p>
    <w:p>
      <w:pPr>
        <w:ind w:left="4"/>
        <w:spacing w:after="0"/>
        <w:rPr>
          <w:sz w:val="20"/>
          <w:szCs w:val="20"/>
          <w:color w:val="auto"/>
        </w:rPr>
      </w:pPr>
      <w:r>
        <w:rPr>
          <w:rFonts w:ascii="Arial" w:cs="Arial" w:eastAsia="Arial" w:hAnsi="Arial"/>
          <w:sz w:val="18"/>
          <w:szCs w:val="18"/>
          <w:color w:val="auto"/>
        </w:rPr>
        <w:t>U.S. Securities and Exchange Commission</w:t>
      </w:r>
    </w:p>
    <w:p>
      <w:pPr>
        <w:spacing w:after="0" w:line="23" w:lineRule="exact"/>
        <w:rPr>
          <w:sz w:val="24"/>
          <w:szCs w:val="24"/>
          <w:color w:val="auto"/>
        </w:rPr>
      </w:pPr>
    </w:p>
    <w:p>
      <w:pPr>
        <w:ind w:left="4"/>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ind w:left="4"/>
        <w:spacing w:after="0"/>
        <w:rPr>
          <w:sz w:val="20"/>
          <w:szCs w:val="20"/>
          <w:color w:val="auto"/>
        </w:rPr>
      </w:pPr>
      <w:r>
        <w:rPr>
          <w:rFonts w:ascii="Arial" w:cs="Arial" w:eastAsia="Arial" w:hAnsi="Arial"/>
          <w:sz w:val="18"/>
          <w:szCs w:val="18"/>
          <w:color w:val="auto"/>
        </w:rPr>
        <w:t>Washington, D.C. 20549</w:t>
      </w:r>
    </w:p>
    <w:p>
      <w:pPr>
        <w:spacing w:after="0" w:line="238" w:lineRule="exact"/>
        <w:rPr>
          <w:sz w:val="24"/>
          <w:szCs w:val="24"/>
          <w:color w:val="auto"/>
        </w:rPr>
      </w:pPr>
    </w:p>
    <w:p>
      <w:pPr>
        <w:ind w:left="4"/>
        <w:spacing w:after="0"/>
        <w:tabs>
          <w:tab w:leader="none" w:pos="524" w:val="left"/>
        </w:tabs>
        <w:rPr>
          <w:sz w:val="20"/>
          <w:szCs w:val="20"/>
          <w:color w:val="auto"/>
        </w:rPr>
      </w:pPr>
      <w:r>
        <w:rPr>
          <w:rFonts w:ascii="Arial" w:cs="Arial" w:eastAsia="Arial" w:hAnsi="Arial"/>
          <w:sz w:val="18"/>
          <w:szCs w:val="18"/>
          <w:color w:val="auto"/>
        </w:rPr>
        <w:t>Attn:</w:t>
      </w:r>
      <w:r>
        <w:rPr>
          <w:sz w:val="20"/>
          <w:szCs w:val="20"/>
          <w:color w:val="auto"/>
        </w:rPr>
        <w:tab/>
      </w:r>
      <w:r>
        <w:rPr>
          <w:rFonts w:ascii="Arial" w:cs="Arial" w:eastAsia="Arial" w:hAnsi="Arial"/>
          <w:sz w:val="16"/>
          <w:szCs w:val="16"/>
          <w:color w:val="auto"/>
        </w:rPr>
        <w:t>Ms. Tracey McKoy</w:t>
      </w:r>
    </w:p>
    <w:p>
      <w:pPr>
        <w:spacing w:after="0" w:line="23" w:lineRule="exact"/>
        <w:rPr>
          <w:sz w:val="24"/>
          <w:szCs w:val="24"/>
          <w:color w:val="auto"/>
        </w:rPr>
      </w:pPr>
    </w:p>
    <w:p>
      <w:pPr>
        <w:ind w:left="544"/>
        <w:spacing w:after="0"/>
        <w:rPr>
          <w:sz w:val="20"/>
          <w:szCs w:val="20"/>
          <w:color w:val="auto"/>
        </w:rPr>
      </w:pPr>
      <w:r>
        <w:rPr>
          <w:rFonts w:ascii="Arial" w:cs="Arial" w:eastAsia="Arial" w:hAnsi="Arial"/>
          <w:sz w:val="18"/>
          <w:szCs w:val="18"/>
          <w:color w:val="auto"/>
        </w:rPr>
        <w:t>Ms. Kate Tillan</w:t>
      </w:r>
    </w:p>
    <w:p>
      <w:pPr>
        <w:spacing w:after="0" w:line="9" w:lineRule="exact"/>
        <w:rPr>
          <w:sz w:val="24"/>
          <w:szCs w:val="24"/>
          <w:color w:val="auto"/>
        </w:rPr>
      </w:pPr>
    </w:p>
    <w:p>
      <w:pPr>
        <w:ind w:left="544"/>
        <w:spacing w:after="0"/>
        <w:rPr>
          <w:sz w:val="20"/>
          <w:szCs w:val="20"/>
          <w:color w:val="auto"/>
        </w:rPr>
      </w:pPr>
      <w:r>
        <w:rPr>
          <w:rFonts w:ascii="Arial" w:cs="Arial" w:eastAsia="Arial" w:hAnsi="Arial"/>
          <w:sz w:val="18"/>
          <w:szCs w:val="18"/>
          <w:color w:val="auto"/>
        </w:rPr>
        <w:t>Mr. Tim Buchmiller</w:t>
      </w:r>
    </w:p>
    <w:p>
      <w:pPr>
        <w:spacing w:after="0" w:line="9" w:lineRule="exact"/>
        <w:rPr>
          <w:sz w:val="24"/>
          <w:szCs w:val="24"/>
          <w:color w:val="auto"/>
        </w:rPr>
      </w:pPr>
    </w:p>
    <w:p>
      <w:pPr>
        <w:ind w:left="544"/>
        <w:spacing w:after="0"/>
        <w:rPr>
          <w:sz w:val="20"/>
          <w:szCs w:val="20"/>
          <w:color w:val="auto"/>
        </w:rPr>
      </w:pPr>
      <w:r>
        <w:rPr>
          <w:rFonts w:ascii="Arial" w:cs="Arial" w:eastAsia="Arial" w:hAnsi="Arial"/>
          <w:sz w:val="18"/>
          <w:szCs w:val="18"/>
          <w:color w:val="auto"/>
        </w:rPr>
        <w:t>Ms. Celeste Murphy</w:t>
      </w:r>
    </w:p>
    <w:p>
      <w:pPr>
        <w:spacing w:after="0" w:line="234" w:lineRule="exact"/>
        <w:rPr>
          <w:sz w:val="24"/>
          <w:szCs w:val="24"/>
          <w:color w:val="auto"/>
        </w:rPr>
      </w:pPr>
    </w:p>
    <w:p>
      <w:pPr>
        <w:ind w:left="4"/>
        <w:spacing w:after="0"/>
        <w:tabs>
          <w:tab w:leader="none" w:pos="524"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b w:val="1"/>
          <w:bCs w:val="1"/>
          <w:color w:val="auto"/>
        </w:rPr>
        <w:t>Repare Therapeutics Inc.</w:t>
      </w:r>
    </w:p>
    <w:p>
      <w:pPr>
        <w:spacing w:after="0" w:line="27" w:lineRule="exact"/>
        <w:rPr>
          <w:sz w:val="24"/>
          <w:szCs w:val="24"/>
          <w:color w:val="auto"/>
        </w:rPr>
      </w:pPr>
    </w:p>
    <w:p>
      <w:pPr>
        <w:ind w:left="544"/>
        <w:spacing w:after="0"/>
        <w:rPr>
          <w:sz w:val="20"/>
          <w:szCs w:val="20"/>
          <w:color w:val="auto"/>
        </w:rPr>
      </w:pPr>
      <w:r>
        <w:rPr>
          <w:rFonts w:ascii="Arial" w:cs="Arial" w:eastAsia="Arial" w:hAnsi="Arial"/>
          <w:sz w:val="18"/>
          <w:szCs w:val="18"/>
          <w:b w:val="1"/>
          <w:bCs w:val="1"/>
          <w:color w:val="auto"/>
        </w:rPr>
        <w:t>Amendment No. 1 to Draft Registration Statement on Form S-1</w:t>
      </w:r>
    </w:p>
    <w:p>
      <w:pPr>
        <w:spacing w:after="0" w:line="9" w:lineRule="exact"/>
        <w:rPr>
          <w:sz w:val="24"/>
          <w:szCs w:val="24"/>
          <w:color w:val="auto"/>
        </w:rPr>
      </w:pPr>
    </w:p>
    <w:p>
      <w:pPr>
        <w:ind w:left="544"/>
        <w:spacing w:after="0"/>
        <w:rPr>
          <w:sz w:val="20"/>
          <w:szCs w:val="20"/>
          <w:color w:val="auto"/>
        </w:rPr>
      </w:pPr>
      <w:r>
        <w:rPr>
          <w:rFonts w:ascii="Arial" w:cs="Arial" w:eastAsia="Arial" w:hAnsi="Arial"/>
          <w:sz w:val="18"/>
          <w:szCs w:val="18"/>
          <w:b w:val="1"/>
          <w:bCs w:val="1"/>
          <w:color w:val="auto"/>
        </w:rPr>
        <w:t>Submitted May 12, 2020</w:t>
      </w:r>
    </w:p>
    <w:p>
      <w:pPr>
        <w:spacing w:after="0" w:line="9" w:lineRule="exact"/>
        <w:rPr>
          <w:sz w:val="24"/>
          <w:szCs w:val="24"/>
          <w:color w:val="auto"/>
        </w:rPr>
      </w:pPr>
    </w:p>
    <w:p>
      <w:pPr>
        <w:ind w:left="544"/>
        <w:spacing w:after="0"/>
        <w:rPr>
          <w:sz w:val="20"/>
          <w:szCs w:val="20"/>
          <w:color w:val="auto"/>
        </w:rPr>
      </w:pPr>
      <w:r>
        <w:rPr>
          <w:rFonts w:ascii="Arial" w:cs="Arial" w:eastAsia="Arial" w:hAnsi="Arial"/>
          <w:sz w:val="18"/>
          <w:szCs w:val="18"/>
          <w:b w:val="1"/>
          <w:bCs w:val="1"/>
          <w:color w:val="auto"/>
        </w:rPr>
        <w:t>CIK No. 0001808158</w:t>
      </w:r>
    </w:p>
    <w:p>
      <w:pPr>
        <w:spacing w:after="0" w:line="211" w:lineRule="exact"/>
        <w:rPr>
          <w:sz w:val="24"/>
          <w:szCs w:val="24"/>
          <w:color w:val="auto"/>
        </w:rPr>
      </w:pPr>
    </w:p>
    <w:p>
      <w:pPr>
        <w:ind w:left="4"/>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ind w:left="4" w:right="200"/>
        <w:spacing w:after="0" w:line="254" w:lineRule="auto"/>
        <w:rPr>
          <w:sz w:val="20"/>
          <w:szCs w:val="20"/>
          <w:color w:val="auto"/>
        </w:rPr>
      </w:pPr>
      <w:r>
        <w:rPr>
          <w:rFonts w:ascii="Arial" w:cs="Arial" w:eastAsia="Arial" w:hAnsi="Arial"/>
          <w:sz w:val="18"/>
          <w:szCs w:val="18"/>
          <w:color w:val="auto"/>
        </w:rPr>
        <w:t>On behalf of our client, Repare Therapeutics Inc.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we are responding to the comments of the staff (the “</w:t>
      </w:r>
      <w:r>
        <w:rPr>
          <w:rFonts w:ascii="Arial" w:cs="Arial" w:eastAsia="Arial" w:hAnsi="Arial"/>
          <w:sz w:val="18"/>
          <w:szCs w:val="18"/>
          <w:b w:val="1"/>
          <w:bCs w:val="1"/>
          <w:i w:val="1"/>
          <w:iCs w:val="1"/>
          <w:color w:val="auto"/>
        </w:rPr>
        <w:t>Staff</w:t>
      </w:r>
      <w:r>
        <w:rPr>
          <w:rFonts w:ascii="Arial" w:cs="Arial" w:eastAsia="Arial" w:hAnsi="Arial"/>
          <w:sz w:val="18"/>
          <w:szCs w:val="18"/>
          <w:color w:val="auto"/>
        </w:rPr>
        <w:t>”) of the Securities and Exchange Commission (the “</w:t>
      </w:r>
      <w:r>
        <w:rPr>
          <w:rFonts w:ascii="Arial" w:cs="Arial" w:eastAsia="Arial" w:hAnsi="Arial"/>
          <w:sz w:val="18"/>
          <w:szCs w:val="18"/>
          <w:b w:val="1"/>
          <w:bCs w:val="1"/>
          <w:i w:val="1"/>
          <w:iCs w:val="1"/>
          <w:color w:val="auto"/>
        </w:rPr>
        <w:t>Commission</w:t>
      </w:r>
      <w:r>
        <w:rPr>
          <w:rFonts w:ascii="Arial" w:cs="Arial" w:eastAsia="Arial" w:hAnsi="Arial"/>
          <w:sz w:val="18"/>
          <w:szCs w:val="18"/>
          <w:color w:val="auto"/>
        </w:rPr>
        <w:t>”) contained in its letter dated May 18, 2020 (the “</w:t>
      </w:r>
      <w:r>
        <w:rPr>
          <w:rFonts w:ascii="Arial" w:cs="Arial" w:eastAsia="Arial" w:hAnsi="Arial"/>
          <w:sz w:val="18"/>
          <w:szCs w:val="18"/>
          <w:b w:val="1"/>
          <w:bCs w:val="1"/>
          <w:i w:val="1"/>
          <w:iCs w:val="1"/>
          <w:color w:val="auto"/>
        </w:rPr>
        <w:t>Comment Letter</w:t>
      </w:r>
      <w:r>
        <w:rPr>
          <w:rFonts w:ascii="Arial" w:cs="Arial" w:eastAsia="Arial" w:hAnsi="Arial"/>
          <w:sz w:val="18"/>
          <w:szCs w:val="18"/>
          <w:color w:val="auto"/>
        </w:rPr>
        <w:t>”), relating to the above referenced Amendment No. 1 to Confidential Draft Registration Statement on Form S-1 (the “</w:t>
      </w:r>
      <w:r>
        <w:rPr>
          <w:rFonts w:ascii="Arial" w:cs="Arial" w:eastAsia="Arial" w:hAnsi="Arial"/>
          <w:sz w:val="18"/>
          <w:szCs w:val="18"/>
          <w:b w:val="1"/>
          <w:bCs w:val="1"/>
          <w:i w:val="1"/>
          <w:iCs w:val="1"/>
          <w:color w:val="auto"/>
        </w:rPr>
        <w:t>Amended Draft Registration Statement</w:t>
      </w:r>
      <w:r>
        <w:rPr>
          <w:rFonts w:ascii="Arial" w:cs="Arial" w:eastAsia="Arial" w:hAnsi="Arial"/>
          <w:sz w:val="18"/>
          <w:szCs w:val="18"/>
          <w:color w:val="auto"/>
        </w:rPr>
        <w:t>”). The Company is concurrently publicly filing its Registration Statement on Form S-1 (the “</w:t>
      </w:r>
      <w:r>
        <w:rPr>
          <w:rFonts w:ascii="Arial" w:cs="Arial" w:eastAsia="Arial" w:hAnsi="Arial"/>
          <w:sz w:val="18"/>
          <w:szCs w:val="18"/>
          <w:b w:val="1"/>
          <w:bCs w:val="1"/>
          <w:i w:val="1"/>
          <w:iCs w:val="1"/>
          <w:color w:val="auto"/>
        </w:rPr>
        <w:t>Registration Statement</w:t>
      </w:r>
      <w:r>
        <w:rPr>
          <w:rFonts w:ascii="Arial" w:cs="Arial" w:eastAsia="Arial" w:hAnsi="Arial"/>
          <w:sz w:val="18"/>
          <w:szCs w:val="18"/>
          <w:color w:val="auto"/>
        </w:rPr>
        <w:t>”), which reflects changes made in response to the comments set forth in the Comment Letter (the “</w:t>
      </w:r>
      <w:r>
        <w:rPr>
          <w:rFonts w:ascii="Arial" w:cs="Arial" w:eastAsia="Arial" w:hAnsi="Arial"/>
          <w:sz w:val="18"/>
          <w:szCs w:val="18"/>
          <w:b w:val="1"/>
          <w:bCs w:val="1"/>
          <w:i w:val="1"/>
          <w:iCs w:val="1"/>
          <w:color w:val="auto"/>
        </w:rPr>
        <w:t>Comments</w:t>
      </w:r>
      <w:r>
        <w:rPr>
          <w:rFonts w:ascii="Arial" w:cs="Arial" w:eastAsia="Arial" w:hAnsi="Arial"/>
          <w:sz w:val="18"/>
          <w:szCs w:val="18"/>
          <w:color w:val="auto"/>
        </w:rPr>
        <w:t>”) and certain other changes. We are also sending a copy of this letter, along with copies of the Registration Statement in typeset format, including a version that is marked to show changes to the Amended Draft Registration Statement, to the Staff.</w:t>
      </w:r>
    </w:p>
    <w:p>
      <w:pPr>
        <w:spacing w:after="0" w:line="195" w:lineRule="exact"/>
        <w:rPr>
          <w:sz w:val="24"/>
          <w:szCs w:val="24"/>
          <w:color w:val="auto"/>
        </w:rPr>
      </w:pPr>
    </w:p>
    <w:p>
      <w:pPr>
        <w:ind w:left="4" w:right="20"/>
        <w:spacing w:after="0" w:line="259" w:lineRule="auto"/>
        <w:rPr>
          <w:sz w:val="20"/>
          <w:szCs w:val="20"/>
          <w:color w:val="auto"/>
        </w:rPr>
      </w:pPr>
      <w:r>
        <w:rPr>
          <w:rFonts w:ascii="Arial" w:cs="Arial" w:eastAsia="Arial" w:hAnsi="Arial"/>
          <w:sz w:val="18"/>
          <w:szCs w:val="18"/>
          <w:color w:val="auto"/>
        </w:rPr>
        <w:t>Set forth below are the Company’s responses to the Comments. The numbering of the paragraphs below corresponds to the numbering of the Comments, which for your convenience we have incorporated into this response letter. Page references in the text of this response letter correspond to the page numbers of the Registration Statement. Capitalized terms used in this letter but otherwise not defined herein shall have the meanings ascribed to such terms in the Registration Statement.</w:t>
      </w:r>
    </w:p>
    <w:p>
      <w:pPr>
        <w:spacing w:after="0" w:line="295" w:lineRule="exact"/>
        <w:rPr>
          <w:sz w:val="24"/>
          <w:szCs w:val="24"/>
          <w:color w:val="auto"/>
        </w:rPr>
      </w:pPr>
    </w:p>
    <w:p>
      <w:pPr>
        <w:ind w:left="4" w:right="4680"/>
        <w:spacing w:after="0" w:line="383" w:lineRule="auto"/>
        <w:rPr>
          <w:sz w:val="20"/>
          <w:szCs w:val="20"/>
          <w:color w:val="auto"/>
        </w:rPr>
      </w:pPr>
      <w:r>
        <w:rPr>
          <w:rFonts w:ascii="Arial" w:cs="Arial" w:eastAsia="Arial" w:hAnsi="Arial"/>
          <w:sz w:val="18"/>
          <w:szCs w:val="18"/>
          <w:u w:val="single" w:color="auto"/>
          <w:color w:val="auto"/>
        </w:rPr>
        <w:t>Amendment No.1 to Draft Registration Statement on Form S-1 submitted May 12, 2020 Intellectual Property, page 127</w:t>
      </w:r>
    </w:p>
    <w:p>
      <w:pPr>
        <w:spacing w:after="0" w:line="1" w:lineRule="exact"/>
        <w:rPr>
          <w:sz w:val="24"/>
          <w:szCs w:val="24"/>
          <w:color w:val="auto"/>
        </w:rPr>
      </w:pPr>
    </w:p>
    <w:p>
      <w:pPr>
        <w:ind w:left="544" w:right="20" w:hanging="544"/>
        <w:spacing w:after="0" w:line="277" w:lineRule="auto"/>
        <w:tabs>
          <w:tab w:leader="none" w:pos="544" w:val="left"/>
        </w:tabs>
        <w:numPr>
          <w:ilvl w:val="0"/>
          <w:numId w:val="1"/>
        </w:numPr>
        <w:rPr>
          <w:rFonts w:ascii="Arial" w:cs="Arial" w:eastAsia="Arial" w:hAnsi="Arial"/>
          <w:sz w:val="18"/>
          <w:szCs w:val="18"/>
          <w:color w:val="auto"/>
        </w:rPr>
      </w:pPr>
      <w:r>
        <w:rPr>
          <w:rFonts w:ascii="Arial" w:cs="Arial" w:eastAsia="Arial" w:hAnsi="Arial"/>
          <w:sz w:val="18"/>
          <w:szCs w:val="18"/>
          <w:color w:val="auto"/>
        </w:rPr>
        <w:t>We note your response to prior comment 11. As indicated in your response, please revise your disclosure to clarify that the SL pairs that you may identify would not be patent-eligible.</w:t>
      </w:r>
    </w:p>
    <w:p>
      <w:pPr>
        <w:sectPr>
          <w:pgSz w:w="11900" w:h="16838" w:orient="portrait"/>
          <w:cols w:equalWidth="0" w:num="1">
            <w:col w:w="11024"/>
          </w:cols>
          <w:pgMar w:left="436" w:top="1061" w:right="439" w:bottom="1440" w:gutter="0" w:footer="0" w:header="0"/>
        </w:sectPr>
      </w:pPr>
    </w:p>
    <w:bookmarkStart w:id="1" w:name="page2"/>
    <w:bookmarkEnd w:id="1"/>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183515</wp:posOffset>
            </wp:positionV>
            <wp:extent cx="1174115" cy="386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1174115" cy="386080"/>
                    </a:xfrm>
                    <a:prstGeom prst="rect">
                      <a:avLst/>
                    </a:prstGeom>
                    <a:noFill/>
                  </pic:spPr>
                </pic:pic>
              </a:graphicData>
            </a:graphic>
          </wp:anchor>
        </w:drawing>
        <w:t>May 29, 2020</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Page 2</w:t>
      </w:r>
    </w:p>
    <w:p>
      <w:pPr>
        <w:spacing w:after="0" w:line="234" w:lineRule="exact"/>
        <w:rPr>
          <w:sz w:val="20"/>
          <w:szCs w:val="20"/>
          <w:color w:val="auto"/>
        </w:rPr>
      </w:pPr>
    </w:p>
    <w:p>
      <w:pPr>
        <w:ind w:left="544"/>
        <w:spacing w:after="0"/>
        <w:rPr>
          <w:sz w:val="20"/>
          <w:szCs w:val="20"/>
          <w:color w:val="auto"/>
        </w:rPr>
      </w:pPr>
      <w:r>
        <w:rPr>
          <w:rFonts w:ascii="Arial" w:cs="Arial" w:eastAsia="Arial" w:hAnsi="Arial"/>
          <w:sz w:val="18"/>
          <w:szCs w:val="18"/>
          <w:b w:val="1"/>
          <w:bCs w:val="1"/>
          <w:u w:val="single" w:color="auto"/>
          <w:color w:val="auto"/>
        </w:rPr>
        <w:t>Response to Comment 1</w:t>
      </w:r>
      <w:r>
        <w:rPr>
          <w:rFonts w:ascii="Arial" w:cs="Arial" w:eastAsia="Arial" w:hAnsi="Arial"/>
          <w:sz w:val="18"/>
          <w:szCs w:val="18"/>
          <w:color w:val="auto"/>
        </w:rPr>
        <w:t>:</w:t>
      </w:r>
    </w:p>
    <w:p>
      <w:pPr>
        <w:spacing w:after="0" w:line="117" w:lineRule="exact"/>
        <w:rPr>
          <w:sz w:val="20"/>
          <w:szCs w:val="20"/>
          <w:color w:val="auto"/>
        </w:rPr>
      </w:pPr>
    </w:p>
    <w:p>
      <w:pPr>
        <w:ind w:left="544"/>
        <w:spacing w:after="0"/>
        <w:rPr>
          <w:sz w:val="20"/>
          <w:szCs w:val="20"/>
          <w:color w:val="auto"/>
        </w:rPr>
      </w:pPr>
      <w:r>
        <w:rPr>
          <w:rFonts w:ascii="Arial" w:cs="Arial" w:eastAsia="Arial" w:hAnsi="Arial"/>
          <w:sz w:val="18"/>
          <w:szCs w:val="18"/>
          <w:b w:val="1"/>
          <w:bCs w:val="1"/>
          <w:color w:val="auto"/>
        </w:rPr>
        <w:t>In response to the Staff’s comment, the Company has revised the disclosure on page 54 of the Registration Statement.</w:t>
      </w:r>
    </w:p>
    <w:p>
      <w:pPr>
        <w:spacing w:after="0" w:line="337" w:lineRule="exact"/>
        <w:rPr>
          <w:sz w:val="20"/>
          <w:szCs w:val="20"/>
          <w:color w:val="auto"/>
        </w:rPr>
      </w:pPr>
    </w:p>
    <w:p>
      <w:pPr>
        <w:ind w:left="4"/>
        <w:spacing w:after="0"/>
        <w:rPr>
          <w:sz w:val="20"/>
          <w:szCs w:val="20"/>
          <w:color w:val="auto"/>
        </w:rPr>
      </w:pPr>
      <w:r>
        <w:rPr>
          <w:rFonts w:ascii="Arial" w:cs="Arial" w:eastAsia="Arial" w:hAnsi="Arial"/>
          <w:sz w:val="18"/>
          <w:szCs w:val="18"/>
          <w:u w:val="single" w:color="auto"/>
          <w:color w:val="auto"/>
        </w:rPr>
        <w:t>Principal Shareholders, page 172</w:t>
      </w:r>
    </w:p>
    <w:p>
      <w:pPr>
        <w:spacing w:after="0" w:line="131" w:lineRule="exact"/>
        <w:rPr>
          <w:sz w:val="20"/>
          <w:szCs w:val="20"/>
          <w:color w:val="auto"/>
        </w:rPr>
      </w:pPr>
    </w:p>
    <w:p>
      <w:pPr>
        <w:ind w:left="544" w:hanging="544"/>
        <w:spacing w:after="0" w:line="259" w:lineRule="auto"/>
        <w:tabs>
          <w:tab w:leader="none" w:pos="544"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note your disclosure in footnote 2 that Todd Foley may, collectively with the other members of such entities, be deemed to share voting and investment power with respect to the shares held by each of the MPM Entities. Please ensure that you have identified all natural persons who have or share beneficial ownership of the securities held by each of the MPM Entities. Please also expand your disclosure in footnotes 4 and 5 to provide the disclosure requested by prior comment 15.</w:t>
      </w:r>
    </w:p>
    <w:p>
      <w:pPr>
        <w:spacing w:after="0" w:line="74" w:lineRule="exact"/>
        <w:rPr>
          <w:rFonts w:ascii="Arial" w:cs="Arial" w:eastAsia="Arial" w:hAnsi="Arial"/>
          <w:sz w:val="18"/>
          <w:szCs w:val="18"/>
          <w:color w:val="auto"/>
        </w:rPr>
      </w:pPr>
    </w:p>
    <w:p>
      <w:pPr>
        <w:ind w:left="544"/>
        <w:spacing w:after="0"/>
        <w:rPr>
          <w:rFonts w:ascii="Arial" w:cs="Arial" w:eastAsia="Arial" w:hAnsi="Arial"/>
          <w:sz w:val="18"/>
          <w:szCs w:val="18"/>
          <w:color w:val="auto"/>
        </w:rPr>
      </w:pPr>
      <w:r>
        <w:rPr>
          <w:rFonts w:ascii="Arial" w:cs="Arial" w:eastAsia="Arial" w:hAnsi="Arial"/>
          <w:sz w:val="18"/>
          <w:szCs w:val="18"/>
          <w:b w:val="1"/>
          <w:bCs w:val="1"/>
          <w:u w:val="single" w:color="auto"/>
          <w:color w:val="auto"/>
        </w:rPr>
        <w:t>Response to Comment 2</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544"/>
        <w:spacing w:after="0"/>
        <w:rPr>
          <w:rFonts w:ascii="Arial" w:cs="Arial" w:eastAsia="Arial" w:hAnsi="Arial"/>
          <w:sz w:val="18"/>
          <w:szCs w:val="18"/>
          <w:color w:val="auto"/>
        </w:rPr>
      </w:pPr>
      <w:r>
        <w:rPr>
          <w:rFonts w:ascii="Arial" w:cs="Arial" w:eastAsia="Arial" w:hAnsi="Arial"/>
          <w:sz w:val="18"/>
          <w:szCs w:val="18"/>
          <w:b w:val="1"/>
          <w:bCs w:val="1"/>
          <w:color w:val="auto"/>
        </w:rPr>
        <w:t>In response to the Staff’s comment, the Company has revised the disclosure on page 180 of the Registration Statement.</w:t>
      </w:r>
    </w:p>
    <w:p>
      <w:pPr>
        <w:spacing w:after="0" w:line="229" w:lineRule="exact"/>
        <w:rPr>
          <w:rFonts w:ascii="Arial" w:cs="Arial" w:eastAsia="Arial" w:hAnsi="Arial"/>
          <w:sz w:val="18"/>
          <w:szCs w:val="18"/>
          <w:color w:val="auto"/>
        </w:rPr>
      </w:pPr>
    </w:p>
    <w:p>
      <w:pPr>
        <w:ind w:left="5064"/>
        <w:spacing w:after="0"/>
        <w:rPr>
          <w:rFonts w:ascii="Arial" w:cs="Arial" w:eastAsia="Arial" w:hAnsi="Arial"/>
          <w:sz w:val="18"/>
          <w:szCs w:val="18"/>
          <w:color w:val="auto"/>
        </w:rPr>
      </w:pPr>
      <w:r>
        <w:rPr>
          <w:rFonts w:ascii="Arial" w:cs="Arial" w:eastAsia="Arial" w:hAnsi="Arial"/>
          <w:sz w:val="18"/>
          <w:szCs w:val="18"/>
          <w:color w:val="auto"/>
        </w:rPr>
        <w:t>*  *  *  *</w:t>
      </w:r>
    </w:p>
    <w:p>
      <w:pPr>
        <w:sectPr>
          <w:pgSz w:w="11900" w:h="16838" w:orient="portrait"/>
          <w:cols w:equalWidth="0" w:num="1">
            <w:col w:w="10964"/>
          </w:cols>
          <w:pgMar w:left="436" w:top="1097" w:right="499" w:bottom="1440" w:gutter="0" w:footer="0" w:header="0"/>
        </w:sectPr>
      </w:pPr>
    </w:p>
    <w:bookmarkStart w:id="2" w:name="page3"/>
    <w:bookmarkEnd w:id="2"/>
    <w:p>
      <w:pPr>
        <w:ind w:left="4"/>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182880</wp:posOffset>
            </wp:positionV>
            <wp:extent cx="1174115" cy="386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174115" cy="386080"/>
                    </a:xfrm>
                    <a:prstGeom prst="rect">
                      <a:avLst/>
                    </a:prstGeom>
                    <a:noFill/>
                  </pic:spPr>
                </pic:pic>
              </a:graphicData>
            </a:graphic>
          </wp:anchor>
        </w:drawing>
        <w:t>May 29, 2020</w:t>
      </w:r>
    </w:p>
    <w:p>
      <w:pPr>
        <w:spacing w:after="0" w:line="23" w:lineRule="exact"/>
        <w:rPr>
          <w:sz w:val="20"/>
          <w:szCs w:val="20"/>
          <w:color w:val="auto"/>
        </w:rPr>
      </w:pPr>
    </w:p>
    <w:p>
      <w:pPr>
        <w:ind w:left="4"/>
        <w:spacing w:after="0"/>
        <w:rPr>
          <w:sz w:val="20"/>
          <w:szCs w:val="20"/>
          <w:color w:val="auto"/>
        </w:rPr>
      </w:pPr>
      <w:r>
        <w:rPr>
          <w:rFonts w:ascii="Arial" w:cs="Arial" w:eastAsia="Arial" w:hAnsi="Arial"/>
          <w:sz w:val="18"/>
          <w:szCs w:val="18"/>
          <w:color w:val="auto"/>
        </w:rPr>
        <w:t>Page 3</w:t>
      </w:r>
    </w:p>
    <w:p>
      <w:pPr>
        <w:spacing w:after="0" w:line="238" w:lineRule="exact"/>
        <w:rPr>
          <w:sz w:val="20"/>
          <w:szCs w:val="20"/>
          <w:color w:val="auto"/>
        </w:rPr>
      </w:pPr>
    </w:p>
    <w:p>
      <w:pPr>
        <w:ind w:left="4"/>
        <w:spacing w:after="0" w:line="277" w:lineRule="auto"/>
        <w:rPr>
          <w:sz w:val="20"/>
          <w:szCs w:val="20"/>
          <w:color w:val="auto"/>
        </w:rPr>
      </w:pPr>
      <w:r>
        <w:rPr>
          <w:rFonts w:ascii="Arial" w:cs="Arial" w:eastAsia="Arial" w:hAnsi="Arial"/>
          <w:sz w:val="18"/>
          <w:szCs w:val="18"/>
          <w:color w:val="auto"/>
        </w:rPr>
        <w:t>Please direct any questions or further comments concerning the Registration Statement or this response letter to either the undersigned at +1 212 479 6474 or Courtney Thorne of Cooley LLP at +1 617 937 2318.</w:t>
      </w:r>
    </w:p>
    <w:p>
      <w:pPr>
        <w:spacing w:after="0" w:line="170" w:lineRule="exact"/>
        <w:rPr>
          <w:sz w:val="20"/>
          <w:szCs w:val="20"/>
          <w:color w:val="auto"/>
        </w:rPr>
      </w:pPr>
    </w:p>
    <w:p>
      <w:pPr>
        <w:ind w:left="5964"/>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964"/>
        <w:spacing w:after="0"/>
        <w:rPr>
          <w:sz w:val="20"/>
          <w:szCs w:val="20"/>
          <w:color w:val="auto"/>
        </w:rPr>
      </w:pPr>
      <w:r>
        <w:rPr>
          <w:rFonts w:ascii="Arial" w:cs="Arial" w:eastAsia="Arial" w:hAnsi="Arial"/>
          <w:sz w:val="18"/>
          <w:szCs w:val="18"/>
          <w:color w:val="auto"/>
        </w:rPr>
        <w:t>/s/ Divakar Gupta</w:t>
      </w:r>
    </w:p>
    <w:p>
      <w:pPr>
        <w:spacing w:after="0" w:line="225" w:lineRule="exact"/>
        <w:rPr>
          <w:sz w:val="20"/>
          <w:szCs w:val="20"/>
          <w:color w:val="auto"/>
        </w:rPr>
      </w:pPr>
    </w:p>
    <w:p>
      <w:pPr>
        <w:ind w:left="5964"/>
        <w:spacing w:after="0"/>
        <w:rPr>
          <w:sz w:val="20"/>
          <w:szCs w:val="20"/>
          <w:color w:val="auto"/>
        </w:rPr>
      </w:pPr>
      <w:r>
        <w:rPr>
          <w:rFonts w:ascii="Arial" w:cs="Arial" w:eastAsia="Arial" w:hAnsi="Arial"/>
          <w:sz w:val="18"/>
          <w:szCs w:val="18"/>
          <w:color w:val="auto"/>
        </w:rPr>
        <w:t>Divakar Gupta</w:t>
      </w:r>
    </w:p>
    <w:p>
      <w:pPr>
        <w:spacing w:after="0" w:line="252" w:lineRule="exact"/>
        <w:rPr>
          <w:sz w:val="20"/>
          <w:szCs w:val="20"/>
          <w:color w:val="auto"/>
        </w:rPr>
      </w:pPr>
    </w:p>
    <w:p>
      <w:pPr>
        <w:ind w:left="544" w:right="7160" w:hanging="544"/>
        <w:spacing w:after="0" w:line="271" w:lineRule="auto"/>
        <w:tabs>
          <w:tab w:leader="none" w:pos="544" w:val="left"/>
        </w:tabs>
        <w:numPr>
          <w:ilvl w:val="0"/>
          <w:numId w:val="3"/>
        </w:numPr>
        <w:rPr>
          <w:rFonts w:ascii="Arial" w:cs="Arial" w:eastAsia="Arial" w:hAnsi="Arial"/>
          <w:sz w:val="17"/>
          <w:szCs w:val="17"/>
          <w:color w:val="auto"/>
        </w:rPr>
      </w:pPr>
      <w:r>
        <w:rPr>
          <w:rFonts w:ascii="Arial" w:cs="Arial" w:eastAsia="Arial" w:hAnsi="Arial"/>
          <w:sz w:val="17"/>
          <w:szCs w:val="17"/>
          <w:color w:val="auto"/>
        </w:rPr>
        <w:t>Lloyd M. Segal, Repare Therapeutics Inc. Steve Forte, Repare Therapeutics Inc. Marc A. Recht, Cooley LLP</w:t>
      </w:r>
    </w:p>
    <w:p>
      <w:pPr>
        <w:ind w:left="544" w:right="7160"/>
        <w:spacing w:after="0" w:line="273" w:lineRule="auto"/>
        <w:rPr>
          <w:rFonts w:ascii="Arial" w:cs="Arial" w:eastAsia="Arial" w:hAnsi="Arial"/>
          <w:sz w:val="17"/>
          <w:szCs w:val="17"/>
          <w:color w:val="auto"/>
        </w:rPr>
      </w:pPr>
      <w:r>
        <w:rPr>
          <w:rFonts w:ascii="Arial" w:cs="Arial" w:eastAsia="Arial" w:hAnsi="Arial"/>
          <w:sz w:val="17"/>
          <w:szCs w:val="17"/>
          <w:color w:val="auto"/>
        </w:rPr>
        <w:t>Ryan S. Sansom, Cooley LLP Courtney T. Thorne, Cooley LLP Mitchell S. Bloom, Goodwin Procter LLP Seo Salimi, Goodwin Procter LLP</w:t>
      </w:r>
    </w:p>
    <w:sectPr>
      <w:pgSz w:w="11900" w:h="16838" w:orient="portrait"/>
      <w:cols w:equalWidth="0" w:num="1">
        <w:col w:w="10724"/>
      </w:cols>
      <w:pgMar w:left="436" w:top="1097" w:right="7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2"/>
    </w:lvl>
    <w:lvl w:ilvl="1">
      <w:lvlJc w:val="left"/>
      <w:lvlText w:val="*"/>
      <w:numFmt w:val="bullet"/>
      <w:start w:val="1"/>
    </w:lvl>
  </w:abstractNum>
  <w:abstractNum w:abstractNumId="2">
    <w:nsid w:val="19495CFF"/>
    <w:multiLevelType w:val="hybridMultilevel"/>
    <w:lvl w:ilvl="0">
      <w:lvlJc w:val="left"/>
      <w:lvlText w:val="%1:"/>
      <w:numFmt w:val="lowerLetter"/>
      <w:start w:val="29"/>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2021-08-15T20:31:26Z</dcterms:created>
  <dcterms:modified xsi:type="dcterms:W3CDTF">2021-08-15T20:31:26Z</dcterms:modified>
</cp:coreProperties>
</file>