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May 29, 2020.</w:t>
      </w:r>
    </w:p>
    <w:p>
      <w:pPr>
        <w:spacing w:after="0" w:line="4" w:lineRule="exact"/>
        <w:rPr>
          <w:sz w:val="24"/>
          <w:szCs w:val="24"/>
          <w:color w:val="auto"/>
        </w:rPr>
      </w:pPr>
    </w:p>
    <w:p>
      <w:pPr>
        <w:ind w:left="95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133350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125730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Repare Therapeutics Inc.</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135255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79"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2860" w:type="dxa"/>
            <w:vAlign w:val="bottom"/>
          </w:tcPr>
          <w:p>
            <w:pPr>
              <w:jc w:val="center"/>
              <w:ind w:right="908"/>
              <w:spacing w:after="0"/>
              <w:rPr>
                <w:sz w:val="20"/>
                <w:szCs w:val="20"/>
                <w:color w:val="auto"/>
              </w:rPr>
            </w:pPr>
            <w:r>
              <w:rPr>
                <w:rFonts w:ascii="Arial" w:cs="Arial" w:eastAsia="Arial" w:hAnsi="Arial"/>
                <w:sz w:val="14"/>
                <w:szCs w:val="14"/>
                <w:b w:val="1"/>
                <w:bCs w:val="1"/>
                <w:color w:val="auto"/>
                <w:w w:val="95"/>
              </w:rPr>
              <w:t>Canada (Federal)</w:t>
            </w:r>
          </w:p>
        </w:tc>
        <w:tc>
          <w:tcPr>
            <w:tcW w:w="3860" w:type="dxa"/>
            <w:vAlign w:val="bottom"/>
          </w:tcPr>
          <w:p>
            <w:pPr>
              <w:jc w:val="center"/>
              <w:spacing w:after="0"/>
              <w:rPr>
                <w:sz w:val="20"/>
                <w:szCs w:val="20"/>
                <w:color w:val="auto"/>
              </w:rPr>
            </w:pPr>
            <w:r>
              <w:rPr>
                <w:rFonts w:ascii="Arial" w:cs="Arial" w:eastAsia="Arial" w:hAnsi="Arial"/>
                <w:sz w:val="14"/>
                <w:szCs w:val="14"/>
                <w:b w:val="1"/>
                <w:bCs w:val="1"/>
                <w:color w:val="auto"/>
                <w:w w:val="89"/>
              </w:rPr>
              <w:t>2834</w:t>
            </w:r>
          </w:p>
        </w:tc>
        <w:tc>
          <w:tcPr>
            <w:tcW w:w="2460" w:type="dxa"/>
            <w:vAlign w:val="bottom"/>
          </w:tcPr>
          <w:p>
            <w:pPr>
              <w:jc w:val="center"/>
              <w:ind w:left="968"/>
              <w:spacing w:after="0"/>
              <w:rPr>
                <w:sz w:val="20"/>
                <w:szCs w:val="20"/>
                <w:color w:val="auto"/>
              </w:rPr>
            </w:pPr>
            <w:r>
              <w:rPr>
                <w:rFonts w:ascii="Arial" w:cs="Arial" w:eastAsia="Arial" w:hAnsi="Arial"/>
                <w:sz w:val="14"/>
                <w:szCs w:val="14"/>
                <w:b w:val="1"/>
                <w:bCs w:val="1"/>
                <w:color w:val="auto"/>
                <w:w w:val="94"/>
              </w:rPr>
              <w:t>Not applicable</w:t>
            </w:r>
          </w:p>
        </w:tc>
      </w:tr>
      <w:tr>
        <w:trPr>
          <w:trHeight w:val="149"/>
        </w:trPr>
        <w:tc>
          <w:tcPr>
            <w:tcW w:w="286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460" w:type="dxa"/>
            <w:vAlign w:val="bottom"/>
          </w:tcPr>
          <w:p>
            <w:pPr>
              <w:jc w:val="center"/>
              <w:ind w:left="94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908"/>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460" w:type="dxa"/>
            <w:vAlign w:val="bottom"/>
          </w:tcPr>
          <w:p>
            <w:pPr>
              <w:jc w:val="center"/>
              <w:ind w:left="96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127635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7210 Frederick-Banting, Suite 100</w:t>
      </w:r>
    </w:p>
    <w:p>
      <w:pPr>
        <w:jc w:val="center"/>
        <w:spacing w:after="0" w:line="226" w:lineRule="auto"/>
        <w:rPr>
          <w:sz w:val="20"/>
          <w:szCs w:val="20"/>
          <w:color w:val="auto"/>
        </w:rPr>
      </w:pPr>
      <w:r>
        <w:rPr>
          <w:rFonts w:ascii="Arial" w:cs="Arial" w:eastAsia="Arial" w:hAnsi="Arial"/>
          <w:sz w:val="14"/>
          <w:szCs w:val="14"/>
          <w:b w:val="1"/>
          <w:bCs w:val="1"/>
          <w:color w:val="auto"/>
        </w:rPr>
        <w:t>St-Laurent, Québec, Canada H4S 2A1</w:t>
      </w:r>
    </w:p>
    <w:p>
      <w:pPr>
        <w:jc w:val="center"/>
        <w:spacing w:after="0" w:line="221" w:lineRule="auto"/>
        <w:rPr>
          <w:sz w:val="20"/>
          <w:szCs w:val="20"/>
          <w:color w:val="auto"/>
        </w:rPr>
      </w:pPr>
      <w:r>
        <w:rPr>
          <w:rFonts w:ascii="Arial" w:cs="Arial" w:eastAsia="Arial" w:hAnsi="Arial"/>
          <w:sz w:val="14"/>
          <w:szCs w:val="14"/>
          <w:b w:val="1"/>
          <w:bCs w:val="1"/>
          <w:color w:val="auto"/>
        </w:rPr>
        <w:t>(857) 412-7018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Lloyd M. Segal</w:t>
      </w:r>
    </w:p>
    <w:p>
      <w:pPr>
        <w:jc w:val="center"/>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spacing w:after="0" w:line="221" w:lineRule="auto"/>
        <w:rPr>
          <w:sz w:val="20"/>
          <w:szCs w:val="20"/>
          <w:color w:val="auto"/>
        </w:rPr>
      </w:pPr>
      <w:r>
        <w:rPr>
          <w:rFonts w:ascii="Arial" w:cs="Arial" w:eastAsia="Arial" w:hAnsi="Arial"/>
          <w:sz w:val="14"/>
          <w:szCs w:val="14"/>
          <w:b w:val="1"/>
          <w:bCs w:val="1"/>
          <w:color w:val="auto"/>
        </w:rPr>
        <w:t>Repare Therapeutics Inc.</w:t>
      </w:r>
    </w:p>
    <w:p>
      <w:pPr>
        <w:jc w:val="center"/>
        <w:spacing w:after="0" w:line="222" w:lineRule="auto"/>
        <w:rPr>
          <w:sz w:val="20"/>
          <w:szCs w:val="20"/>
          <w:color w:val="auto"/>
        </w:rPr>
      </w:pPr>
      <w:r>
        <w:rPr>
          <w:rFonts w:ascii="Arial" w:cs="Arial" w:eastAsia="Arial" w:hAnsi="Arial"/>
          <w:sz w:val="14"/>
          <w:szCs w:val="14"/>
          <w:b w:val="1"/>
          <w:bCs w:val="1"/>
          <w:color w:val="auto"/>
        </w:rPr>
        <w:t>1 Broadway, 15th Floor</w:t>
      </w:r>
    </w:p>
    <w:p>
      <w:pPr>
        <w:jc w:val="center"/>
        <w:spacing w:after="0" w:line="221" w:lineRule="auto"/>
        <w:rPr>
          <w:sz w:val="20"/>
          <w:szCs w:val="20"/>
          <w:color w:val="auto"/>
        </w:rPr>
      </w:pPr>
      <w:r>
        <w:rPr>
          <w:rFonts w:ascii="Arial" w:cs="Arial" w:eastAsia="Arial" w:hAnsi="Arial"/>
          <w:sz w:val="14"/>
          <w:szCs w:val="14"/>
          <w:b w:val="1"/>
          <w:bCs w:val="1"/>
          <w:color w:val="auto"/>
        </w:rPr>
        <w:t>Cambridge, MA 02142</w:t>
      </w:r>
    </w:p>
    <w:p>
      <w:pPr>
        <w:jc w:val="center"/>
        <w:spacing w:after="0" w:line="222" w:lineRule="auto"/>
        <w:rPr>
          <w:sz w:val="20"/>
          <w:szCs w:val="20"/>
          <w:color w:val="auto"/>
        </w:rPr>
      </w:pPr>
      <w:r>
        <w:rPr>
          <w:rFonts w:ascii="Arial" w:cs="Arial" w:eastAsia="Arial" w:hAnsi="Arial"/>
          <w:sz w:val="14"/>
          <w:szCs w:val="14"/>
          <w:b w:val="1"/>
          <w:bCs w:val="1"/>
          <w:color w:val="auto"/>
        </w:rPr>
        <w:t>(857) 412-7018</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26" w:lineRule="exact"/>
        <w:rPr>
          <w:sz w:val="24"/>
          <w:szCs w:val="24"/>
          <w:color w:val="auto"/>
        </w:rPr>
      </w:pPr>
    </w:p>
    <w:tbl>
      <w:tblPr>
        <w:tblLayout w:type="fixed"/>
        <w:tblInd w:w="960" w:type="dxa"/>
        <w:tblCellMar>
          <w:top w:w="0" w:type="dxa"/>
          <w:left w:w="0" w:type="dxa"/>
          <w:bottom w:w="0" w:type="dxa"/>
          <w:right w:w="0" w:type="dxa"/>
        </w:tblCellMar>
      </w:tblPr>
      <w:tr>
        <w:trPr>
          <w:trHeight w:val="182"/>
        </w:trPr>
        <w:tc>
          <w:tcPr>
            <w:tcW w:w="2780" w:type="dxa"/>
            <w:vAlign w:val="bottom"/>
          </w:tcPr>
          <w:p>
            <w:pPr>
              <w:spacing w:after="0"/>
              <w:rPr>
                <w:sz w:val="15"/>
                <w:szCs w:val="15"/>
                <w:color w:val="auto"/>
              </w:rPr>
            </w:pPr>
          </w:p>
        </w:tc>
        <w:tc>
          <w:tcPr>
            <w:tcW w:w="4080" w:type="dxa"/>
            <w:vAlign w:val="bottom"/>
          </w:tcPr>
          <w:p>
            <w:pPr>
              <w:ind w:left="1580"/>
              <w:spacing w:after="0"/>
              <w:rPr>
                <w:sz w:val="20"/>
                <w:szCs w:val="20"/>
                <w:color w:val="auto"/>
              </w:rPr>
            </w:pPr>
            <w:r>
              <w:rPr>
                <w:rFonts w:ascii="Arial" w:cs="Arial" w:eastAsia="Arial" w:hAnsi="Arial"/>
                <w:sz w:val="14"/>
                <w:szCs w:val="14"/>
                <w:b w:val="1"/>
                <w:bCs w:val="1"/>
                <w:i w:val="1"/>
                <w:iCs w:val="1"/>
                <w:color w:val="auto"/>
              </w:rPr>
              <w:t>Copies to:</w:t>
            </w:r>
          </w:p>
        </w:tc>
        <w:tc>
          <w:tcPr>
            <w:tcW w:w="2300" w:type="dxa"/>
            <w:vAlign w:val="bottom"/>
          </w:tcPr>
          <w:p>
            <w:pPr>
              <w:spacing w:after="0"/>
              <w:rPr>
                <w:sz w:val="15"/>
                <w:szCs w:val="15"/>
                <w:color w:val="auto"/>
              </w:rPr>
            </w:pPr>
          </w:p>
        </w:tc>
      </w:tr>
      <w:tr>
        <w:trPr>
          <w:trHeight w:val="192"/>
        </w:trPr>
        <w:tc>
          <w:tcPr>
            <w:tcW w:w="2780" w:type="dxa"/>
            <w:vAlign w:val="bottom"/>
          </w:tcPr>
          <w:p>
            <w:pPr>
              <w:jc w:val="center"/>
              <w:ind w:right="808"/>
              <w:spacing w:after="0"/>
              <w:rPr>
                <w:sz w:val="20"/>
                <w:szCs w:val="20"/>
                <w:color w:val="auto"/>
              </w:rPr>
            </w:pPr>
            <w:r>
              <w:rPr>
                <w:rFonts w:ascii="Arial" w:cs="Arial" w:eastAsia="Arial" w:hAnsi="Arial"/>
                <w:sz w:val="14"/>
                <w:szCs w:val="14"/>
                <w:b w:val="1"/>
                <w:bCs w:val="1"/>
                <w:color w:val="auto"/>
                <w:w w:val="98"/>
              </w:rPr>
              <w:t>Divakar Gupta</w:t>
            </w:r>
          </w:p>
        </w:tc>
        <w:tc>
          <w:tcPr>
            <w:tcW w:w="408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Robert Carelli</w:t>
            </w:r>
          </w:p>
        </w:tc>
        <w:tc>
          <w:tcPr>
            <w:tcW w:w="2300" w:type="dxa"/>
            <w:vAlign w:val="bottom"/>
          </w:tcPr>
          <w:p>
            <w:pPr>
              <w:jc w:val="center"/>
              <w:ind w:left="888"/>
              <w:spacing w:after="0"/>
              <w:rPr>
                <w:sz w:val="20"/>
                <w:szCs w:val="20"/>
                <w:color w:val="auto"/>
              </w:rPr>
            </w:pPr>
            <w:r>
              <w:rPr>
                <w:rFonts w:ascii="Arial" w:cs="Arial" w:eastAsia="Arial" w:hAnsi="Arial"/>
                <w:sz w:val="14"/>
                <w:szCs w:val="14"/>
                <w:b w:val="1"/>
                <w:bCs w:val="1"/>
                <w:color w:val="auto"/>
                <w:w w:val="94"/>
              </w:rPr>
              <w:t>Mitchell S. Bloom</w:t>
            </w:r>
          </w:p>
        </w:tc>
      </w:tr>
      <w:tr>
        <w:trPr>
          <w:trHeight w:val="148"/>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89"/>
              </w:rPr>
              <w:t>Ryan S. Sansom</w:t>
            </w:r>
          </w:p>
        </w:tc>
        <w:tc>
          <w:tcPr>
            <w:tcW w:w="40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7"/>
              </w:rPr>
              <w:t>Stikeman Elliott LLP</w:t>
            </w:r>
          </w:p>
        </w:tc>
        <w:tc>
          <w:tcPr>
            <w:tcW w:w="230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0"/>
              </w:rPr>
              <w:t>Seo Salimi</w:t>
            </w:r>
          </w:p>
        </w:tc>
      </w:tr>
      <w:tr>
        <w:trPr>
          <w:trHeight w:val="149"/>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6"/>
              </w:rPr>
              <w:t>Marc A. Recht</w:t>
            </w:r>
          </w:p>
        </w:tc>
        <w:tc>
          <w:tcPr>
            <w:tcW w:w="4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1155 René-Lévesque Blvd. West</w:t>
            </w:r>
          </w:p>
        </w:tc>
        <w:tc>
          <w:tcPr>
            <w:tcW w:w="230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4"/>
              </w:rPr>
              <w:t>Goodwin Procter LLP</w:t>
            </w:r>
          </w:p>
        </w:tc>
      </w:tr>
      <w:tr>
        <w:trPr>
          <w:trHeight w:val="148"/>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4"/>
              </w:rPr>
              <w:t>Courtney T. Thorne</w:t>
            </w:r>
          </w:p>
        </w:tc>
        <w:tc>
          <w:tcPr>
            <w:tcW w:w="4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41st Floor</w:t>
            </w:r>
          </w:p>
        </w:tc>
        <w:tc>
          <w:tcPr>
            <w:tcW w:w="230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3"/>
              </w:rPr>
              <w:t>100 Northern Avenue</w:t>
            </w:r>
          </w:p>
        </w:tc>
      </w:tr>
      <w:tr>
        <w:trPr>
          <w:trHeight w:val="148"/>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6"/>
              </w:rPr>
              <w:t>Cooley LLP</w:t>
            </w:r>
          </w:p>
        </w:tc>
        <w:tc>
          <w:tcPr>
            <w:tcW w:w="4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Montréal, Québec, Canada H3B 3V2</w:t>
            </w:r>
          </w:p>
        </w:tc>
        <w:tc>
          <w:tcPr>
            <w:tcW w:w="230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4"/>
              </w:rPr>
              <w:t>Boston, MA 02210</w:t>
            </w:r>
          </w:p>
        </w:tc>
      </w:tr>
      <w:tr>
        <w:trPr>
          <w:trHeight w:val="149"/>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2"/>
              </w:rPr>
              <w:t>500 Boylston Street, 14</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4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(514) 397-3222</w:t>
            </w:r>
          </w:p>
        </w:tc>
        <w:tc>
          <w:tcPr>
            <w:tcW w:w="230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3"/>
              </w:rPr>
              <w:t>(617) 570-1000</w:t>
            </w:r>
          </w:p>
        </w:tc>
      </w:tr>
      <w:tr>
        <w:trPr>
          <w:trHeight w:val="148"/>
        </w:trPr>
        <w:tc>
          <w:tcPr>
            <w:tcW w:w="27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2"/>
              </w:rPr>
              <w:t>Boston, MA 02116</w:t>
            </w:r>
          </w:p>
        </w:tc>
        <w:tc>
          <w:tcPr>
            <w:tcW w:w="408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86"/>
        </w:trPr>
        <w:tc>
          <w:tcPr>
            <w:tcW w:w="2780" w:type="dxa"/>
            <w:vAlign w:val="bottom"/>
          </w:tcPr>
          <w:p>
            <w:pPr>
              <w:jc w:val="center"/>
              <w:ind w:right="808"/>
              <w:spacing w:after="0"/>
              <w:rPr>
                <w:sz w:val="20"/>
                <w:szCs w:val="20"/>
                <w:color w:val="auto"/>
              </w:rPr>
            </w:pPr>
            <w:r>
              <w:rPr>
                <w:rFonts w:ascii="Arial" w:cs="Arial" w:eastAsia="Arial" w:hAnsi="Arial"/>
                <w:sz w:val="14"/>
                <w:szCs w:val="14"/>
                <w:b w:val="1"/>
                <w:bCs w:val="1"/>
                <w:color w:val="auto"/>
                <w:w w:val="93"/>
              </w:rPr>
              <w:t>(617) 937-2300</w:t>
            </w:r>
          </w:p>
        </w:tc>
        <w:tc>
          <w:tcPr>
            <w:tcW w:w="4080" w:type="dxa"/>
            <w:vAlign w:val="bottom"/>
          </w:tcPr>
          <w:p>
            <w:pPr>
              <w:spacing w:after="0"/>
              <w:rPr>
                <w:sz w:val="16"/>
                <w:szCs w:val="16"/>
                <w:color w:val="auto"/>
              </w:rPr>
            </w:pPr>
          </w:p>
        </w:tc>
        <w:tc>
          <w:tcPr>
            <w:tcW w:w="23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127635</wp:posOffset>
            </wp:positionV>
            <wp:extent cx="1491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39" w:lineRule="exact"/>
        <w:rPr>
          <w:sz w:val="24"/>
          <w:szCs w:val="24"/>
          <w:color w:val="auto"/>
        </w:rPr>
      </w:pPr>
    </w:p>
    <w:p>
      <w:pPr>
        <w:ind w:left="460"/>
        <w:spacing w:after="0"/>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the effective date of this registration statement.</w:t>
      </w:r>
    </w:p>
    <w:p>
      <w:pPr>
        <w:spacing w:after="0" w:line="45" w:lineRule="exact"/>
        <w:rPr>
          <w:sz w:val="24"/>
          <w:szCs w:val="24"/>
          <w:color w:val="auto"/>
        </w:rPr>
      </w:pPr>
    </w:p>
    <w:p>
      <w:pPr>
        <w:ind w:left="4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21" w:lineRule="exact"/>
        <w:rPr>
          <w:sz w:val="24"/>
          <w:szCs w:val="24"/>
          <w:color w:val="auto"/>
        </w:rPr>
      </w:pPr>
    </w:p>
    <w:p>
      <w:pPr>
        <w:ind w:right="100" w:firstLine="449"/>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right="120" w:firstLine="449"/>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right="100" w:firstLine="449"/>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5" w:lineRule="exact"/>
        <w:rPr>
          <w:sz w:val="24"/>
          <w:szCs w:val="24"/>
          <w:color w:val="auto"/>
        </w:rPr>
      </w:pPr>
    </w:p>
    <w:p>
      <w:pPr>
        <w:ind w:right="200" w:firstLine="449"/>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60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9"/>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60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5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380" w:type="dxa"/>
            <w:vAlign w:val="bottom"/>
          </w:tcPr>
          <w:p>
            <w:pPr>
              <w:ind w:left="3600"/>
              <w:spacing w:after="0"/>
              <w:rPr>
                <w:sz w:val="20"/>
                <w:szCs w:val="20"/>
                <w:color w:val="auto"/>
              </w:rPr>
            </w:pPr>
            <w:r>
              <w:rPr>
                <w:rFonts w:ascii="Arial" w:cs="Arial" w:eastAsia="Arial" w:hAnsi="Arial"/>
                <w:sz w:val="14"/>
                <w:szCs w:val="14"/>
                <w:color w:val="auto"/>
              </w:rPr>
              <w:t>Emerging growth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1" w:lineRule="exact"/>
        <w:rPr>
          <w:sz w:val="24"/>
          <w:szCs w:val="24"/>
          <w:color w:val="auto"/>
        </w:rPr>
      </w:pPr>
    </w:p>
    <w:p>
      <w:pPr>
        <w:ind w:right="120" w:firstLine="44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109220</wp:posOffset>
            </wp:positionV>
            <wp:extent cx="1491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79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r>
      <w:tr>
        <w:trPr>
          <w:trHeight w:val="106"/>
        </w:trPr>
        <w:tc>
          <w:tcPr>
            <w:tcW w:w="79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jc w:val="center"/>
              <w:ind w:left="10"/>
              <w:spacing w:after="0" w:line="106" w:lineRule="exact"/>
              <w:rPr>
                <w:sz w:val="20"/>
                <w:szCs w:val="20"/>
                <w:color w:val="auto"/>
              </w:rPr>
            </w:pPr>
            <w:r>
              <w:rPr>
                <w:rFonts w:ascii="Arial" w:cs="Arial" w:eastAsia="Arial" w:hAnsi="Arial"/>
                <w:sz w:val="12"/>
                <w:szCs w:val="12"/>
                <w:b w:val="1"/>
                <w:bCs w:val="1"/>
                <w:color w:val="auto"/>
              </w:rPr>
              <w:t>Proposed</w:t>
            </w:r>
          </w:p>
        </w:tc>
        <w:tc>
          <w:tcPr>
            <w:tcW w:w="1660" w:type="dxa"/>
            <w:vAlign w:val="bottom"/>
          </w:tcPr>
          <w:p>
            <w:pPr>
              <w:spacing w:after="0"/>
              <w:rPr>
                <w:sz w:val="9"/>
                <w:szCs w:val="9"/>
                <w:color w:val="auto"/>
              </w:rPr>
            </w:pPr>
          </w:p>
        </w:tc>
      </w:tr>
      <w:tr>
        <w:trPr>
          <w:trHeight w:val="149"/>
        </w:trPr>
        <w:tc>
          <w:tcPr>
            <w:tcW w:w="790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jc w:val="center"/>
              <w:ind w:left="30"/>
              <w:spacing w:after="0" w:line="149" w:lineRule="exact"/>
              <w:rPr>
                <w:sz w:val="20"/>
                <w:szCs w:val="20"/>
                <w:color w:val="auto"/>
              </w:rPr>
            </w:pPr>
            <w:r>
              <w:rPr>
                <w:rFonts w:ascii="Arial" w:cs="Arial" w:eastAsia="Arial" w:hAnsi="Arial"/>
                <w:sz w:val="14"/>
                <w:szCs w:val="14"/>
                <w:b w:val="1"/>
                <w:bCs w:val="1"/>
                <w:color w:val="auto"/>
                <w:w w:val="94"/>
              </w:rPr>
              <w:t>maximum</w:t>
            </w:r>
          </w:p>
        </w:tc>
        <w:tc>
          <w:tcPr>
            <w:tcW w:w="1660" w:type="dxa"/>
            <w:vAlign w:val="bottom"/>
          </w:tcPr>
          <w:p>
            <w:pPr>
              <w:spacing w:after="0"/>
              <w:rPr>
                <w:sz w:val="12"/>
                <w:szCs w:val="12"/>
                <w:color w:val="auto"/>
              </w:rPr>
            </w:pPr>
          </w:p>
        </w:tc>
      </w:tr>
      <w:tr>
        <w:trPr>
          <w:trHeight w:val="158"/>
        </w:trPr>
        <w:tc>
          <w:tcPr>
            <w:tcW w:w="79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Title of each class of</w:t>
            </w:r>
          </w:p>
        </w:tc>
        <w:tc>
          <w:tcPr>
            <w:tcW w:w="1680" w:type="dxa"/>
            <w:vAlign w:val="bottom"/>
            <w:tcBorders>
              <w:right w:val="single" w:sz="8" w:color="auto"/>
            </w:tcBorders>
          </w:tcPr>
          <w:p>
            <w:pPr>
              <w:jc w:val="center"/>
              <w:ind w:left="10"/>
              <w:spacing w:after="0" w:line="158" w:lineRule="exact"/>
              <w:rPr>
                <w:sz w:val="20"/>
                <w:szCs w:val="20"/>
                <w:color w:val="auto"/>
              </w:rPr>
            </w:pPr>
            <w:r>
              <w:rPr>
                <w:rFonts w:ascii="Arial" w:cs="Arial" w:eastAsia="Arial" w:hAnsi="Arial"/>
                <w:sz w:val="14"/>
                <w:szCs w:val="14"/>
                <w:b w:val="1"/>
                <w:bCs w:val="1"/>
                <w:color w:val="auto"/>
                <w:w w:val="89"/>
              </w:rPr>
              <w:t>aggregate</w:t>
            </w:r>
          </w:p>
        </w:tc>
        <w:tc>
          <w:tcPr>
            <w:tcW w:w="1660" w:type="dxa"/>
            <w:vAlign w:val="bottom"/>
          </w:tcPr>
          <w:p>
            <w:pPr>
              <w:jc w:val="center"/>
              <w:ind w:left="8"/>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5"/>
        </w:trPr>
        <w:tc>
          <w:tcPr>
            <w:tcW w:w="7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68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4"/>
                <w:szCs w:val="14"/>
                <w:b w:val="1"/>
                <w:bCs w:val="1"/>
                <w:color w:val="auto"/>
                <w:w w:val="94"/>
              </w:rPr>
              <w:t>offering price</w:t>
            </w:r>
            <w:r>
              <w:rPr>
                <w:rFonts w:ascii="Arial" w:cs="Arial" w:eastAsia="Arial" w:hAnsi="Arial"/>
                <w:sz w:val="12"/>
                <w:szCs w:val="12"/>
                <w:b w:val="1"/>
                <w:bCs w:val="1"/>
                <w:color w:val="auto"/>
                <w:w w:val="94"/>
              </w:rPr>
              <w:t>(1)</w:t>
            </w:r>
          </w:p>
        </w:tc>
        <w:tc>
          <w:tcPr>
            <w:tcW w:w="16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(2)</w:t>
            </w:r>
          </w:p>
        </w:tc>
      </w:tr>
      <w:tr>
        <w:trPr>
          <w:trHeight w:val="142"/>
        </w:trPr>
        <w:tc>
          <w:tcPr>
            <w:tcW w:w="79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shares, no par value per share</w:t>
            </w:r>
          </w:p>
        </w:tc>
        <w:tc>
          <w:tcPr>
            <w:tcW w:w="1680" w:type="dxa"/>
            <w:vAlign w:val="bottom"/>
            <w:tcBorders>
              <w:bottom w:val="single" w:sz="8" w:color="auto"/>
              <w:right w:val="single" w:sz="8" w:color="auto"/>
            </w:tcBorders>
          </w:tcPr>
          <w:p>
            <w:pPr>
              <w:jc w:val="center"/>
              <w:ind w:left="10"/>
              <w:spacing w:after="0" w:line="142" w:lineRule="exact"/>
              <w:rPr>
                <w:sz w:val="20"/>
                <w:szCs w:val="20"/>
                <w:color w:val="auto"/>
              </w:rPr>
            </w:pPr>
            <w:r>
              <w:rPr>
                <w:rFonts w:ascii="Arial" w:cs="Arial" w:eastAsia="Arial" w:hAnsi="Arial"/>
                <w:sz w:val="14"/>
                <w:szCs w:val="14"/>
                <w:color w:val="auto"/>
                <w:w w:val="93"/>
              </w:rPr>
              <w:t>$100,000,000</w:t>
            </w:r>
          </w:p>
        </w:tc>
        <w:tc>
          <w:tcPr>
            <w:tcW w:w="1660" w:type="dxa"/>
            <w:vAlign w:val="bottom"/>
            <w:tcBorders>
              <w:bottom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94"/>
              </w:rPr>
              <w:t>$12,980</w:t>
            </w: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ind w:left="460" w:right="580" w:hanging="452"/>
        <w:spacing w:after="0" w:line="226"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registration fee pursuant to Rule 457(o) under the Securities Act of 1933, as amended. Includes the offering price of additional common shares that the underwriters have the option to purchase.</w:t>
      </w:r>
    </w:p>
    <w:p>
      <w:pPr>
        <w:ind w:left="460" w:hanging="452"/>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22" w:lineRule="exact"/>
        <w:rPr>
          <w:sz w:val="24"/>
          <w:szCs w:val="24"/>
          <w:color w:val="auto"/>
        </w:rPr>
      </w:pPr>
    </w:p>
    <w:p>
      <w:pPr>
        <w:ind w:right="280" w:firstLine="449"/>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243"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i w:val="1"/>
          <w:iCs w:val="1"/>
          <w:color w:val="DE1A1E"/>
        </w:rPr>
        <w:t>SUBJECT TO COMPLETION, DATED MAY 29, 2020</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DE1A1E"/>
        </w:rPr>
        <w:t>PRELIMINARY PROSPECTUS</w:t>
      </w:r>
    </w:p>
    <w:p>
      <w:pPr>
        <w:spacing w:after="0" w:line="257" w:lineRule="exact"/>
        <w:rPr>
          <w:sz w:val="20"/>
          <w:szCs w:val="20"/>
          <w:color w:val="auto"/>
        </w:rPr>
      </w:pPr>
    </w:p>
    <w:p>
      <w:pPr>
        <w:ind w:left="572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113030</wp:posOffset>
            </wp:positionV>
            <wp:extent cx="165417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41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5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0" w:type="dxa"/>
            <w:vAlign w:val="bottom"/>
            <w:gridSpan w:val="2"/>
          </w:tcPr>
          <w:p>
            <w:pPr>
              <w:ind w:left="240"/>
              <w:spacing w:after="0"/>
              <w:rPr>
                <w:sz w:val="20"/>
                <w:szCs w:val="20"/>
                <w:color w:val="auto"/>
              </w:rPr>
            </w:pPr>
            <w:r>
              <w:rPr>
                <w:rFonts w:ascii="Arial" w:cs="Arial" w:eastAsia="Arial" w:hAnsi="Arial"/>
                <w:sz w:val="22"/>
                <w:szCs w:val="22"/>
                <w:i w:val="1"/>
                <w:iCs w:val="1"/>
                <w:color w:val="auto"/>
              </w:rPr>
              <w:t>Common Shares</w:t>
            </w:r>
          </w:p>
        </w:tc>
      </w:tr>
      <w:tr>
        <w:trPr>
          <w:trHeight w:val="341"/>
        </w:trPr>
        <w:tc>
          <w:tcPr>
            <w:tcW w:w="1560" w:type="dxa"/>
            <w:vAlign w:val="bottom"/>
          </w:tcPr>
          <w:p>
            <w:pPr>
              <w:spacing w:after="0"/>
              <w:rPr>
                <w:sz w:val="24"/>
                <w:szCs w:val="24"/>
                <w:color w:val="auto"/>
              </w:rPr>
            </w:pPr>
          </w:p>
        </w:tc>
        <w:tc>
          <w:tcPr>
            <w:tcW w:w="2880" w:type="dxa"/>
            <w:vAlign w:val="bottom"/>
            <w:gridSpan w:val="2"/>
          </w:tcPr>
          <w:p>
            <w:pPr>
              <w:spacing w:after="0"/>
              <w:rPr>
                <w:sz w:val="24"/>
                <w:szCs w:val="24"/>
                <w:color w:val="auto"/>
              </w:rPr>
            </w:pPr>
          </w:p>
        </w:tc>
        <w:tc>
          <w:tcPr>
            <w:tcW w:w="2360" w:type="dxa"/>
            <w:vAlign w:val="bottom"/>
            <w:tcBorders>
              <w:bottom w:val="single" w:sz="8" w:color="auto"/>
            </w:tcBorders>
            <w:gridSpan w:val="2"/>
          </w:tcPr>
          <w:p>
            <w:pPr>
              <w:spacing w:after="0"/>
              <w:rPr>
                <w:sz w:val="24"/>
                <w:szCs w:val="24"/>
                <w:color w:val="auto"/>
              </w:rPr>
            </w:pPr>
          </w:p>
        </w:tc>
        <w:tc>
          <w:tcPr>
            <w:tcW w:w="4280" w:type="dxa"/>
            <w:vAlign w:val="bottom"/>
          </w:tcPr>
          <w:p>
            <w:pPr>
              <w:spacing w:after="0"/>
              <w:rPr>
                <w:sz w:val="24"/>
                <w:szCs w:val="24"/>
                <w:color w:val="auto"/>
              </w:rPr>
            </w:pPr>
          </w:p>
        </w:tc>
      </w:tr>
      <w:tr>
        <w:trPr>
          <w:trHeight w:val="411"/>
        </w:trPr>
        <w:tc>
          <w:tcPr>
            <w:tcW w:w="1560" w:type="dxa"/>
            <w:vAlign w:val="bottom"/>
          </w:tcPr>
          <w:p>
            <w:pPr>
              <w:spacing w:after="0"/>
              <w:rPr>
                <w:sz w:val="20"/>
                <w:szCs w:val="20"/>
                <w:color w:val="auto"/>
              </w:rPr>
            </w:pPr>
            <w:r>
              <w:rPr>
                <w:rFonts w:ascii="Arial" w:cs="Arial" w:eastAsia="Arial" w:hAnsi="Arial"/>
                <w:sz w:val="18"/>
                <w:szCs w:val="18"/>
                <w:b w:val="1"/>
                <w:bCs w:val="1"/>
                <w:i w:val="1"/>
                <w:iCs w:val="1"/>
                <w:color w:val="auto"/>
              </w:rPr>
              <w:t>We are offering</w:t>
            </w:r>
          </w:p>
        </w:tc>
        <w:tc>
          <w:tcPr>
            <w:tcW w:w="9520" w:type="dxa"/>
            <w:vAlign w:val="bottom"/>
            <w:gridSpan w:val="5"/>
          </w:tcPr>
          <w:p>
            <w:pPr>
              <w:ind w:left="420"/>
              <w:spacing w:after="0"/>
              <w:rPr>
                <w:sz w:val="20"/>
                <w:szCs w:val="20"/>
                <w:color w:val="auto"/>
              </w:rPr>
            </w:pPr>
            <w:r>
              <w:rPr>
                <w:rFonts w:ascii="Arial" w:cs="Arial" w:eastAsia="Arial" w:hAnsi="Arial"/>
                <w:sz w:val="18"/>
                <w:szCs w:val="18"/>
                <w:b w:val="1"/>
                <w:bCs w:val="1"/>
                <w:i w:val="1"/>
                <w:iCs w:val="1"/>
                <w:color w:val="auto"/>
                <w:w w:val="86"/>
              </w:rPr>
              <w:t>common shares. This is our initial public offering and no public market currently exists for our common shares. We expect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4"/>
              </w:rPr>
              <w:t>the initial public offering price to be between $</w:t>
            </w:r>
          </w:p>
        </w:tc>
        <w:tc>
          <w:tcPr>
            <w:tcW w:w="920" w:type="dxa"/>
            <w:vAlign w:val="bottom"/>
            <w:gridSpan w:val="2"/>
          </w:tcPr>
          <w:p>
            <w:pPr>
              <w:ind w:left="280"/>
              <w:spacing w:after="0"/>
              <w:rPr>
                <w:sz w:val="20"/>
                <w:szCs w:val="20"/>
                <w:color w:val="auto"/>
              </w:rPr>
            </w:pPr>
            <w:r>
              <w:rPr>
                <w:rFonts w:ascii="Arial" w:cs="Arial" w:eastAsia="Arial" w:hAnsi="Arial"/>
                <w:sz w:val="18"/>
                <w:szCs w:val="18"/>
                <w:b w:val="1"/>
                <w:bCs w:val="1"/>
                <w:i w:val="1"/>
                <w:iCs w:val="1"/>
                <w:color w:val="auto"/>
              </w:rPr>
              <w:t>and $</w:t>
            </w:r>
          </w:p>
        </w:tc>
        <w:tc>
          <w:tcPr>
            <w:tcW w:w="6400" w:type="dxa"/>
            <w:vAlign w:val="bottom"/>
            <w:gridSpan w:val="2"/>
          </w:tcPr>
          <w:p>
            <w:pPr>
              <w:ind w:left="360"/>
              <w:spacing w:after="0"/>
              <w:rPr>
                <w:sz w:val="20"/>
                <w:szCs w:val="20"/>
                <w:color w:val="auto"/>
              </w:rPr>
            </w:pPr>
            <w:r>
              <w:rPr>
                <w:rFonts w:ascii="Arial" w:cs="Arial" w:eastAsia="Arial" w:hAnsi="Arial"/>
                <w:sz w:val="18"/>
                <w:szCs w:val="18"/>
                <w:b w:val="1"/>
                <w:bCs w:val="1"/>
                <w:i w:val="1"/>
                <w:iCs w:val="1"/>
                <w:color w:val="auto"/>
                <w:w w:val="89"/>
              </w:rPr>
              <w:t>per common share. We have applied to list our common shares on the Nasdaq</w:t>
            </w: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Global Market under the symbol “RPTX.”</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222885</wp:posOffset>
            </wp:positionV>
            <wp:extent cx="14916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under the federal securities laws and will be subject to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211455</wp:posOffset>
            </wp:positionV>
            <wp:extent cx="14916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our common shares involves a high degree of risk. See “</w:t>
      </w:r>
      <w:hyperlink w:anchor="page19">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i w:val="1"/>
          <w:iCs w:val="1"/>
          <w:color w:val="auto"/>
        </w:rPr>
        <w:t>” beginning on page 16 of this prospectus.</w:t>
      </w:r>
    </w:p>
    <w:p>
      <w:pPr>
        <w:spacing w:after="0" w:line="25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203200</wp:posOffset>
            </wp:positionV>
            <wp:extent cx="1491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20" w:type="dxa"/>
            <w:vAlign w:val="bottom"/>
            <w:vMerge w:val="restart"/>
          </w:tcPr>
          <w:p>
            <w:pPr>
              <w:spacing w:after="0"/>
              <w:rPr>
                <w:sz w:val="20"/>
                <w:szCs w:val="20"/>
                <w:color w:val="auto"/>
              </w:rPr>
            </w:pPr>
            <w:r>
              <w:rPr>
                <w:rFonts w:ascii="Arial" w:cs="Arial" w:eastAsia="Arial" w:hAnsi="Arial"/>
                <w:sz w:val="18"/>
                <w:szCs w:val="18"/>
                <w:i w:val="1"/>
                <w:iCs w:val="1"/>
                <w:color w:val="auto"/>
              </w:rPr>
              <w:t>Initial public offering price</w:t>
            </w:r>
          </w:p>
        </w:tc>
        <w:tc>
          <w:tcPr>
            <w:tcW w:w="39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PER SHARE</w:t>
            </w: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195"/>
        </w:trPr>
        <w:tc>
          <w:tcPr>
            <w:tcW w:w="5520" w:type="dxa"/>
            <w:vAlign w:val="bottom"/>
            <w:vMerge w:val="continue"/>
          </w:tcPr>
          <w:p>
            <w:pPr>
              <w:spacing w:after="0"/>
              <w:rPr>
                <w:sz w:val="16"/>
                <w:szCs w:val="16"/>
                <w:color w:val="auto"/>
              </w:rPr>
            </w:pPr>
          </w:p>
        </w:tc>
        <w:tc>
          <w:tcPr>
            <w:tcW w:w="3180" w:type="dxa"/>
            <w:vAlign w:val="bottom"/>
          </w:tcPr>
          <w:p>
            <w:pPr>
              <w:spacing w:after="0"/>
              <w:rPr>
                <w:sz w:val="16"/>
                <w:szCs w:val="16"/>
                <w:color w:val="auto"/>
              </w:rPr>
            </w:pPr>
          </w:p>
        </w:tc>
        <w:tc>
          <w:tcPr>
            <w:tcW w:w="800" w:type="dxa"/>
            <w:vAlign w:val="bottom"/>
            <w:tcBorders>
              <w:top w:val="single" w:sz="8" w:color="auto"/>
            </w:tcBorders>
          </w:tcPr>
          <w:p>
            <w:pPr>
              <w:jc w:val="right"/>
              <w:ind w:right="410"/>
              <w:spacing w:after="0" w:line="195" w:lineRule="exact"/>
              <w:rPr>
                <w:sz w:val="20"/>
                <w:szCs w:val="20"/>
                <w:color w:val="auto"/>
              </w:rPr>
            </w:pPr>
            <w:r>
              <w:rPr>
                <w:rFonts w:ascii="Arial" w:cs="Arial" w:eastAsia="Arial" w:hAnsi="Arial"/>
                <w:sz w:val="18"/>
                <w:szCs w:val="18"/>
                <w:i w:val="1"/>
                <w:iCs w:val="1"/>
                <w:color w:val="auto"/>
              </w:rPr>
              <w:t>$</w:t>
            </w:r>
          </w:p>
        </w:tc>
        <w:tc>
          <w:tcPr>
            <w:tcW w:w="1060" w:type="dxa"/>
            <w:vAlign w:val="bottom"/>
          </w:tcPr>
          <w:p>
            <w:pPr>
              <w:spacing w:after="0"/>
              <w:rPr>
                <w:sz w:val="16"/>
                <w:szCs w:val="16"/>
                <w:color w:val="auto"/>
              </w:rPr>
            </w:pPr>
          </w:p>
        </w:tc>
        <w:tc>
          <w:tcPr>
            <w:tcW w:w="460" w:type="dxa"/>
            <w:vAlign w:val="bottom"/>
            <w:tcBorders>
              <w:top w:val="single" w:sz="8" w:color="auto"/>
            </w:tcBorders>
          </w:tcPr>
          <w:p>
            <w:pPr>
              <w:jc w:val="right"/>
              <w:ind w:right="307"/>
              <w:spacing w:after="0"/>
              <w:rPr>
                <w:sz w:val="20"/>
                <w:szCs w:val="20"/>
                <w:color w:val="auto"/>
              </w:rPr>
            </w:pPr>
            <w:r>
              <w:rPr>
                <w:rFonts w:ascii="Arial" w:cs="Arial" w:eastAsia="Arial" w:hAnsi="Arial"/>
                <w:sz w:val="15"/>
                <w:szCs w:val="15"/>
                <w:i w:val="1"/>
                <w:iCs w:val="1"/>
                <w:color w:val="auto"/>
                <w:w w:val="71"/>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i w:val="1"/>
                <w:iCs w:val="1"/>
                <w:color w:val="auto"/>
              </w:rPr>
              <w:t>Underwriting commissions</w:t>
            </w:r>
            <w:r>
              <w:rPr>
                <w:rFonts w:ascii="Arial" w:cs="Arial" w:eastAsia="Arial" w:hAnsi="Arial"/>
                <w:sz w:val="15"/>
                <w:szCs w:val="15"/>
                <w:i w:val="1"/>
                <w:iCs w:val="1"/>
                <w:color w:val="auto"/>
              </w:rPr>
              <w:t>(1)</w:t>
            </w:r>
          </w:p>
        </w:tc>
        <w:tc>
          <w:tcPr>
            <w:tcW w:w="3980" w:type="dxa"/>
            <w:vAlign w:val="bottom"/>
            <w:gridSpan w:val="2"/>
          </w:tcPr>
          <w:p>
            <w:pPr>
              <w:jc w:val="right"/>
              <w:ind w:right="410"/>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tcPr>
          <w:p>
            <w:pPr>
              <w:jc w:val="right"/>
              <w:ind w:right="307"/>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i w:val="1"/>
                <w:iCs w:val="1"/>
                <w:color w:val="auto"/>
              </w:rPr>
              <w:t>Proceeds, before expenses, to us</w:t>
            </w:r>
          </w:p>
        </w:tc>
        <w:tc>
          <w:tcPr>
            <w:tcW w:w="3980" w:type="dxa"/>
            <w:vAlign w:val="bottom"/>
            <w:gridSpan w:val="2"/>
          </w:tcPr>
          <w:p>
            <w:pPr>
              <w:jc w:val="right"/>
              <w:ind w:right="410"/>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tcPr>
          <w:p>
            <w:pPr>
              <w:jc w:val="right"/>
              <w:ind w:right="307"/>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refer you to “Underwriting” beginning on page 209 for additional information regarding underwriter compensation.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3"/>
          </w:tcPr>
          <w:p>
            <w:pPr>
              <w:spacing w:after="0"/>
              <w:rPr>
                <w:sz w:val="20"/>
                <w:szCs w:val="20"/>
                <w:color w:val="auto"/>
              </w:rPr>
            </w:pPr>
            <w:r>
              <w:rPr>
                <w:rFonts w:ascii="Arial" w:cs="Arial" w:eastAsia="Arial" w:hAnsi="Arial"/>
                <w:sz w:val="18"/>
                <w:szCs w:val="18"/>
                <w:i w:val="1"/>
                <w:iCs w:val="1"/>
                <w:color w:val="auto"/>
                <w:w w:val="99"/>
              </w:rPr>
              <w:t>We have granted the underwriters an option for a period of 30 days to purchase up to</w:t>
            </w:r>
          </w:p>
        </w:tc>
        <w:tc>
          <w:tcPr>
            <w:tcW w:w="3960" w:type="dxa"/>
            <w:vAlign w:val="bottom"/>
            <w:gridSpan w:val="2"/>
          </w:tcPr>
          <w:p>
            <w:pPr>
              <w:jc w:val="right"/>
              <w:ind w:right="1732"/>
              <w:spacing w:after="0"/>
              <w:rPr>
                <w:sz w:val="20"/>
                <w:szCs w:val="20"/>
                <w:color w:val="auto"/>
              </w:rPr>
            </w:pPr>
            <w:r>
              <w:rPr>
                <w:rFonts w:ascii="Arial" w:cs="Arial" w:eastAsia="Arial" w:hAnsi="Arial"/>
                <w:sz w:val="18"/>
                <w:szCs w:val="18"/>
                <w:i w:val="1"/>
                <w:iCs w:val="1"/>
                <w:color w:val="auto"/>
                <w:w w:val="97"/>
              </w:rPr>
              <w:t>additional common shares.</w:t>
            </w:r>
          </w:p>
        </w:tc>
      </w:tr>
      <w:tr>
        <w:trPr>
          <w:trHeight w:val="432"/>
        </w:trPr>
        <w:tc>
          <w:tcPr>
            <w:tcW w:w="8660" w:type="dxa"/>
            <w:vAlign w:val="bottom"/>
            <w:gridSpan w:val="4"/>
          </w:tcPr>
          <w:p>
            <w:pPr>
              <w:spacing w:after="0"/>
              <w:rPr>
                <w:sz w:val="20"/>
                <w:szCs w:val="20"/>
                <w:color w:val="auto"/>
              </w:rPr>
            </w:pPr>
            <w:r>
              <w:rPr>
                <w:rFonts w:ascii="Arial" w:cs="Arial" w:eastAsia="Arial" w:hAnsi="Arial"/>
                <w:sz w:val="18"/>
                <w:szCs w:val="18"/>
                <w:i w:val="1"/>
                <w:iCs w:val="1"/>
                <w:color w:val="auto"/>
                <w:w w:val="98"/>
              </w:rPr>
              <w:t>The underwriters expect to deliver the shares of common against payment in New York, New York on or about</w:t>
            </w:r>
          </w:p>
        </w:tc>
        <w:tc>
          <w:tcPr>
            <w:tcW w:w="2100" w:type="dxa"/>
            <w:vAlign w:val="bottom"/>
          </w:tcPr>
          <w:p>
            <w:pPr>
              <w:jc w:val="right"/>
              <w:ind w:right="1312"/>
              <w:spacing w:after="0"/>
              <w:rPr>
                <w:sz w:val="20"/>
                <w:szCs w:val="20"/>
                <w:color w:val="auto"/>
              </w:rPr>
            </w:pPr>
            <w:r>
              <w:rPr>
                <w:rFonts w:ascii="Arial" w:cs="Arial" w:eastAsia="Arial" w:hAnsi="Arial"/>
                <w:sz w:val="18"/>
                <w:szCs w:val="18"/>
                <w:i w:val="1"/>
                <w:iCs w:val="1"/>
                <w:color w:val="auto"/>
              </w:rPr>
              <w:t>, 2020.</w:t>
            </w:r>
          </w:p>
        </w:tc>
      </w:tr>
      <w:tr>
        <w:trPr>
          <w:trHeight w:val="365"/>
        </w:trPr>
        <w:tc>
          <w:tcPr>
            <w:tcW w:w="2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25"/>
        </w:trPr>
        <w:tc>
          <w:tcPr>
            <w:tcW w:w="2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360" w:type="dxa"/>
            <w:vAlign w:val="bottom"/>
          </w:tcPr>
          <w:p>
            <w:pPr>
              <w:ind w:left="80"/>
              <w:spacing w:after="0"/>
              <w:rPr>
                <w:sz w:val="20"/>
                <w:szCs w:val="20"/>
                <w:color w:val="auto"/>
              </w:rPr>
            </w:pPr>
            <w:r>
              <w:rPr>
                <w:rFonts w:ascii="Arial" w:cs="Arial" w:eastAsia="Arial" w:hAnsi="Arial"/>
                <w:sz w:val="18"/>
                <w:szCs w:val="18"/>
                <w:i w:val="1"/>
                <w:iCs w:val="1"/>
                <w:color w:val="auto"/>
                <w:w w:val="93"/>
              </w:rPr>
              <w:t>Joint Book-Running Managers</w:t>
            </w:r>
          </w:p>
        </w:tc>
        <w:tc>
          <w:tcPr>
            <w:tcW w:w="18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548"/>
        </w:trPr>
        <w:tc>
          <w:tcPr>
            <w:tcW w:w="2180" w:type="dxa"/>
            <w:vAlign w:val="bottom"/>
          </w:tcPr>
          <w:p>
            <w:pPr>
              <w:ind w:left="500"/>
              <w:spacing w:after="0"/>
              <w:rPr>
                <w:sz w:val="20"/>
                <w:szCs w:val="20"/>
                <w:color w:val="auto"/>
              </w:rPr>
            </w:pPr>
            <w:r>
              <w:rPr>
                <w:rFonts w:ascii="Arial" w:cs="Arial" w:eastAsia="Arial" w:hAnsi="Arial"/>
                <w:sz w:val="25"/>
                <w:szCs w:val="25"/>
                <w:i w:val="1"/>
                <w:iCs w:val="1"/>
                <w:color w:val="auto"/>
                <w:w w:val="94"/>
              </w:rPr>
              <w:t>Morgan Stanley</w:t>
            </w:r>
          </w:p>
        </w:tc>
        <w:tc>
          <w:tcPr>
            <w:tcW w:w="4620" w:type="dxa"/>
            <w:vAlign w:val="bottom"/>
            <w:gridSpan w:val="2"/>
          </w:tcPr>
          <w:p>
            <w:pPr>
              <w:ind w:left="1460"/>
              <w:spacing w:after="0"/>
              <w:rPr>
                <w:sz w:val="20"/>
                <w:szCs w:val="20"/>
                <w:color w:val="auto"/>
              </w:rPr>
            </w:pPr>
            <w:r>
              <w:rPr>
                <w:rFonts w:ascii="Arial" w:cs="Arial" w:eastAsia="Arial" w:hAnsi="Arial"/>
                <w:sz w:val="25"/>
                <w:szCs w:val="25"/>
                <w:i w:val="1"/>
                <w:iCs w:val="1"/>
                <w:color w:val="auto"/>
              </w:rPr>
              <w:t>Goldman Sachs &amp; Co. LLC</w:t>
            </w:r>
          </w:p>
        </w:tc>
        <w:tc>
          <w:tcPr>
            <w:tcW w:w="1860" w:type="dxa"/>
            <w:vAlign w:val="bottom"/>
          </w:tcPr>
          <w:p>
            <w:pPr>
              <w:ind w:left="960"/>
              <w:spacing w:after="0"/>
              <w:rPr>
                <w:sz w:val="20"/>
                <w:szCs w:val="20"/>
                <w:color w:val="auto"/>
              </w:rPr>
            </w:pPr>
            <w:r>
              <w:rPr>
                <w:rFonts w:ascii="Arial" w:cs="Arial" w:eastAsia="Arial" w:hAnsi="Arial"/>
                <w:sz w:val="25"/>
                <w:szCs w:val="25"/>
                <w:i w:val="1"/>
                <w:iCs w:val="1"/>
                <w:color w:val="auto"/>
              </w:rPr>
              <w:t>Cowen</w:t>
            </w:r>
          </w:p>
        </w:tc>
        <w:tc>
          <w:tcPr>
            <w:tcW w:w="2100" w:type="dxa"/>
            <w:vAlign w:val="bottom"/>
          </w:tcPr>
          <w:p>
            <w:pPr>
              <w:jc w:val="right"/>
              <w:spacing w:after="0"/>
              <w:rPr>
                <w:sz w:val="20"/>
                <w:szCs w:val="20"/>
                <w:color w:val="auto"/>
              </w:rPr>
            </w:pPr>
            <w:r>
              <w:rPr>
                <w:rFonts w:ascii="Arial" w:cs="Arial" w:eastAsia="Arial" w:hAnsi="Arial"/>
                <w:sz w:val="25"/>
                <w:szCs w:val="25"/>
                <w:i w:val="1"/>
                <w:iCs w:val="1"/>
                <w:color w:val="auto"/>
              </w:rPr>
              <w:t>Piper Sandler</w:t>
            </w:r>
          </w:p>
        </w:tc>
      </w:tr>
      <w:tr>
        <w:trPr>
          <w:trHeight w:val="423"/>
        </w:trPr>
        <w:tc>
          <w:tcPr>
            <w:tcW w:w="2180" w:type="dxa"/>
            <w:vAlign w:val="bottom"/>
          </w:tcPr>
          <w:p>
            <w:pPr>
              <w:spacing w:after="0"/>
              <w:rPr>
                <w:sz w:val="20"/>
                <w:szCs w:val="20"/>
                <w:color w:val="auto"/>
              </w:rPr>
            </w:pPr>
            <w:r>
              <w:rPr>
                <w:rFonts w:ascii="Arial" w:cs="Arial" w:eastAsia="Arial" w:hAnsi="Arial"/>
                <w:sz w:val="18"/>
                <w:szCs w:val="18"/>
                <w:i w:val="1"/>
                <w:iCs w:val="1"/>
                <w:color w:val="auto"/>
              </w:rPr>
              <w:t>Prospectus dated</w:t>
            </w:r>
          </w:p>
        </w:tc>
        <w:tc>
          <w:tcPr>
            <w:tcW w:w="2260" w:type="dxa"/>
            <w:vAlign w:val="bottom"/>
          </w:tcPr>
          <w:p>
            <w:pPr>
              <w:jc w:val="right"/>
              <w:ind w:right="1652"/>
              <w:spacing w:after="0"/>
              <w:rPr>
                <w:sz w:val="20"/>
                <w:szCs w:val="20"/>
                <w:color w:val="auto"/>
              </w:rPr>
            </w:pPr>
            <w:r>
              <w:rPr>
                <w:rFonts w:ascii="Arial" w:cs="Arial" w:eastAsia="Arial" w:hAnsi="Arial"/>
                <w:sz w:val="18"/>
                <w:szCs w:val="18"/>
                <w:i w:val="1"/>
                <w:iCs w:val="1"/>
                <w:color w:val="auto"/>
                <w:w w:val="95"/>
              </w:rPr>
              <w:t>, 2020</w:t>
            </w:r>
          </w:p>
        </w:tc>
        <w:tc>
          <w:tcPr>
            <w:tcW w:w="2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1200"/>
          </w:cols>
          <w:pgMar w:left="320" w:top="459"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920" w:type="dxa"/>
            <w:vAlign w:val="bottom"/>
            <w:gridSpan w:val="8"/>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PAGE</w:t>
            </w:r>
          </w:p>
        </w:tc>
        <w:tc>
          <w:tcPr>
            <w:tcW w:w="5060" w:type="dxa"/>
            <w:vAlign w:val="bottom"/>
            <w:gridSpan w:val="10"/>
            <w:vMerge w:val="restart"/>
          </w:tcPr>
          <w:p>
            <w:pPr>
              <w:ind w:left="200"/>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DESCRIPTION OF SHARE CAPITAL</w:t>
              </w:r>
            </w:hyperlink>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4920" w:type="dxa"/>
            <w:vAlign w:val="bottom"/>
            <w:gridSpan w:val="8"/>
            <w:vMerge w:val="continue"/>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6"/>
                <w:szCs w:val="16"/>
                <w:color w:val="auto"/>
              </w:rPr>
            </w:pPr>
          </w:p>
        </w:tc>
        <w:tc>
          <w:tcPr>
            <w:tcW w:w="5060" w:type="dxa"/>
            <w:vAlign w:val="bottom"/>
            <w:gridSpan w:val="10"/>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4920" w:type="dxa"/>
            <w:vAlign w:val="bottom"/>
            <w:gridSpan w:val="8"/>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FACTORS</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5060" w:type="dxa"/>
            <w:vAlign w:val="bottom"/>
            <w:gridSpan w:val="10"/>
          </w:tcPr>
          <w:p>
            <w:pPr>
              <w:ind w:left="200"/>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SHARES ELIGIBLE FOR FUTURE SALE</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90"/>
        </w:trPr>
        <w:tc>
          <w:tcPr>
            <w:tcW w:w="4920" w:type="dxa"/>
            <w:vAlign w:val="bottom"/>
            <w:gridSpan w:val="8"/>
          </w:tcPr>
          <w:p>
            <w:pPr>
              <w:spacing w:after="0" w:line="190" w:lineRule="exact"/>
              <w:rPr>
                <w:rFonts w:ascii="Arial" w:cs="Arial" w:eastAsia="Arial" w:hAnsi="Arial"/>
                <w:sz w:val="18"/>
                <w:szCs w:val="18"/>
                <w:color w:val="0000EE"/>
              </w:rPr>
            </w:pPr>
            <w:hyperlink w:anchor="page81">
              <w:r>
                <w:rPr>
                  <w:rFonts w:ascii="Arial" w:cs="Arial" w:eastAsia="Arial" w:hAnsi="Arial"/>
                  <w:sz w:val="18"/>
                  <w:szCs w:val="18"/>
                  <w:color w:val="0000EE"/>
                </w:rPr>
                <w:t>SPECIAL NOTE REGARDING FORWARD-LOOKING</w:t>
              </w:r>
            </w:hyperlink>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60" w:type="dxa"/>
            <w:vAlign w:val="bottom"/>
            <w:gridSpan w:val="10"/>
          </w:tcPr>
          <w:p>
            <w:pPr>
              <w:ind w:left="200"/>
              <w:spacing w:after="0" w:line="190" w:lineRule="exact"/>
              <w:rPr>
                <w:rFonts w:ascii="Arial" w:cs="Arial" w:eastAsia="Arial" w:hAnsi="Arial"/>
                <w:sz w:val="18"/>
                <w:szCs w:val="18"/>
                <w:color w:val="0000EE"/>
              </w:rPr>
            </w:pPr>
            <w:hyperlink w:anchor="page192">
              <w:r>
                <w:rPr>
                  <w:rFonts w:ascii="Arial" w:cs="Arial" w:eastAsia="Arial" w:hAnsi="Arial"/>
                  <w:sz w:val="18"/>
                  <w:szCs w:val="18"/>
                  <w:color w:val="0000EE"/>
                </w:rPr>
                <w:t>MATERIAL DIFFERENCES BETWEEN THE BUSINESS</w:t>
              </w:r>
            </w:hyperlink>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960" w:type="dxa"/>
            <w:vAlign w:val="bottom"/>
            <w:gridSpan w:val="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STATEMENTS</w:t>
              </w:r>
            </w:hyperlink>
          </w:p>
        </w:tc>
        <w:tc>
          <w:tcPr>
            <w:tcW w:w="780" w:type="dxa"/>
            <w:vAlign w:val="bottom"/>
            <w:gridSpan w:val="2"/>
          </w:tcPr>
          <w:p>
            <w:pPr>
              <w:spacing w:after="0"/>
              <w:rPr>
                <w:sz w:val="17"/>
                <w:szCs w:val="17"/>
                <w:color w:val="auto"/>
              </w:rPr>
            </w:pPr>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gridSpan w:val="8"/>
          </w:tcPr>
          <w:p>
            <w:pPr>
              <w:spacing w:after="0" w:line="196" w:lineRule="exact"/>
              <w:rPr>
                <w:rFonts w:ascii="Arial" w:cs="Arial" w:eastAsia="Arial" w:hAnsi="Arial"/>
                <w:sz w:val="18"/>
                <w:szCs w:val="18"/>
                <w:color w:val="0000EE"/>
                <w:w w:val="99"/>
              </w:rPr>
            </w:pPr>
            <w:hyperlink w:anchor="page192">
              <w:r>
                <w:rPr>
                  <w:rFonts w:ascii="Arial" w:cs="Arial" w:eastAsia="Arial" w:hAnsi="Arial"/>
                  <w:sz w:val="18"/>
                  <w:szCs w:val="18"/>
                  <w:color w:val="0000EE"/>
                  <w:w w:val="99"/>
                </w:rPr>
                <w:t>CORPORATIONS ACT (QUÉBEC) AND THE DELAWARE</w:t>
              </w:r>
            </w:hyperlink>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8"/>
          </w:tcPr>
          <w:p>
            <w:pPr>
              <w:spacing w:after="0" w:line="196" w:lineRule="exact"/>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MARKET AND INDUSTRY DATA</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80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gridSpan w:val="8"/>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GENERAL CORPORATION LAW</w:t>
              </w:r>
            </w:hyperlink>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492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8"/>
          </w:tcPr>
          <w:p>
            <w:pPr>
              <w:spacing w:after="0" w:line="196" w:lineRule="exact"/>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USE OF PROCEEDS</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81</w:t>
            </w:r>
          </w:p>
        </w:tc>
        <w:tc>
          <w:tcPr>
            <w:tcW w:w="200" w:type="dxa"/>
            <w:vAlign w:val="bottom"/>
          </w:tcPr>
          <w:p>
            <w:pPr>
              <w:spacing w:after="0"/>
              <w:rPr>
                <w:sz w:val="17"/>
                <w:szCs w:val="17"/>
                <w:color w:val="auto"/>
              </w:rPr>
            </w:pPr>
          </w:p>
        </w:tc>
        <w:tc>
          <w:tcPr>
            <w:tcW w:w="4860" w:type="dxa"/>
            <w:vAlign w:val="bottom"/>
            <w:gridSpan w:val="9"/>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MATERIAL U.S. FEDERAL INCOME TAX</w:t>
              </w:r>
            </w:hyperlink>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8"/>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DIVIDEND POLICY</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80" w:type="dxa"/>
            <w:vAlign w:val="bottom"/>
            <w:gridSpan w:val="8"/>
          </w:tcPr>
          <w:p>
            <w:pPr>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CONSIDERATIONS FOR U.S. HOLDERS</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90"/>
        </w:trPr>
        <w:tc>
          <w:tcPr>
            <w:tcW w:w="4920" w:type="dxa"/>
            <w:vAlign w:val="bottom"/>
            <w:gridSpan w:val="8"/>
          </w:tcPr>
          <w:p>
            <w:pPr>
              <w:spacing w:after="0" w:line="190" w:lineRule="exact"/>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CAPITALIZATION</w:t>
              </w:r>
            </w:hyperlink>
          </w:p>
        </w:tc>
        <w:tc>
          <w:tcPr>
            <w:tcW w:w="600" w:type="dxa"/>
            <w:vAlign w:val="bottom"/>
            <w:gridSpan w:val="2"/>
          </w:tcPr>
          <w:p>
            <w:pPr>
              <w:jc w:val="right"/>
              <w:ind w:right="200"/>
              <w:spacing w:after="0" w:line="190" w:lineRule="exact"/>
              <w:rPr>
                <w:sz w:val="20"/>
                <w:szCs w:val="20"/>
                <w:color w:val="auto"/>
              </w:rPr>
            </w:pPr>
            <w:r>
              <w:rPr>
                <w:rFonts w:ascii="Arial" w:cs="Arial" w:eastAsia="Arial" w:hAnsi="Arial"/>
                <w:sz w:val="18"/>
                <w:szCs w:val="18"/>
                <w:color w:val="auto"/>
              </w:rPr>
              <w:t>83</w:t>
            </w:r>
          </w:p>
        </w:tc>
        <w:tc>
          <w:tcPr>
            <w:tcW w:w="200" w:type="dxa"/>
            <w:vAlign w:val="bottom"/>
          </w:tcPr>
          <w:p>
            <w:pPr>
              <w:spacing w:after="0"/>
              <w:rPr>
                <w:sz w:val="16"/>
                <w:szCs w:val="16"/>
                <w:color w:val="auto"/>
              </w:rPr>
            </w:pPr>
          </w:p>
        </w:tc>
        <w:tc>
          <w:tcPr>
            <w:tcW w:w="4860" w:type="dxa"/>
            <w:vAlign w:val="bottom"/>
            <w:gridSpan w:val="9"/>
          </w:tcPr>
          <w:p>
            <w:pPr>
              <w:spacing w:after="0" w:line="190" w:lineRule="exact"/>
              <w:rPr>
                <w:rFonts w:ascii="Arial" w:cs="Arial" w:eastAsia="Arial" w:hAnsi="Arial"/>
                <w:sz w:val="18"/>
                <w:szCs w:val="18"/>
                <w:color w:val="0000EE"/>
              </w:rPr>
            </w:pPr>
            <w:hyperlink w:anchor="page210">
              <w:r>
                <w:rPr>
                  <w:rFonts w:ascii="Arial" w:cs="Arial" w:eastAsia="Arial" w:hAnsi="Arial"/>
                  <w:sz w:val="18"/>
                  <w:szCs w:val="18"/>
                  <w:color w:val="0000EE"/>
                </w:rPr>
                <w:t>MATERIAL CANADIAN FEDERAL INCOME TAX</w:t>
              </w:r>
            </w:hyperlink>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gridSpan w:val="8"/>
          </w:tcPr>
          <w:p>
            <w:pPr>
              <w:spacing w:after="0" w:line="196" w:lineRule="exact"/>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DILUTION</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85</w:t>
            </w:r>
          </w:p>
        </w:tc>
        <w:tc>
          <w:tcPr>
            <w:tcW w:w="2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210">
              <w:r>
                <w:rPr>
                  <w:rFonts w:ascii="Arial" w:cs="Arial" w:eastAsia="Arial" w:hAnsi="Arial"/>
                  <w:sz w:val="18"/>
                  <w:szCs w:val="18"/>
                  <w:color w:val="0000EE"/>
                  <w:w w:val="93"/>
                </w:rPr>
                <w:t>CONSIDERATIONS</w:t>
              </w:r>
            </w:hyperlink>
          </w:p>
        </w:tc>
        <w:tc>
          <w:tcPr>
            <w:tcW w:w="2200" w:type="dxa"/>
            <w:vAlign w:val="bottom"/>
            <w:tcBorders>
              <w:top w:val="single" w:sz="8" w:color="0000EE"/>
            </w:tcBorders>
            <w:gridSpan w:val="3"/>
          </w:tcPr>
          <w:p>
            <w:pPr>
              <w:spacing w:after="0"/>
              <w:rPr>
                <w:sz w:val="17"/>
                <w:szCs w:val="17"/>
                <w:color w:val="auto"/>
              </w:rPr>
            </w:pPr>
          </w:p>
        </w:tc>
        <w:tc>
          <w:tcPr>
            <w:tcW w:w="940" w:type="dxa"/>
            <w:vAlign w:val="bottom"/>
            <w:gridSpan w:val="3"/>
          </w:tcPr>
          <w:p>
            <w:pPr>
              <w:spacing w:after="0"/>
              <w:rPr>
                <w:sz w:val="17"/>
                <w:szCs w:val="17"/>
                <w:color w:val="auto"/>
              </w:rPr>
            </w:pPr>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2"/>
        </w:trPr>
        <w:tc>
          <w:tcPr>
            <w:tcW w:w="4920" w:type="dxa"/>
            <w:vAlign w:val="bottom"/>
            <w:gridSpan w:val="8"/>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SELECTED CONSOLIDATED FINANCIAL DATA</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5060" w:type="dxa"/>
            <w:vAlign w:val="bottom"/>
            <w:gridSpan w:val="10"/>
          </w:tcPr>
          <w:p>
            <w:pPr>
              <w:ind w:left="200"/>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UNDERWRITING</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90"/>
        </w:trPr>
        <w:tc>
          <w:tcPr>
            <w:tcW w:w="4920" w:type="dxa"/>
            <w:vAlign w:val="bottom"/>
            <w:gridSpan w:val="8"/>
          </w:tcPr>
          <w:p>
            <w:pPr>
              <w:spacing w:after="0" w:line="190" w:lineRule="exact"/>
              <w:rPr>
                <w:rFonts w:ascii="Arial" w:cs="Arial" w:eastAsia="Arial" w:hAnsi="Arial"/>
                <w:sz w:val="18"/>
                <w:szCs w:val="18"/>
                <w:color w:val="0000EE"/>
              </w:rPr>
            </w:pPr>
            <w:hyperlink w:anchor="page93">
              <w:r>
                <w:rPr>
                  <w:rFonts w:ascii="Arial" w:cs="Arial" w:eastAsia="Arial" w:hAnsi="Arial"/>
                  <w:sz w:val="18"/>
                  <w:szCs w:val="18"/>
                  <w:color w:val="0000EE"/>
                </w:rPr>
                <w:t>MANAGEMENT’S DISCUSSION AND ANALYSIS OF</w:t>
              </w:r>
            </w:hyperlink>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60" w:type="dxa"/>
            <w:vAlign w:val="bottom"/>
            <w:gridSpan w:val="10"/>
          </w:tcPr>
          <w:p>
            <w:pPr>
              <w:ind w:left="200"/>
              <w:spacing w:after="0" w:line="190" w:lineRule="exact"/>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LEGAL MATTERS</w:t>
              </w:r>
            </w:hyperlink>
          </w:p>
        </w:tc>
        <w:tc>
          <w:tcPr>
            <w:tcW w:w="58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FINANCIAL CONDITION AND RESULTS OF</w:t>
              </w:r>
            </w:hyperlink>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60" w:type="dxa"/>
            <w:vAlign w:val="bottom"/>
            <w:gridSpan w:val="10"/>
          </w:tcPr>
          <w:p>
            <w:pPr>
              <w:ind w:left="200"/>
              <w:spacing w:after="0" w:line="196" w:lineRule="exact"/>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EXPERTS</w:t>
              </w:r>
            </w:hyperlink>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OPERATIONS</w:t>
              </w:r>
            </w:hyperlink>
          </w:p>
        </w:tc>
        <w:tc>
          <w:tcPr>
            <w:tcW w:w="1220" w:type="dxa"/>
            <w:vAlign w:val="bottom"/>
            <w:gridSpan w:val="4"/>
          </w:tcPr>
          <w:p>
            <w:pPr>
              <w:spacing w:after="0"/>
              <w:rPr>
                <w:sz w:val="17"/>
                <w:szCs w:val="17"/>
                <w:color w:val="auto"/>
              </w:rPr>
            </w:pPr>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90</w:t>
            </w:r>
          </w:p>
        </w:tc>
        <w:tc>
          <w:tcPr>
            <w:tcW w:w="5060" w:type="dxa"/>
            <w:vAlign w:val="bottom"/>
            <w:gridSpan w:val="10"/>
          </w:tcPr>
          <w:p>
            <w:pPr>
              <w:ind w:left="200"/>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SERVICE OF PROCESS AND ENFORCEMENT OF</w:t>
              </w:r>
            </w:hyperlink>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8"/>
          </w:tcPr>
          <w:p>
            <w:pPr>
              <w:spacing w:after="0" w:line="196" w:lineRule="exact"/>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BUSINESS</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111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gridSpan w:val="8"/>
          </w:tcPr>
          <w:p>
            <w:pPr>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LIABILITIES</w:t>
              </w:r>
            </w:hyperlink>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492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8"/>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MANAGEMENT</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5060" w:type="dxa"/>
            <w:vAlign w:val="bottom"/>
            <w:gridSpan w:val="10"/>
          </w:tcPr>
          <w:p>
            <w:pPr>
              <w:ind w:left="200"/>
              <w:spacing w:after="0"/>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WHERE YOU CAN FIND ADDITIONAL INFORMATION</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4920" w:type="dxa"/>
            <w:vAlign w:val="bottom"/>
            <w:gridSpan w:val="8"/>
          </w:tcPr>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EXECUTIVE COMPENSATION</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5060" w:type="dxa"/>
            <w:vAlign w:val="bottom"/>
            <w:gridSpan w:val="10"/>
          </w:tcPr>
          <w:p>
            <w:pPr>
              <w:ind w:left="200"/>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INDEX TO FINANCIAL STATEMENTS</w:t>
              </w:r>
            </w:hyperlink>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0"/>
        </w:trPr>
        <w:tc>
          <w:tcPr>
            <w:tcW w:w="4920" w:type="dxa"/>
            <w:vAlign w:val="bottom"/>
            <w:gridSpan w:val="8"/>
          </w:tcPr>
          <w:p>
            <w:pPr>
              <w:spacing w:after="0" w:line="190" w:lineRule="exact"/>
              <w:rPr>
                <w:rFonts w:ascii="Arial" w:cs="Arial" w:eastAsia="Arial" w:hAnsi="Arial"/>
                <w:sz w:val="18"/>
                <w:szCs w:val="18"/>
                <w:color w:val="0000EE"/>
              </w:rPr>
            </w:pPr>
            <w:hyperlink w:anchor="page176">
              <w:r>
                <w:rPr>
                  <w:rFonts w:ascii="Arial" w:cs="Arial" w:eastAsia="Arial" w:hAnsi="Arial"/>
                  <w:sz w:val="18"/>
                  <w:szCs w:val="18"/>
                  <w:color w:val="0000EE"/>
                </w:rPr>
                <w:t>CERTAIN RELATIONSHIPS AND RELATED PARTY</w:t>
              </w:r>
            </w:hyperlink>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176">
              <w:r>
                <w:rPr>
                  <w:rFonts w:ascii="Arial" w:cs="Arial" w:eastAsia="Arial" w:hAnsi="Arial"/>
                  <w:sz w:val="18"/>
                  <w:szCs w:val="18"/>
                  <w:color w:val="0000EE"/>
                  <w:w w:val="94"/>
                </w:rPr>
                <w:t>TRANSACTIONS</w:t>
              </w:r>
            </w:hyperlink>
          </w:p>
        </w:tc>
        <w:tc>
          <w:tcPr>
            <w:tcW w:w="2500" w:type="dxa"/>
            <w:vAlign w:val="bottom"/>
            <w:tcBorders>
              <w:top w:val="single" w:sz="8" w:color="0000EE"/>
            </w:tcBorders>
            <w:gridSpan w:val="2"/>
          </w:tcPr>
          <w:p>
            <w:pPr>
              <w:spacing w:after="0"/>
              <w:rPr>
                <w:sz w:val="17"/>
                <w:szCs w:val="17"/>
                <w:color w:val="auto"/>
              </w:rPr>
            </w:pPr>
          </w:p>
        </w:tc>
        <w:tc>
          <w:tcPr>
            <w:tcW w:w="880" w:type="dxa"/>
            <w:vAlign w:val="bottom"/>
            <w:gridSpan w:val="3"/>
          </w:tcPr>
          <w:p>
            <w:pPr>
              <w:spacing w:after="0"/>
              <w:rPr>
                <w:sz w:val="17"/>
                <w:szCs w:val="17"/>
                <w:color w:val="auto"/>
              </w:rPr>
            </w:pPr>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173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920" w:type="dxa"/>
            <w:vAlign w:val="bottom"/>
            <w:gridSpan w:val="8"/>
          </w:tcPr>
          <w:p>
            <w:pPr>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PRINCIPAL SHAREHOLDERS</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316865</wp:posOffset>
            </wp:positionV>
            <wp:extent cx="1491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 xml:space="preserve">“Repare Therapeutics” and the Repare logo appearing in this prospectus are unregistered trademarks and SNIPRx is a registered trademark of Repare Therapeutics Inc. All other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should not be construed as any indicator that their respective owners will not assert their rights thereto.</w:t>
      </w:r>
    </w:p>
    <w:p>
      <w:pPr>
        <w:spacing w:after="0" w:line="18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common shares. Our business, financial condition, results of operations and prospects may have changed since that date.</w:t>
      </w:r>
    </w:p>
    <w:p>
      <w:pPr>
        <w:spacing w:after="0" w:line="178"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ectPr>
          <w:pgSz w:w="11900" w:h="16838" w:orient="portrait"/>
          <w:cols w:equalWidth="0" w:num="1">
            <w:col w:w="11220"/>
          </w:cols>
          <w:pgMar w:left="32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3962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53962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60" w:firstLine="434"/>
        <w:spacing w:after="0" w:line="273" w:lineRule="auto"/>
        <w:rPr>
          <w:sz w:val="20"/>
          <w:szCs w:val="20"/>
          <w:color w:val="auto"/>
        </w:rPr>
      </w:pPr>
      <w:r>
        <w:rPr>
          <w:rFonts w:ascii="Arial" w:cs="Arial" w:eastAsia="Arial" w:hAnsi="Arial"/>
          <w:sz w:val="17"/>
          <w:szCs w:val="17"/>
          <w:i w:val="1"/>
          <w:iCs w:val="1"/>
          <w:color w:val="auto"/>
        </w:rPr>
        <w:t>This summary highlights, and is qualified in its entirety by, the more detailed information contained elsewhere in this prospectus. This summary is not complete and does not contain all of the information you should consider in making your investment decision. Before investing in our common shares, you should carefully read this entire prospectus, especially the sections titled “Risk Factors” and “Management’s Discussion and Analysis of Financial Condition and Results of Operations” and our consolidated financial statements and the related notes included elsewhere in this prospectus. Unless the context otherwise requires, the terms “Repare,” “Repare Therapeutics,” “the company,” “we,” “us,” “our” and similar references in this prospectus refer to Repare Therapeutics Inc. and its consolidated subsidiary.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00" w:firstLine="434"/>
        <w:spacing w:after="0" w:line="290" w:lineRule="auto"/>
        <w:rPr>
          <w:sz w:val="20"/>
          <w:szCs w:val="20"/>
          <w:color w:val="auto"/>
        </w:rPr>
      </w:pPr>
      <w:r>
        <w:rPr>
          <w:rFonts w:ascii="Arial" w:cs="Arial" w:eastAsia="Arial" w:hAnsi="Arial"/>
          <w:sz w:val="16"/>
          <w:szCs w:val="16"/>
          <w:color w:val="auto"/>
        </w:rPr>
        <w:t>We are a leading precision oncology company enabled by our proprietary synthetic lethality approach to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susceptible to therapeutic intervention targeting the other gene pair. Using our SNIPRx platform, we are developing our pipeline of SL product candidates, including our lead product candidate, RP-3500, an oral small molecule inhibitor for the treatment of solid tumors with specific DNA damage repair-related genomic alterations. We anticipate filing an investigational new drug, or IND, application in the second quarter of 2020 and initiating an open-label Phase 1/2 clinical trial of RP-3500 in the third quarter of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 believe our powerful SL-based approach to the development of new precision oncology therapeutics has multiple potential benefits:</w:t>
      </w:r>
    </w:p>
    <w:p>
      <w:pPr>
        <w:spacing w:after="0" w:line="127" w:lineRule="exact"/>
        <w:rPr>
          <w:sz w:val="20"/>
          <w:szCs w:val="20"/>
          <w:color w:val="auto"/>
        </w:rPr>
      </w:pPr>
    </w:p>
    <w:p>
      <w:pPr>
        <w:ind w:left="1160" w:hanging="53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Ability to address previously untargetable tumor biology</w:t>
      </w:r>
      <w:r>
        <w:rPr>
          <w:rFonts w:ascii="Arial" w:cs="Arial" w:eastAsia="Arial" w:hAnsi="Arial"/>
          <w:sz w:val="18"/>
          <w:szCs w:val="18"/>
          <w:color w:val="auto"/>
        </w:rPr>
        <w:t>, including, for example, loss-of-function mutations;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Enhanced benefit-risk profile</w:t>
      </w:r>
      <w:r>
        <w:rPr>
          <w:rFonts w:ascii="Arial" w:cs="Arial" w:eastAsia="Arial" w:hAnsi="Arial"/>
          <w:sz w:val="16"/>
          <w:szCs w:val="16"/>
          <w:color w:val="auto"/>
        </w:rPr>
        <w:t>, by precisely targeting tumor cells with the defined mutation while sparing normal, non-cancerous cells;</w:t>
      </w:r>
    </w:p>
    <w:p>
      <w:pPr>
        <w:spacing w:after="0" w:line="153" w:lineRule="exact"/>
        <w:rPr>
          <w:rFonts w:ascii="Arial" w:cs="Arial" w:eastAsia="Arial" w:hAnsi="Arial"/>
          <w:sz w:val="16"/>
          <w:szCs w:val="16"/>
          <w:color w:val="auto"/>
        </w:rPr>
      </w:pPr>
    </w:p>
    <w:p>
      <w:pPr>
        <w:ind w:left="1160" w:hanging="53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Genetic stratification of patients</w:t>
      </w:r>
      <w:r>
        <w:rPr>
          <w:rFonts w:ascii="Arial" w:cs="Arial" w:eastAsia="Arial" w:hAnsi="Arial"/>
          <w:sz w:val="18"/>
          <w:szCs w:val="18"/>
          <w:color w:val="auto"/>
        </w:rPr>
        <w:t>, potentially enabling higher response rates;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Tumor-agnostic approach</w:t>
      </w:r>
      <w:r>
        <w:rPr>
          <w:rFonts w:ascii="Arial" w:cs="Arial" w:eastAsia="Arial" w:hAnsi="Arial"/>
          <w:sz w:val="18"/>
          <w:szCs w:val="18"/>
          <w:color w:val="auto"/>
        </w:rPr>
        <w:t>, focusing on specific genetics and enabling the application to multiple tumor types.</w:t>
      </w:r>
    </w:p>
    <w:p>
      <w:pPr>
        <w:spacing w:after="0" w:line="229" w:lineRule="exact"/>
        <w:rPr>
          <w:sz w:val="20"/>
          <w:szCs w:val="20"/>
          <w:color w:val="auto"/>
        </w:rPr>
      </w:pPr>
    </w:p>
    <w:p>
      <w:pPr>
        <w:ind w:left="200" w:firstLine="434"/>
        <w:spacing w:after="0" w:line="289" w:lineRule="auto"/>
        <w:rPr>
          <w:sz w:val="20"/>
          <w:szCs w:val="20"/>
          <w:color w:val="auto"/>
        </w:rPr>
      </w:pPr>
      <w:r>
        <w:rPr>
          <w:rFonts w:ascii="Arial" w:cs="Arial" w:eastAsia="Arial" w:hAnsi="Arial"/>
          <w:sz w:val="16"/>
          <w:szCs w:val="16"/>
          <w:color w:val="auto"/>
        </w:rPr>
        <w:t>A cornerstone of our company is our SNIPRx platform, which enables us to accurately identify SL gene pairs and the corresponding patients who are most likely to benefit from our therapies based on the genetic profile of their tumors. These differentiated patient selection insights have driven the development of our lead product candidate, RP-3500, which is designed as a selective inhibitor of the DNA repair protein ataxia telangiectasia and Rad3-related protein, or ATR, a kinase that is activated by DNA replication stress. Tumors containing alterations in genes encoding other DNA repair proteins, such as ataxia-telangiectasia mutated kinase, or ATM, are SL with ATR inhibition and were observed to be hypersensitive to RP-3500 in our preclinical models. We believe that the preclinical selectivity and pharmacokinetic properties of RP-3500 support the profile of a differentiated therapy with the potential to enhance anti-tumor activity as compared to third party ATR inhibitors currently in development. Based on our preclinical studies, we believe RP-3500 has the potential to provide therapeutic benefit to identified patient populations both as a monotherapy and in combination with other therapies such as poly (ADP-ribose) polymerase, or PARP, inhibitors.</w:t>
      </w:r>
    </w:p>
    <w:p>
      <w:pPr>
        <w:spacing w:after="0" w:line="200" w:lineRule="exact"/>
        <w:rPr>
          <w:sz w:val="20"/>
          <w:szCs w:val="20"/>
          <w:color w:val="auto"/>
        </w:rPr>
      </w:pPr>
    </w:p>
    <w:p>
      <w:pPr>
        <w:spacing w:after="0" w:line="3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9" w:right="5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38100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3810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60" w:firstLine="434"/>
        <w:spacing w:after="0" w:line="255" w:lineRule="auto"/>
        <w:rPr>
          <w:sz w:val="20"/>
          <w:szCs w:val="20"/>
          <w:color w:val="auto"/>
        </w:rPr>
      </w:pPr>
      <w:r>
        <w:rPr>
          <w:rFonts w:ascii="Arial" w:cs="Arial" w:eastAsia="Arial" w:hAnsi="Arial"/>
          <w:sz w:val="18"/>
          <w:szCs w:val="18"/>
          <w:color w:val="auto"/>
        </w:rPr>
        <w:t>In addition to RP-3500, we are developing a portfolio of product candidates based on targets identified using our SNIPRx platform to treat cancers with a high unmet medical need. We have a preclinical program that is focused on a novel target we discovered to be SL with amplification of cyclin E1, or CCNE1, in tumors such as gynecological and upper gastrointestinal malignancies. We anticipate advancing a clinical candidate for this potential first-in-class program into IND-enabling studies in the fourth quarter of 2020. We are also developing an inhibitor of polymerase theta, or Polq, which is SL with multiple gene deficiencies found in tumors, including BRCA1 or BRCA2. We anticipate advancing a clinical candidate and initiating IND-enabling studies for this program in the second half of 2021.</w:t>
      </w:r>
    </w:p>
    <w:p>
      <w:pPr>
        <w:spacing w:after="0" w:line="192" w:lineRule="exact"/>
        <w:rPr>
          <w:sz w:val="20"/>
          <w:szCs w:val="20"/>
          <w:color w:val="auto"/>
        </w:rPr>
      </w:pPr>
    </w:p>
    <w:p>
      <w:pPr>
        <w:ind w:left="200" w:right="100" w:firstLine="434"/>
        <w:spacing w:after="0" w:line="277" w:lineRule="auto"/>
        <w:rPr>
          <w:sz w:val="20"/>
          <w:szCs w:val="20"/>
          <w:color w:val="auto"/>
        </w:rPr>
      </w:pPr>
      <w:r>
        <w:rPr>
          <w:rFonts w:ascii="Arial" w:cs="Arial" w:eastAsia="Arial" w:hAnsi="Arial"/>
          <w:sz w:val="18"/>
          <w:szCs w:val="18"/>
          <w:color w:val="auto"/>
        </w:rPr>
        <w:t>The core of our SNIPRx platform is the ability to identify both known and novel SL targets. We have built our SNIPRx platform based on three primary pillars:</w:t>
      </w:r>
    </w:p>
    <w:p>
      <w:pPr>
        <w:spacing w:after="0" w:line="76" w:lineRule="exact"/>
        <w:rPr>
          <w:sz w:val="20"/>
          <w:szCs w:val="20"/>
          <w:color w:val="auto"/>
        </w:rPr>
      </w:pPr>
    </w:p>
    <w:p>
      <w:pPr>
        <w:ind w:left="1160" w:right="680" w:hanging="345"/>
        <w:spacing w:after="0" w:line="277" w:lineRule="auto"/>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Identify </w:t>
      </w:r>
      <w:r>
        <w:rPr>
          <w:rFonts w:ascii="Arial" w:cs="Arial" w:eastAsia="Arial" w:hAnsi="Arial"/>
          <w:sz w:val="18"/>
          <w:szCs w:val="18"/>
          <w:color w:val="auto"/>
        </w:rPr>
        <w:t>novel SL targets using our proprietary, genome-wide, CRISPR-enabled screening technology against clinically relevant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genomic alterations in tumors with high unmet medical need;</w:t>
      </w:r>
    </w:p>
    <w:p>
      <w:pPr>
        <w:spacing w:after="0" w:line="75" w:lineRule="exact"/>
        <w:rPr>
          <w:rFonts w:ascii="Arial" w:cs="Arial" w:eastAsia="Arial" w:hAnsi="Arial"/>
          <w:sz w:val="18"/>
          <w:szCs w:val="18"/>
          <w:b w:val="1"/>
          <w:bCs w:val="1"/>
          <w:color w:val="auto"/>
        </w:rPr>
      </w:pPr>
    </w:p>
    <w:p>
      <w:pPr>
        <w:ind w:left="1160" w:hanging="345"/>
        <w:spacing w:after="0"/>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Design and synthesize </w:t>
      </w:r>
      <w:r>
        <w:rPr>
          <w:rFonts w:ascii="Arial" w:cs="Arial" w:eastAsia="Arial" w:hAnsi="Arial"/>
          <w:sz w:val="18"/>
          <w:szCs w:val="18"/>
          <w:color w:val="auto"/>
        </w:rPr>
        <w:t>potent and selective small molecule inhibitors of these targets; and</w:t>
      </w:r>
    </w:p>
    <w:p>
      <w:pPr>
        <w:spacing w:after="0" w:line="130" w:lineRule="exact"/>
        <w:rPr>
          <w:rFonts w:ascii="Arial" w:cs="Arial" w:eastAsia="Arial" w:hAnsi="Arial"/>
          <w:sz w:val="18"/>
          <w:szCs w:val="18"/>
          <w:b w:val="1"/>
          <w:bCs w:val="1"/>
          <w:color w:val="auto"/>
        </w:rPr>
      </w:pPr>
    </w:p>
    <w:p>
      <w:pPr>
        <w:ind w:left="1160" w:right="300" w:hanging="345"/>
        <w:spacing w:after="0" w:line="277" w:lineRule="auto"/>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Expand </w:t>
      </w:r>
      <w:r>
        <w:rPr>
          <w:rFonts w:ascii="Arial" w:cs="Arial" w:eastAsia="Arial" w:hAnsi="Arial"/>
          <w:sz w:val="18"/>
          <w:szCs w:val="18"/>
          <w:color w:val="auto"/>
        </w:rPr>
        <w:t>beyond the initial target patient population based on the additional genomic alterations identified by our proprietary SNIPRx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Targeted Expansion of Patient Populations, or STEP</w:t>
      </w:r>
      <w:r>
        <w:rPr>
          <w:rFonts w:ascii="Arial" w:cs="Arial" w:eastAsia="Arial" w:hAnsi="Arial"/>
          <w:sz w:val="15"/>
          <w:szCs w:val="15"/>
          <w:color w:val="auto"/>
        </w:rPr>
        <w:t>2</w:t>
      </w:r>
      <w:r>
        <w:rPr>
          <w:rFonts w:ascii="Arial" w:cs="Arial" w:eastAsia="Arial" w:hAnsi="Arial"/>
          <w:sz w:val="18"/>
          <w:szCs w:val="18"/>
          <w:color w:val="auto"/>
        </w:rPr>
        <w:t>, screens that are SL with our inhibitors.</w:t>
      </w:r>
    </w:p>
    <w:p>
      <w:pPr>
        <w:spacing w:after="0" w:line="170" w:lineRule="exact"/>
        <w:rPr>
          <w:sz w:val="20"/>
          <w:szCs w:val="20"/>
          <w:color w:val="auto"/>
        </w:rPr>
      </w:pPr>
    </w:p>
    <w:p>
      <w:pPr>
        <w:ind w:left="200" w:firstLine="434"/>
        <w:spacing w:after="0" w:line="270" w:lineRule="auto"/>
        <w:rPr>
          <w:sz w:val="20"/>
          <w:szCs w:val="20"/>
          <w:color w:val="auto"/>
        </w:rPr>
      </w:pPr>
      <w:r>
        <w:rPr>
          <w:rFonts w:ascii="Arial" w:cs="Arial" w:eastAsia="Arial" w:hAnsi="Arial"/>
          <w:sz w:val="17"/>
          <w:szCs w:val="17"/>
          <w:color w:val="auto"/>
        </w:rPr>
        <w:t>In May 2020, we entered into a collaboration and license agreement with Bristol-Myers Squibb Company, or Bristol Myers Squibb, pursuant to which we and Bristol Myers Squibb have agreed to collaborate in the research and development of potential new product candidates for the treatment of cancer. We are providing Bristol Myers Squibb access to a selected number of our existing early SNIPRx screening campaigns and novel campaigns. The collaboration consists of programs directed to both druggable targets and to targets commonly considered undruggable by traditional small molecule approaches. As part of the agreement, Bristol Myers Squibb agreed to pay us an initial upfront fee payment of $50.0 million, as well as to make an equity investment of $15.0 million into our company. We will also be eligible to receive up to to $3.0 billion in total milestones across all potential programs. Such milestones consist of $301 million in total milestones per program subject upon the achievement of certain specified research, development, regulatory and commercial milestones. See “Business—Collaborations and License Agreements—Collaboration and License Agreement with Bristol-Myers Squibb Company”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37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3734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200" w:right="440" w:firstLine="434"/>
        <w:spacing w:after="0" w:line="277" w:lineRule="auto"/>
        <w:rPr>
          <w:sz w:val="20"/>
          <w:szCs w:val="20"/>
          <w:color w:val="auto"/>
        </w:rPr>
      </w:pPr>
      <w:r>
        <w:rPr>
          <w:rFonts w:ascii="Arial" w:cs="Arial" w:eastAsia="Arial" w:hAnsi="Arial"/>
          <w:sz w:val="18"/>
          <w:szCs w:val="18"/>
          <w:color w:val="auto"/>
        </w:rPr>
        <w:t>We are leveraging our proprietary SNIPRx platform to discover, validate and build a robust pipeline of SL-based therapeutics. Our current pipeline is represented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20" w:hanging="426"/>
        <w:spacing w:after="0" w:line="263"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Ono Pharmaceutical has development and commercialization rights in Japan, South Korea, Taiwan, Hong Kong, Macau and certain other Southeast Asian countries. We retained all other rights outside of those countries. See “Business—Research Services, License and Collaboration Agreement with Ono Pharmaceutical Co.” for additional information.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on Targeted Oncology Therapeutics</w:t>
      </w:r>
    </w:p>
    <w:p>
      <w:pPr>
        <w:spacing w:after="0" w:line="121" w:lineRule="exact"/>
        <w:rPr>
          <w:sz w:val="20"/>
          <w:szCs w:val="20"/>
          <w:color w:val="auto"/>
        </w:rPr>
      </w:pPr>
    </w:p>
    <w:p>
      <w:pPr>
        <w:ind w:left="200" w:right="60" w:firstLine="434"/>
        <w:spacing w:after="0" w:line="255" w:lineRule="auto"/>
        <w:rPr>
          <w:sz w:val="20"/>
          <w:szCs w:val="20"/>
          <w:color w:val="auto"/>
        </w:rPr>
      </w:pPr>
      <w:r>
        <w:rPr>
          <w:rFonts w:ascii="Arial" w:cs="Arial" w:eastAsia="Arial" w:hAnsi="Arial"/>
          <w:sz w:val="18"/>
          <w:szCs w:val="18"/>
          <w:color w:val="auto"/>
        </w:rPr>
        <w:t>A new generation of targeted oncology therapeutics has recently emerged that transcends single tumor, organ or histology-targeted cancers. These new therapies are tumor agnostic and are instead targeted at specific genomic alterations that underlie more complex tumor cell vulnerabilities. This has led to the approval of therapies that address specific genomic features of tumors, such as nTRK kinase inhibitors, including larotrectinib, for the treatment of tumors with nTRK gene fusions, and PD1 inhibitors, including pembrolizumab, for the treatment of tumors with microsatellite instability. This emerging trend for tumor-agnostic indications represents a breakthrough in drug development, clinical trial designs, drug approval patterns and speed to market.</w:t>
      </w:r>
    </w:p>
    <w:p>
      <w:pPr>
        <w:spacing w:after="0" w:line="192" w:lineRule="exact"/>
        <w:rPr>
          <w:sz w:val="20"/>
          <w:szCs w:val="20"/>
          <w:color w:val="auto"/>
        </w:rPr>
      </w:pPr>
    </w:p>
    <w:p>
      <w:pPr>
        <w:ind w:left="200" w:right="200" w:firstLine="434"/>
        <w:spacing w:after="0" w:line="259" w:lineRule="auto"/>
        <w:rPr>
          <w:sz w:val="20"/>
          <w:szCs w:val="20"/>
          <w:color w:val="auto"/>
        </w:rPr>
      </w:pPr>
      <w:r>
        <w:rPr>
          <w:rFonts w:ascii="Arial" w:cs="Arial" w:eastAsia="Arial" w:hAnsi="Arial"/>
          <w:sz w:val="18"/>
          <w:szCs w:val="18"/>
          <w:color w:val="auto"/>
        </w:rPr>
        <w:t>Oncology drug development has been primarily focused on genes with readily druggable alterations that confer new or enhanced protein activity, known as gain-of-function targets, such as EGFR, which represent only 29% of targets in oncology. The remaining 71% of targets have historically been considered undruggable. These include both gain-of-function alterations (approximately 17%), such as CCNE1, as well as loss-of-function alterations (approximately 54%), such as BRCA1.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320" w:top="459" w:right="5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4674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6467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580" w:firstLine="434"/>
        <w:spacing w:after="0" w:line="308" w:lineRule="auto"/>
        <w:rPr>
          <w:sz w:val="20"/>
          <w:szCs w:val="20"/>
          <w:color w:val="auto"/>
        </w:rPr>
      </w:pPr>
      <w:r>
        <w:rPr>
          <w:rFonts w:ascii="Arial" w:cs="Arial" w:eastAsia="Arial" w:hAnsi="Arial"/>
          <w:sz w:val="17"/>
          <w:szCs w:val="17"/>
          <w:color w:val="auto"/>
        </w:rPr>
        <w:t>The more recent ability to identify a tumor’s genetic vulnerabilities and networks of genes responsible for more complex gene functions underlying many cancers has been enabled through new and disruptive technical breakthroughs in the field including:</w:t>
      </w:r>
    </w:p>
    <w:p>
      <w:pPr>
        <w:spacing w:after="0" w:line="48" w:lineRule="exact"/>
        <w:rPr>
          <w:sz w:val="20"/>
          <w:szCs w:val="20"/>
          <w:color w:val="auto"/>
        </w:rPr>
      </w:pPr>
    </w:p>
    <w:p>
      <w:pPr>
        <w:ind w:left="1160" w:right="180" w:hanging="534"/>
        <w:spacing w:after="0" w:line="282"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Clinically-relevant tumor genomic data: </w:t>
      </w:r>
      <w:r>
        <w:rPr>
          <w:rFonts w:ascii="Arial" w:cs="Arial" w:eastAsia="Arial" w:hAnsi="Arial"/>
          <w:sz w:val="18"/>
          <w:szCs w:val="18"/>
          <w:color w:val="auto"/>
        </w:rPr>
        <w:t>the increasing adoption and regulatory acceptance of molecular tumor testing, enabling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profiling of patient tumors;</w:t>
      </w:r>
    </w:p>
    <w:p>
      <w:pPr>
        <w:spacing w:after="0" w:line="67" w:lineRule="exact"/>
        <w:rPr>
          <w:rFonts w:ascii="Arial" w:cs="Arial" w:eastAsia="Arial" w:hAnsi="Arial"/>
          <w:sz w:val="18"/>
          <w:szCs w:val="18"/>
          <w:color w:val="auto"/>
        </w:rPr>
      </w:pPr>
    </w:p>
    <w:p>
      <w:pPr>
        <w:ind w:left="1160" w:right="240" w:hanging="534"/>
        <w:spacing w:after="0" w:line="282"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and annotated databases: </w:t>
      </w:r>
      <w:r>
        <w:rPr>
          <w:rFonts w:ascii="Arial" w:cs="Arial" w:eastAsia="Arial" w:hAnsi="Arial"/>
          <w:sz w:val="18"/>
          <w:szCs w:val="18"/>
          <w:color w:val="auto"/>
        </w:rPr>
        <w:t>the availability of multiple new and publicly accessible databases that consolidate, analyze</w:t>
      </w:r>
      <w:r>
        <w:rPr>
          <w:rFonts w:ascii="Arial" w:cs="Arial" w:eastAsia="Arial" w:hAnsi="Arial"/>
          <w:sz w:val="18"/>
          <w:szCs w:val="18"/>
          <w:b w:val="1"/>
          <w:bCs w:val="1"/>
          <w:color w:val="auto"/>
        </w:rPr>
        <w:t xml:space="preserve"> </w:t>
      </w:r>
      <w:r>
        <w:rPr>
          <w:rFonts w:ascii="Arial" w:cs="Arial" w:eastAsia="Arial" w:hAnsi="Arial"/>
          <w:sz w:val="18"/>
          <w:szCs w:val="18"/>
          <w:color w:val="auto"/>
        </w:rPr>
        <w:t>and synthesize new genetic data on tens of thousands of tumors; and</w:t>
      </w:r>
    </w:p>
    <w:p>
      <w:pPr>
        <w:spacing w:after="0" w:line="67" w:lineRule="exact"/>
        <w:rPr>
          <w:rFonts w:ascii="Arial" w:cs="Arial" w:eastAsia="Arial" w:hAnsi="Arial"/>
          <w:sz w:val="18"/>
          <w:szCs w:val="18"/>
          <w:color w:val="auto"/>
        </w:rPr>
      </w:pPr>
    </w:p>
    <w:p>
      <w:pPr>
        <w:ind w:left="1160" w:right="40" w:hanging="534"/>
        <w:spacing w:after="0" w:line="282"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Tools to apply emerging genetic knowledge: </w:t>
      </w:r>
      <w:r>
        <w:rPr>
          <w:rFonts w:ascii="Arial" w:cs="Arial" w:eastAsia="Arial" w:hAnsi="Arial"/>
          <w:sz w:val="18"/>
          <w:szCs w:val="18"/>
          <w:color w:val="auto"/>
        </w:rPr>
        <w:t>the emergence of new tools and methodologies, including CRISPR/Cas9, enabling large-scale studies of genetic networks underlying cancer biology.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Synthetic Lethality Opportunity and Challenge</w:t>
      </w:r>
    </w:p>
    <w:p>
      <w:pPr>
        <w:spacing w:after="0" w:line="121" w:lineRule="exact"/>
        <w:rPr>
          <w:sz w:val="20"/>
          <w:szCs w:val="20"/>
          <w:color w:val="auto"/>
        </w:rPr>
      </w:pPr>
    </w:p>
    <w:p>
      <w:pPr>
        <w:ind w:left="200" w:right="120" w:firstLine="434"/>
        <w:spacing w:after="0" w:line="311" w:lineRule="auto"/>
        <w:rPr>
          <w:sz w:val="20"/>
          <w:szCs w:val="20"/>
          <w:color w:val="auto"/>
        </w:rPr>
      </w:pPr>
      <w:r>
        <w:rPr>
          <w:rFonts w:ascii="Arial" w:cs="Arial" w:eastAsia="Arial" w:hAnsi="Arial"/>
          <w:sz w:val="16"/>
          <w:szCs w:val="16"/>
          <w:color w:val="auto"/>
        </w:rPr>
        <w:t>Synthetic lethality is a powerful approach and opportunity in oncology drug development that combines two key principles in treating patients with cancer through precision oncology: (1) identifying and selecting patient subgroups with specific genomic alterations in tumors that are most likely to benefit from these therapies and (2) improving tolerability and reducing toxicity by not affecting normal, non-cancerous cells.</w:t>
      </w:r>
    </w:p>
    <w:p>
      <w:pPr>
        <w:spacing w:after="0" w:line="149" w:lineRule="exact"/>
        <w:rPr>
          <w:sz w:val="20"/>
          <w:szCs w:val="20"/>
          <w:color w:val="auto"/>
        </w:rPr>
      </w:pPr>
    </w:p>
    <w:p>
      <w:pPr>
        <w:jc w:val="both"/>
        <w:ind w:left="200" w:firstLine="434"/>
        <w:spacing w:after="0" w:line="311" w:lineRule="auto"/>
        <w:rPr>
          <w:sz w:val="20"/>
          <w:szCs w:val="20"/>
          <w:color w:val="auto"/>
        </w:rPr>
      </w:pPr>
      <w:r>
        <w:rPr>
          <w:rFonts w:ascii="Arial" w:cs="Arial" w:eastAsia="Arial" w:hAnsi="Arial"/>
          <w:sz w:val="16"/>
          <w:szCs w:val="16"/>
          <w:color w:val="auto"/>
        </w:rPr>
        <w:t>SL arises when deficiencies in a pair of genes occur simultaneously to result in cell death, but if that deficiency exists in only one gene, the cell will survive. As depicted below, cancer cells that contain an alteration in one gene of a SL pair are susceptible to therapeutic intervention targeting the other gene pair, resulting in cell death, whereas normal cells are not affected by the inhibition of the targeted gene and remain viable.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0" w:right="200" w:firstLine="434"/>
        <w:spacing w:after="0" w:line="257" w:lineRule="auto"/>
        <w:rPr>
          <w:sz w:val="20"/>
          <w:szCs w:val="20"/>
          <w:color w:val="auto"/>
        </w:rPr>
      </w:pPr>
      <w:r>
        <w:rPr>
          <w:rFonts w:ascii="Arial" w:cs="Arial" w:eastAsia="Arial" w:hAnsi="Arial"/>
          <w:sz w:val="18"/>
          <w:szCs w:val="18"/>
          <w:color w:val="auto"/>
        </w:rPr>
        <w:t>The first clinically-validated SL gene pair was PARP-BRCA1/2, and based on the efficacy of PARP inhibitors, the SL approach to treating cancer has achieved substantial commercial validation. Multiple PARP inhibitors, including olaparib (AstraZeneca), niraparib (GlaxoSmithKline), talazoparib (Pfizer) and rucaparib (Clovis), have been approved for the treatment of tumors with BRCA and other DNA damage repair alterations, including ovarian, breast and pancreatic cancers. These four drugs generated over $1.6 billion in worldwide sales in 2019 and are expected to reach over $6.1 billion in worldwide sales by 2024.</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320" w:top="459" w:right="5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562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65620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40" w:firstLine="434"/>
        <w:spacing w:after="0" w:line="263" w:lineRule="auto"/>
        <w:rPr>
          <w:sz w:val="20"/>
          <w:szCs w:val="20"/>
          <w:color w:val="auto"/>
        </w:rPr>
      </w:pPr>
      <w:r>
        <w:rPr>
          <w:rFonts w:ascii="Arial" w:cs="Arial" w:eastAsia="Arial" w:hAnsi="Arial"/>
          <w:sz w:val="18"/>
          <w:szCs w:val="18"/>
          <w:color w:val="auto"/>
        </w:rPr>
        <w:t>While SL offers a new route to uncover important gene targets for the treatment of cancers, identifying these SL gene pairs has been a challenge due to the lack of systematic, prospective and large-scale methods to capture and exploit these gene-gene relationships for new drug discovery and development.</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Approach: An Overview of Our Drug Discovery and Development Platform</w:t>
      </w:r>
    </w:p>
    <w:p>
      <w:pPr>
        <w:spacing w:after="0" w:line="121" w:lineRule="exact"/>
        <w:rPr>
          <w:sz w:val="20"/>
          <w:szCs w:val="20"/>
          <w:color w:val="auto"/>
        </w:rPr>
      </w:pPr>
    </w:p>
    <w:p>
      <w:pPr>
        <w:ind w:left="200" w:right="80" w:firstLine="434"/>
        <w:spacing w:after="0" w:line="279" w:lineRule="auto"/>
        <w:rPr>
          <w:sz w:val="20"/>
          <w:szCs w:val="20"/>
          <w:color w:val="auto"/>
        </w:rPr>
      </w:pPr>
      <w:r>
        <w:rPr>
          <w:rFonts w:ascii="Arial" w:cs="Arial" w:eastAsia="Arial" w:hAnsi="Arial"/>
          <w:sz w:val="17"/>
          <w:szCs w:val="17"/>
          <w:color w:val="auto"/>
        </w:rPr>
        <w:t>Our SNIPRx platform begins with a genome-wide CRISPR-based screening approach that utilizes our proprietary isogenic cell lines, which are cell lines that are identical with the exception of a single genomic alteration, to identify SL gene pairs. Our systematic and comprehensive screening approach has been optimized to significantly reduce false negatives, providing the opportunity to identify a larger and more accurate set of SL interactions as compared to what others have reported with CRISPR-based screening technologies.</w:t>
      </w:r>
    </w:p>
    <w:p>
      <w:pPr>
        <w:spacing w:after="0" w:line="171"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We have systematically analyzed genomic data from approximately 60,000 tumor samples and identified an initial set of 16 clinically relevant tumor genomic alterations, which we refer to as tumor lesions, that are linked to genomic instability. These 16 tumor lesions are present in approximately 30% of tumors, and are largely mutually exclusive. For each of these 16 tumor lesions, we have completed a SNIPRx screen campaign to identify both previously reported and unreported targets that are SL with the tumor lesion of the campaign. The majority of our SNIPRx screen campaigns have identified multiple potential targets, which allows us to prioritize and select targets to advance into drug discovery based on a systematic and proprietary set of criteria, which include thresholds for biological validation, cellular function, known and likely toxicity, druggability with small molecules, patentability and the potential for clinical impact versus alternative therapies. Once a SL product candidate is identified, we perform our STEP</w:t>
      </w:r>
      <w:r>
        <w:rPr>
          <w:rFonts w:ascii="Arial" w:cs="Arial" w:eastAsia="Arial" w:hAnsi="Arial"/>
          <w:sz w:val="14"/>
          <w:szCs w:val="14"/>
          <w:color w:val="auto"/>
        </w:rPr>
        <w:t>2</w:t>
      </w:r>
      <w:r>
        <w:rPr>
          <w:rFonts w:ascii="Arial" w:cs="Arial" w:eastAsia="Arial" w:hAnsi="Arial"/>
          <w:sz w:val="17"/>
          <w:szCs w:val="17"/>
          <w:color w:val="auto"/>
        </w:rPr>
        <w:t xml:space="preserve"> screen to identify additional genomic alterations that are SL with our product candidate. We believe the identification of these new SL pairs will allow us to rationally expand our targeted patient populations by enabling us to potentially treat patients with tumors across multiple genomic alterations with the same product candidate. For our clinical trials, we plan to enroll patients with tumors that contain either the original tumor lesion or any one of the genomic alterations identified by our STEP</w:t>
      </w:r>
      <w:r>
        <w:rPr>
          <w:rFonts w:ascii="Arial" w:cs="Arial" w:eastAsia="Arial" w:hAnsi="Arial"/>
          <w:sz w:val="14"/>
          <w:szCs w:val="14"/>
          <w:color w:val="auto"/>
        </w:rPr>
        <w:t>2</w:t>
      </w:r>
      <w:r>
        <w:rPr>
          <w:rFonts w:ascii="Arial" w:cs="Arial" w:eastAsia="Arial" w:hAnsi="Arial"/>
          <w:sz w:val="17"/>
          <w:szCs w:val="17"/>
          <w:color w:val="auto"/>
        </w:rPr>
        <w:t xml:space="preserve"> screens. We believe this strategy will allow us to enroll only those patients who are most likely to achieve clinical benefit from our product candidates. This approach can be divided into six steps, as depicted in the graphic below.</w:t>
      </w:r>
    </w:p>
    <w:p>
      <w:pPr>
        <w:spacing w:after="0" w:line="1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Integrated Approach to Drug Discovery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Clinical Program, RP-3500</w:t>
      </w:r>
    </w:p>
    <w:p>
      <w:pPr>
        <w:spacing w:after="0" w:line="121" w:lineRule="exact"/>
        <w:rPr>
          <w:sz w:val="20"/>
          <w:szCs w:val="20"/>
          <w:color w:val="auto"/>
        </w:rPr>
      </w:pPr>
    </w:p>
    <w:p>
      <w:pPr>
        <w:ind w:left="200" w:right="100" w:firstLine="434"/>
        <w:spacing w:after="0" w:line="263" w:lineRule="auto"/>
        <w:rPr>
          <w:sz w:val="20"/>
          <w:szCs w:val="20"/>
          <w:color w:val="auto"/>
        </w:rPr>
      </w:pPr>
      <w:r>
        <w:rPr>
          <w:rFonts w:ascii="Arial" w:cs="Arial" w:eastAsia="Arial" w:hAnsi="Arial"/>
          <w:sz w:val="18"/>
          <w:szCs w:val="18"/>
          <w:color w:val="auto"/>
        </w:rPr>
        <w:t>Our lead product candidate, RP-3500, is a potent and selective oral small molecule inhibitor of ATR that we are developing for the treatment of tumors with mutations in ATM, which is a SL pair with ATR. ATR is a critical DNA damage response, or DDR, protein that acts as both the master regulator of the response to DNA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459"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3303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63303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220"/>
        <w:spacing w:after="0" w:line="257" w:lineRule="auto"/>
        <w:rPr>
          <w:sz w:val="20"/>
          <w:szCs w:val="20"/>
          <w:color w:val="auto"/>
        </w:rPr>
      </w:pPr>
      <w:r>
        <w:rPr>
          <w:rFonts w:ascii="Arial" w:cs="Arial" w:eastAsia="Arial" w:hAnsi="Arial"/>
          <w:sz w:val="18"/>
          <w:szCs w:val="18"/>
          <w:color w:val="auto"/>
        </w:rPr>
        <w:t>replication stress, as well as a central effector of the DNA damage checkpoint. Based on the previously published SL relationship between ATR and ATM, ATR has been the target of prior drug discovery efforts, and ATR inhibitors in development have demonstrated promising, durable clinical responses in a small number of patients in early clinical trials. Through our STEP</w:t>
      </w:r>
      <w:r>
        <w:rPr>
          <w:rFonts w:ascii="Arial" w:cs="Arial" w:eastAsia="Arial" w:hAnsi="Arial"/>
          <w:sz w:val="15"/>
          <w:szCs w:val="15"/>
          <w:color w:val="auto"/>
        </w:rPr>
        <w:t>2</w:t>
      </w:r>
      <w:r>
        <w:rPr>
          <w:rFonts w:ascii="Arial" w:cs="Arial" w:eastAsia="Arial" w:hAnsi="Arial"/>
          <w:sz w:val="18"/>
          <w:szCs w:val="18"/>
          <w:color w:val="auto"/>
        </w:rPr>
        <w:t xml:space="preserve"> screens, we believe that we have more precisely identified and expanded the patient populations that would benefit from RP-3500, which allows us to differentiate and enrich our clinical development strategy, as well as address multiple types of solid tumors.</w:t>
      </w:r>
    </w:p>
    <w:p>
      <w:pPr>
        <w:spacing w:after="0" w:line="188" w:lineRule="exact"/>
        <w:rPr>
          <w:sz w:val="20"/>
          <w:szCs w:val="20"/>
          <w:color w:val="auto"/>
        </w:rPr>
      </w:pPr>
    </w:p>
    <w:p>
      <w:pPr>
        <w:ind w:left="200" w:right="40" w:firstLine="434"/>
        <w:spacing w:after="0" w:line="270" w:lineRule="auto"/>
        <w:rPr>
          <w:sz w:val="20"/>
          <w:szCs w:val="20"/>
          <w:color w:val="auto"/>
        </w:rPr>
      </w:pPr>
      <w:r>
        <w:rPr>
          <w:rFonts w:ascii="Arial" w:cs="Arial" w:eastAsia="Arial" w:hAnsi="Arial"/>
          <w:sz w:val="17"/>
          <w:szCs w:val="17"/>
          <w:color w:val="auto"/>
        </w:rPr>
        <w:t>RP-3500 has demonstrated an optimized anti-tumor effect, selectivity and pharmacokinetics profile in preclinical studies that we believe supports the potential for it to be a leading ATR inhibitor, if approved. These data led to our decision to advance RP-3500 into IND-enabling studies. We also conducted multiple STEP</w:t>
      </w:r>
      <w:r>
        <w:rPr>
          <w:rFonts w:ascii="Arial" w:cs="Arial" w:eastAsia="Arial" w:hAnsi="Arial"/>
          <w:sz w:val="14"/>
          <w:szCs w:val="14"/>
          <w:color w:val="auto"/>
        </w:rPr>
        <w:t>2</w:t>
      </w:r>
      <w:r>
        <w:rPr>
          <w:rFonts w:ascii="Arial" w:cs="Arial" w:eastAsia="Arial" w:hAnsi="Arial"/>
          <w:sz w:val="17"/>
          <w:szCs w:val="17"/>
          <w:color w:val="auto"/>
        </w:rPr>
        <w:t xml:space="preserve"> screens in which we confirmed the SL relationship between ATR and ATM and identified an additional 19 genes that are also SL with ATR, potentially expanding the patient populations that may benefit from our product candidate. We anticipate filing an IND application in the second quarter of 2020 and initiating an open-label Phase 1/2 clinical trial of RP-3500 in the third quarter of 2020. We have designed our Phase 1/2 clinical trial to enroll patients based on the presence of alterations in ATM or any of the 19 STEP</w:t>
      </w:r>
      <w:r>
        <w:rPr>
          <w:rFonts w:ascii="Arial" w:cs="Arial" w:eastAsia="Arial" w:hAnsi="Arial"/>
          <w:sz w:val="14"/>
          <w:szCs w:val="14"/>
          <w:color w:val="auto"/>
        </w:rPr>
        <w:t>2</w:t>
      </w:r>
      <w:r>
        <w:rPr>
          <w:rFonts w:ascii="Arial" w:cs="Arial" w:eastAsia="Arial" w:hAnsi="Arial"/>
          <w:sz w:val="17"/>
          <w:szCs w:val="17"/>
          <w:color w:val="auto"/>
        </w:rPr>
        <w:t>-identified genes. Based on the observed synergistic activity in preclinical models with ATM and STEP</w:t>
      </w:r>
      <w:r>
        <w:rPr>
          <w:rFonts w:ascii="Arial" w:cs="Arial" w:eastAsia="Arial" w:hAnsi="Arial"/>
          <w:sz w:val="14"/>
          <w:szCs w:val="14"/>
          <w:color w:val="auto"/>
        </w:rPr>
        <w:t>2</w:t>
      </w:r>
      <w:r>
        <w:rPr>
          <w:rFonts w:ascii="Arial" w:cs="Arial" w:eastAsia="Arial" w:hAnsi="Arial"/>
          <w:sz w:val="17"/>
          <w:szCs w:val="17"/>
          <w:color w:val="auto"/>
        </w:rPr>
        <w:t>-identified genes, we also intend to include a combination arm in this trial to evaluate the anti-tumor activity of RP-3500 with an approved PARP inhibitor. We expect to report preliminary safety and efficacy data for the monotherapy and combination therapy dose escalation phase of the trial in the second half of 2021.</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Preclinical Programs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CCNE1-SL Inhibitor Program</w:t>
      </w:r>
    </w:p>
    <w:p>
      <w:pPr>
        <w:spacing w:after="0" w:line="117" w:lineRule="exact"/>
        <w:rPr>
          <w:sz w:val="20"/>
          <w:szCs w:val="20"/>
          <w:color w:val="auto"/>
        </w:rPr>
      </w:pPr>
    </w:p>
    <w:p>
      <w:pPr>
        <w:ind w:left="200" w:right="200" w:firstLine="434"/>
        <w:spacing w:after="0" w:line="272" w:lineRule="auto"/>
        <w:rPr>
          <w:sz w:val="20"/>
          <w:szCs w:val="20"/>
          <w:color w:val="auto"/>
        </w:rPr>
      </w:pPr>
      <w:r>
        <w:rPr>
          <w:rFonts w:ascii="Arial" w:cs="Arial" w:eastAsia="Arial" w:hAnsi="Arial"/>
          <w:sz w:val="17"/>
          <w:szCs w:val="17"/>
          <w:color w:val="auto"/>
        </w:rPr>
        <w:t>Our CCNE1-SL inhibitor program is a proprietary drug discovery program for tumors with amplification of CCNE1. We have identified an undisclosed gene and corresponding protein, which we have found to be SL with amplifications in the gene for CCNE1. Amplification of CCNE1 is found in many tumor types, including gynecological and upper gastrointestinal malignancies, and these CCNE1-amplified tumors typically do not respond well to platinum or PARP inhibitor treatment. Through our SNIPRx screen campaign for targets that are SL with CCNE1 amplification, we have identified and validated a SL target that we believe has the characteristics of a therapeutic target. We have developed novel and selective inhibitors against the target that have repeatedly demonstrated compelling anti-tumor activity. We anticipate advancing a clinical candidate for this potential first-in-class program into IND-enabling studies in the fourth quarter of 2020.</w:t>
      </w:r>
    </w:p>
    <w:p>
      <w:pPr>
        <w:spacing w:after="0" w:line="28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Polymerase Theta (Pol</w:t>
      </w:r>
      <w:r>
        <w:rPr>
          <w:rFonts w:ascii="Arial" w:cs="Arial" w:eastAsia="Arial" w:hAnsi="Arial"/>
          <w:sz w:val="18"/>
          <w:szCs w:val="18"/>
          <w:i w:val="1"/>
          <w:iCs w:val="1"/>
          <w:color w:val="auto"/>
        </w:rPr>
        <w:t>q</w:t>
      </w:r>
      <w:r>
        <w:rPr>
          <w:rFonts w:ascii="Arial" w:cs="Arial" w:eastAsia="Arial" w:hAnsi="Arial"/>
          <w:sz w:val="18"/>
          <w:szCs w:val="18"/>
          <w:b w:val="1"/>
          <w:bCs w:val="1"/>
          <w:i w:val="1"/>
          <w:iCs w:val="1"/>
          <w:color w:val="auto"/>
        </w:rPr>
        <w:t>) Program</w:t>
      </w:r>
    </w:p>
    <w:p>
      <w:pPr>
        <w:spacing w:after="0" w:line="117" w:lineRule="exact"/>
        <w:rPr>
          <w:sz w:val="20"/>
          <w:szCs w:val="20"/>
          <w:color w:val="auto"/>
        </w:rPr>
      </w:pPr>
    </w:p>
    <w:p>
      <w:pPr>
        <w:ind w:left="200" w:firstLine="434"/>
        <w:spacing w:after="0" w:line="254" w:lineRule="auto"/>
        <w:rPr>
          <w:sz w:val="20"/>
          <w:szCs w:val="20"/>
          <w:color w:val="auto"/>
        </w:rPr>
      </w:pPr>
      <w:r>
        <w:rPr>
          <w:rFonts w:ascii="Arial" w:cs="Arial" w:eastAsia="Arial" w:hAnsi="Arial"/>
          <w:sz w:val="18"/>
          <w:szCs w:val="18"/>
          <w:color w:val="auto"/>
        </w:rPr>
        <w:t>We are developing a small molecule inhibitor of polymerase theta, or Polq, a SL target associated with BRCA mutations as well as other genomic alterations. Polymerase theta enzyme, or POLQ, is a DNA polymerase enzyme that participates in the repair of double-strand breaks in DNA. Mutations in genes such as BRCA1 and BRCA2 increase the frequency of these breaks, resulting in SL with Polq. Preclinical studies have shown that inactivation of Polq both on its own and in combination with PARP inhibitors reduces survival in BRCA-mutated cells, but not in BRCA wild-type cells. BRCA1 and BRCA2 mutations are routinely identified in multiple genetic profiling tests and observed in approximately 1% to 7% of patients with breast and ovarian cancer. We anticipate advancing a clinical candidate and initiating IND-enabling studies for this program in the second half of 2021.</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580" w:firstLine="434"/>
        <w:spacing w:after="0" w:line="277" w:lineRule="auto"/>
        <w:rPr>
          <w:sz w:val="20"/>
          <w:szCs w:val="20"/>
          <w:color w:val="auto"/>
        </w:rPr>
      </w:pPr>
      <w:r>
        <w:rPr>
          <w:rFonts w:ascii="Arial" w:cs="Arial" w:eastAsia="Arial" w:hAnsi="Arial"/>
          <w:sz w:val="18"/>
          <w:szCs w:val="18"/>
          <w:color w:val="auto"/>
        </w:rPr>
        <w:t>Our goal is to be the leading biopharmaceutical company developing precision oncology, small molecule therapies based on SL. The key elements of our strategy are to:</w:t>
      </w:r>
    </w:p>
    <w:p>
      <w:pPr>
        <w:spacing w:after="0" w:line="72" w:lineRule="exact"/>
        <w:rPr>
          <w:sz w:val="20"/>
          <w:szCs w:val="20"/>
          <w:color w:val="auto"/>
        </w:rPr>
      </w:pPr>
    </w:p>
    <w:p>
      <w:pPr>
        <w:ind w:left="1160" w:right="380" w:hanging="534"/>
        <w:spacing w:after="0" w:line="282"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Advance our lead product candidate, RP-3500, through clinical development by leveraging our differentiated STEP</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patient selection approach</w:t>
      </w:r>
      <w:r>
        <w:rPr>
          <w:rFonts w:ascii="Arial" w:cs="Arial" w:eastAsia="Arial" w:hAnsi="Arial"/>
          <w:sz w:val="18"/>
          <w:szCs w:val="18"/>
          <w:color w:val="auto"/>
        </w:rPr>
        <w:t>. We designed RP-3500 to have a highly selective</w:t>
      </w:r>
    </w:p>
    <w:p>
      <w:pPr>
        <w:spacing w:after="0" w:line="200" w:lineRule="exact"/>
        <w:rPr>
          <w:sz w:val="20"/>
          <w:szCs w:val="20"/>
          <w:color w:val="auto"/>
        </w:rPr>
      </w:pPr>
    </w:p>
    <w:p>
      <w:pPr>
        <w:spacing w:after="0" w:line="3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320" w:top="45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67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5867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spacing w:after="0" w:line="254" w:lineRule="auto"/>
        <w:rPr>
          <w:sz w:val="20"/>
          <w:szCs w:val="20"/>
          <w:color w:val="auto"/>
        </w:rPr>
      </w:pPr>
      <w:r>
        <w:rPr>
          <w:rFonts w:ascii="Arial" w:cs="Arial" w:eastAsia="Arial" w:hAnsi="Arial"/>
          <w:sz w:val="18"/>
          <w:szCs w:val="18"/>
          <w:color w:val="auto"/>
        </w:rPr>
        <w:t>and potent profile that may enable it to be a leading inhibitor of ATR, if approved. We intend to initiate an open-label Phase 1/2 clinical trial of RP-3500 in the third quarter of 2020 in patients with advanced tumors that have alterations in the ATM gene or any of the 19 genes identified through our STEP</w:t>
      </w:r>
      <w:r>
        <w:rPr>
          <w:rFonts w:ascii="Arial" w:cs="Arial" w:eastAsia="Arial" w:hAnsi="Arial"/>
          <w:sz w:val="15"/>
          <w:szCs w:val="15"/>
          <w:color w:val="auto"/>
        </w:rPr>
        <w:t>2</w:t>
      </w:r>
      <w:r>
        <w:rPr>
          <w:rFonts w:ascii="Arial" w:cs="Arial" w:eastAsia="Arial" w:hAnsi="Arial"/>
          <w:sz w:val="18"/>
          <w:szCs w:val="18"/>
          <w:color w:val="auto"/>
        </w:rPr>
        <w:t xml:space="preserve"> screens. We believe this clinical trial design element will enrich the patient population in our trials with those who are most likely to respond to RP-3500. In parallel with the monotherapy dose-escalation portion of the trial, we intend to initiate a combination therapy arm to evaluate the safety and efficacy of RP-3500 in combination with an approved PARP inhibitor in the same patient subgroups. We expect preliminary safety and efficacy data for the monotherapy and combination therapy dose escalation phase of the trial in the second half of 2021, which may inform the design, including the targeted patient population, of a future pivotal trial.</w:t>
      </w:r>
    </w:p>
    <w:p>
      <w:pPr>
        <w:spacing w:after="0" w:line="93" w:lineRule="exact"/>
        <w:rPr>
          <w:sz w:val="20"/>
          <w:szCs w:val="20"/>
          <w:color w:val="auto"/>
        </w:rPr>
      </w:pPr>
    </w:p>
    <w:p>
      <w:pPr>
        <w:ind w:left="1160" w:hanging="534"/>
        <w:spacing w:after="0" w:line="274" w:lineRule="auto"/>
        <w:tabs>
          <w:tab w:leader="none" w:pos="11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Continue to advance our preclinical programs into clinical development</w:t>
      </w:r>
      <w:r>
        <w:rPr>
          <w:rFonts w:ascii="Arial" w:cs="Arial" w:eastAsia="Arial" w:hAnsi="Arial"/>
          <w:sz w:val="17"/>
          <w:szCs w:val="17"/>
          <w:color w:val="auto"/>
        </w:rPr>
        <w:t>. In addition to RP-3500, we have two programs in advanced</w:t>
      </w:r>
      <w:r>
        <w:rPr>
          <w:rFonts w:ascii="Arial" w:cs="Arial" w:eastAsia="Arial" w:hAnsi="Arial"/>
          <w:sz w:val="17"/>
          <w:szCs w:val="17"/>
          <w:b w:val="1"/>
          <w:bCs w:val="1"/>
          <w:color w:val="auto"/>
        </w:rPr>
        <w:t xml:space="preserve"> </w:t>
      </w:r>
      <w:r>
        <w:rPr>
          <w:rFonts w:ascii="Arial" w:cs="Arial" w:eastAsia="Arial" w:hAnsi="Arial"/>
          <w:sz w:val="17"/>
          <w:szCs w:val="17"/>
          <w:color w:val="auto"/>
        </w:rPr>
        <w:t>preclinical development. One of these programs is focused on a novel target we discovered using our SNIPRx platform to be SL with CCNE1 amplification in tumors such as gynecological and upper gastrointestinal malignancies. We anticipate advancing a clinical candidate for this potential first-in-class program into IND-enabling studies in the fourth quarter of 2020. We are also developing an inhibitor of Polq, which is SL with multiple gene deficiencies found in tumors, including BRCA1 or BRCA2. We anticipate advancing a clinical candidate and initiating IND-enabling studies for this program in the second half of 2021.</w:t>
      </w:r>
    </w:p>
    <w:p>
      <w:pPr>
        <w:spacing w:after="0" w:line="78" w:lineRule="exact"/>
        <w:rPr>
          <w:rFonts w:ascii="Arial" w:cs="Arial" w:eastAsia="Arial" w:hAnsi="Arial"/>
          <w:sz w:val="17"/>
          <w:szCs w:val="17"/>
          <w:color w:val="auto"/>
        </w:rPr>
      </w:pPr>
    </w:p>
    <w:p>
      <w:pPr>
        <w:ind w:left="1160" w:right="120" w:hanging="534"/>
        <w:spacing w:after="0" w:line="292"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Extend our leading position in SL drug discovery. </w:t>
      </w:r>
      <w:r>
        <w:rPr>
          <w:rFonts w:ascii="Arial" w:cs="Arial" w:eastAsia="Arial" w:hAnsi="Arial"/>
          <w:sz w:val="16"/>
          <w:szCs w:val="16"/>
          <w:color w:val="auto"/>
        </w:rPr>
        <w:t>We have systematically analyzed genomic data from approximately 60,000 tumor</w:t>
      </w:r>
      <w:r>
        <w:rPr>
          <w:rFonts w:ascii="Arial" w:cs="Arial" w:eastAsia="Arial" w:hAnsi="Arial"/>
          <w:sz w:val="16"/>
          <w:szCs w:val="16"/>
          <w:b w:val="1"/>
          <w:bCs w:val="1"/>
          <w:color w:val="auto"/>
        </w:rPr>
        <w:t xml:space="preserve"> </w:t>
      </w:r>
      <w:r>
        <w:rPr>
          <w:rFonts w:ascii="Arial" w:cs="Arial" w:eastAsia="Arial" w:hAnsi="Arial"/>
          <w:sz w:val="16"/>
          <w:szCs w:val="16"/>
          <w:color w:val="auto"/>
        </w:rPr>
        <w:t>samples and have identified an initial set of 16 tumor lesions that are linked to genomic instability. This initial set of tumor lesions provides us with the opportunity to be among the first to mine this substantial, largely non-overlapping genomic space for new SL gene pairs and develop a robust portfolio of novel targeted therapeutics. We intend to continue leveraging our leading position in the identification of novel oncology SL gene pairs and systematically applying our STEP</w:t>
      </w:r>
      <w:r>
        <w:rPr>
          <w:rFonts w:ascii="Arial" w:cs="Arial" w:eastAsia="Arial" w:hAnsi="Arial"/>
          <w:sz w:val="13"/>
          <w:szCs w:val="13"/>
          <w:color w:val="auto"/>
        </w:rPr>
        <w:t>2</w:t>
      </w:r>
      <w:r>
        <w:rPr>
          <w:rFonts w:ascii="Arial" w:cs="Arial" w:eastAsia="Arial" w:hAnsi="Arial"/>
          <w:sz w:val="16"/>
          <w:szCs w:val="16"/>
          <w:color w:val="auto"/>
        </w:rPr>
        <w:t xml:space="preserve"> screens to expand the addressable patient populations for each of our product candidates. We believe our approach will allow us to continue to build a sustainable and long-term pipeline of novel product candidates for the targeted treatment of cancers with high unmet medical need.</w:t>
      </w:r>
    </w:p>
    <w:p>
      <w:pPr>
        <w:spacing w:after="0" w:line="66" w:lineRule="exact"/>
        <w:rPr>
          <w:rFonts w:ascii="Arial" w:cs="Arial" w:eastAsia="Arial" w:hAnsi="Arial"/>
          <w:sz w:val="16"/>
          <w:szCs w:val="16"/>
          <w:color w:val="auto"/>
        </w:rPr>
      </w:pPr>
    </w:p>
    <w:p>
      <w:pPr>
        <w:ind w:left="1160" w:right="20" w:hanging="534"/>
        <w:spacing w:after="0" w:line="294"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Opportunistically pursue strategic partnerships to maximize the full potential of our pipeline and SNIPRx platform</w:t>
      </w:r>
      <w:r>
        <w:rPr>
          <w:rFonts w:ascii="Arial" w:cs="Arial" w:eastAsia="Arial" w:hAnsi="Arial"/>
          <w:sz w:val="16"/>
          <w:szCs w:val="16"/>
          <w:color w:val="auto"/>
        </w:rPr>
        <w:t>. The large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pre-existing mutations affecting genomic stability in tumors combined with the high throughput of our SNIPRx platform has the potential to provide us with an abundance of novel targets. We believe this provides the opportunity to selectively enter into strategic partnerships and leverage our partners’ complementary capabilities. We intend to selectively evaluate partnerships to maximize the long-term value of our research and development portfolio. We believe our recent collaboration and license agreement with Bristol Myers Squibb highlights the potential broad application of our platform in the search for the next generation of precision oncology medicines.</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firstLine="434"/>
        <w:spacing w:after="0" w:line="279" w:lineRule="auto"/>
        <w:rPr>
          <w:sz w:val="20"/>
          <w:szCs w:val="20"/>
          <w:color w:val="auto"/>
        </w:rPr>
      </w:pPr>
      <w:r>
        <w:rPr>
          <w:rFonts w:ascii="Arial" w:cs="Arial" w:eastAsia="Arial" w:hAnsi="Arial"/>
          <w:sz w:val="17"/>
          <w:szCs w:val="17"/>
          <w:color w:val="auto"/>
        </w:rPr>
        <w:t>As of May 29, 2020, our patent portfolio included four pending U.S. provisional patent applications, consisting of one application covering RP-3500 and its use, one application covering uses of RP-3500, one application covering CCNE1-SL inhibitors and their use and one application covering uses of CCNE1-SL inhibitors. In addition, our patent portfolio included one pending international application under the Patent Cooperation Treaty of 1970 covering RP-3500 and its uses. See “Business—Intellectual Property” for additional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History and Team</w:t>
      </w:r>
    </w:p>
    <w:p>
      <w:pPr>
        <w:spacing w:after="0" w:line="121" w:lineRule="exact"/>
        <w:rPr>
          <w:sz w:val="20"/>
          <w:szCs w:val="20"/>
          <w:color w:val="auto"/>
        </w:rPr>
      </w:pPr>
    </w:p>
    <w:p>
      <w:pPr>
        <w:ind w:left="200" w:right="280" w:firstLine="434"/>
        <w:spacing w:after="0" w:line="277" w:lineRule="auto"/>
        <w:rPr>
          <w:sz w:val="20"/>
          <w:szCs w:val="20"/>
          <w:color w:val="auto"/>
        </w:rPr>
      </w:pPr>
      <w:r>
        <w:rPr>
          <w:rFonts w:ascii="Arial" w:cs="Arial" w:eastAsia="Arial" w:hAnsi="Arial"/>
          <w:sz w:val="18"/>
          <w:szCs w:val="18"/>
          <w:color w:val="auto"/>
        </w:rPr>
        <w:t>Our company was founded in 2016 by field-leading academics and Versant Ventures to systematically employ SL insights and platforms and develop new precision oncology medicines. Our co-founder, Daniel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055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60559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200"/>
        <w:spacing w:after="0" w:line="311" w:lineRule="auto"/>
        <w:rPr>
          <w:sz w:val="20"/>
          <w:szCs w:val="20"/>
          <w:color w:val="auto"/>
        </w:rPr>
      </w:pPr>
      <w:r>
        <w:rPr>
          <w:rFonts w:ascii="Arial" w:cs="Arial" w:eastAsia="Arial" w:hAnsi="Arial"/>
          <w:sz w:val="16"/>
          <w:szCs w:val="16"/>
          <w:color w:val="auto"/>
        </w:rPr>
        <w:t>Durocher, Ph.D., a principal investigator at the Lunenfeld-Tanenbaum Research Institute, was an early pioneer of genome-wide, SL screening using CRISPR, which formed the framework for our SNIPRx platform. Our other co-founders, Agnel Sfeir, Ph.D. at NYU-Langone Medical Center and Frank Sicheri, Ph.D. at the Lunenfeld-Tanenbaum Research Institute, also played a key role in the development of our company.</w:t>
      </w:r>
    </w:p>
    <w:p>
      <w:pPr>
        <w:spacing w:after="0" w:line="149"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color w:val="auto"/>
        </w:rPr>
        <w:t>We have assembled a highly qualified management team with broad experience in drug discovery and development to execute on our mission to develop novel precision oncology therapies based on SL. Our scientific co-founders and members of our management team collectively have extensive experience in oncology drug discovery and development and are pioneers in the SL field. Our management team includes industry veterans with prior experience at companies such as Pfizer, AstraZeneca, Merck, Bicycle Therapeutics and Clementia Pharmaceuticals. Since our inception, we have raised an aggregate of approximately $135.2 million of gross proceeds from the sale of our preferred shares. Our investors include Versant Ventures, MPM Capital, Cowen Healthcare Investments, OrbiMed, BVF Partners, Redmile Group, Logos Capital, Celgene/Bristol Myers Squibb, Fonds de Solidarité FTQ, and Amplitude Ventures.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firstLine="434"/>
        <w:spacing w:after="0" w:line="277"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shares. These risks are more fully described in the section titled “Risk Factors,” including the following:</w:t>
      </w:r>
    </w:p>
    <w:p>
      <w:pPr>
        <w:spacing w:after="0" w:line="76" w:lineRule="exact"/>
        <w:rPr>
          <w:sz w:val="20"/>
          <w:szCs w:val="20"/>
          <w:color w:val="auto"/>
        </w:rPr>
      </w:pPr>
    </w:p>
    <w:p>
      <w:pPr>
        <w:ind w:left="1160" w:right="560" w:hanging="534"/>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limited operating history may make it difficult for you to evaluate the success of our business to date and to assess our future viability.</w:t>
      </w:r>
    </w:p>
    <w:p>
      <w:pPr>
        <w:spacing w:after="0" w:line="75" w:lineRule="exact"/>
        <w:rPr>
          <w:rFonts w:ascii="Arial" w:cs="Arial" w:eastAsia="Arial" w:hAnsi="Arial"/>
          <w:sz w:val="18"/>
          <w:szCs w:val="18"/>
          <w:color w:val="auto"/>
        </w:rPr>
      </w:pPr>
    </w:p>
    <w:p>
      <w:pPr>
        <w:ind w:left="1160" w:right="440" w:hanging="534"/>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require substantial additional funding to finance our operations. If we are unable to raise capital when needed, we could be forced to delay, reduce or terminate certain of our product development programs or other operations.</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very early in our development efforts. All of our product candidates are in preclinical development.</w:t>
      </w:r>
    </w:p>
    <w:p>
      <w:pPr>
        <w:spacing w:after="0" w:line="130" w:lineRule="exact"/>
        <w:rPr>
          <w:rFonts w:ascii="Arial" w:cs="Arial" w:eastAsia="Arial" w:hAnsi="Arial"/>
          <w:sz w:val="18"/>
          <w:szCs w:val="18"/>
          <w:color w:val="auto"/>
        </w:rPr>
      </w:pPr>
    </w:p>
    <w:p>
      <w:pPr>
        <w:ind w:left="1160" w:right="400" w:hanging="534"/>
        <w:spacing w:after="0" w:line="259"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substantially depends upon the successful development of product candidates generated through the application of our SNIPRx platform, and in particular, our lead product candidate, RP-3500. If we are unable to obtain regulatory approval for, and successfully commercialize, products developed through the application of our SNIPRx platform, our business may be materially harmed.</w:t>
      </w:r>
    </w:p>
    <w:p>
      <w:pPr>
        <w:spacing w:after="0" w:line="92" w:lineRule="exact"/>
        <w:rPr>
          <w:rFonts w:ascii="Arial" w:cs="Arial" w:eastAsia="Arial" w:hAnsi="Arial"/>
          <w:sz w:val="18"/>
          <w:szCs w:val="18"/>
          <w:color w:val="auto"/>
        </w:rPr>
      </w:pPr>
    </w:p>
    <w:p>
      <w:pPr>
        <w:ind w:left="1160" w:right="460" w:hanging="534"/>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outbreak of the novel strain of coronavirus disease, COVID-19, could adversely impact our business, including our preclinical studies and clinical trials.</w:t>
      </w:r>
    </w:p>
    <w:p>
      <w:pPr>
        <w:spacing w:after="0" w:line="75" w:lineRule="exact"/>
        <w:rPr>
          <w:rFonts w:ascii="Arial" w:cs="Arial" w:eastAsia="Arial" w:hAnsi="Arial"/>
          <w:sz w:val="18"/>
          <w:szCs w:val="18"/>
          <w:color w:val="auto"/>
        </w:rPr>
      </w:pPr>
    </w:p>
    <w:p>
      <w:pPr>
        <w:ind w:left="1160" w:right="180" w:hanging="534"/>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successful development of targeted therapeutics, including our portfolio of synthetic lethality small molecule inhibitors, as well as any related diagnostics, is highly uncertain.</w:t>
      </w:r>
    </w:p>
    <w:p>
      <w:pPr>
        <w:spacing w:after="0" w:line="75" w:lineRule="exact"/>
        <w:rPr>
          <w:rFonts w:ascii="Arial" w:cs="Arial" w:eastAsia="Arial" w:hAnsi="Arial"/>
          <w:sz w:val="18"/>
          <w:szCs w:val="18"/>
          <w:color w:val="auto"/>
        </w:rPr>
      </w:pPr>
    </w:p>
    <w:p>
      <w:pPr>
        <w:ind w:left="1160" w:right="40" w:hanging="534"/>
        <w:spacing w:after="0" w:line="263"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regulatory authorities are lengthy, time consuming and inherently unpredictable, and if we are ultimately unable to obtain regulatory approval for our product candidates, on a timely basis or at all, our business will be substantially harmed.</w:t>
      </w:r>
    </w:p>
    <w:p>
      <w:pPr>
        <w:spacing w:after="0" w:line="89" w:lineRule="exact"/>
        <w:rPr>
          <w:rFonts w:ascii="Arial" w:cs="Arial" w:eastAsia="Arial" w:hAnsi="Arial"/>
          <w:sz w:val="18"/>
          <w:szCs w:val="18"/>
          <w:color w:val="auto"/>
        </w:rPr>
      </w:pPr>
    </w:p>
    <w:p>
      <w:pPr>
        <w:ind w:left="1160" w:right="40" w:hanging="534"/>
        <w:spacing w:after="0" w:line="263"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Synthetic lethality represents an emerging class of precision medicine targets, and negative perceptions of the efficacy, safety or tolerability of this class of targets, including any that we develop, could adversely affect our ability to conduct our business, advance our product candidates or obtain regulatory approvals.</w:t>
      </w:r>
    </w:p>
    <w:p>
      <w:pPr>
        <w:spacing w:after="0" w:line="89" w:lineRule="exact"/>
        <w:rPr>
          <w:rFonts w:ascii="Arial" w:cs="Arial" w:eastAsia="Arial" w:hAnsi="Arial"/>
          <w:sz w:val="18"/>
          <w:szCs w:val="18"/>
          <w:color w:val="auto"/>
        </w:rPr>
      </w:pPr>
    </w:p>
    <w:p>
      <w:pPr>
        <w:ind w:left="1160" w:right="460" w:hanging="534"/>
        <w:spacing w:after="0" w:line="342"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not be successful in applying our SNIPRx platform to discover synthetic lethality targets with therapeutic and commercial potential or in the discovery and development of commercially viable product candidates for us or our collaborators.</w:t>
      </w: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459"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420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5842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140" w:hanging="534"/>
        <w:spacing w:after="0" w:line="308"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Difficulty in enrolling patients could delay or prevent clinical trials of our product candidates. We may find it difficult to enroll patients in our open-label Phase 1/2 clinical trial for RP-3500 with the genomic alterations that RP-3500 is designed to target.</w:t>
      </w:r>
    </w:p>
    <w:p>
      <w:pPr>
        <w:spacing w:after="0" w:line="51" w:lineRule="exact"/>
        <w:rPr>
          <w:rFonts w:ascii="Arial" w:cs="Arial" w:eastAsia="Arial" w:hAnsi="Arial"/>
          <w:sz w:val="17"/>
          <w:szCs w:val="17"/>
          <w:color w:val="auto"/>
        </w:rPr>
      </w:pPr>
    </w:p>
    <w:p>
      <w:pPr>
        <w:ind w:left="1160" w:hanging="534"/>
        <w:spacing w:after="0"/>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face substantial competition, which may result in others developing or commercializing drugs before or more successfully than us.</w:t>
      </w:r>
    </w:p>
    <w:p>
      <w:pPr>
        <w:spacing w:after="0" w:line="153" w:lineRule="exact"/>
        <w:rPr>
          <w:rFonts w:ascii="Arial" w:cs="Arial" w:eastAsia="Arial" w:hAnsi="Arial"/>
          <w:sz w:val="16"/>
          <w:szCs w:val="16"/>
          <w:color w:val="auto"/>
        </w:rPr>
      </w:pPr>
    </w:p>
    <w:p>
      <w:pPr>
        <w:ind w:left="1160" w:right="74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rely on third parties to supply and manufacture our product candidates, and we expect to continue to rely on third parties to manufacture our products, if approved.</w:t>
      </w:r>
    </w:p>
    <w:p>
      <w:pPr>
        <w:spacing w:after="0" w:line="75" w:lineRule="exact"/>
        <w:rPr>
          <w:rFonts w:ascii="Arial" w:cs="Arial" w:eastAsia="Arial" w:hAnsi="Arial"/>
          <w:sz w:val="18"/>
          <w:szCs w:val="18"/>
          <w:color w:val="auto"/>
        </w:rPr>
      </w:pPr>
    </w:p>
    <w:p>
      <w:pPr>
        <w:ind w:left="1160" w:right="60" w:hanging="534"/>
        <w:spacing w:after="0" w:line="26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depends in part on our ability to obtain intellectual property rights for our proprietary technologies and product candidates, as well as our ability to protect our intellectual property. It is difficult and costly to protect our proprietary rights and technology, and we may not be able to ensure their protection.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200" w:right="80" w:firstLine="434"/>
        <w:spacing w:after="0" w:line="255" w:lineRule="auto"/>
        <w:rPr>
          <w:sz w:val="20"/>
          <w:szCs w:val="20"/>
          <w:color w:val="auto"/>
        </w:rPr>
      </w:pPr>
      <w:r>
        <w:rPr>
          <w:rFonts w:ascii="Arial" w:cs="Arial" w:eastAsia="Arial" w:hAnsi="Arial"/>
          <w:sz w:val="18"/>
          <w:szCs w:val="18"/>
          <w:color w:val="auto"/>
        </w:rPr>
        <w:t xml:space="preserve">We were incorporated under the Canada Business Corporations Act, or CBCA, on September 6, 2016. Immediately prior to completion of this offering, we will be continued as a corporation under the Business Corporations Act (Québec), or QBCA. Our principal executive offices are located at 7210 Frederick-Banting, Suite 100, Montréal, Québec, Canada H4S 2A1, and our telephone number is (857) 412-7018. In June 2017, we incorporated our wholly-owned subsidiary, Repare Therapeutics USA Inc., a Delaware corporation. Our corporate website address is </w:t>
      </w:r>
      <w:r>
        <w:rPr>
          <w:rFonts w:ascii="Arial" w:cs="Arial" w:eastAsia="Arial" w:hAnsi="Arial"/>
          <w:sz w:val="18"/>
          <w:szCs w:val="18"/>
          <w:i w:val="1"/>
          <w:iCs w:val="1"/>
          <w:color w:val="auto"/>
        </w:rPr>
        <w:t>www.reparerx.com</w:t>
      </w:r>
      <w:r>
        <w:rPr>
          <w:rFonts w:ascii="Arial" w:cs="Arial" w:eastAsia="Arial" w:hAnsi="Arial"/>
          <w:sz w:val="18"/>
          <w:szCs w:val="18"/>
          <w:color w:val="auto"/>
        </w:rPr>
        <w:t>. Information contained on, or accessible through, our website is not a part of this prospectus. We have included our website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solely as an inactive textual reference.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40" w:firstLine="434"/>
        <w:spacing w:after="0" w:line="342"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so long as we remain an emerging growth company, we are permitted to rely on certain exemptions from various public company reporting requirements, including:</w:t>
      </w:r>
    </w:p>
    <w:p>
      <w:pPr>
        <w:spacing w:after="0" w:line="29" w:lineRule="exact"/>
        <w:rPr>
          <w:sz w:val="20"/>
          <w:szCs w:val="20"/>
          <w:color w:val="auto"/>
        </w:rPr>
      </w:pPr>
    </w:p>
    <w:p>
      <w:pPr>
        <w:ind w:left="1160" w:right="1100" w:hanging="534"/>
        <w:spacing w:after="0" w:line="308" w:lineRule="auto"/>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being permitted to present in this prospectus only two years of audited financial statements, with correspondingly reduced “Management’s Discussion and Analysis of Financial Condition and Results of Operations” disclosure;</w:t>
      </w:r>
    </w:p>
    <w:p>
      <w:pPr>
        <w:spacing w:after="0" w:line="51" w:lineRule="exact"/>
        <w:rPr>
          <w:rFonts w:ascii="Arial" w:cs="Arial" w:eastAsia="Arial" w:hAnsi="Arial"/>
          <w:sz w:val="17"/>
          <w:szCs w:val="17"/>
          <w:color w:val="auto"/>
        </w:rPr>
      </w:pPr>
    </w:p>
    <w:p>
      <w:pPr>
        <w:ind w:left="1160" w:hanging="534"/>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w:t>
      </w:r>
    </w:p>
    <w:p>
      <w:pPr>
        <w:spacing w:after="0" w:line="130" w:lineRule="exact"/>
        <w:rPr>
          <w:rFonts w:ascii="Arial" w:cs="Arial" w:eastAsia="Arial" w:hAnsi="Arial"/>
          <w:sz w:val="18"/>
          <w:szCs w:val="18"/>
          <w:color w:val="auto"/>
        </w:rPr>
      </w:pPr>
    </w:p>
    <w:p>
      <w:pPr>
        <w:ind w:left="1160" w:right="620" w:hanging="534"/>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being required to submit to our shareholders a nonbinding advisory vote on executive compensation or any golden parachute payments not previously approved;</w:t>
      </w:r>
    </w:p>
    <w:p>
      <w:pPr>
        <w:spacing w:after="0" w:line="75" w:lineRule="exact"/>
        <w:rPr>
          <w:rFonts w:ascii="Arial" w:cs="Arial" w:eastAsia="Arial" w:hAnsi="Arial"/>
          <w:sz w:val="18"/>
          <w:szCs w:val="18"/>
          <w:color w:val="auto"/>
        </w:rPr>
      </w:pPr>
    </w:p>
    <w:p>
      <w:pPr>
        <w:ind w:left="1160" w:right="360" w:hanging="534"/>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being required to have our internal control over financial reporting audited by our independent registered public accounting firm pursuant to Section 404(b) of the Sarbanes-Oxley Act of 2002; and</w:t>
      </w:r>
    </w:p>
    <w:p>
      <w:pPr>
        <w:spacing w:after="0" w:line="75" w:lineRule="exact"/>
        <w:rPr>
          <w:rFonts w:ascii="Arial" w:cs="Arial" w:eastAsia="Arial" w:hAnsi="Arial"/>
          <w:sz w:val="18"/>
          <w:szCs w:val="18"/>
          <w:color w:val="auto"/>
        </w:rPr>
      </w:pPr>
    </w:p>
    <w:p>
      <w:pPr>
        <w:ind w:left="1160" w:right="20" w:hanging="534"/>
        <w:spacing w:after="0" w:line="308" w:lineRule="auto"/>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46" w:lineRule="exact"/>
        <w:rPr>
          <w:sz w:val="20"/>
          <w:szCs w:val="20"/>
          <w:color w:val="auto"/>
        </w:rPr>
      </w:pPr>
    </w:p>
    <w:p>
      <w:pPr>
        <w:ind w:left="200" w:right="80" w:firstLine="434"/>
        <w:spacing w:after="0" w:line="291" w:lineRule="auto"/>
        <w:rPr>
          <w:sz w:val="20"/>
          <w:szCs w:val="20"/>
          <w:color w:val="auto"/>
        </w:rPr>
      </w:pPr>
      <w:r>
        <w:rPr>
          <w:rFonts w:ascii="Arial" w:cs="Arial" w:eastAsia="Arial" w:hAnsi="Arial"/>
          <w:sz w:val="16"/>
          <w:szCs w:val="16"/>
          <w:color w:val="auto"/>
        </w:rPr>
        <w:t>We may take advantage of these exemptions for up to the last day of the fiscal year ending after the fifth anniversary of this offering or such earlier time that we are no longer an emerging growth company. We would cease to be an emerging growth company on the date that is the earliest of</w:t>
      </w:r>
    </w:p>
    <w:p>
      <w:pPr>
        <w:ind w:left="200" w:hanging="6"/>
        <w:spacing w:after="0" w:line="260" w:lineRule="auto"/>
        <w:tabs>
          <w:tab w:leader="none" w:pos="4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last day of the fiscal year in which we have total annual gross revenues of $1.07 billion or more; (2) the last day of our fiscal year following the fifth anniversary of the date of the completion of this offering; (3) the date on which we have issued more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2070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2070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than $1.0 billion in nonconvertible debt during the previous three years; or (4) the date on which we are deemed to be a large accelerated filer under the rules of the Securities and Exchange Commission, or the SEC. We may choose to take advantage of some but not all of these exemptions. We have taken advantage of certain reduced reporting requirements in this prospectus. Accordingly, the information contained herein may be different from the information you receive from other public companies in which you hold stock.</w:t>
      </w:r>
    </w:p>
    <w:p>
      <w:pPr>
        <w:spacing w:after="0" w:line="187" w:lineRule="exact"/>
        <w:rPr>
          <w:sz w:val="20"/>
          <w:szCs w:val="20"/>
          <w:color w:val="auto"/>
        </w:rPr>
      </w:pPr>
    </w:p>
    <w:p>
      <w:pPr>
        <w:ind w:left="200" w:right="20" w:firstLine="434"/>
        <w:spacing w:after="0" w:line="290"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may be different than the information you may receive from other public companies in which you hold equity interests. In addition, it is possible that some investors will find our common shares less attractive as a result of these elections, which may result in a less active trading market for our common shares and higher volatility in our share price.</w:t>
      </w:r>
    </w:p>
    <w:p>
      <w:pPr>
        <w:spacing w:after="0" w:line="200" w:lineRule="exact"/>
        <w:rPr>
          <w:sz w:val="20"/>
          <w:szCs w:val="20"/>
          <w:color w:val="auto"/>
        </w:rPr>
      </w:pP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320" w:top="459"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3303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63303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40"/>
          </w:cols>
          <w:pgMar w:left="320" w:top="459" w:right="539" w:bottom="1440" w:gutter="0" w:footer="0" w:header="0"/>
        </w:sectPr>
      </w:pPr>
    </w:p>
    <w:p>
      <w:pPr>
        <w:spacing w:after="0" w:line="3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shares to be offered</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4160"/>
        <w:spacing w:after="0"/>
        <w:rPr>
          <w:sz w:val="20"/>
          <w:szCs w:val="20"/>
          <w:color w:val="auto"/>
        </w:rPr>
      </w:pPr>
      <w:r>
        <w:rPr>
          <w:rFonts w:ascii="Arial" w:cs="Arial" w:eastAsia="Arial" w:hAnsi="Arial"/>
          <w:sz w:val="13"/>
          <w:szCs w:val="13"/>
          <w:color w:val="auto"/>
        </w:rPr>
        <w:t>shares</w:t>
      </w:r>
    </w:p>
    <w:p>
      <w:pPr>
        <w:spacing w:after="0" w:line="134" w:lineRule="exact"/>
        <w:rPr>
          <w:sz w:val="20"/>
          <w:szCs w:val="20"/>
          <w:color w:val="auto"/>
        </w:rPr>
      </w:pPr>
    </w:p>
    <w:p>
      <w:pPr>
        <w:sectPr>
          <w:pgSz w:w="11900" w:h="16838" w:orient="portrait"/>
          <w:cols w:equalWidth="0" w:num="2">
            <w:col w:w="5720" w:space="720"/>
            <w:col w:w="4600"/>
          </w:cols>
          <w:pgMar w:left="320" w:top="459" w:right="5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Option to purchase additional common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shares</w:t>
      </w:r>
    </w:p>
    <w:p>
      <w:pPr>
        <w:spacing w:after="0" w:line="134" w:lineRule="exact"/>
        <w:rPr>
          <w:sz w:val="20"/>
          <w:szCs w:val="20"/>
          <w:color w:val="auto"/>
        </w:rPr>
      </w:pPr>
    </w:p>
    <w:p>
      <w:pPr>
        <w:sectPr>
          <w:pgSz w:w="11900" w:h="16838" w:orient="portrait"/>
          <w:cols w:equalWidth="0" w:num="2">
            <w:col w:w="5720" w:space="720"/>
            <w:col w:w="4600"/>
          </w:cols>
          <w:pgMar w:left="320" w:top="459" w:right="5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shares to be outstanding after this offering</w:t>
      </w:r>
    </w:p>
    <w:p>
      <w:pPr>
        <w:spacing w:after="0" w:line="20" w:lineRule="exact"/>
        <w:rPr>
          <w:sz w:val="20"/>
          <w:szCs w:val="20"/>
          <w:color w:val="auto"/>
        </w:rPr>
      </w:pPr>
      <w:r>
        <w:rPr>
          <w:sz w:val="20"/>
          <w:szCs w:val="20"/>
          <w:color w:val="auto"/>
        </w:rPr>
        <w:br w:type="column"/>
      </w:r>
    </w:p>
    <w:p>
      <w:pPr>
        <w:spacing w:after="0"/>
        <w:tabs>
          <w:tab w:leader="none" w:pos="1120" w:val="left"/>
        </w:tabs>
        <w:rPr>
          <w:sz w:val="20"/>
          <w:szCs w:val="20"/>
          <w:color w:val="auto"/>
        </w:rPr>
      </w:pPr>
      <w:r>
        <w:rPr>
          <w:rFonts w:ascii="Arial" w:cs="Arial" w:eastAsia="Arial" w:hAnsi="Arial"/>
          <w:sz w:val="18"/>
          <w:szCs w:val="18"/>
          <w:color w:val="auto"/>
        </w:rPr>
        <w:t>shares (</w:t>
      </w:r>
      <w:r>
        <w:rPr>
          <w:sz w:val="20"/>
          <w:szCs w:val="20"/>
          <w:color w:val="auto"/>
        </w:rPr>
        <w:tab/>
      </w:r>
      <w:r>
        <w:rPr>
          <w:rFonts w:ascii="Arial" w:cs="Arial" w:eastAsia="Arial" w:hAnsi="Arial"/>
          <w:sz w:val="16"/>
          <w:szCs w:val="16"/>
          <w:color w:val="auto"/>
        </w:rPr>
        <w:t>shares if the underwriters exercise in full their</w:t>
      </w:r>
    </w:p>
    <w:p>
      <w:pPr>
        <w:spacing w:after="0" w:line="23" w:lineRule="exact"/>
        <w:rPr>
          <w:sz w:val="20"/>
          <w:szCs w:val="20"/>
          <w:color w:val="auto"/>
        </w:rPr>
      </w:pPr>
    </w:p>
    <w:p>
      <w:pPr>
        <w:sectPr>
          <w:pgSz w:w="11900" w:h="16838" w:orient="portrait"/>
          <w:cols w:equalWidth="0" w:num="2">
            <w:col w:w="5720" w:space="720"/>
            <w:col w:w="4600"/>
          </w:cols>
          <w:pgMar w:left="320" w:top="459" w:right="539" w:bottom="1440" w:gutter="0" w:footer="0" w:header="0"/>
          <w:type w:val="continuous"/>
        </w:sectPr>
      </w:pPr>
    </w:p>
    <w:tbl>
      <w:tblPr>
        <w:tblLayout w:type="fixed"/>
        <w:tblInd w:w="20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80" w:type="dxa"/>
            <w:vAlign w:val="bottom"/>
            <w:gridSpan w:val="4"/>
          </w:tcPr>
          <w:p>
            <w:pPr>
              <w:ind w:left="80"/>
              <w:spacing w:after="0"/>
              <w:rPr>
                <w:sz w:val="20"/>
                <w:szCs w:val="20"/>
                <w:color w:val="auto"/>
              </w:rPr>
            </w:pPr>
            <w:r>
              <w:rPr>
                <w:rFonts w:ascii="Arial" w:cs="Arial" w:eastAsia="Arial" w:hAnsi="Arial"/>
                <w:sz w:val="18"/>
                <w:szCs w:val="18"/>
                <w:color w:val="auto"/>
              </w:rPr>
              <w:t>option to purchase additional shares)</w:t>
            </w:r>
          </w:p>
        </w:tc>
        <w:tc>
          <w:tcPr>
            <w:tcW w:w="800" w:type="dxa"/>
            <w:vAlign w:val="bottom"/>
          </w:tcPr>
          <w:p>
            <w:pPr>
              <w:spacing w:after="0"/>
              <w:rPr>
                <w:sz w:val="20"/>
                <w:szCs w:val="20"/>
                <w:color w:val="auto"/>
              </w:rPr>
            </w:pPr>
          </w:p>
        </w:tc>
      </w:tr>
      <w:tr>
        <w:trPr>
          <w:trHeight w:val="255"/>
        </w:trPr>
        <w:tc>
          <w:tcPr>
            <w:tcW w:w="4280" w:type="dxa"/>
            <w:vAlign w:val="bottom"/>
          </w:tcPr>
          <w:p>
            <w:pPr>
              <w:spacing w:after="0"/>
              <w:rPr>
                <w:sz w:val="20"/>
                <w:szCs w:val="20"/>
                <w:color w:val="auto"/>
              </w:rPr>
            </w:pPr>
            <w:r>
              <w:rPr>
                <w:rFonts w:ascii="Arial" w:cs="Arial" w:eastAsia="Arial" w:hAnsi="Arial"/>
                <w:sz w:val="18"/>
                <w:szCs w:val="18"/>
                <w:color w:val="auto"/>
              </w:rPr>
              <w:t>Use of proceeds</w:t>
            </w:r>
          </w:p>
        </w:tc>
        <w:tc>
          <w:tcPr>
            <w:tcW w:w="5760" w:type="dxa"/>
            <w:vAlign w:val="bottom"/>
            <w:gridSpan w:val="5"/>
          </w:tcPr>
          <w:p>
            <w:pPr>
              <w:ind w:left="1380"/>
              <w:spacing w:after="0"/>
              <w:rPr>
                <w:sz w:val="20"/>
                <w:szCs w:val="20"/>
                <w:color w:val="auto"/>
              </w:rPr>
            </w:pPr>
            <w:r>
              <w:rPr>
                <w:rFonts w:ascii="Arial" w:cs="Arial" w:eastAsia="Arial" w:hAnsi="Arial"/>
                <w:sz w:val="18"/>
                <w:szCs w:val="18"/>
                <w:color w:val="auto"/>
                <w:w w:val="93"/>
              </w:rPr>
              <w:t>We estimate that the net proceeds from this offering will be</w:t>
            </w:r>
          </w:p>
        </w:tc>
        <w:tc>
          <w:tcPr>
            <w:tcW w:w="800" w:type="dxa"/>
            <w:vAlign w:val="bottom"/>
          </w:tcPr>
          <w:p>
            <w:pPr>
              <w:spacing w:after="0"/>
              <w:rPr>
                <w:sz w:val="22"/>
                <w:szCs w:val="22"/>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color w:val="auto"/>
              </w:rPr>
              <w:t>approximately $</w:t>
            </w:r>
          </w:p>
        </w:tc>
        <w:tc>
          <w:tcPr>
            <w:tcW w:w="2480" w:type="dxa"/>
            <w:vAlign w:val="bottom"/>
            <w:gridSpan w:val="2"/>
          </w:tcPr>
          <w:p>
            <w:pPr>
              <w:ind w:left="40"/>
              <w:spacing w:after="0"/>
              <w:rPr>
                <w:sz w:val="20"/>
                <w:szCs w:val="20"/>
                <w:color w:val="auto"/>
              </w:rPr>
            </w:pPr>
            <w:r>
              <w:rPr>
                <w:rFonts w:ascii="Arial" w:cs="Arial" w:eastAsia="Arial" w:hAnsi="Arial"/>
                <w:sz w:val="18"/>
                <w:szCs w:val="18"/>
                <w:color w:val="auto"/>
              </w:rPr>
              <w:t>million (or approximately $</w:t>
            </w:r>
          </w:p>
        </w:tc>
        <w:tc>
          <w:tcPr>
            <w:tcW w:w="800" w:type="dxa"/>
            <w:vAlign w:val="bottom"/>
          </w:tcPr>
          <w:p>
            <w:pPr>
              <w:ind w:left="140"/>
              <w:spacing w:after="0"/>
              <w:rPr>
                <w:sz w:val="20"/>
                <w:szCs w:val="20"/>
                <w:color w:val="auto"/>
              </w:rPr>
            </w:pPr>
            <w:r>
              <w:rPr>
                <w:rFonts w:ascii="Arial" w:cs="Arial" w:eastAsia="Arial" w:hAnsi="Arial"/>
                <w:sz w:val="18"/>
                <w:szCs w:val="18"/>
                <w:color w:val="auto"/>
                <w:w w:val="98"/>
              </w:rPr>
              <w:t>million if</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gridSpan w:val="5"/>
          </w:tcPr>
          <w:p>
            <w:pPr>
              <w:ind w:left="80"/>
              <w:spacing w:after="0"/>
              <w:rPr>
                <w:sz w:val="20"/>
                <w:szCs w:val="20"/>
                <w:color w:val="auto"/>
              </w:rPr>
            </w:pPr>
            <w:r>
              <w:rPr>
                <w:rFonts w:ascii="Arial" w:cs="Arial" w:eastAsia="Arial" w:hAnsi="Arial"/>
                <w:sz w:val="18"/>
                <w:szCs w:val="18"/>
                <w:color w:val="auto"/>
              </w:rPr>
              <w:t>the underwriters exercise in full their option to purchase up to</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gridSpan w:val="5"/>
          </w:tcPr>
          <w:p>
            <w:pPr>
              <w:ind w:left="660"/>
              <w:spacing w:after="0"/>
              <w:rPr>
                <w:sz w:val="20"/>
                <w:szCs w:val="20"/>
                <w:color w:val="auto"/>
              </w:rPr>
            </w:pPr>
            <w:r>
              <w:rPr>
                <w:rFonts w:ascii="Arial" w:cs="Arial" w:eastAsia="Arial" w:hAnsi="Arial"/>
                <w:sz w:val="18"/>
                <w:szCs w:val="18"/>
                <w:color w:val="auto"/>
                <w:w w:val="97"/>
              </w:rPr>
              <w:t>additional common shares), based on an assumed initial</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320" w:type="dxa"/>
            <w:vAlign w:val="bottom"/>
            <w:gridSpan w:val="3"/>
          </w:tcPr>
          <w:p>
            <w:pPr>
              <w:ind w:left="80"/>
              <w:spacing w:after="0"/>
              <w:rPr>
                <w:sz w:val="20"/>
                <w:szCs w:val="20"/>
                <w:color w:val="auto"/>
              </w:rPr>
            </w:pPr>
            <w:r>
              <w:rPr>
                <w:rFonts w:ascii="Arial" w:cs="Arial" w:eastAsia="Arial" w:hAnsi="Arial"/>
                <w:sz w:val="18"/>
                <w:szCs w:val="18"/>
                <w:color w:val="auto"/>
              </w:rPr>
              <w:t>public offering price of $</w:t>
            </w: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w w:val="93"/>
              </w:rPr>
              <w:t>per share, the midpoint of the price</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gridSpan w:val="5"/>
          </w:tcPr>
          <w:p>
            <w:pPr>
              <w:ind w:left="80"/>
              <w:spacing w:after="0"/>
              <w:rPr>
                <w:sz w:val="20"/>
                <w:szCs w:val="20"/>
                <w:color w:val="auto"/>
              </w:rPr>
            </w:pPr>
            <w:r>
              <w:rPr>
                <w:rFonts w:ascii="Arial" w:cs="Arial" w:eastAsia="Arial" w:hAnsi="Arial"/>
                <w:sz w:val="18"/>
                <w:szCs w:val="18"/>
                <w:color w:val="auto"/>
                <w:w w:val="92"/>
              </w:rPr>
              <w:t>range set forth on the cover page of this prospectus, after deducting</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gridSpan w:val="5"/>
          </w:tcPr>
          <w:p>
            <w:pPr>
              <w:ind w:left="80"/>
              <w:spacing w:after="0"/>
              <w:rPr>
                <w:sz w:val="20"/>
                <w:szCs w:val="20"/>
                <w:color w:val="auto"/>
              </w:rPr>
            </w:pPr>
            <w:r>
              <w:rPr>
                <w:rFonts w:ascii="Arial" w:cs="Arial" w:eastAsia="Arial" w:hAnsi="Arial"/>
                <w:sz w:val="18"/>
                <w:szCs w:val="18"/>
                <w:color w:val="auto"/>
                <w:w w:val="90"/>
              </w:rPr>
              <w:t>estimated underwriting fees and commissions and estimated offering</w:t>
            </w:r>
          </w:p>
        </w:tc>
      </w:tr>
      <w:tr>
        <w:trPr>
          <w:trHeight w:val="230"/>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color w:val="auto"/>
                <w:w w:val="85"/>
              </w:rPr>
              <w:t>expenses payable by us.</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83"/>
        </w:trPr>
        <w:tc>
          <w:tcPr>
            <w:tcW w:w="4280" w:type="dxa"/>
            <w:vAlign w:val="bottom"/>
          </w:tcPr>
          <w:p>
            <w:pPr>
              <w:spacing w:after="0"/>
              <w:rPr>
                <w:sz w:val="24"/>
                <w:szCs w:val="24"/>
                <w:color w:val="auto"/>
              </w:rPr>
            </w:pPr>
          </w:p>
        </w:tc>
        <w:tc>
          <w:tcPr>
            <w:tcW w:w="6560" w:type="dxa"/>
            <w:vAlign w:val="bottom"/>
            <w:gridSpan w:val="6"/>
          </w:tcPr>
          <w:p>
            <w:pPr>
              <w:ind w:left="1380"/>
              <w:spacing w:after="0"/>
              <w:rPr>
                <w:sz w:val="20"/>
                <w:szCs w:val="20"/>
                <w:color w:val="auto"/>
              </w:rPr>
            </w:pPr>
            <w:r>
              <w:rPr>
                <w:rFonts w:ascii="Arial" w:cs="Arial" w:eastAsia="Arial" w:hAnsi="Arial"/>
                <w:sz w:val="18"/>
                <w:szCs w:val="18"/>
                <w:color w:val="auto"/>
                <w:w w:val="91"/>
              </w:rPr>
              <w:t>We currently intend to use the net proceeds from this offering, together</w:t>
            </w:r>
          </w:p>
        </w:tc>
      </w:tr>
      <w:tr>
        <w:trPr>
          <w:trHeight w:val="230"/>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80" w:type="dxa"/>
            <w:vAlign w:val="bottom"/>
            <w:gridSpan w:val="4"/>
          </w:tcPr>
          <w:p>
            <w:pPr>
              <w:ind w:left="80"/>
              <w:spacing w:after="0"/>
              <w:rPr>
                <w:sz w:val="20"/>
                <w:szCs w:val="20"/>
                <w:color w:val="auto"/>
              </w:rPr>
            </w:pPr>
            <w:r>
              <w:rPr>
                <w:rFonts w:ascii="Arial" w:cs="Arial" w:eastAsia="Arial" w:hAnsi="Arial"/>
                <w:sz w:val="18"/>
                <w:szCs w:val="18"/>
                <w:color w:val="auto"/>
              </w:rPr>
              <w:t>with our existing cash, as follows:</w:t>
            </w:r>
          </w:p>
        </w:tc>
        <w:tc>
          <w:tcPr>
            <w:tcW w:w="800" w:type="dxa"/>
            <w:vAlign w:val="bottom"/>
          </w:tcPr>
          <w:p>
            <w:pPr>
              <w:spacing w:after="0"/>
              <w:rPr>
                <w:sz w:val="20"/>
                <w:szCs w:val="20"/>
                <w:color w:val="auto"/>
              </w:rPr>
            </w:pPr>
          </w:p>
        </w:tc>
      </w:tr>
      <w:tr>
        <w:trPr>
          <w:trHeight w:val="283"/>
        </w:trPr>
        <w:tc>
          <w:tcPr>
            <w:tcW w:w="428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approximately $</w:t>
            </w:r>
          </w:p>
        </w:tc>
        <w:tc>
          <w:tcPr>
            <w:tcW w:w="3280" w:type="dxa"/>
            <w:vAlign w:val="bottom"/>
            <w:gridSpan w:val="3"/>
          </w:tcPr>
          <w:p>
            <w:pPr>
              <w:ind w:left="20"/>
              <w:spacing w:after="0"/>
              <w:rPr>
                <w:sz w:val="20"/>
                <w:szCs w:val="20"/>
                <w:color w:val="auto"/>
              </w:rPr>
            </w:pPr>
            <w:r>
              <w:rPr>
                <w:rFonts w:ascii="Arial" w:cs="Arial" w:eastAsia="Arial" w:hAnsi="Arial"/>
                <w:sz w:val="18"/>
                <w:szCs w:val="18"/>
                <w:color w:val="auto"/>
                <w:w w:val="97"/>
              </w:rPr>
              <w:t>million to advance clinical development of</w:t>
            </w:r>
          </w:p>
        </w:tc>
      </w:tr>
      <w:tr>
        <w:trPr>
          <w:trHeight w:val="230"/>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60" w:type="dxa"/>
            <w:vAlign w:val="bottom"/>
          </w:tcPr>
          <w:p>
            <w:pPr>
              <w:ind w:left="80"/>
              <w:spacing w:after="0"/>
              <w:rPr>
                <w:sz w:val="20"/>
                <w:szCs w:val="20"/>
                <w:color w:val="auto"/>
              </w:rPr>
            </w:pPr>
            <w:r>
              <w:rPr>
                <w:rFonts w:ascii="Arial" w:cs="Arial" w:eastAsia="Arial" w:hAnsi="Arial"/>
                <w:sz w:val="18"/>
                <w:szCs w:val="18"/>
                <w:color w:val="auto"/>
              </w:rPr>
              <w:t>RP-3500;</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83"/>
        </w:trPr>
        <w:tc>
          <w:tcPr>
            <w:tcW w:w="428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approximately $</w:t>
            </w:r>
          </w:p>
        </w:tc>
        <w:tc>
          <w:tcPr>
            <w:tcW w:w="3280" w:type="dxa"/>
            <w:vAlign w:val="bottom"/>
            <w:gridSpan w:val="3"/>
          </w:tcPr>
          <w:p>
            <w:pPr>
              <w:ind w:left="20"/>
              <w:spacing w:after="0"/>
              <w:rPr>
                <w:sz w:val="20"/>
                <w:szCs w:val="20"/>
                <w:color w:val="auto"/>
              </w:rPr>
            </w:pPr>
            <w:r>
              <w:rPr>
                <w:rFonts w:ascii="Arial" w:cs="Arial" w:eastAsia="Arial" w:hAnsi="Arial"/>
                <w:sz w:val="18"/>
                <w:szCs w:val="18"/>
                <w:color w:val="auto"/>
              </w:rPr>
              <w:t>million to fund continued development of</w:t>
            </w:r>
          </w:p>
        </w:tc>
      </w:tr>
      <w:tr>
        <w:trPr>
          <w:trHeight w:val="230"/>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320" w:type="dxa"/>
            <w:vAlign w:val="bottom"/>
            <w:gridSpan w:val="3"/>
          </w:tcPr>
          <w:p>
            <w:pPr>
              <w:ind w:left="80"/>
              <w:spacing w:after="0"/>
              <w:rPr>
                <w:sz w:val="20"/>
                <w:szCs w:val="20"/>
                <w:color w:val="auto"/>
              </w:rPr>
            </w:pPr>
            <w:r>
              <w:rPr>
                <w:rFonts w:ascii="Arial" w:cs="Arial" w:eastAsia="Arial" w:hAnsi="Arial"/>
                <w:sz w:val="18"/>
                <w:szCs w:val="18"/>
                <w:color w:val="auto"/>
                <w:w w:val="95"/>
              </w:rPr>
              <w:t>our preclinical programs; and</w:t>
            </w:r>
          </w:p>
        </w:tc>
        <w:tc>
          <w:tcPr>
            <w:tcW w:w="19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83"/>
        </w:trPr>
        <w:tc>
          <w:tcPr>
            <w:tcW w:w="428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8"/>
                <w:szCs w:val="18"/>
                <w:color w:val="auto"/>
              </w:rPr>
              <w:t>•</w:t>
            </w:r>
          </w:p>
        </w:tc>
        <w:tc>
          <w:tcPr>
            <w:tcW w:w="5080" w:type="dxa"/>
            <w:vAlign w:val="bottom"/>
            <w:gridSpan w:val="5"/>
          </w:tcPr>
          <w:p>
            <w:pPr>
              <w:ind w:left="60"/>
              <w:spacing w:after="0"/>
              <w:rPr>
                <w:sz w:val="20"/>
                <w:szCs w:val="20"/>
                <w:color w:val="auto"/>
              </w:rPr>
            </w:pPr>
            <w:r>
              <w:rPr>
                <w:rFonts w:ascii="Arial" w:cs="Arial" w:eastAsia="Arial" w:hAnsi="Arial"/>
                <w:sz w:val="18"/>
                <w:szCs w:val="18"/>
                <w:color w:val="auto"/>
                <w:w w:val="95"/>
              </w:rPr>
              <w:t>the remainder to fund working capital and other general corporate</w:t>
            </w:r>
          </w:p>
        </w:tc>
      </w:tr>
      <w:tr>
        <w:trPr>
          <w:trHeight w:val="230"/>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60" w:type="dxa"/>
            <w:vAlign w:val="bottom"/>
          </w:tcPr>
          <w:p>
            <w:pPr>
              <w:ind w:left="80"/>
              <w:spacing w:after="0"/>
              <w:rPr>
                <w:sz w:val="20"/>
                <w:szCs w:val="20"/>
                <w:color w:val="auto"/>
              </w:rPr>
            </w:pPr>
            <w:r>
              <w:rPr>
                <w:rFonts w:ascii="Arial" w:cs="Arial" w:eastAsia="Arial" w:hAnsi="Arial"/>
                <w:sz w:val="18"/>
                <w:szCs w:val="18"/>
                <w:color w:val="auto"/>
              </w:rPr>
              <w:t>purposes.</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97"/>
        </w:trPr>
        <w:tc>
          <w:tcPr>
            <w:tcW w:w="4280" w:type="dxa"/>
            <w:vAlign w:val="bottom"/>
          </w:tcPr>
          <w:p>
            <w:pPr>
              <w:spacing w:after="0"/>
              <w:rPr>
                <w:sz w:val="24"/>
                <w:szCs w:val="24"/>
                <w:color w:val="auto"/>
              </w:rPr>
            </w:pPr>
          </w:p>
        </w:tc>
        <w:tc>
          <w:tcPr>
            <w:tcW w:w="5760" w:type="dxa"/>
            <w:vAlign w:val="bottom"/>
            <w:gridSpan w:val="5"/>
          </w:tcPr>
          <w:p>
            <w:pPr>
              <w:ind w:left="1380"/>
              <w:spacing w:after="0"/>
              <w:rPr>
                <w:sz w:val="20"/>
                <w:szCs w:val="20"/>
                <w:color w:val="auto"/>
              </w:rPr>
            </w:pPr>
            <w:r>
              <w:rPr>
                <w:rFonts w:ascii="Arial" w:cs="Arial" w:eastAsia="Arial" w:hAnsi="Arial"/>
                <w:sz w:val="18"/>
                <w:szCs w:val="18"/>
                <w:color w:val="auto"/>
              </w:rPr>
              <w:t>See “Use of Proceeds” for additional information.</w:t>
            </w:r>
          </w:p>
        </w:tc>
        <w:tc>
          <w:tcPr>
            <w:tcW w:w="800" w:type="dxa"/>
            <w:vAlign w:val="bottom"/>
          </w:tcPr>
          <w:p>
            <w:pPr>
              <w:spacing w:after="0"/>
              <w:rPr>
                <w:sz w:val="24"/>
                <w:szCs w:val="24"/>
                <w:color w:val="auto"/>
              </w:rPr>
            </w:pPr>
          </w:p>
        </w:tc>
      </w:tr>
      <w:tr>
        <w:trPr>
          <w:trHeight w:val="283"/>
        </w:trPr>
        <w:tc>
          <w:tcPr>
            <w:tcW w:w="4280" w:type="dxa"/>
            <w:vAlign w:val="bottom"/>
          </w:tcPr>
          <w:p>
            <w:pPr>
              <w:spacing w:after="0"/>
              <w:rPr>
                <w:sz w:val="20"/>
                <w:szCs w:val="20"/>
                <w:color w:val="auto"/>
              </w:rPr>
            </w:pPr>
            <w:r>
              <w:rPr>
                <w:rFonts w:ascii="Arial" w:cs="Arial" w:eastAsia="Arial" w:hAnsi="Arial"/>
                <w:sz w:val="18"/>
                <w:szCs w:val="18"/>
                <w:color w:val="auto"/>
              </w:rPr>
              <w:t>Risk factors</w:t>
            </w:r>
          </w:p>
        </w:tc>
        <w:tc>
          <w:tcPr>
            <w:tcW w:w="6560" w:type="dxa"/>
            <w:vAlign w:val="bottom"/>
            <w:gridSpan w:val="6"/>
          </w:tcPr>
          <w:p>
            <w:pPr>
              <w:ind w:left="1380"/>
              <w:spacing w:after="0"/>
              <w:rPr>
                <w:sz w:val="20"/>
                <w:szCs w:val="20"/>
                <w:color w:val="auto"/>
              </w:rPr>
            </w:pPr>
            <w:r>
              <w:rPr>
                <w:rFonts w:ascii="Arial" w:cs="Arial" w:eastAsia="Arial" w:hAnsi="Arial"/>
                <w:sz w:val="18"/>
                <w:szCs w:val="18"/>
                <w:color w:val="auto"/>
                <w:w w:val="96"/>
              </w:rPr>
              <w:t>You should read the section titled “Risk Factors” for a discussion of</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gridSpan w:val="5"/>
          </w:tcPr>
          <w:p>
            <w:pPr>
              <w:ind w:left="80"/>
              <w:spacing w:after="0"/>
              <w:rPr>
                <w:sz w:val="20"/>
                <w:szCs w:val="20"/>
                <w:color w:val="auto"/>
              </w:rPr>
            </w:pPr>
            <w:r>
              <w:rPr>
                <w:rFonts w:ascii="Arial" w:cs="Arial" w:eastAsia="Arial" w:hAnsi="Arial"/>
                <w:sz w:val="18"/>
                <w:szCs w:val="18"/>
                <w:color w:val="auto"/>
                <w:w w:val="94"/>
              </w:rPr>
              <w:t>factors to consider carefully, together with all the other information</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gridSpan w:val="5"/>
          </w:tcPr>
          <w:p>
            <w:pPr>
              <w:ind w:left="80"/>
              <w:spacing w:after="0"/>
              <w:rPr>
                <w:sz w:val="20"/>
                <w:szCs w:val="20"/>
                <w:color w:val="auto"/>
              </w:rPr>
            </w:pPr>
            <w:r>
              <w:rPr>
                <w:rFonts w:ascii="Arial" w:cs="Arial" w:eastAsia="Arial" w:hAnsi="Arial"/>
                <w:sz w:val="18"/>
                <w:szCs w:val="18"/>
                <w:color w:val="auto"/>
                <w:w w:val="92"/>
              </w:rPr>
              <w:t>included in this prospectus, before deciding to invest in our common</w:t>
            </w:r>
          </w:p>
        </w:tc>
      </w:tr>
      <w:tr>
        <w:trPr>
          <w:trHeight w:val="230"/>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60" w:type="dxa"/>
            <w:vAlign w:val="bottom"/>
          </w:tcPr>
          <w:p>
            <w:pPr>
              <w:ind w:left="80"/>
              <w:spacing w:after="0"/>
              <w:rPr>
                <w:sz w:val="20"/>
                <w:szCs w:val="20"/>
                <w:color w:val="auto"/>
              </w:rPr>
            </w:pPr>
            <w:r>
              <w:rPr>
                <w:rFonts w:ascii="Arial" w:cs="Arial" w:eastAsia="Arial" w:hAnsi="Arial"/>
                <w:sz w:val="18"/>
                <w:szCs w:val="18"/>
                <w:color w:val="auto"/>
              </w:rPr>
              <w:t>shares.</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83"/>
        </w:trPr>
        <w:tc>
          <w:tcPr>
            <w:tcW w:w="4280" w:type="dxa"/>
            <w:vAlign w:val="bottom"/>
          </w:tcPr>
          <w:p>
            <w:pPr>
              <w:spacing w:after="0"/>
              <w:rPr>
                <w:sz w:val="20"/>
                <w:szCs w:val="20"/>
                <w:color w:val="auto"/>
              </w:rPr>
            </w:pPr>
            <w:r>
              <w:rPr>
                <w:rFonts w:ascii="Arial" w:cs="Arial" w:eastAsia="Arial" w:hAnsi="Arial"/>
                <w:sz w:val="18"/>
                <w:szCs w:val="18"/>
                <w:color w:val="auto"/>
              </w:rPr>
              <w:t>Proposed Nasdaq Global Market symbol</w:t>
            </w:r>
          </w:p>
        </w:tc>
        <w:tc>
          <w:tcPr>
            <w:tcW w:w="2440" w:type="dxa"/>
            <w:vAlign w:val="bottom"/>
            <w:gridSpan w:val="2"/>
          </w:tcPr>
          <w:p>
            <w:pPr>
              <w:ind w:left="1380"/>
              <w:spacing w:after="0"/>
              <w:rPr>
                <w:sz w:val="20"/>
                <w:szCs w:val="20"/>
                <w:color w:val="auto"/>
              </w:rPr>
            </w:pPr>
            <w:r>
              <w:rPr>
                <w:rFonts w:ascii="Arial" w:cs="Arial" w:eastAsia="Arial" w:hAnsi="Arial"/>
                <w:sz w:val="18"/>
                <w:szCs w:val="18"/>
                <w:color w:val="auto"/>
              </w:rPr>
              <w:t>“RPTX”</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6720" w:type="dxa"/>
            <w:vAlign w:val="bottom"/>
            <w:gridSpan w:val="3"/>
          </w:tcPr>
          <w:p>
            <w:pPr>
              <w:ind w:left="420"/>
              <w:spacing w:after="0"/>
              <w:rPr>
                <w:sz w:val="20"/>
                <w:szCs w:val="20"/>
                <w:color w:val="auto"/>
              </w:rPr>
            </w:pPr>
            <w:r>
              <w:rPr>
                <w:rFonts w:ascii="Arial" w:cs="Arial" w:eastAsia="Arial" w:hAnsi="Arial"/>
                <w:sz w:val="18"/>
                <w:szCs w:val="18"/>
                <w:color w:val="auto"/>
                <w:w w:val="99"/>
              </w:rPr>
              <w:t>The number of common shares to be outstanding after this offering is based on</w:t>
            </w:r>
          </w:p>
        </w:tc>
        <w:tc>
          <w:tcPr>
            <w:tcW w:w="4120" w:type="dxa"/>
            <w:vAlign w:val="bottom"/>
            <w:gridSpan w:val="4"/>
          </w:tcPr>
          <w:p>
            <w:pPr>
              <w:ind w:left="180"/>
              <w:spacing w:after="0"/>
              <w:rPr>
                <w:sz w:val="20"/>
                <w:szCs w:val="20"/>
                <w:color w:val="auto"/>
              </w:rPr>
            </w:pPr>
            <w:r>
              <w:rPr>
                <w:rFonts w:ascii="Arial" w:cs="Arial" w:eastAsia="Arial" w:hAnsi="Arial"/>
                <w:sz w:val="18"/>
                <w:szCs w:val="18"/>
                <w:color w:val="auto"/>
                <w:w w:val="96"/>
              </w:rPr>
              <w:t>common shares outstanding as of March 31, 2020,</w:t>
            </w:r>
          </w:p>
        </w:tc>
      </w:tr>
    </w:tbl>
    <w:p>
      <w:pPr>
        <w:ind w:left="200"/>
        <w:spacing w:after="0"/>
        <w:rPr>
          <w:sz w:val="20"/>
          <w:szCs w:val="20"/>
          <w:color w:val="auto"/>
        </w:rPr>
      </w:pPr>
      <w:r>
        <w:rPr>
          <w:rFonts w:ascii="Arial" w:cs="Arial" w:eastAsia="Arial" w:hAnsi="Arial"/>
          <w:sz w:val="16"/>
          <w:szCs w:val="16"/>
          <w:color w:val="auto"/>
        </w:rPr>
        <w:t>which gives effect to (i) the conversion of all outstanding preferred shares into an aggregate of 130,686,975 common shares and (ii) the automatic</w:t>
      </w:r>
    </w:p>
    <w:p>
      <w:pPr>
        <w:spacing w:after="0" w:line="386" w:lineRule="exact"/>
        <w:rPr>
          <w:sz w:val="20"/>
          <w:szCs w:val="20"/>
          <w:color w:val="auto"/>
        </w:rPr>
      </w:pPr>
    </w:p>
    <w:p>
      <w:pPr>
        <w:ind w:left="200" w:right="40"/>
        <w:spacing w:after="0" w:line="263" w:lineRule="auto"/>
        <w:rPr>
          <w:sz w:val="20"/>
          <w:szCs w:val="20"/>
          <w:color w:val="auto"/>
        </w:rPr>
      </w:pPr>
      <w:r>
        <w:rPr>
          <w:rFonts w:ascii="Arial" w:cs="Arial" w:eastAsia="Arial" w:hAnsi="Arial"/>
          <w:sz w:val="18"/>
          <w:szCs w:val="18"/>
          <w:color w:val="auto"/>
        </w:rPr>
        <w:t>exercise of the warrant held by an affiliate of Bristol Myers Squibb into an aggregate of common shares, based on an assumed initial public offering price of $ per share, the midpoint of the price range set forth on the cover page of this prospectus, in each case effected immediately prior to the completion of this offering, and excludes:</w:t>
      </w:r>
    </w:p>
    <w:p>
      <w:pPr>
        <w:spacing w:after="0" w:line="89" w:lineRule="exact"/>
        <w:rPr>
          <w:sz w:val="20"/>
          <w:szCs w:val="20"/>
          <w:color w:val="auto"/>
        </w:rPr>
      </w:pPr>
    </w:p>
    <w:p>
      <w:pPr>
        <w:ind w:left="1160" w:right="20" w:hanging="534"/>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20,148,992 common shares issuable upon the exercise of outstanding options as of March 31, 2020, at a weighted-average exercise price of $0.34 per share;</w:t>
      </w:r>
    </w:p>
    <w:p>
      <w:pPr>
        <w:spacing w:after="0" w:line="75" w:lineRule="exact"/>
        <w:rPr>
          <w:rFonts w:ascii="Arial" w:cs="Arial" w:eastAsia="Arial" w:hAnsi="Arial"/>
          <w:sz w:val="18"/>
          <w:szCs w:val="18"/>
          <w:color w:val="auto"/>
        </w:rPr>
      </w:pPr>
    </w:p>
    <w:p>
      <w:pPr>
        <w:jc w:val="both"/>
        <w:ind w:left="1160" w:right="240" w:hanging="534"/>
        <w:spacing w:after="0" w:line="263"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3,449,250 common shares reserved for future issuance under our Repare Therapeutics Inc. Amended and Restated Option Plan, or the Existing Plan, as of March 31, 2020, which shares will cease to be available for future issuance immediately prior to the time that our 2020 Plan becomes effective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320" w:top="459" w:right="5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32956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32956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40" w:hanging="534"/>
        <w:spacing w:after="0" w:line="263" w:lineRule="auto"/>
        <w:tabs>
          <w:tab w:leader="none" w:pos="19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common shares reserved for future issuance under our 2020 Equity Incentive Plan, or the 2020 Plan, which will become effective immediately prior to the execution of the underwriting agreement related to this offering, as well as any future increases in the number of common shares reserved for issuance under our 2020 Plan; and</w:t>
      </w:r>
    </w:p>
    <w:p>
      <w:pPr>
        <w:spacing w:after="0" w:line="89" w:lineRule="exact"/>
        <w:rPr>
          <w:rFonts w:ascii="Arial" w:cs="Arial" w:eastAsia="Arial" w:hAnsi="Arial"/>
          <w:sz w:val="18"/>
          <w:szCs w:val="18"/>
          <w:color w:val="auto"/>
        </w:rPr>
      </w:pPr>
    </w:p>
    <w:p>
      <w:pPr>
        <w:jc w:val="both"/>
        <w:ind w:left="1160" w:right="40" w:hanging="534"/>
        <w:spacing w:after="0" w:line="263" w:lineRule="auto"/>
        <w:tabs>
          <w:tab w:leader="none" w:pos="19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common shares reserved for future issuance under our 2020 Employee Share Purchase Plan, or the ESPP, which will become effective immediately prior to the execution of the underwriting agreement related to this offering, as well as any future increases in the number of common shares reserved for issuance under our ESPP.</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Unless otherwise indicated, all information contained in this prospectus assumes or gives effect to:</w:t>
      </w:r>
    </w:p>
    <w:p>
      <w:pPr>
        <w:spacing w:after="0" w:line="131" w:lineRule="exact"/>
        <w:rPr>
          <w:sz w:val="20"/>
          <w:szCs w:val="20"/>
          <w:color w:val="auto"/>
        </w:rPr>
      </w:pPr>
    </w:p>
    <w:p>
      <w:pPr>
        <w:ind w:left="1160" w:right="220" w:hanging="534"/>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filing and effectiveness of our articles of continuance immediately prior to the completion of this offering and the adoption of our amended and restated bylaws immediately prior to the completion of this offering;</w:t>
      </w:r>
    </w:p>
    <w:p>
      <w:pPr>
        <w:spacing w:after="0" w:line="75" w:lineRule="exact"/>
        <w:rPr>
          <w:rFonts w:ascii="Arial" w:cs="Arial" w:eastAsia="Arial" w:hAnsi="Arial"/>
          <w:sz w:val="18"/>
          <w:szCs w:val="18"/>
          <w:color w:val="auto"/>
        </w:rPr>
      </w:pPr>
    </w:p>
    <w:p>
      <w:pPr>
        <w:ind w:left="1160" w:hanging="534"/>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conversion of all outstanding preferred shares into an aggregate of 130,686,975 common shares immediately prior to the completion of this offering;</w:t>
      </w:r>
    </w:p>
    <w:p>
      <w:pPr>
        <w:sectPr>
          <w:pgSz w:w="11900" w:h="16838" w:orient="portrait"/>
          <w:cols w:equalWidth="0" w:num="1">
            <w:col w:w="10960"/>
          </w:cols>
          <w:pgMar w:left="320" w:top="459" w:right="619" w:bottom="1440" w:gutter="0" w:footer="0" w:header="0"/>
        </w:sectPr>
      </w:pPr>
    </w:p>
    <w:p>
      <w:pPr>
        <w:spacing w:after="0" w:line="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automatic exercise of the warrant held by an affiliate of Bristol Myers Squibb into an aggregate of common shares, based on an assumed initial public offering price of $ per share, the midpoint of the price range set forth on the cover page of this prospectus, immediately prior to the completion of this offering;</w:t>
      </w:r>
    </w:p>
    <w:p>
      <w:pPr>
        <w:spacing w:after="0" w:line="89" w:lineRule="exact"/>
        <w:rPr>
          <w:sz w:val="20"/>
          <w:szCs w:val="20"/>
          <w:color w:val="auto"/>
        </w:rPr>
      </w:pPr>
    </w:p>
    <w:p>
      <w:pPr>
        <w:sectPr>
          <w:pgSz w:w="11900" w:h="16838" w:orient="portrait"/>
          <w:cols w:equalWidth="0" w:num="2">
            <w:col w:w="680" w:space="480"/>
            <w:col w:w="9800"/>
          </w:cols>
          <w:pgMar w:left="320" w:top="459" w:right="619" w:bottom="1440" w:gutter="0" w:footer="0" w:header="0"/>
          <w:type w:val="continuous"/>
        </w:sectPr>
      </w:pPr>
    </w:p>
    <w:p>
      <w:pPr>
        <w:ind w:left="6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17"/>
          <w:szCs w:val="17"/>
          <w:color w:val="auto"/>
        </w:rPr>
        <w:t>a</w:t>
        <w:tab/>
        <w:t>-for-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reverse stock split of our common shares to be completed prior to the completion of this offering;</w:t>
      </w:r>
    </w:p>
    <w:p>
      <w:pPr>
        <w:spacing w:after="0" w:line="153" w:lineRule="exact"/>
        <w:rPr>
          <w:sz w:val="20"/>
          <w:szCs w:val="20"/>
          <w:color w:val="auto"/>
        </w:rPr>
      </w:pPr>
    </w:p>
    <w:p>
      <w:pPr>
        <w:sectPr>
          <w:pgSz w:w="11900" w:h="16838" w:orient="portrait"/>
          <w:cols w:equalWidth="0" w:num="3">
            <w:col w:w="680" w:space="480"/>
            <w:col w:w="640" w:space="220"/>
            <w:col w:w="8940"/>
          </w:cols>
          <w:pgMar w:left="320" w:top="459" w:right="619" w:bottom="1440" w:gutter="0" w:footer="0" w:header="0"/>
          <w:type w:val="continuous"/>
        </w:sectPr>
      </w:pPr>
    </w:p>
    <w:p>
      <w:pPr>
        <w:ind w:left="1160" w:hanging="534"/>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 and</w:t>
      </w:r>
    </w:p>
    <w:p>
      <w:pPr>
        <w:spacing w:after="0" w:line="131" w:lineRule="exact"/>
        <w:rPr>
          <w:sz w:val="20"/>
          <w:szCs w:val="20"/>
          <w:color w:val="auto"/>
        </w:rPr>
      </w:pPr>
    </w:p>
    <w:p>
      <w:pPr>
        <w:ind w:left="620"/>
        <w:spacing w:after="0"/>
        <w:tabs>
          <w:tab w:leader="none" w:pos="1140" w:val="left"/>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 exercise by the underwriters of their option to purchase up to</w:t>
      </w:r>
      <w:r>
        <w:rPr>
          <w:sz w:val="20"/>
          <w:szCs w:val="20"/>
          <w:color w:val="auto"/>
        </w:rPr>
        <w:tab/>
      </w:r>
      <w:r>
        <w:rPr>
          <w:rFonts w:ascii="Arial" w:cs="Arial" w:eastAsia="Arial" w:hAnsi="Arial"/>
          <w:sz w:val="16"/>
          <w:szCs w:val="16"/>
          <w:color w:val="auto"/>
        </w:rPr>
        <w:t>additional common shares.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320" w:top="459" w:right="6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6876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56876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right="220" w:firstLine="434"/>
        <w:spacing w:after="0" w:line="296" w:lineRule="auto"/>
        <w:rPr>
          <w:sz w:val="20"/>
          <w:szCs w:val="20"/>
          <w:color w:val="auto"/>
        </w:rPr>
      </w:pPr>
      <w:r>
        <w:rPr>
          <w:rFonts w:ascii="Arial" w:cs="Arial" w:eastAsia="Arial" w:hAnsi="Arial"/>
          <w:sz w:val="16"/>
          <w:szCs w:val="16"/>
          <w:color w:val="auto"/>
        </w:rPr>
        <w:t>The following tables set forth our financial data for the periods indicated. We have derived the summary consolidated statements of operations data for the years ended December 31, 2017, 2018 and 2019 from our audited consolidated financial statements appearing elsewhere in this prospectus. We have derived the summary consolidated statements of operations data for the three-month periods ended March 31, 2019 and 2020 and the summary consolidated balance sheet data as of March 31, 2020 from our unaudited interim consolidated financial statements appearing elsewhere in this prospectus. Our historical results are not necessarily indicative of the results to be expected in the future.</w:t>
      </w:r>
    </w:p>
    <w:p>
      <w:pPr>
        <w:spacing w:after="0" w:line="161" w:lineRule="exact"/>
        <w:rPr>
          <w:sz w:val="20"/>
          <w:szCs w:val="20"/>
          <w:color w:val="auto"/>
        </w:rPr>
      </w:pPr>
    </w:p>
    <w:p>
      <w:pPr>
        <w:ind w:left="200" w:right="240" w:firstLine="434"/>
        <w:spacing w:after="0" w:line="279" w:lineRule="auto"/>
        <w:rPr>
          <w:sz w:val="20"/>
          <w:szCs w:val="20"/>
          <w:color w:val="auto"/>
        </w:rPr>
      </w:pPr>
      <w:r>
        <w:rPr>
          <w:rFonts w:ascii="Arial" w:cs="Arial" w:eastAsia="Arial" w:hAnsi="Arial"/>
          <w:sz w:val="17"/>
          <w:szCs w:val="17"/>
          <w:color w:val="auto"/>
        </w:rPr>
        <w:t>You should read this consolidated summary financial data together with our consolidated financial statements and related notes to those statements, as well as the section titled “Management’s Discussion and Analysis of Financial Condition and Results of Operations,” which are included elsewhere in this prospectus. The summary financial data in this section are not intended to replace our consolidated financial statements and are qualified in their entirety by our consolidated financial statements and related notes included elsewhere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center"/>
              <w:ind w:left="56"/>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center"/>
              <w:ind w:left="56"/>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10"/>
          </w:tcPr>
          <w:p>
            <w:pPr>
              <w:jc w:val="right"/>
              <w:ind w:right="520"/>
              <w:spacing w:after="0" w:line="142" w:lineRule="exact"/>
              <w:rPr>
                <w:sz w:val="20"/>
                <w:szCs w:val="20"/>
                <w:color w:val="auto"/>
              </w:rPr>
            </w:pPr>
            <w:r>
              <w:rPr>
                <w:rFonts w:ascii="Arial" w:cs="Arial" w:eastAsia="Arial" w:hAnsi="Arial"/>
                <w:sz w:val="14"/>
                <w:szCs w:val="14"/>
                <w:b w:val="1"/>
                <w:bCs w:val="1"/>
                <w:color w:val="auto"/>
                <w:w w:val="93"/>
              </w:rPr>
              <w:t>(in thousands, except share and per share amounts)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Consolidated Operations Data:</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w:t>
            </w: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20,995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0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26,377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ind w:left="20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080" w:type="dxa"/>
            <w:vAlign w:val="bottom"/>
          </w:tcPr>
          <w:p>
            <w:pPr>
              <w:ind w:left="360"/>
              <w:spacing w:after="0" w:line="201" w:lineRule="exact"/>
              <w:rPr>
                <w:sz w:val="20"/>
                <w:szCs w:val="20"/>
                <w:color w:val="auto"/>
              </w:rPr>
            </w:pPr>
            <w:r>
              <w:rPr>
                <w:rFonts w:ascii="Arial" w:cs="Arial" w:eastAsia="Arial" w:hAnsi="Arial"/>
                <w:sz w:val="18"/>
                <w:szCs w:val="18"/>
                <w:color w:val="auto"/>
              </w:rPr>
              <w:t>Realized and unrealized (loss) gain on foreign</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80" w:type="dxa"/>
            <w:vAlign w:val="bottom"/>
          </w:tcPr>
          <w:p>
            <w:pPr>
              <w:ind w:left="540"/>
              <w:spacing w:after="0"/>
              <w:rPr>
                <w:sz w:val="20"/>
                <w:szCs w:val="20"/>
                <w:color w:val="auto"/>
              </w:rPr>
            </w:pPr>
            <w:r>
              <w:rPr>
                <w:rFonts w:ascii="Arial" w:cs="Arial" w:eastAsia="Arial" w:hAnsi="Arial"/>
                <w:sz w:val="18"/>
                <w:szCs w:val="18"/>
                <w:color w:val="auto"/>
              </w:rPr>
              <w:t>exchange</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712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(1,731)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080" w:type="dxa"/>
            <w:vAlign w:val="bottom"/>
          </w:tcPr>
          <w:p>
            <w:pPr>
              <w:ind w:left="360"/>
              <w:spacing w:after="0" w:line="201" w:lineRule="exact"/>
              <w:rPr>
                <w:sz w:val="20"/>
                <w:szCs w:val="20"/>
                <w:color w:val="auto"/>
              </w:rPr>
            </w:pPr>
            <w:r>
              <w:rPr>
                <w:rFonts w:ascii="Arial" w:cs="Arial" w:eastAsia="Arial" w:hAnsi="Arial"/>
                <w:sz w:val="18"/>
                <w:szCs w:val="18"/>
                <w:color w:val="auto"/>
                <w:w w:val="97"/>
              </w:rPr>
              <w:t>Change in fair value of series A preferred share</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80" w:type="dxa"/>
            <w:vAlign w:val="bottom"/>
          </w:tcPr>
          <w:p>
            <w:pPr>
              <w:ind w:left="540"/>
              <w:spacing w:after="0"/>
              <w:rPr>
                <w:sz w:val="20"/>
                <w:szCs w:val="20"/>
                <w:color w:val="auto"/>
              </w:rPr>
            </w:pPr>
            <w:r>
              <w:rPr>
                <w:rFonts w:ascii="Arial" w:cs="Arial" w:eastAsia="Arial" w:hAnsi="Arial"/>
                <w:sz w:val="18"/>
                <w:szCs w:val="18"/>
                <w:color w:val="auto"/>
              </w:rPr>
              <w:t>tranche obligation</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(1,130)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(1,350)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80" w:type="dxa"/>
            <w:vAlign w:val="bottom"/>
          </w:tcPr>
          <w:p>
            <w:pPr>
              <w:ind w:left="720"/>
              <w:spacing w:after="0"/>
              <w:rPr>
                <w:sz w:val="20"/>
                <w:szCs w:val="20"/>
                <w:color w:val="auto"/>
              </w:rPr>
            </w:pPr>
            <w:r>
              <w:rPr>
                <w:rFonts w:ascii="Arial" w:cs="Arial" w:eastAsia="Arial" w:hAnsi="Arial"/>
                <w:sz w:val="18"/>
                <w:szCs w:val="18"/>
                <w:color w:val="auto"/>
              </w:rPr>
              <w:t>Total other expense, net</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(27,216)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(4,838)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ind w:left="200"/>
              <w:spacing w:after="0"/>
              <w:rPr>
                <w:sz w:val="20"/>
                <w:szCs w:val="20"/>
                <w:color w:val="auto"/>
              </w:rPr>
            </w:pPr>
            <w:r>
              <w:rPr>
                <w:rFonts w:ascii="Arial" w:cs="Arial" w:eastAsia="Arial" w:hAnsi="Arial"/>
                <w:sz w:val="18"/>
                <w:szCs w:val="18"/>
                <w:color w:val="auto"/>
              </w:rPr>
              <w:t>Net loss per share:</w:t>
            </w:r>
            <w:r>
              <w:rPr>
                <w:rFonts w:ascii="Arial" w:cs="Arial" w:eastAsia="Arial" w:hAnsi="Arial"/>
                <w:sz w:val="15"/>
                <w:szCs w:val="15"/>
                <w:color w:val="auto"/>
              </w:rPr>
              <w:t>(1)</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ind w:left="200"/>
              <w:spacing w:after="0"/>
              <w:rPr>
                <w:sz w:val="20"/>
                <w:szCs w:val="20"/>
                <w:color w:val="auto"/>
              </w:rPr>
            </w:pPr>
            <w:r>
              <w:rPr>
                <w:rFonts w:ascii="Arial" w:cs="Arial" w:eastAsia="Arial" w:hAnsi="Arial"/>
                <w:sz w:val="18"/>
                <w:szCs w:val="18"/>
                <w:color w:val="auto"/>
                <w:w w:val="95"/>
              </w:rPr>
              <w:t>Weighted average shares used in computing net loss</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per share:</w:t>
            </w:r>
            <w:r>
              <w:rPr>
                <w:rFonts w:ascii="Arial" w:cs="Arial" w:eastAsia="Arial" w:hAnsi="Arial"/>
                <w:sz w:val="15"/>
                <w:szCs w:val="15"/>
                <w:color w:val="auto"/>
              </w:rPr>
              <w:t>(1)</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9,229,658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9,265,000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9,265,000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9,265,000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9,906,973</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2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ind w:right="176"/>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967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496760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11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11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w w:val="96"/>
              </w:rPr>
              <w:t>2017</w:t>
            </w:r>
          </w:p>
        </w:tc>
        <w:tc>
          <w:tcPr>
            <w:tcW w:w="108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64"/>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r>
      <w:tr>
        <w:trPr>
          <w:trHeight w:val="142"/>
        </w:trPr>
        <w:tc>
          <w:tcPr>
            <w:tcW w:w="11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980" w:type="dxa"/>
            <w:vAlign w:val="bottom"/>
            <w:gridSpan w:val="6"/>
          </w:tcPr>
          <w:p>
            <w:pPr>
              <w:ind w:left="660"/>
              <w:spacing w:after="0" w:line="142" w:lineRule="exact"/>
              <w:rPr>
                <w:sz w:val="20"/>
                <w:szCs w:val="20"/>
                <w:color w:val="auto"/>
              </w:rPr>
            </w:pPr>
            <w:r>
              <w:rPr>
                <w:rFonts w:ascii="Arial" w:cs="Arial" w:eastAsia="Arial" w:hAnsi="Arial"/>
                <w:sz w:val="14"/>
                <w:szCs w:val="14"/>
                <w:b w:val="1"/>
                <w:bCs w:val="1"/>
                <w:color w:val="auto"/>
                <w:w w:val="94"/>
              </w:rPr>
              <w:t>(in thousands, except share and per share amounts)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 forma net loss per share (unaudited):</w:t>
            </w:r>
            <w:r>
              <w:rPr>
                <w:rFonts w:ascii="Arial" w:cs="Arial" w:eastAsia="Arial" w:hAnsi="Arial"/>
                <w:sz w:val="15"/>
                <w:szCs w:val="15"/>
                <w:color w:val="auto"/>
              </w:rPr>
              <w:t>(1)</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660" w:type="dxa"/>
            <w:vAlign w:val="bottom"/>
            <w:gridSpan w:val="3"/>
          </w:tcPr>
          <w:p>
            <w:pPr>
              <w:ind w:left="360"/>
              <w:spacing w:after="0"/>
              <w:rPr>
                <w:sz w:val="20"/>
                <w:szCs w:val="20"/>
                <w:color w:val="auto"/>
              </w:rPr>
            </w:pPr>
            <w:r>
              <w:rPr>
                <w:rFonts w:ascii="Arial" w:cs="Arial" w:eastAsia="Arial" w:hAnsi="Arial"/>
                <w:sz w:val="18"/>
                <w:szCs w:val="18"/>
                <w:color w:val="auto"/>
              </w:rPr>
              <w:t>Basic and diluted</w:t>
            </w:r>
          </w:p>
        </w:tc>
        <w:tc>
          <w:tcPr>
            <w:tcW w:w="13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(0.27)</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(0.09)</w:t>
            </w:r>
          </w:p>
        </w:tc>
      </w:tr>
      <w:tr>
        <w:trPr>
          <w:trHeight w:val="20"/>
        </w:trPr>
        <w:tc>
          <w:tcPr>
            <w:tcW w:w="1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566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outstanding used in computing pro</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forma net loss per share (unaudited):</w:t>
            </w:r>
            <w:r>
              <w:rPr>
                <w:rFonts w:ascii="Arial" w:cs="Arial" w:eastAsia="Arial" w:hAnsi="Arial"/>
                <w:sz w:val="15"/>
                <w:szCs w:val="15"/>
                <w:color w:val="auto"/>
              </w:rPr>
              <w:t>(1)</w:t>
            </w:r>
          </w:p>
        </w:tc>
        <w:tc>
          <w:tcPr>
            <w:tcW w:w="1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5660" w:type="dxa"/>
            <w:vAlign w:val="bottom"/>
            <w:gridSpan w:val="3"/>
          </w:tcPr>
          <w:p>
            <w:pPr>
              <w:ind w:left="360"/>
              <w:spacing w:after="0"/>
              <w:rPr>
                <w:sz w:val="20"/>
                <w:szCs w:val="20"/>
                <w:color w:val="auto"/>
              </w:rPr>
            </w:pPr>
            <w:r>
              <w:rPr>
                <w:rFonts w:ascii="Arial" w:cs="Arial" w:eastAsia="Arial" w:hAnsi="Arial"/>
                <w:sz w:val="18"/>
                <w:szCs w:val="18"/>
                <w:color w:val="auto"/>
              </w:rPr>
              <w:t>Basic and diluted</w:t>
            </w:r>
          </w:p>
        </w:tc>
        <w:tc>
          <w:tcPr>
            <w:tcW w:w="1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95,722,801</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140,593,948</w:t>
            </w:r>
          </w:p>
        </w:tc>
        <w:tc>
          <w:tcPr>
            <w:tcW w:w="14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9"/>
        </w:trPr>
        <w:tc>
          <w:tcPr>
            <w:tcW w:w="1180" w:type="dxa"/>
            <w:vAlign w:val="bottom"/>
            <w:tcBorders>
              <w:bottom w:val="single" w:sz="8" w:color="auto"/>
            </w:tcBorders>
          </w:tcPr>
          <w:p>
            <w:pPr>
              <w:spacing w:after="0"/>
              <w:rPr>
                <w:sz w:val="11"/>
                <w:szCs w:val="11"/>
                <w:color w:val="auto"/>
              </w:rPr>
            </w:pPr>
          </w:p>
        </w:tc>
        <w:tc>
          <w:tcPr>
            <w:tcW w:w="3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r>
    </w:tbl>
    <w:p>
      <w:pPr>
        <w:spacing w:after="0" w:line="26" w:lineRule="exact"/>
        <w:rPr>
          <w:sz w:val="20"/>
          <w:szCs w:val="20"/>
          <w:color w:val="auto"/>
        </w:rPr>
      </w:pPr>
    </w:p>
    <w:p>
      <w:pPr>
        <w:ind w:left="620" w:right="120" w:hanging="426"/>
        <w:spacing w:after="0" w:line="286"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See Note 13 to our audited consolidated financial statements and Note 7 to our unaudited condensed consolidated financial statements included elsewhere in this prospectus for an explanation of the calculations of our basic and diluted net loss per share, pro forma net loss per share and the weighted-average number of shares used in the computation of the per share amounts.</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4"/>
          </w:tcPr>
          <w:p>
            <w:pPr>
              <w:ind w:left="180"/>
              <w:spacing w:after="0"/>
              <w:rPr>
                <w:sz w:val="20"/>
                <w:szCs w:val="20"/>
                <w:color w:val="auto"/>
              </w:rPr>
            </w:pPr>
            <w:r>
              <w:rPr>
                <w:rFonts w:ascii="Arial" w:cs="Arial" w:eastAsia="Arial" w:hAnsi="Arial"/>
                <w:sz w:val="14"/>
                <w:szCs w:val="14"/>
                <w:b w:val="1"/>
                <w:bCs w:val="1"/>
                <w:color w:val="auto"/>
              </w:rPr>
              <w:t>AS OF MARCH 31, 2020</w:t>
            </w:r>
          </w:p>
        </w:tc>
        <w:tc>
          <w:tcPr>
            <w:tcW w:w="0" w:type="dxa"/>
            <w:vAlign w:val="bottom"/>
          </w:tcPr>
          <w:p>
            <w:pPr>
              <w:spacing w:after="0"/>
              <w:rPr>
                <w:sz w:val="1"/>
                <w:szCs w:val="1"/>
                <w:color w:val="auto"/>
              </w:rPr>
            </w:pPr>
          </w:p>
        </w:tc>
      </w:tr>
      <w:tr>
        <w:trPr>
          <w:trHeight w:val="119"/>
        </w:trPr>
        <w:tc>
          <w:tcPr>
            <w:tcW w:w="48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90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ACTUAL</w:t>
            </w:r>
          </w:p>
        </w:tc>
        <w:tc>
          <w:tcPr>
            <w:tcW w:w="3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204"/>
              <w:spacing w:after="0" w:line="119" w:lineRule="exact"/>
              <w:rPr>
                <w:sz w:val="20"/>
                <w:szCs w:val="20"/>
                <w:color w:val="auto"/>
              </w:rPr>
            </w:pPr>
            <w:r>
              <w:rPr>
                <w:rFonts w:ascii="Arial" w:cs="Arial" w:eastAsia="Arial" w:hAnsi="Arial"/>
                <w:sz w:val="13"/>
                <w:szCs w:val="13"/>
                <w:b w:val="1"/>
                <w:bCs w:val="1"/>
                <w:color w:val="auto"/>
              </w:rPr>
              <w:t>PRO</w:t>
            </w:r>
          </w:p>
        </w:tc>
        <w:tc>
          <w:tcPr>
            <w:tcW w:w="1680" w:type="dxa"/>
            <w:vAlign w:val="bottom"/>
            <w:tcBorders>
              <w:top w:val="single" w:sz="8" w:color="auto"/>
            </w:tcBorders>
          </w:tcPr>
          <w:p>
            <w:pPr>
              <w:ind w:left="660"/>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4"/>
              <w:spacing w:after="0"/>
              <w:rPr>
                <w:sz w:val="20"/>
                <w:szCs w:val="20"/>
                <w:color w:val="auto"/>
              </w:rPr>
            </w:pPr>
            <w:r>
              <w:rPr>
                <w:rFonts w:ascii="Arial" w:cs="Arial" w:eastAsia="Arial" w:hAnsi="Arial"/>
                <w:sz w:val="14"/>
                <w:szCs w:val="14"/>
                <w:b w:val="1"/>
                <w:bCs w:val="1"/>
                <w:color w:val="auto"/>
                <w:w w:val="99"/>
              </w:rPr>
              <w:t>FORMA</w:t>
            </w:r>
            <w:r>
              <w:rPr>
                <w:rFonts w:ascii="Arial" w:cs="Arial" w:eastAsia="Arial" w:hAnsi="Arial"/>
                <w:sz w:val="12"/>
                <w:szCs w:val="12"/>
                <w:b w:val="1"/>
                <w:bCs w:val="1"/>
                <w:color w:val="auto"/>
                <w:w w:val="99"/>
              </w:rPr>
              <w:t>(1)</w:t>
            </w:r>
          </w:p>
        </w:tc>
        <w:tc>
          <w:tcPr>
            <w:tcW w:w="1740" w:type="dxa"/>
            <w:vAlign w:val="bottom"/>
            <w:gridSpan w:val="2"/>
          </w:tcPr>
          <w:p>
            <w:pPr>
              <w:ind w:left="54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Cash</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$ 83,711</w:t>
            </w:r>
          </w:p>
        </w:tc>
        <w:tc>
          <w:tcPr>
            <w:tcW w:w="220" w:type="dxa"/>
            <w:vAlign w:val="bottom"/>
          </w:tcPr>
          <w:p>
            <w:pPr>
              <w:spacing w:after="0"/>
              <w:rPr>
                <w:sz w:val="18"/>
                <w:szCs w:val="18"/>
                <w:color w:val="auto"/>
              </w:rPr>
            </w:pPr>
          </w:p>
        </w:tc>
        <w:tc>
          <w:tcPr>
            <w:tcW w:w="1140" w:type="dxa"/>
            <w:vAlign w:val="bottom"/>
            <w:gridSpan w:val="2"/>
          </w:tcPr>
          <w:p>
            <w:pPr>
              <w:jc w:val="right"/>
              <w:ind w:right="4"/>
              <w:spacing w:after="0"/>
              <w:rPr>
                <w:sz w:val="20"/>
                <w:szCs w:val="20"/>
                <w:color w:val="auto"/>
              </w:rPr>
            </w:pPr>
            <w:r>
              <w:rPr>
                <w:rFonts w:ascii="Arial" w:cs="Arial" w:eastAsia="Arial" w:hAnsi="Arial"/>
                <w:sz w:val="18"/>
                <w:szCs w:val="18"/>
                <w:color w:val="auto"/>
              </w:rPr>
              <w:t>$ 83,711</w:t>
            </w:r>
          </w:p>
        </w:tc>
        <w:tc>
          <w:tcPr>
            <w:tcW w:w="1680" w:type="dxa"/>
            <w:vAlign w:val="bottom"/>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80,578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80,578</w:t>
            </w: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Total assets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93,569</w:t>
            </w:r>
          </w:p>
        </w:tc>
        <w:tc>
          <w:tcPr>
            <w:tcW w:w="220" w:type="dxa"/>
            <w:vAlign w:val="bottom"/>
          </w:tcPr>
          <w:p>
            <w:pPr>
              <w:spacing w:after="0"/>
              <w:rPr>
                <w:sz w:val="18"/>
                <w:szCs w:val="18"/>
                <w:color w:val="auto"/>
              </w:rPr>
            </w:pPr>
          </w:p>
        </w:tc>
        <w:tc>
          <w:tcPr>
            <w:tcW w:w="1140" w:type="dxa"/>
            <w:vAlign w:val="bottom"/>
            <w:gridSpan w:val="2"/>
          </w:tcPr>
          <w:p>
            <w:pPr>
              <w:jc w:val="right"/>
              <w:ind w:right="4"/>
              <w:spacing w:after="0"/>
              <w:rPr>
                <w:sz w:val="20"/>
                <w:szCs w:val="20"/>
                <w:color w:val="auto"/>
              </w:rPr>
            </w:pPr>
            <w:r>
              <w:rPr>
                <w:rFonts w:ascii="Arial" w:cs="Arial" w:eastAsia="Arial" w:hAnsi="Arial"/>
                <w:sz w:val="18"/>
                <w:szCs w:val="18"/>
                <w:color w:val="auto"/>
              </w:rPr>
              <w:t>93,569</w:t>
            </w: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135,997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Accumulated deficit</w:t>
            </w:r>
          </w:p>
        </w:tc>
        <w:tc>
          <w:tcPr>
            <w:tcW w:w="3140" w:type="dxa"/>
            <w:vAlign w:val="bottom"/>
            <w:gridSpan w:val="3"/>
          </w:tcPr>
          <w:p>
            <w:pPr>
              <w:jc w:val="right"/>
              <w:ind w:right="160"/>
              <w:spacing w:after="0"/>
              <w:rPr>
                <w:sz w:val="20"/>
                <w:szCs w:val="20"/>
                <w:color w:val="auto"/>
              </w:rPr>
            </w:pPr>
            <w:r>
              <w:rPr>
                <w:rFonts w:ascii="Arial" w:cs="Arial" w:eastAsia="Arial" w:hAnsi="Arial"/>
                <w:sz w:val="18"/>
                <w:szCs w:val="18"/>
                <w:color w:val="auto"/>
              </w:rPr>
              <w:t>(62,542)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(62,542)</w:t>
            </w: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 equity</w:t>
            </w:r>
          </w:p>
        </w:tc>
        <w:tc>
          <w:tcPr>
            <w:tcW w:w="3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(58,135)</w:t>
            </w:r>
          </w:p>
        </w:tc>
        <w:tc>
          <w:tcPr>
            <w:tcW w:w="11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77,862</w:t>
            </w: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20" w:right="180" w:hanging="426"/>
        <w:spacing w:after="0" w:line="258"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 forma column reflects the conversion of all of the outstanding preferred shares into an aggregate of 130,686,975 common shares upon completion of this offering.</w:t>
      </w:r>
    </w:p>
    <w:p>
      <w:pPr>
        <w:spacing w:after="0" w:line="1" w:lineRule="exact"/>
        <w:rPr>
          <w:sz w:val="20"/>
          <w:szCs w:val="20"/>
          <w:color w:val="auto"/>
        </w:rPr>
      </w:pPr>
    </w:p>
    <w:p>
      <w:pPr>
        <w:ind w:left="200"/>
        <w:spacing w:after="0"/>
        <w:tabs>
          <w:tab w:leader="none" w:pos="600" w:val="left"/>
          <w:tab w:leader="none" w:pos="8620" w:val="left"/>
        </w:tabs>
        <w:rPr>
          <w:sz w:val="20"/>
          <w:szCs w:val="20"/>
          <w:color w:val="auto"/>
        </w:rPr>
      </w:pPr>
      <w:r>
        <w:rPr>
          <w:rFonts w:ascii="Arial" w:cs="Arial" w:eastAsia="Arial" w:hAnsi="Arial"/>
          <w:sz w:val="18"/>
          <w:szCs w:val="18"/>
          <w:color w:val="auto"/>
        </w:rPr>
        <w:t>(2)</w:t>
        <w:tab/>
        <w:t>The pro forma as adjusted column reflects (i) the pro forma adjustments set forth above, (ii) the sale of</w:t>
      </w:r>
      <w:r>
        <w:rPr>
          <w:sz w:val="20"/>
          <w:szCs w:val="20"/>
          <w:color w:val="auto"/>
        </w:rPr>
        <w:tab/>
      </w:r>
      <w:r>
        <w:rPr>
          <w:rFonts w:ascii="Arial" w:cs="Arial" w:eastAsia="Arial" w:hAnsi="Arial"/>
          <w:sz w:val="16"/>
          <w:szCs w:val="16"/>
          <w:color w:val="auto"/>
        </w:rPr>
        <w:t>common shares in this offering</w:t>
      </w:r>
    </w:p>
    <w:p>
      <w:pPr>
        <w:spacing w:after="0" w:line="9" w:lineRule="exact"/>
        <w:rPr>
          <w:sz w:val="20"/>
          <w:szCs w:val="20"/>
          <w:color w:val="auto"/>
        </w:rPr>
      </w:pPr>
    </w:p>
    <w:p>
      <w:pPr>
        <w:ind w:left="620"/>
        <w:spacing w:after="0"/>
        <w:tabs>
          <w:tab w:leader="none" w:pos="4520" w:val="left"/>
        </w:tabs>
        <w:rPr>
          <w:sz w:val="20"/>
          <w:szCs w:val="20"/>
          <w:color w:val="auto"/>
        </w:rPr>
      </w:pPr>
      <w:r>
        <w:rPr>
          <w:rFonts w:ascii="Arial" w:cs="Arial" w:eastAsia="Arial" w:hAnsi="Arial"/>
          <w:sz w:val="18"/>
          <w:szCs w:val="18"/>
          <w:color w:val="auto"/>
        </w:rPr>
        <w:t>at an assumed initial public offering price of $</w:t>
      </w:r>
      <w:r>
        <w:rPr>
          <w:sz w:val="20"/>
          <w:szCs w:val="20"/>
          <w:color w:val="auto"/>
        </w:rPr>
        <w:tab/>
      </w:r>
      <w:r>
        <w:rPr>
          <w:rFonts w:ascii="Arial" w:cs="Arial" w:eastAsia="Arial" w:hAnsi="Arial"/>
          <w:sz w:val="16"/>
          <w:szCs w:val="16"/>
          <w:color w:val="auto"/>
        </w:rPr>
        <w:t>per share, the midpoint of the price range set forth on the cover page of this prospectus,</w:t>
      </w:r>
    </w:p>
    <w:p>
      <w:pPr>
        <w:spacing w:after="0" w:line="9" w:lineRule="exact"/>
        <w:rPr>
          <w:sz w:val="20"/>
          <w:szCs w:val="20"/>
          <w:color w:val="auto"/>
        </w:rPr>
      </w:pPr>
    </w:p>
    <w:p>
      <w:pPr>
        <w:ind w:left="620" w:right="100"/>
        <w:spacing w:after="0" w:line="281" w:lineRule="auto"/>
        <w:rPr>
          <w:sz w:val="20"/>
          <w:szCs w:val="20"/>
          <w:color w:val="auto"/>
        </w:rPr>
      </w:pPr>
      <w:r>
        <w:rPr>
          <w:rFonts w:ascii="Arial" w:cs="Arial" w:eastAsia="Arial" w:hAnsi="Arial"/>
          <w:sz w:val="16"/>
          <w:szCs w:val="16"/>
          <w:color w:val="auto"/>
        </w:rPr>
        <w:t>after deducting estimated underwriting fees and commissions and estimated offering expenses payable by us, and (iii) the issuance of a warrant to an affiliate of Bristol Myers Squibb on May 26, 2020 for proceeds of $15 million and the automatic exercise of the warrant into an aggregate</w:t>
      </w:r>
    </w:p>
    <w:p>
      <w:pPr>
        <w:spacing w:after="0" w:line="1" w:lineRule="exact"/>
        <w:rPr>
          <w:sz w:val="20"/>
          <w:szCs w:val="20"/>
          <w:color w:val="auto"/>
        </w:rPr>
      </w:pPr>
    </w:p>
    <w:p>
      <w:pPr>
        <w:ind w:left="620" w:right="20"/>
        <w:spacing w:after="0" w:line="250" w:lineRule="auto"/>
        <w:rPr>
          <w:sz w:val="20"/>
          <w:szCs w:val="20"/>
          <w:color w:val="auto"/>
        </w:rPr>
      </w:pPr>
      <w:r>
        <w:rPr>
          <w:rFonts w:ascii="Arial" w:cs="Arial" w:eastAsia="Arial" w:hAnsi="Arial"/>
          <w:sz w:val="18"/>
          <w:szCs w:val="18"/>
          <w:color w:val="auto"/>
        </w:rPr>
        <w:t>of common shares, based on an assumed initial public offering price of $ per share, the midpoint of the price range set forth on the cover page of this prospectus. The pro forma as adjusted column excludes the $50 million upfront payment receivable from Bristol Myers Squibb pursuant to the collaboration and license agreement entered into on May 26, 2020.</w:t>
      </w:r>
    </w:p>
    <w:p>
      <w:pPr>
        <w:spacing w:after="0" w:line="1" w:lineRule="exact"/>
        <w:rPr>
          <w:sz w:val="20"/>
          <w:szCs w:val="20"/>
          <w:color w:val="auto"/>
        </w:rPr>
      </w:pPr>
    </w:p>
    <w:p>
      <w:pPr>
        <w:ind w:left="620" w:hanging="426"/>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59"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15214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1521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pro forma as adjusted information discussed above is illustrative only and will depend on the actual initial public offering price and other</w:t>
      </w:r>
    </w:p>
    <w:p>
      <w:pPr>
        <w:spacing w:after="0" w:line="35" w:lineRule="exact"/>
        <w:rPr>
          <w:sz w:val="20"/>
          <w:szCs w:val="20"/>
          <w:color w:val="auto"/>
        </w:rPr>
      </w:pPr>
    </w:p>
    <w:p>
      <w:pPr>
        <w:jc w:val="both"/>
        <w:ind w:left="200" w:right="540"/>
        <w:spacing w:after="0" w:line="281" w:lineRule="auto"/>
        <w:rPr>
          <w:sz w:val="20"/>
          <w:szCs w:val="20"/>
          <w:color w:val="auto"/>
        </w:rPr>
      </w:pPr>
      <w:r>
        <w:rPr>
          <w:rFonts w:ascii="Arial" w:cs="Arial" w:eastAsia="Arial" w:hAnsi="Arial"/>
          <w:sz w:val="16"/>
          <w:szCs w:val="16"/>
          <w:color w:val="auto"/>
        </w:rPr>
        <w:t>terms of this offering determined at pricing. Each $1.00 increase or decrease in the assumed initial public offering price of $ per share, the midpoint of the price range set forth on the cover page of this prospectus, would increase or decrease each of the amount of cash, working capital,</w:t>
      </w:r>
    </w:p>
    <w:p>
      <w:pPr>
        <w:spacing w:after="0" w:line="1" w:lineRule="exact"/>
        <w:rPr>
          <w:sz w:val="20"/>
          <w:szCs w:val="20"/>
          <w:color w:val="auto"/>
        </w:rPr>
      </w:pPr>
    </w:p>
    <w:p>
      <w:pPr>
        <w:ind w:left="200" w:right="300"/>
        <w:spacing w:after="0" w:line="281" w:lineRule="auto"/>
        <w:rPr>
          <w:sz w:val="20"/>
          <w:szCs w:val="20"/>
          <w:color w:val="auto"/>
        </w:rPr>
      </w:pPr>
      <w:r>
        <w:rPr>
          <w:rFonts w:ascii="Arial" w:cs="Arial" w:eastAsia="Arial" w:hAnsi="Arial"/>
          <w:sz w:val="16"/>
          <w:szCs w:val="16"/>
          <w:color w:val="auto"/>
        </w:rPr>
        <w:t>total assets and total shareholders’ (deficit) equity by $ million, assuming the number of shares offered by us, as set forth on the cover page of this prospectus, remains the same and after deducting the estimated underwriting fees and commissions and estimated offering expenses payable by us. We may also increase or decrease the number of shares we are offering. Each increase or decrease of 1,000,000 in the number of common shares</w:t>
      </w:r>
    </w:p>
    <w:tbl>
      <w:tblPr>
        <w:tblLayout w:type="fixed"/>
        <w:tblInd w:w="0" w:type="dxa"/>
        <w:tblCellMar>
          <w:top w:w="0" w:type="dxa"/>
          <w:left w:w="0" w:type="dxa"/>
          <w:bottom w:w="0" w:type="dxa"/>
          <w:right w:w="0" w:type="dxa"/>
        </w:tblCellMar>
      </w:tblPr>
      <w:tr>
        <w:trPr>
          <w:trHeight w:val="203"/>
        </w:trPr>
        <w:tc>
          <w:tcPr>
            <w:tcW w:w="9600" w:type="dxa"/>
            <w:vAlign w:val="bottom"/>
            <w:gridSpan w:val="2"/>
          </w:tcPr>
          <w:p>
            <w:pPr>
              <w:ind w:left="200"/>
              <w:spacing w:after="0" w:line="203" w:lineRule="exact"/>
              <w:rPr>
                <w:sz w:val="20"/>
                <w:szCs w:val="20"/>
                <w:color w:val="auto"/>
              </w:rPr>
            </w:pPr>
            <w:r>
              <w:rPr>
                <w:rFonts w:ascii="Arial" w:cs="Arial" w:eastAsia="Arial" w:hAnsi="Arial"/>
                <w:sz w:val="18"/>
                <w:szCs w:val="18"/>
                <w:color w:val="auto"/>
                <w:w w:val="92"/>
              </w:rPr>
              <w:t>offered by us would increase or decrease each of cash, working capital, total assets and total shareholders’ (deficit) equity by $</w:t>
            </w:r>
          </w:p>
        </w:tc>
        <w:tc>
          <w:tcPr>
            <w:tcW w:w="1640" w:type="dxa"/>
            <w:vAlign w:val="bottom"/>
          </w:tcPr>
          <w:p>
            <w:pPr>
              <w:ind w:left="300"/>
              <w:spacing w:after="0" w:line="203" w:lineRule="exact"/>
              <w:rPr>
                <w:sz w:val="20"/>
                <w:szCs w:val="20"/>
                <w:color w:val="auto"/>
              </w:rPr>
            </w:pPr>
            <w:r>
              <w:rPr>
                <w:rFonts w:ascii="Arial" w:cs="Arial" w:eastAsia="Arial" w:hAnsi="Arial"/>
                <w:sz w:val="18"/>
                <w:szCs w:val="18"/>
                <w:color w:val="auto"/>
              </w:rPr>
              <w:t>million,</w:t>
            </w:r>
          </w:p>
        </w:tc>
      </w:tr>
      <w:tr>
        <w:trPr>
          <w:trHeight w:val="216"/>
        </w:trPr>
        <w:tc>
          <w:tcPr>
            <w:tcW w:w="4420" w:type="dxa"/>
            <w:vAlign w:val="bottom"/>
          </w:tcPr>
          <w:p>
            <w:pPr>
              <w:ind w:left="200"/>
              <w:spacing w:after="0"/>
              <w:rPr>
                <w:sz w:val="20"/>
                <w:szCs w:val="20"/>
                <w:color w:val="auto"/>
              </w:rPr>
            </w:pPr>
            <w:r>
              <w:rPr>
                <w:rFonts w:ascii="Arial" w:cs="Arial" w:eastAsia="Arial" w:hAnsi="Arial"/>
                <w:sz w:val="18"/>
                <w:szCs w:val="18"/>
                <w:color w:val="auto"/>
                <w:w w:val="98"/>
              </w:rPr>
              <w:t>assuming the assumed initial public offering price of $</w:t>
            </w:r>
          </w:p>
        </w:tc>
        <w:tc>
          <w:tcPr>
            <w:tcW w:w="6820" w:type="dxa"/>
            <w:vAlign w:val="bottom"/>
            <w:gridSpan w:val="2"/>
          </w:tcPr>
          <w:p>
            <w:pPr>
              <w:ind w:left="280"/>
              <w:spacing w:after="0"/>
              <w:rPr>
                <w:sz w:val="20"/>
                <w:szCs w:val="20"/>
                <w:color w:val="auto"/>
              </w:rPr>
            </w:pPr>
            <w:r>
              <w:rPr>
                <w:rFonts w:ascii="Arial" w:cs="Arial" w:eastAsia="Arial" w:hAnsi="Arial"/>
                <w:sz w:val="18"/>
                <w:szCs w:val="18"/>
                <w:color w:val="auto"/>
                <w:w w:val="93"/>
              </w:rPr>
              <w:t>per share, the midpoint of the price range set forth on the cover page of this prospectus,</w:t>
            </w:r>
          </w:p>
        </w:tc>
      </w:tr>
      <w:tr>
        <w:trPr>
          <w:trHeight w:val="230"/>
        </w:trPr>
        <w:tc>
          <w:tcPr>
            <w:tcW w:w="9600" w:type="dxa"/>
            <w:vAlign w:val="bottom"/>
            <w:gridSpan w:val="2"/>
          </w:tcPr>
          <w:p>
            <w:pPr>
              <w:ind w:left="200"/>
              <w:spacing w:after="0"/>
              <w:rPr>
                <w:sz w:val="20"/>
                <w:szCs w:val="20"/>
                <w:color w:val="auto"/>
              </w:rPr>
            </w:pPr>
            <w:r>
              <w:rPr>
                <w:rFonts w:ascii="Arial" w:cs="Arial" w:eastAsia="Arial" w:hAnsi="Arial"/>
                <w:sz w:val="18"/>
                <w:szCs w:val="18"/>
                <w:color w:val="auto"/>
              </w:rPr>
              <w:t>remains the same, and after deducting estimated underwriting fees and commissions.</w:t>
            </w:r>
          </w:p>
        </w:tc>
        <w:tc>
          <w:tcPr>
            <w:tcW w:w="1640" w:type="dxa"/>
            <w:vAlign w:val="bottom"/>
          </w:tcPr>
          <w:p>
            <w:pPr>
              <w:spacing w:after="0"/>
              <w:rPr>
                <w:sz w:val="20"/>
                <w:szCs w:val="20"/>
                <w:color w:val="auto"/>
              </w:rPr>
            </w:pPr>
          </w:p>
        </w:tc>
      </w:tr>
      <w:tr>
        <w:trPr>
          <w:trHeight w:val="240"/>
        </w:trPr>
        <w:tc>
          <w:tcPr>
            <w:tcW w:w="442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604"/>
        </w:trPr>
        <w:tc>
          <w:tcPr>
            <w:tcW w:w="4420" w:type="dxa"/>
            <w:vAlign w:val="bottom"/>
          </w:tcPr>
          <w:p>
            <w:pPr>
              <w:spacing w:after="0"/>
              <w:rPr>
                <w:sz w:val="24"/>
                <w:szCs w:val="24"/>
                <w:color w:val="auto"/>
              </w:rPr>
            </w:pPr>
          </w:p>
        </w:tc>
        <w:tc>
          <w:tcPr>
            <w:tcW w:w="5180" w:type="dxa"/>
            <w:vAlign w:val="bottom"/>
          </w:tcPr>
          <w:p>
            <w:pPr>
              <w:jc w:val="right"/>
              <w:ind w:right="3790"/>
              <w:spacing w:after="0"/>
              <w:rPr>
                <w:sz w:val="20"/>
                <w:szCs w:val="20"/>
                <w:color w:val="auto"/>
              </w:rPr>
            </w:pPr>
            <w:r>
              <w:rPr>
                <w:rFonts w:ascii="Arial" w:cs="Arial" w:eastAsia="Arial" w:hAnsi="Arial"/>
                <w:sz w:val="18"/>
                <w:szCs w:val="18"/>
                <w:color w:val="auto"/>
              </w:rPr>
              <w:t>15</w:t>
            </w:r>
          </w:p>
        </w:tc>
        <w:tc>
          <w:tcPr>
            <w:tcW w:w="164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Investing in our common shares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common shares. The occurrence of any of the events or developments described below could harm our business, financial condition, results of operations and prospects. In such an event, the market price of our common shares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We are a preclinical-stage biopharmaceutical company founded in 2016, and our operations to date have focused primarily on raising capital, organizing and staffing our company, conducting discovery and research activities, identifying potential synthetic lethal, or SL, gene pairs, establishing and protecting our intellectual property portfolio including for our proprietary SNIPRx platform, developing and progressing our product candidates through preclinical studies and preparing for clinical trials and establishing arrangements with third parties for the manufacture of initial quantities of our product candidates and component materials. We do not have any product candidates approved for sale and have not generated any revenue from product sales. Additionally, as an organization, we have not yet demonstrated an ability to successfully complete clinical development, obtain regulatory approvals, manufacture a commercial-scale product or arrange for a third party to do so on our behalf, or conduct sales and marketing activities necessary for successful commercialization. Consequently, any predictions about our future success or viability may not be as accurate as they could be if we had a longer operating history.</w:t>
      </w:r>
    </w:p>
    <w:p>
      <w:pPr>
        <w:spacing w:after="0" w:line="196"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In time, we will need to transition from a company with a research and development focus to a company capable of supporting commercial activities. We may not be successful in such a transition.</w:t>
      </w:r>
    </w:p>
    <w:p>
      <w:pPr>
        <w:spacing w:after="0" w:line="18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Additionally, we expect our financial condition and operating results to continue to fluctuate from quarter to quarter and year to year due to a variety of factors, many of which are beyond our control. Accordingly, you should not rely upon the results of any quarterly or annual periods as indications of future operating performance.</w:t>
      </w:r>
    </w:p>
    <w:p>
      <w:pPr>
        <w:spacing w:after="0" w:line="292"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62"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are still in the early stages of development of our product candidates and have not yet initiated our first clinical trial. We have no products approved for commercial sale and have not generated any product revenue to date, and we are devoting substantially all of our financial resources and efforts to research and development of our product candidates including RP-3500, as well as to enhancing our SNIPRx platform. Since our inception, we have funded our operations primarily through equity financings, and have raised an aggregate of approximately $135.2 million of gross proceeds from the sale of our preferred shares.</w:t>
      </w:r>
    </w:p>
    <w:p>
      <w:pPr>
        <w:spacing w:after="0" w:line="17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We have incurred significant operating losses since our inception in 2016. Our net loss was $12.6 million for the three months ended March 31, 2020 and $7.8 million, $14.3 million and $27.2 million for the years ended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December 31, 2017, 2018 and 2019, respectively. As of March 31, 2020, we had an accumulated deficit of $62.5 million. We expect to continue to incur significant expenses and increasing operating losses for the foreseeable future. It could be several years, if ever, before we have a commercialized drug. We anticipate that our expenses will increase substantially if, and as, we:</w:t>
      </w:r>
    </w:p>
    <w:p>
      <w:pPr>
        <w:spacing w:after="0" w:line="89" w:lineRule="exact"/>
        <w:rPr>
          <w:sz w:val="20"/>
          <w:szCs w:val="20"/>
          <w:color w:val="auto"/>
        </w:rPr>
      </w:pPr>
    </w:p>
    <w:p>
      <w:pPr>
        <w:ind w:left="1000" w:hanging="547"/>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continue our ongoing and planned development of RP-3500, including our planned open-label Phase 1/2 clinical trial of RP-3500;</w:t>
      </w:r>
    </w:p>
    <w:p>
      <w:pPr>
        <w:spacing w:after="0" w:line="142" w:lineRule="exact"/>
        <w:rPr>
          <w:rFonts w:ascii="Arial" w:cs="Arial" w:eastAsia="Arial" w:hAnsi="Arial"/>
          <w:sz w:val="17"/>
          <w:szCs w:val="17"/>
          <w:color w:val="auto"/>
        </w:rPr>
      </w:pPr>
    </w:p>
    <w:p>
      <w:pPr>
        <w:ind w:left="100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product candidates that we may pursue in the future, including our earlier-stage programs;</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identify novel SL targets, develop small molecule inhibitors of these targets, nominate and develop additional product candidates and further expand our clinical product pipeline;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regulatory approvals for RP-3500 and any future product candidates that successfully complete clinical trials;</w:t>
      </w:r>
    </w:p>
    <w:p>
      <w:pPr>
        <w:spacing w:after="0" w:line="130" w:lineRule="exact"/>
        <w:rPr>
          <w:rFonts w:ascii="Arial" w:cs="Arial" w:eastAsia="Arial" w:hAnsi="Arial"/>
          <w:sz w:val="18"/>
          <w:szCs w:val="18"/>
          <w:color w:val="auto"/>
        </w:rPr>
      </w:pPr>
    </w:p>
    <w:p>
      <w:pPr>
        <w:ind w:left="1000" w:right="54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build a portfolio of product candidates through the discovery, development, or acquisition or in-license of drugs, product candidates or technologies;</w:t>
      </w:r>
    </w:p>
    <w:p>
      <w:pPr>
        <w:spacing w:after="0" w:line="75"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 sales, marketing, manufacturing and distribution capability to commercialize RP-3500 and any future product candidate for which we may obtain marketing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associated with operating as a public company.</w:t>
      </w:r>
    </w:p>
    <w:p>
      <w:pPr>
        <w:spacing w:after="0" w:line="225"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This will require us to be successful in a range of challenging activities, including completing clinical trials of RP-3500 and any future product candidates that we may pursue, obtaining regulatory approval, procuring commercial-scale manufacturing, marketing and selling RP-3500 and any future products for which we may obtain regulatory approval, as well as discovering or acquiring and then developing additional product candidates. We are only in the preliminary stages of some of these activities and have never initiated a clinical trial. We may never succeed in these activities and, even if we do, may never generate revenues that are significant enough to achieve profitability.</w:t>
      </w:r>
    </w:p>
    <w:p>
      <w:pPr>
        <w:spacing w:after="0" w:line="178"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Because of the numerous risks and uncertainties associated with drug development, we are unable to accurately predict the timing or amount of expenses or when, or if, we will be able to achieve profitability. Our expenses could increase beyond our expectations if we are required by the U.S. Food and Drug Administration, or FDA, the European Medicines Agency, or EMA, or other regulatory authorities to perform studies in addition to those we currently expect, or if there are any delays in the initiation and completion of our clinical trials or the development of RP-3500 or any future product candidates.</w:t>
      </w:r>
    </w:p>
    <w:p>
      <w:pPr>
        <w:spacing w:after="0" w:line="188"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decrease the value of our common shares and could impair our ability to raise capital, maintain our research and development efforts, expand our business or continue our operations. A decline in the value of our common shares could also cause you to lose all or part of your investment.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funding to finance our operations. If we are unable to raise capital when needed, we could be forced to delay, reduce or terminate certain of our product development programs or other operations.</w:t>
      </w:r>
    </w:p>
    <w:p>
      <w:pPr>
        <w:spacing w:after="0" w:line="6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To date, we have primarily funded our operations through private placements of equity securities. We expect to spend substantial amounts to advance our product candidates into clinical development and to complete the clinical development of, seek regulatory approvals for and commercialize our product candidates, if approved. We will require additional capital beyond the proceeds of this offering, which we may raise through equity offerings, debt financings, marketing and distribution arrangements and other collaborations, strategic alliances and licensing arrangements or other sources to enable us to complete the development and potential commercialization of our product candidates. Furthermore, upon the closing of this offering, we expect to incur additional costs associated with operating as a public company. Adequate additional financing may not be available to us on acceptable terms, or at all. Our failure to raise capital as and when needed would have a negative effect on our financial condition and our ability to pursue our business strategy. In addition, attempting to secure additional financing may divert the time and attention of our management from day-to-day activities and harm our product candidate development efforts. If we are unable to raise capital when needed or on acceptable terms, we would be forced to delay, reduce or eliminate certain of our research and development programs.</w:t>
      </w:r>
    </w:p>
    <w:p>
      <w:pPr>
        <w:spacing w:after="0" w:line="185" w:lineRule="exact"/>
        <w:rPr>
          <w:sz w:val="20"/>
          <w:szCs w:val="20"/>
          <w:color w:val="auto"/>
        </w:rPr>
      </w:pPr>
    </w:p>
    <w:p>
      <w:pPr>
        <w:ind w:right="80" w:firstLine="449"/>
        <w:spacing w:after="0" w:line="287" w:lineRule="auto"/>
        <w:rPr>
          <w:sz w:val="20"/>
          <w:szCs w:val="20"/>
          <w:color w:val="auto"/>
        </w:rPr>
      </w:pPr>
      <w:r>
        <w:rPr>
          <w:rFonts w:ascii="Arial" w:cs="Arial" w:eastAsia="Arial" w:hAnsi="Arial"/>
          <w:sz w:val="16"/>
          <w:szCs w:val="16"/>
          <w:color w:val="auto"/>
        </w:rPr>
        <w:t>As of March 31, 2020, our cash was $83.7 million. We believe that the net proceeds from this offering, together with our existing cash on hand and the $65.0 million payment Bristol-Myers Squibb Company, or Bristol Myers Squibb, has agreed to pay us in connection with our entry into the collaboration and license agreement during the second quarter of 2020, will enable us to fund our operating expenses and capital expenditure requirements</w:t>
      </w:r>
    </w:p>
    <w:p>
      <w:pPr>
        <w:spacing w:after="0" w:line="2"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until . However, we will need to obtain substantial additional funding in connection with our continuing operations and planned activities. Our future capital requirements will depend on many factors, including:</w:t>
      </w:r>
    </w:p>
    <w:p>
      <w:pPr>
        <w:spacing w:after="0" w:line="91" w:lineRule="exact"/>
        <w:rPr>
          <w:sz w:val="20"/>
          <w:szCs w:val="20"/>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initiation, timing, costs, progress and results of our planned clinical trials of RP-3500;</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earlier-stage programs;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scope, progress, results and costs of our research programs and preclinical development of other product candidates that we may pursue;</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42" w:lineRule="exact"/>
        <w:rPr>
          <w:rFonts w:ascii="Arial" w:cs="Arial" w:eastAsia="Arial" w:hAnsi="Arial"/>
          <w:sz w:val="17"/>
          <w:szCs w:val="17"/>
          <w:color w:val="auto"/>
        </w:rPr>
      </w:pPr>
    </w:p>
    <w:p>
      <w:pPr>
        <w:ind w:left="1000" w:right="46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agreements;</w:t>
      </w:r>
    </w:p>
    <w:p>
      <w:pPr>
        <w:spacing w:after="0" w:line="75"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establishing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regulatory authorities;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75"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any of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strategic collaborations;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revenue, if any, received from commercial sales of RP-3500 and any future product candidates for which we receive marketing approval;</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 equipment and physical infrastructure to support our research and development;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RP-3500 and any future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terminate our research and development programs or future commercialization efforts.</w:t>
      </w:r>
    </w:p>
    <w:p>
      <w:pPr>
        <w:spacing w:after="0" w:line="286"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b w:val="1"/>
          <w:bCs w:val="1"/>
          <w:i w:val="1"/>
          <w:iCs w:val="1"/>
          <w:color w:val="auto"/>
        </w:rPr>
        <w:t>Raising additional capital will cause dilution to our shareholders, including purchasers of our common shares in this offering, restrict our operations or require us to relinquish rights to our product candidates.</w:t>
      </w:r>
    </w:p>
    <w:p>
      <w:pPr>
        <w:spacing w:after="0" w:line="62"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shareholder. 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spacing w:after="0" w:line="16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29" w:lineRule="exact"/>
        <w:rPr>
          <w:sz w:val="20"/>
          <w:szCs w:val="20"/>
          <w:color w:val="auto"/>
        </w:rPr>
      </w:pPr>
    </w:p>
    <w:p>
      <w:pPr>
        <w:jc w:val="both"/>
        <w:ind w:left="460" w:right="20"/>
        <w:spacing w:after="0" w:line="311" w:lineRule="auto"/>
        <w:rPr>
          <w:sz w:val="20"/>
          <w:szCs w:val="20"/>
          <w:color w:val="auto"/>
        </w:rPr>
      </w:pPr>
      <w:r>
        <w:rPr>
          <w:rFonts w:ascii="Arial" w:cs="Arial" w:eastAsia="Arial" w:hAnsi="Arial"/>
          <w:sz w:val="16"/>
          <w:szCs w:val="16"/>
          <w:b w:val="1"/>
          <w:bCs w:val="1"/>
          <w:i w:val="1"/>
          <w:iCs w:val="1"/>
          <w:color w:val="auto"/>
        </w:rPr>
        <w:t>We are very early in our development efforts. All of our product candidates are in preclinical development. If we are unable to advance RP-3500 or any of our other product candidates into and through clinical development, obtain regulatory approval and ultimately commercialize RP-3500 or any of our other product candidates, or experience significant delays in doing so, our business will be materially harmed.</w:t>
      </w:r>
    </w:p>
    <w:p>
      <w:pPr>
        <w:spacing w:after="0" w:line="4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All of our product candidates are still in preclinical development. We have no products approved for sale and our lead product candidate, RP-3500, is not yet in clinical development and will require clinical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45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development, regulatory review and approval in each jurisdiction in which we intend to market it, access to sufficient commercial manufacturing capacity, and significant sales and marketing efforts before we can generate any revenue from product sales. Our ability to generate product revenues, which we do not expect will occur for many years, if ever, will depend heavily on the successful clinical development and eventual commercialization of RP-3500 and one or more of our other product candidates. The success of our product candidates will depend on several factors, including the following:</w:t>
      </w:r>
    </w:p>
    <w:p>
      <w:pPr>
        <w:spacing w:after="0" w:line="63" w:lineRule="exact"/>
        <w:rPr>
          <w:sz w:val="20"/>
          <w:szCs w:val="20"/>
          <w:color w:val="auto"/>
        </w:rPr>
      </w:pPr>
    </w:p>
    <w:p>
      <w:pPr>
        <w:ind w:left="1000" w:hanging="547"/>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successful completion of preclinical studies, including the identification of clinical candidates for each of our preclinical programs;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approval of investigational new drug, or IND, applications for our planned clinical trials or future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by the FDA, EMA or foreign regulatory authority of our development strategy;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initiation of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patient enrollment in and completion of clinical trials;</w:t>
      </w:r>
    </w:p>
    <w:p>
      <w:pPr>
        <w:spacing w:after="0" w:line="130"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safety, tolerability and efficacy profiles for our product candidates that are satisfactory to the FDA, EMA or any foreign regulatory authority for marketing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75"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effectively competing with other cancer therapies;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 patients’ willingness to pay out-of-pocket in the absence of such coverage and adequate reimbursement;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products following approval.</w:t>
      </w:r>
    </w:p>
    <w:p>
      <w:pPr>
        <w:spacing w:after="0" w:line="225" w:lineRule="exact"/>
        <w:rPr>
          <w:sz w:val="20"/>
          <w:szCs w:val="20"/>
          <w:color w:val="auto"/>
        </w:rPr>
      </w:pPr>
    </w:p>
    <w:p>
      <w:pPr>
        <w:ind w:right="120" w:firstLine="449"/>
        <w:spacing w:after="0" w:line="308" w:lineRule="auto"/>
        <w:rPr>
          <w:sz w:val="20"/>
          <w:szCs w:val="20"/>
          <w:color w:val="auto"/>
        </w:rPr>
      </w:pPr>
      <w:r>
        <w:rPr>
          <w:rFonts w:ascii="Arial" w:cs="Arial" w:eastAsia="Arial" w:hAnsi="Arial"/>
          <w:sz w:val="17"/>
          <w:szCs w:val="17"/>
          <w:color w:val="auto"/>
        </w:rPr>
        <w:t>There is no guarantee that the results obtained in current preclinical studies, our planned open-label Phase 1/2 clinical trial of RP-3500 or any future clinical trials of any product candidate will be sufficient to obtain regulatory approval or marketing authorization for such product candidate.</w:t>
      </w:r>
    </w:p>
    <w:p>
      <w:pPr>
        <w:spacing w:after="0" w:line="14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Many of these risks are beyond our control, including the risks related to clinical development, the regulatory submission process, potential threats to our intellectual property rights and the manufacturing, marketing and sales efforts of any future collaborator. If we are unable to develop, receive regulatory approval for, or successfully commercialize our current or future product candidates, or if we experience delays as a result of any of these risks or otherwise, our business could be materially harmed.</w:t>
      </w:r>
    </w:p>
    <w:p>
      <w:pPr>
        <w:spacing w:after="0" w:line="295" w:lineRule="exact"/>
        <w:rPr>
          <w:sz w:val="20"/>
          <w:szCs w:val="20"/>
          <w:color w:val="auto"/>
        </w:rPr>
      </w:pPr>
    </w:p>
    <w:p>
      <w:pPr>
        <w:ind w:left="460" w:right="300"/>
        <w:spacing w:after="0" w:line="340" w:lineRule="auto"/>
        <w:rPr>
          <w:sz w:val="20"/>
          <w:szCs w:val="20"/>
          <w:color w:val="auto"/>
        </w:rPr>
      </w:pPr>
      <w:r>
        <w:rPr>
          <w:rFonts w:ascii="Arial" w:cs="Arial" w:eastAsia="Arial" w:hAnsi="Arial"/>
          <w:sz w:val="15"/>
          <w:szCs w:val="15"/>
          <w:b w:val="1"/>
          <w:bCs w:val="1"/>
          <w:i w:val="1"/>
          <w:iCs w:val="1"/>
          <w:color w:val="auto"/>
        </w:rPr>
        <w:t>Our business substantially depends upon the successful development of product candidates generated through the application of our SNIPRx platform, and in particular, our lead product candidate, RP-3500. If we are unable to obtain regulatory approval for, and successfully commercialize, products developed through the application of our SNIPRx platform, our business may be materially harmed.</w:t>
      </w:r>
    </w:p>
    <w:p>
      <w:pPr>
        <w:spacing w:after="0" w:line="23"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Our lead product candidate, RP-3500, was developed through the application of our SNIPRx platform. All of our product candidates to date were derived based on the same principle of SL. As such, negative results in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development of RP-3500 may also impact our ability to obtain regulatory approval for our other product candidates, either at all or within anticipated timeframes because, although other product candidates may target different indications, the underlying technology platform, manufacturing process and development process is the same for all of our product candidates. Accordingly, a failure in any one program may decrease trust in our technology and affect the ability to obtain regulatory approval to continue or conduct clinical programs for other product candidates. If RP-3500 shows unexpected adverse events or a lack of efficacy in the indications we intend to treat, or if we experience other regulatory or developmental issues, our development plans and business could be significantly harmed.</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no experience as a company in conducting clinical trials.</w:t>
      </w:r>
    </w:p>
    <w:p>
      <w:pPr>
        <w:spacing w:after="0" w:line="117"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We have no experience as a company in conducting clinical trials. In part because of this lack of experience, we cannot be certain that our ongoing preclinical studies will be completed on time or if the planned preclinical studies and clinical trials will begin or be completed on time, if at all. Large-scale clinical trials would require significant additional financial and management resources and reliance on third-party clinical investigators, contract research organizations, or CROs, and consultants. Relying on third-party clinical investigators, CROs and consultants may force us to encounter delays that are outside of our control. We may be unable to identify and contract with sufficient investigators, CROs and consultants on a timely basis or at all. For our lead product candidate, RP-3500, we recently entered into a clinical services agreement, and may in the future enter into master services agreement, with a CRO to lead our first-in-human planned Phase 1/2 clinical trial. There can be no assurance that we will be able to negotiate and enter into any additional master services agreement with other CROs, as necessary, on terms that are acceptable to us on a timely basis or at all.</w:t>
      </w:r>
    </w:p>
    <w:p>
      <w:pPr>
        <w:spacing w:after="0" w:line="273"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may not be able to file INDs or IND amendments to commence additional clinical trials on the timelines we expect, and even if we are able to, the FDA may not permit us to proceed.</w:t>
      </w:r>
    </w:p>
    <w:p>
      <w:pPr>
        <w:spacing w:after="0" w:line="62"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plan to submit an IND for RP-3500 in the second quarter of 2020, but we may not be able to file INDs for our other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285"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b w:val="1"/>
          <w:bCs w:val="1"/>
          <w:i w:val="1"/>
          <w:iCs w:val="1"/>
          <w:color w:val="auto"/>
        </w:rPr>
        <w:t>The effects of health epidemics, including the recent COVID-19 coronavirus pandemic, in regions where we, or the third parties on which we rely, have business operations could adversely impact our business, including our preclinical studies and clinical trials. The COVID-19 pandemic could materially affect our operations, including at our offices in Montréal and in the Boston Metro Area, which are currently subject to executive orders, and at our clinical trial sites, as well as the business or operations of our CROs or other third parties with whom we conduct business.</w:t>
      </w:r>
    </w:p>
    <w:p>
      <w:pPr>
        <w:spacing w:after="0" w:line="80"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Our business could be adversely affected by health epidemics in regions where we have concentrations of clinical trial sites or other business operations, and could cause significant disruption in the operations of third party manufacturers and CROs upon whom we rely. In December 2019, a novel strain of coronavirus, COVID-19, was reported to have surfaced in Wuhan, China. Since then, COVID-19 coronavirus has spread to multiple countries, including the United States, Canada and several European countries. Our company headquarters is located in Montréal, our U.S. headquarters is located in the Boston Metro Area, and our CROs and CMOs are located in the United States and abroad. In March 2020, the World Health Organization declared the COVID-19 outbreak a pandemic, and the U.S. government imposed travel restrictions on travel between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United States, Europe and certain other countries. Further, the President of the United States declared the COVID-19 pandemic a national emergency, invoking powers under the Stafford Act, the legislation that directs federal emergency disaster response. In addition, on March 23, 2020, the Governor of Massachusetts ordered all individuals living in the Commonwealth of Massachusetts to stay at their place of residence for an indefinite period of time (subject to certain exceptions to facilitate authorized necessary activities) to mitigate the impact of the COVID-19 pandemic. The executive order exempts certain individuals needed to maintain continuity of operations of critical infrastructure sectors as determined by the federal government, and the Governor has clarified to MassBio that all biopharma research and development is essential and exempt. Similar orders and exemptions were also implemented by the Québec provincial government in March 2020.</w:t>
      </w:r>
    </w:p>
    <w:p>
      <w:pPr>
        <w:spacing w:after="0" w:line="17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In response to these public health directives and orders, we have implemented work-from-home policies to support the community efforts to reduce the transmission of COVID-19 and protect employees, complying with guidance from federal, state/provincial or municipal government and health authorities. We implemented a number of measures to ensure employee safety and business continuity. Employees who can work from home have been doing so, while those needing to work in laboratory facilities are divided into shifts to reduce the number of people gathered together at one time. Business travel has been suspended, and online and teleconference technology is used to meet virtually rather than in person. We have taken measures to secure our research and development project activities, while work in laboratories and facilities has been organized to reduce risk of COVID-19 transmission.</w:t>
      </w:r>
    </w:p>
    <w:p>
      <w:pPr>
        <w:spacing w:after="0" w:line="164"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effects of the executive orders and our work-from-home policies may negatively impact productivity, disrupt our business and delay our clinical programs and timelines (for example, our timeline for RP-3500),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187" w:lineRule="exact"/>
        <w:rPr>
          <w:sz w:val="20"/>
          <w:szCs w:val="20"/>
          <w:color w:val="auto"/>
        </w:rPr>
      </w:pPr>
    </w:p>
    <w:p>
      <w:pPr>
        <w:jc w:val="both"/>
        <w:ind w:right="300" w:firstLine="449"/>
        <w:spacing w:after="0" w:line="286"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addition, our planned clinical trials may be affected by the COVID-19 pandemic, including:</w:t>
      </w:r>
    </w:p>
    <w:p>
      <w:pPr>
        <w:spacing w:after="0" w:line="131" w:lineRule="exact"/>
        <w:rPr>
          <w:sz w:val="20"/>
          <w:szCs w:val="20"/>
          <w:color w:val="auto"/>
        </w:rPr>
      </w:pPr>
    </w:p>
    <w:p>
      <w:pPr>
        <w:ind w:left="1000" w:right="20" w:hanging="547"/>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 including patients that may not be able or willing to comply with clinical trial protocols if quarantines impede patient movement or interrupt healthcare services;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delays or difficulties in clinical site initiation, including difficulties in recruiting and retaining clinical site investigators and clinical site staff;</w:t>
      </w:r>
    </w:p>
    <w:p>
      <w:pPr>
        <w:spacing w:after="0" w:line="153" w:lineRule="exact"/>
        <w:rPr>
          <w:rFonts w:ascii="Arial" w:cs="Arial" w:eastAsia="Arial" w:hAnsi="Arial"/>
          <w:sz w:val="16"/>
          <w:szCs w:val="16"/>
          <w:color w:val="auto"/>
        </w:rPr>
      </w:pPr>
    </w:p>
    <w:p>
      <w:pPr>
        <w:ind w:left="1000" w:right="280" w:hanging="547"/>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rates of patients withdrawing from our clinical trials following enrollment as a result of contracting COVID-19, being forced to quarantine or being unable to visit clinical trial locations or otherwise comply with clinical trial protocols;</w:t>
      </w:r>
    </w:p>
    <w:p>
      <w:pPr>
        <w:spacing w:after="0" w:line="75" w:lineRule="exact"/>
        <w:rPr>
          <w:rFonts w:ascii="Arial" w:cs="Arial" w:eastAsia="Arial" w:hAnsi="Arial"/>
          <w:sz w:val="18"/>
          <w:szCs w:val="18"/>
          <w:color w:val="auto"/>
        </w:rPr>
      </w:pPr>
    </w:p>
    <w:p>
      <w:pPr>
        <w:ind w:left="1000" w:hanging="547"/>
        <w:spacing w:after="0" w:line="286"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w:t>
      </w:r>
    </w:p>
    <w:p>
      <w:pPr>
        <w:spacing w:after="0" w:line="70" w:lineRule="exact"/>
        <w:rPr>
          <w:rFonts w:ascii="Arial" w:cs="Arial" w:eastAsia="Arial" w:hAnsi="Arial"/>
          <w:sz w:val="17"/>
          <w:szCs w:val="17"/>
          <w:color w:val="auto"/>
        </w:rPr>
      </w:pPr>
    </w:p>
    <w:p>
      <w:pPr>
        <w:ind w:left="1000" w:right="520" w:hanging="547"/>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of our clinical supply chain or key clinical trial activities, such as clinical trial site monitoring, due to limitations on travel imposed or recommended by federal, state/provincial or municipal governments, employers and others;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32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60" w:hanging="54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70"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For our clinical trials that we expect to conduct at sites outside the United States, particularly in countries which are experiencing heightened impact from the COVID-19 coronavirus, in addition to the risks listed above, we may also experience the following adverse impacts:</w:t>
      </w:r>
    </w:p>
    <w:p>
      <w:pPr>
        <w:spacing w:after="0" w:line="52" w:lineRule="exact"/>
        <w:rPr>
          <w:sz w:val="20"/>
          <w:szCs w:val="20"/>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and comparator drugs used in our clinical trials;</w:t>
      </w:r>
    </w:p>
    <w:p>
      <w:pPr>
        <w:spacing w:after="0" w:line="75" w:lineRule="exact"/>
        <w:rPr>
          <w:rFonts w:ascii="Arial" w:cs="Arial" w:eastAsia="Arial" w:hAnsi="Arial"/>
          <w:sz w:val="18"/>
          <w:szCs w:val="18"/>
          <w:color w:val="auto"/>
        </w:rPr>
      </w:pPr>
    </w:p>
    <w:p>
      <w:pPr>
        <w:ind w:left="1000" w:right="140" w:hanging="547"/>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federal, state/provincial or municipal regulations as part of a response to the COVID-19 coronavirus outbreak which may require us to change the ways in which our clinical trials are conducted, which may result in unexpected costs, or to discontinue the clinical trials altogether;</w:t>
      </w:r>
    </w:p>
    <w:p>
      <w:pPr>
        <w:spacing w:after="0" w:line="89"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refusal of the FDA to accept data from clinical trials in these affected geographies.</w:t>
      </w:r>
    </w:p>
    <w:p>
      <w:pPr>
        <w:spacing w:after="0" w:line="225"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The global outbreak of the COVID-19 coronavirus continues to rapidly evolve. The extent to which the COVID-19 coronavirus may impact our business and clinical trials will depend on future developments, which are highly uncertain and cannot be predicted with confidence, such as the ultimate geographic spread of the disease, the duration of the outbreak, travel restrictions and social distancing in the United States, Canada and other countries, business closures or business disruptions and the effectiveness of actions taken in the United States, Canada and other countries to contain and treat the disease.</w:t>
      </w:r>
    </w:p>
    <w:p>
      <w:pPr>
        <w:spacing w:after="0" w:line="296"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The successful development of targeted therapeutics, including our portfolio of SL small molecule inhibitors, as well as any related diagnostics, is highly uncertain.</w:t>
      </w:r>
    </w:p>
    <w:p>
      <w:pPr>
        <w:spacing w:after="0" w:line="62"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Successful development of targeted therapeutics, such as our portfolio of SL small molecule inhibitors, as well as any related diagnostics, is highly uncertain and is dependent on numerous factors, many of which are beyond our control. Our SNIPRx platform is based on new technologies and methods relating to precision target and biomarker identification, screening and validation. While we believe our clinical development approach of RP-3500 will eventually provide validation of our SNIPRx platform, we have not, to date, sought regulatory approval for RP-3500 or any therapeutics developed through our platform. As such, it is difficult to accurately predict the developmental challenges we may incur for our current and future product candidates as we proceed through product discovery, identification, preclinical studies and clinical trials.</w:t>
      </w:r>
    </w:p>
    <w:p>
      <w:pPr>
        <w:spacing w:after="0" w:line="178" w:lineRule="exact"/>
        <w:rPr>
          <w:sz w:val="20"/>
          <w:szCs w:val="20"/>
          <w:color w:val="auto"/>
        </w:rPr>
      </w:pPr>
    </w:p>
    <w:p>
      <w:pPr>
        <w:ind w:right="140" w:firstLine="449"/>
        <w:spacing w:after="0" w:line="279" w:lineRule="auto"/>
        <w:rPr>
          <w:sz w:val="20"/>
          <w:szCs w:val="20"/>
          <w:color w:val="auto"/>
        </w:rPr>
      </w:pPr>
      <w:r>
        <w:rPr>
          <w:rFonts w:ascii="Arial" w:cs="Arial" w:eastAsia="Arial" w:hAnsi="Arial"/>
          <w:sz w:val="17"/>
          <w:szCs w:val="17"/>
          <w:color w:val="auto"/>
        </w:rPr>
        <w:t>Our SNIPRx platform is novel and may not be effective at identifying SL targets for product candidates. We therefore cannot provide any assurance that we will be able to successfully identify additional novel targets or product candidates, advance any of these additional product candidates or diagnostics for their associated biomarkers through the development process. Most of our proposed targets are unproven in clinical trials and there is no guarantee that the preclinical data will translate into a clinical relevance of such novel biomarkers and targets.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Targeted therapeutics that appear promising in the early phases of development may fail to reach the market for several reasons, including:</w:t>
      </w:r>
    </w:p>
    <w:p>
      <w:pPr>
        <w:spacing w:after="0" w:line="142" w:lineRule="exact"/>
        <w:rPr>
          <w:sz w:val="20"/>
          <w:szCs w:val="20"/>
          <w:color w:val="auto"/>
        </w:rPr>
      </w:pPr>
    </w:p>
    <w:p>
      <w:pPr>
        <w:ind w:left="1000" w:right="420" w:hanging="54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research or preclinical studies may show our targeted small molecule inhibitors or antagonists to be less effective than desired or to have harmful or problematic side effects or toxicities;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accurately identify, validate or develop clinically relevant biomarkers for our targeted therapeutic product candidates;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trial results may show our targeted therapeutic small molecule inhibitors to be less effective than expected based on preclinical studies (e.g., a clinical trial could fail to meet its primary endpoint(s)) or to have unacceptable side effects or toxicities;</w:t>
      </w:r>
    </w:p>
    <w:p>
      <w:pPr>
        <w:spacing w:after="0" w:line="75" w:lineRule="exact"/>
        <w:rPr>
          <w:rFonts w:ascii="Arial" w:cs="Arial" w:eastAsia="Arial" w:hAnsi="Arial"/>
          <w:sz w:val="18"/>
          <w:szCs w:val="18"/>
          <w:color w:val="auto"/>
        </w:rPr>
      </w:pPr>
    </w:p>
    <w:p>
      <w:pPr>
        <w:ind w:left="1000" w:right="380" w:hanging="547"/>
        <w:spacing w:after="0" w:line="259"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failure to receive the necessary regulatory approvals or a delay in receiving such approvals. Among other things, such delays may be caused by slow enrollment in clinical trials, patients dropping out of trials, length of time to achieve trial endpoints, additional time requirements for data analysis, preparation of IND applications, discussions with the FDA, an FDA request for additional preclinical or clinical data, or unexpected safety or manufacturing issues;</w:t>
      </w:r>
    </w:p>
    <w:p>
      <w:pPr>
        <w:spacing w:after="0" w:line="92"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manufacturing costs, formulation issues, pricing or reimbursement issues, or other factors that may make our targeted therapeutic small molecule inhibitors uneconomical;</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size of the patient population that have disease with the appropriate biomarkers for which we are developing our product candidates may not be large enough to support commercial viability of our product candidates, if approved;</w:t>
      </w:r>
    </w:p>
    <w:p>
      <w:pPr>
        <w:spacing w:after="0" w:line="75" w:lineRule="exact"/>
        <w:rPr>
          <w:rFonts w:ascii="Arial" w:cs="Arial" w:eastAsia="Arial" w:hAnsi="Arial"/>
          <w:sz w:val="18"/>
          <w:szCs w:val="18"/>
          <w:color w:val="auto"/>
        </w:rPr>
      </w:pPr>
    </w:p>
    <w:p>
      <w:pPr>
        <w:ind w:left="1000" w:right="700" w:hanging="547"/>
        <w:spacing w:after="0" w:line="342"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proprietary rights of others and their competing products and technologies that may prevent our targeted therapeutic small molecule inhibitors, or the diagnostics for biomarkers associated with such small molecule inhibitors, from being commercialized;</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development of alternative treatments or evolution in the standard of care for our targets may make our drugs less attractive; and</w:t>
      </w:r>
    </w:p>
    <w:p>
      <w:pPr>
        <w:spacing w:after="0" w:line="142" w:lineRule="exact"/>
        <w:rPr>
          <w:rFonts w:ascii="Arial" w:cs="Arial" w:eastAsia="Arial" w:hAnsi="Arial"/>
          <w:sz w:val="17"/>
          <w:szCs w:val="17"/>
          <w:color w:val="auto"/>
        </w:rPr>
      </w:pPr>
    </w:p>
    <w:p>
      <w:pPr>
        <w:ind w:left="1000" w:right="40" w:hanging="54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approach of using any of our product candidates in combination with other agents, including standard of care agents, may not materialize due to overlapping toxicity, high cost or an inability to replicate preclinical results in clinical trials.</w:t>
      </w:r>
    </w:p>
    <w:p>
      <w:pPr>
        <w:spacing w:after="0" w:line="170" w:lineRule="exact"/>
        <w:rPr>
          <w:sz w:val="20"/>
          <w:szCs w:val="20"/>
          <w:color w:val="auto"/>
        </w:rPr>
      </w:pPr>
    </w:p>
    <w:p>
      <w:pPr>
        <w:ind w:right="180" w:firstLine="449"/>
        <w:spacing w:after="0" w:line="308" w:lineRule="auto"/>
        <w:rPr>
          <w:sz w:val="20"/>
          <w:szCs w:val="20"/>
          <w:color w:val="auto"/>
        </w:rPr>
      </w:pPr>
      <w:r>
        <w:rPr>
          <w:rFonts w:ascii="Arial" w:cs="Arial" w:eastAsia="Arial" w:hAnsi="Arial"/>
          <w:sz w:val="17"/>
          <w:szCs w:val="17"/>
          <w:color w:val="auto"/>
        </w:rPr>
        <w:t>As a result of these factors, it is more difficult for us to predict the time and cost of product candidate development, and we cannot predict whether the application of our SNIPRx platform will result in the identification, development, and regulatory approval of any products.</w:t>
      </w:r>
    </w:p>
    <w:p>
      <w:pPr>
        <w:spacing w:after="0" w:line="254"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We may incur unexpected costs or experience delays in completing, or ultimately be unable to complete, the development and commercialization of our product candidates.</w:t>
      </w:r>
    </w:p>
    <w:p>
      <w:pPr>
        <w:spacing w:after="0" w:line="62" w:lineRule="exact"/>
        <w:rPr>
          <w:sz w:val="20"/>
          <w:szCs w:val="20"/>
          <w:color w:val="auto"/>
        </w:rPr>
      </w:pPr>
    </w:p>
    <w:p>
      <w:pPr>
        <w:ind w:right="120" w:firstLine="449"/>
        <w:spacing w:after="0" w:line="289" w:lineRule="auto"/>
        <w:rPr>
          <w:sz w:val="20"/>
          <w:szCs w:val="20"/>
          <w:color w:val="auto"/>
        </w:rPr>
      </w:pPr>
      <w:r>
        <w:rPr>
          <w:rFonts w:ascii="Arial" w:cs="Arial" w:eastAsia="Arial" w:hAnsi="Arial"/>
          <w:sz w:val="16"/>
          <w:szCs w:val="16"/>
          <w:color w:val="auto"/>
        </w:rPr>
        <w:t>We may not commercialize, market, promote or sell any product candidate without obtaining marketing approval from the FDA, EMA or other comparable regulatory authority, and we may never receive such approvals. It is impossible to predict when or if any of our product candidates will prove effective or safe in humans and will receive regulatory approval. 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Competing clinical trials for the same populations targeted as ours may limit our enrollment, or the results of competitors with similar technologies and products may falsely undermine the potential of our SNIPRx platform. 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66"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We may experience numerous unforeseen events prior to, during, or as a result of, clinical trials that could delay or prevent our ability to receive marketing approval or commercialize RP-3500 and any future product candidates, including:</w:t>
      </w:r>
    </w:p>
    <w:p>
      <w:pPr>
        <w:spacing w:after="0" w:line="76" w:lineRule="exact"/>
        <w:rPr>
          <w:sz w:val="20"/>
          <w:szCs w:val="20"/>
          <w:color w:val="auto"/>
        </w:rPr>
      </w:pPr>
    </w:p>
    <w:p>
      <w:pPr>
        <w:ind w:left="5540" w:right="2420" w:hanging="5087"/>
        <w:spacing w:after="0" w:line="449" w:lineRule="auto"/>
        <w:tabs>
          <w:tab w:leader="none" w:pos="1013"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design or implementation of our clinical trials; 24</w:t>
      </w:r>
    </w:p>
    <w:p>
      <w:pPr>
        <w:sectPr>
          <w:pgSz w:w="11900" w:h="16838" w:orient="portrait"/>
          <w:cols w:equalWidth="0" w:num="1">
            <w:col w:w="11200"/>
          </w:cols>
          <w:pgMar w:left="320" w:top="459"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8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130" w:lineRule="exact"/>
        <w:rPr>
          <w:rFonts w:ascii="Arial" w:cs="Arial" w:eastAsia="Arial" w:hAnsi="Arial"/>
          <w:sz w:val="18"/>
          <w:szCs w:val="18"/>
          <w:color w:val="auto"/>
        </w:rPr>
      </w:pPr>
    </w:p>
    <w:p>
      <w:pPr>
        <w:ind w:left="1000" w:hanging="547"/>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patients may drop out of these clinical trials at a higher rate than we anticipate or fail to return for post-treatment follow-up or we may fail to recruit suitable patients to participate in a trial;</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our combination trials due to lack of access to the drugs with which we are testing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concerns with a class of product candidates or after an inspection of our clinical trial operations, trial sites or manufacturing facilities;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130" w:lineRule="exact"/>
        <w:rPr>
          <w:rFonts w:ascii="Arial" w:cs="Arial" w:eastAsia="Arial" w:hAnsi="Arial"/>
          <w:sz w:val="18"/>
          <w:szCs w:val="18"/>
          <w:color w:val="auto"/>
        </w:rPr>
      </w:pPr>
    </w:p>
    <w:p>
      <w:pPr>
        <w:ind w:left="1000" w:right="20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external business disruptions affecting the initiation, patient enrollment, development and operation of our clinical trials, including a public health emergency, such as the recent global outbreak of the COVID-19 coronavirus;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or abandon product development programs.</w:t>
      </w:r>
    </w:p>
    <w:p>
      <w:pPr>
        <w:spacing w:after="0" w:line="225"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 from future drug sales or other sources.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drugs to market before we do, which could impair our ability to successfully commercialize our product candidates and may harm our business, financial condition, results of operations and prospects.</w:t>
      </w:r>
    </w:p>
    <w:p>
      <w:pPr>
        <w:spacing w:after="0" w:line="192"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76" w:lineRule="exact"/>
        <w:rPr>
          <w:sz w:val="20"/>
          <w:szCs w:val="20"/>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delayed in obtaining marketing approval, if at all;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be required to perform additional clinical trials to support approval or be subject to additional post-marketing testing requirements;</w:t>
      </w:r>
    </w:p>
    <w:p>
      <w:pPr>
        <w:spacing w:after="0" w:line="142" w:lineRule="exact"/>
        <w:rPr>
          <w:rFonts w:ascii="Arial" w:cs="Arial" w:eastAsia="Arial" w:hAnsi="Arial"/>
          <w:sz w:val="17"/>
          <w:szCs w:val="17"/>
          <w:color w:val="auto"/>
        </w:rPr>
      </w:pPr>
    </w:p>
    <w:p>
      <w:pPr>
        <w:ind w:left="1000" w:hanging="547"/>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drug or impose restrictions on its distribution in the form of a modified risk evaluation and mitigation strategy, or REMS;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right="120" w:firstLine="449"/>
        <w:spacing w:after="0" w:line="308" w:lineRule="auto"/>
        <w:rPr>
          <w:sz w:val="20"/>
          <w:szCs w:val="20"/>
          <w:color w:val="auto"/>
        </w:rPr>
      </w:pPr>
      <w:r>
        <w:rPr>
          <w:rFonts w:ascii="Arial" w:cs="Arial" w:eastAsia="Arial" w:hAnsi="Arial"/>
          <w:sz w:val="17"/>
          <w:szCs w:val="17"/>
          <w:color w:val="auto"/>
        </w:rPr>
        <w:t>Our product development costs will also increase if we experience delays in testing or obtaining marketing approvals. We do not know whether any of our preclinical studies or clinical trials will begin as planned, need to be restructured or be completed on schedule, if at all.</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trials are very expensive, time consuming and difficult to design and implement.</w:t>
      </w:r>
    </w:p>
    <w:p>
      <w:pPr>
        <w:spacing w:after="0" w:line="117"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Our product candidates will require clinical testing before we are prepared to submit a new drug application, or NDA, or equivalent application required in another jurisdiction for regulatory approval. We cannot predict with any certainty if or when we might submit an NDA or equivalent application required in another jurisdiction for regulatory approval for any of our product candidates or whether any such application will be approved by the FDA or other comparable regulatory authority, as applicable. Human clinical trials are very expensive and difficult to design and implement, in part because they are subject to rigorous regulatory requirements. For instance, the FDA or other comparable regulatory authority may not agree with our proposed endpoints for any future clinical trial of our product candidates, which may delay the commencement of our clinical trials. In addition, we may not succeed in developing and validating disease-relevant clinical endpoints based on insights regarding biological pathways for the diseases we are studying. The clinical trial process is also time consuming. We estimate that the successful completion of clinical trials for RP-3500 and any future product candidates will take several years to complete. Furthermore, failure can occur at any stage, and we could encounter problems that cause us to abandon or repeat clinical trials.</w:t>
      </w:r>
    </w:p>
    <w:p>
      <w:pPr>
        <w:spacing w:after="0" w:line="274" w:lineRule="exact"/>
        <w:rPr>
          <w:sz w:val="20"/>
          <w:szCs w:val="20"/>
          <w:color w:val="auto"/>
        </w:rPr>
      </w:pPr>
    </w:p>
    <w:p>
      <w:pPr>
        <w:ind w:left="460" w:right="160"/>
        <w:spacing w:after="0" w:line="308" w:lineRule="auto"/>
        <w:rPr>
          <w:sz w:val="20"/>
          <w:szCs w:val="20"/>
          <w:color w:val="auto"/>
        </w:rPr>
      </w:pPr>
      <w:r>
        <w:rPr>
          <w:rFonts w:ascii="Arial" w:cs="Arial" w:eastAsia="Arial" w:hAnsi="Arial"/>
          <w:sz w:val="17"/>
          <w:szCs w:val="17"/>
          <w:b w:val="1"/>
          <w:bCs w:val="1"/>
          <w:i w:val="1"/>
          <w:iCs w:val="1"/>
          <w:color w:val="auto"/>
        </w:rPr>
        <w:t>Success in preclinical studies or earlier clinical trials may not be indicative of results in future clinical trials and we cannot assure you that any ongoing, planned or future clinical trials will lead to results sufficient for the necessary regulatory approvals.</w:t>
      </w:r>
    </w:p>
    <w:p>
      <w:pPr>
        <w:spacing w:after="0" w:line="38" w:lineRule="exact"/>
        <w:rPr>
          <w:sz w:val="20"/>
          <w:szCs w:val="20"/>
          <w:color w:val="auto"/>
        </w:rPr>
      </w:pPr>
    </w:p>
    <w:p>
      <w:pPr>
        <w:ind w:firstLine="449"/>
        <w:spacing w:after="0" w:line="267" w:lineRule="auto"/>
        <w:rPr>
          <w:sz w:val="20"/>
          <w:szCs w:val="20"/>
          <w:color w:val="auto"/>
        </w:rPr>
      </w:pPr>
      <w:r>
        <w:rPr>
          <w:rFonts w:ascii="Arial" w:cs="Arial" w:eastAsia="Arial" w:hAnsi="Arial"/>
          <w:sz w:val="17"/>
          <w:szCs w:val="17"/>
          <w:color w:val="auto"/>
        </w:rPr>
        <w:t>We have not yet initiated our first clinical trial, a planned open-label Phase 1/2 clinical trial of RP-3500. Success in preclinical testing and earlier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studies and earlier clinical trials does not ensure that later efficacy trials will be successful, nor does it predict final results. Frequently, product candidates that have shown promising results in early clinical trials have subsequently suffered significant setbacks in later clinical trials. In addition, the design of a clinical trial can determine whether its results will support approval of a product and flaws in the design of a clinical trial may not become apparent until the clinical trial is well advanced. We have limited experience designing clinical trials and may be unable to design and execute a clinical trial to support regulatory approval. There is a high failure rate for drugs and biologic products proceeding through clinical trials. Many companies in the pharmaceutical and biotechnology industries have suffered significant setbacks in late-stage clinical trials even after achieving promising results in preclinical testing and earlier-stage clinical trials. These setbacks have been caused by, among other things, preclinical findings made while clinical trials were underway or safety or efficacy observations made in clinical trials, including previously unreported adverse events. Additionally, we plan on pursuing tumor agnostic clinical development in our trials of RP-3500. However, anti-tumor activity may be different in each of the different tumor types we plan on evaluating in the clinical trial. Therefore, even though we plan on pursuing tumor agnostic clinical development of RP-3500, the tumor response may be low or clinically insignificant in patients with some cancers compared to others. This may result in discontinuation of development of RP-3500 as a monotherapy for patients with these tumor types due to insufficient clinical benefit while continuing development for a more limited population of patients more likely to benefit. As a consequence, we may need to start combination therapies or we may have to negotiate with the FDA to reach agreement on defining the optimal patient population, study design and size in order to obtain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regulatory approval, any of which may require significant additional resources and delay the timing of our clinical trials and ultimately the approval, if any, of any of our product candidates.</w:t>
      </w:r>
    </w:p>
    <w:p>
      <w:pPr>
        <w:spacing w:after="0" w:line="170" w:lineRule="exact"/>
        <w:rPr>
          <w:sz w:val="20"/>
          <w:szCs w:val="20"/>
          <w:color w:val="auto"/>
        </w:rPr>
      </w:pPr>
    </w:p>
    <w:p>
      <w:pPr>
        <w:ind w:right="200" w:firstLine="449"/>
        <w:spacing w:after="0" w:line="287" w:lineRule="auto"/>
        <w:rPr>
          <w:sz w:val="20"/>
          <w:szCs w:val="20"/>
          <w:color w:val="auto"/>
        </w:rPr>
      </w:pPr>
      <w:r>
        <w:rPr>
          <w:rFonts w:ascii="Arial" w:cs="Arial" w:eastAsia="Arial" w:hAnsi="Arial"/>
          <w:sz w:val="16"/>
          <w:szCs w:val="16"/>
          <w:color w:val="auto"/>
        </w:rPr>
        <w:t>In addition, differences in trial design between early-stage clinical trials and later-stage clinical trials make it difficult to extrapolate the results of earlier clinical trials to later clinical trials. The early trials will be single arm and not comparing the results with existing (or new) standard of care. Moreover, clinical data are often susceptible to varying interpretations and analyses, and many companies that have believed their product candidates performed satisfactorily in clinical trials have nonetheless failed to obtain marketing approval of their products or had to withdraw the product after comparator or later stage trials delivered results. Additionally, some of our trials may be open-label studies, where both the patient and investigator know whether the patient is receiving the investigational product candidate or either an existing approved drug, introducing bias in early interpretation of the results.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w:t>
      </w:r>
    </w:p>
    <w:p>
      <w:pPr>
        <w:spacing w:after="0" w:line="172"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Data obtained from preclinical and clinical activities are subject to varying interpretations, which may delay, limit or prevent regulatory approval. Moreover, as the development of the SL pair, ATM-ATR, is still early, any clinical validation to the SL approach to treating cancer may or may not validate our approach.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96" w:lineRule="exact"/>
        <w:rPr>
          <w:sz w:val="20"/>
          <w:szCs w:val="20"/>
          <w:color w:val="auto"/>
        </w:rPr>
      </w:pPr>
    </w:p>
    <w:p>
      <w:pPr>
        <w:ind w:left="460" w:right="8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shares to fluctuate significantly.</w:t>
      </w:r>
    </w:p>
    <w:p>
      <w:pPr>
        <w:spacing w:after="0" w:line="300" w:lineRule="exact"/>
        <w:rPr>
          <w:sz w:val="20"/>
          <w:szCs w:val="20"/>
          <w:color w:val="auto"/>
        </w:rPr>
      </w:pPr>
    </w:p>
    <w:p>
      <w:pPr>
        <w:ind w:left="460" w:right="16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on a timely basis or at all, our business will be substantially harmed.</w:t>
      </w:r>
    </w:p>
    <w:p>
      <w:pPr>
        <w:spacing w:after="0" w:line="76"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6"/>
          <w:szCs w:val="16"/>
          <w:color w:val="auto"/>
        </w:rPr>
        <w:t>The length of time necessary to complete clinical trials and to submit an application for marketing approval for a decision by a regulatory authority may be difficult to predict for targeted therapeutic small molecule inhibitors, in large part because of the limited regulatory history associated with them. The clinical trial requirements of the FDA and other comparable foreign regulatory authorities and the criteria these regulators use to determine the safety and efficacy of a product candidate vary substantially according to the type, complexity, novelty and intended use and market of the product candidate.</w:t>
      </w:r>
    </w:p>
    <w:p>
      <w:pPr>
        <w:spacing w:after="0" w:line="1" w:lineRule="exact"/>
        <w:rPr>
          <w:sz w:val="20"/>
          <w:szCs w:val="20"/>
          <w:color w:val="auto"/>
        </w:rPr>
      </w:pPr>
    </w:p>
    <w:p>
      <w:pPr>
        <w:jc w:val="center"/>
        <w:ind w:right="360"/>
        <w:spacing w:after="0" w:line="433" w:lineRule="auto"/>
        <w:rPr>
          <w:sz w:val="20"/>
          <w:szCs w:val="20"/>
          <w:color w:val="auto"/>
        </w:rPr>
      </w:pPr>
      <w:r>
        <w:rPr>
          <w:rFonts w:ascii="Arial" w:cs="Arial" w:eastAsia="Arial" w:hAnsi="Arial"/>
          <w:sz w:val="18"/>
          <w:szCs w:val="18"/>
          <w:color w:val="auto"/>
        </w:rPr>
        <w:t>There is a limited history of multi-tumor indications, and any regulatory approvals may be conditioned upon confirmatory trials with clinical endpoints 27</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such as survival. Such trials are not only more expensive to conduct but take several years to complete. Increasing pressure from reimbursement bodies may result in poor (or no) acceptance of early trials for reimbursement. Except for certain PARP inhibitors, no products based on SL have been approved to date by regulators. As a result, the regulatory approval process for product candidates such as ours is uncertain and may be more expensive and take longer than the approval process for product candidates based on other, better known or more extensively studied technologies. It is difficult to determine how long it will take or how much it will cost to obtain regulatory approvals for our product candidates in either the United States or other comparable regions of the world or how long it will take to commercialize our product candidates. Delay or failure to obtain, or unexpected costs in obtaining, the regulatory approval necessary to bring a potential product candidate to market would adversely affect our business, financial condition, results of operations and prospects.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53" w:lineRule="exact"/>
        <w:rPr>
          <w:rFonts w:ascii="Arial" w:cs="Arial" w:eastAsia="Arial" w:hAnsi="Arial"/>
          <w:sz w:val="16"/>
          <w:szCs w:val="16"/>
          <w:color w:val="auto"/>
        </w:rPr>
      </w:pPr>
    </w:p>
    <w:p>
      <w:pPr>
        <w:ind w:left="1000" w:right="34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to the FDA or other submission or to obtain regulatory approval in the United States or elsewhere;</w:t>
      </w:r>
    </w:p>
    <w:p>
      <w:pPr>
        <w:spacing w:after="0" w:line="75" w:lineRule="exact"/>
        <w:rPr>
          <w:rFonts w:ascii="Arial" w:cs="Arial" w:eastAsia="Arial" w:hAnsi="Arial"/>
          <w:sz w:val="18"/>
          <w:szCs w:val="18"/>
          <w:color w:val="auto"/>
        </w:rPr>
      </w:pPr>
    </w:p>
    <w:p>
      <w:pPr>
        <w:ind w:left="1000" w:right="92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Prior to obtaining approval to commercialize a product candidate in the United States or elsewhere, we or our collaborators must demonstrate with substantial evidence from well-controlled clinical trials, and to the satisfaction of the FDA or comparable foreign regulatory agencies,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or comparable foreign regulatory authorities. The FDA may also require us to conduct additional preclinical studies or clinical trials for our product candidates either prior to or post-approval, or it may object to elements of our clinical development program. Depending on the extent of these or any other studies required by the FDA or comparable foreign regulatory authorities, approval of any regulatory approval applications that we submit may be delayed by several years, or may require us to expend significantly more resources than we have available.</w:t>
      </w:r>
    </w:p>
    <w:p>
      <w:pPr>
        <w:spacing w:after="0" w:line="178"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Of the large number of potential products in development, only a small percentage successfully complete the FDA or comparable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459" w:right="3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impose significant limitations in the form of narrow indications, warnings, or a post-marketing risk management strategy such as a REMS or the equivalent in another jurisdiction. Regulatory authorities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300" w:lineRule="exact"/>
        <w:rPr>
          <w:sz w:val="20"/>
          <w:szCs w:val="20"/>
          <w:color w:val="auto"/>
        </w:rPr>
      </w:pPr>
    </w:p>
    <w:p>
      <w:pPr>
        <w:ind w:left="460" w:right="100"/>
        <w:spacing w:after="0" w:line="263" w:lineRule="auto"/>
        <w:rPr>
          <w:sz w:val="20"/>
          <w:szCs w:val="20"/>
          <w:color w:val="auto"/>
        </w:rPr>
      </w:pPr>
      <w:r>
        <w:rPr>
          <w:rFonts w:ascii="Arial" w:cs="Arial" w:eastAsia="Arial" w:hAnsi="Arial"/>
          <w:sz w:val="18"/>
          <w:szCs w:val="18"/>
          <w:b w:val="1"/>
          <w:bCs w:val="1"/>
          <w:i w:val="1"/>
          <w:iCs w:val="1"/>
          <w:color w:val="auto"/>
        </w:rPr>
        <w:t>Synthetic lethality represents an emerging class of precision medicine targets, and negative perceptions of the efficacy, safety or tolerability of this class of targets, including any that we develop, could adversely affect our ability to conduct our business, advance our product candidates or obtain regulatory approvals.</w:t>
      </w:r>
    </w:p>
    <w:p>
      <w:pPr>
        <w:spacing w:after="0" w:line="76" w:lineRule="exact"/>
        <w:rPr>
          <w:sz w:val="20"/>
          <w:szCs w:val="20"/>
          <w:color w:val="auto"/>
        </w:rPr>
      </w:pPr>
    </w:p>
    <w:p>
      <w:pPr>
        <w:ind w:right="100" w:firstLine="449"/>
        <w:spacing w:after="0" w:line="268" w:lineRule="auto"/>
        <w:rPr>
          <w:sz w:val="20"/>
          <w:szCs w:val="20"/>
          <w:color w:val="auto"/>
        </w:rPr>
      </w:pPr>
      <w:r>
        <w:rPr>
          <w:rFonts w:ascii="Arial" w:cs="Arial" w:eastAsia="Arial" w:hAnsi="Arial"/>
          <w:sz w:val="17"/>
          <w:szCs w:val="17"/>
          <w:color w:val="auto"/>
        </w:rPr>
        <w:t>Aside from PARP inhibitors, such as Lynparza, Rubraca, Zejula and Talzenna, no SL small molecule inhibitor therapeutics have been approved to date by the FDA or other comparable regulators. Adverse events in future clinical trials of our product candidates or in clinical trials of others developing similar products and the resulting publicity, as well as any other adverse events in the field of SL, or other products that are perceived to be similar to SL, such as those related to gene therapy or gene editing, could result in a decrease in the perceived benefit of one or more of our programs, increased regulatory scrutiny, decreased confidence by patients and CROs in our product candidates, and less demand for any product that we may develop. Our pipeline of SL small molecule inhibitor product candidates could result in a greater quantity of reportable adverse events or other reportable negative clinical outcomes, manufacturing reportable events or material clinical events that could lead to clinical delays or holds by the FDA or applicable regulatory authority or other clinical delays, any of which could negatively impact the perception of one or more of our SL programs, as well as our business as a whole. In addition, responses by U.S. federal or foreign governments to negative public perception may result in new legislation or regulations that could limit our ability to develop any product candidates or commercialize any approved products, obtain or maintain regulatory approval, or otherwise achieve profitability. More restrictive statutory regimes, government regulations, or negative public opinion would have an adverse effect on our business, financial condition, results of operations, and prospects, and may delay or impair the development of our product candidates and commercialization of any approved products or demand for any products we may develop.</w:t>
      </w:r>
    </w:p>
    <w:p>
      <w:pPr>
        <w:spacing w:after="0" w:line="186"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b w:val="1"/>
          <w:bCs w:val="1"/>
          <w:i w:val="1"/>
          <w:iCs w:val="1"/>
          <w:color w:val="auto"/>
        </w:rPr>
        <w:t>We may not be successful in applying our SNIPRx platform to discover SL targets with therapeutic and commercial potential or in the discovery and development of commercially viable product candidates for us or our collaborators.</w:t>
      </w:r>
    </w:p>
    <w:p>
      <w:pPr>
        <w:spacing w:after="0" w:line="62"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Our scientific approach focuses on applying our proprietary SNIPRx platform to identify SL targets across the human genome. Our drug discovery team then chooses targets identified by SNIPRx and develops potent and selective inhibitors of these targets. We use these inhibitors to further validate our SL findings before advancing them into clinical development.</w:t>
      </w:r>
    </w:p>
    <w:p>
      <w:pPr>
        <w:spacing w:after="0" w:line="184"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believe the results of our SNIPRx screen campaigns suggest that our platform is capable of identifying high quality product candidates, but past success in identifying potential product candidates does not assure future success for us with our internal drug discovery programs. Our SNIPRx platform is novel, and we may not succeed in applying our SNIPRx platform to identify targets for product candidates. We therefore cannot provide any assurance that we or our collaborators will be able to successfully identify additional product candidates or advance any of these additional product candidates. In addition, others may have discovered and prosecuted targets that we believe are undiscovered. As a result of these factors, it is more difficult for us to predict the time and cost of product candidate development, and we cannot predict whether the application of our SNIPRx platform will result in the identification, development, and regulatory approval of any products. In addition, we may not succeed in applying our STEP</w:t>
      </w:r>
      <w:r>
        <w:rPr>
          <w:rFonts w:ascii="Arial" w:cs="Arial" w:eastAsia="Arial" w:hAnsi="Arial"/>
          <w:sz w:val="14"/>
          <w:szCs w:val="14"/>
          <w:color w:val="auto"/>
        </w:rPr>
        <w:t>2</w:t>
      </w:r>
      <w:r>
        <w:rPr>
          <w:rFonts w:ascii="Arial" w:cs="Arial" w:eastAsia="Arial" w:hAnsi="Arial"/>
          <w:sz w:val="17"/>
          <w:szCs w:val="17"/>
          <w:color w:val="auto"/>
        </w:rPr>
        <w:t xml:space="preserve"> screens to expand the potential patient populations that can be treated with our product candidates.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Efforts to identify, acquire or in-license, and then develop product candidates require substantial technical, financial and human resources, whether or not any product candidates are ultimately identified. We apply our SNIPRx technology and STEP</w:t>
      </w:r>
      <w:r>
        <w:rPr>
          <w:rFonts w:ascii="Arial" w:cs="Arial" w:eastAsia="Arial" w:hAnsi="Arial"/>
          <w:sz w:val="13"/>
          <w:szCs w:val="13"/>
          <w:color w:val="auto"/>
        </w:rPr>
        <w:t>2</w:t>
      </w:r>
      <w:r>
        <w:rPr>
          <w:rFonts w:ascii="Arial" w:cs="Arial" w:eastAsia="Arial" w:hAnsi="Arial"/>
          <w:sz w:val="16"/>
          <w:szCs w:val="16"/>
          <w:color w:val="auto"/>
        </w:rPr>
        <w:t xml:space="preserve"> screening in our efforts to discover potential precision targets for which our product candidates may be developed. Our efforts may initially show promise in identifying potential product candidates, yet fail to yield product candidates for clinical development, approved products or commercial revenues for many reasons, including the following:</w:t>
      </w:r>
    </w:p>
    <w:p>
      <w:pPr>
        <w:spacing w:after="0" w:line="63" w:lineRule="exact"/>
        <w:rPr>
          <w:sz w:val="20"/>
          <w:szCs w:val="20"/>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methodology used may not be successful in identifying potential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competitors may develop alternatives that render any product candidates we develop obsolete;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product candidates we develop may nevertheless be covered by third parties’ patents or other exclusive rights;</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product candidate may be shown to have harmful side effects or other characteristics that indicate it is unlikely to be effective or otherwise does not meet applicable regulatory criteria;</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physicians, patients, the medical community or third-party payors.</w:t>
      </w:r>
    </w:p>
    <w:p>
      <w:pPr>
        <w:spacing w:after="0" w:line="345" w:lineRule="exact"/>
        <w:rPr>
          <w:sz w:val="20"/>
          <w:szCs w:val="20"/>
          <w:color w:val="auto"/>
        </w:rPr>
      </w:pPr>
    </w:p>
    <w:p>
      <w:pPr>
        <w:ind w:left="460" w:right="280"/>
        <w:spacing w:after="0" w:line="308" w:lineRule="auto"/>
        <w:rPr>
          <w:sz w:val="20"/>
          <w:szCs w:val="20"/>
          <w:color w:val="auto"/>
        </w:rPr>
      </w:pPr>
      <w:r>
        <w:rPr>
          <w:rFonts w:ascii="Arial" w:cs="Arial" w:eastAsia="Arial" w:hAnsi="Arial"/>
          <w:sz w:val="17"/>
          <w:szCs w:val="17"/>
          <w:b w:val="1"/>
          <w:bCs w:val="1"/>
          <w:i w:val="1"/>
          <w:iCs w:val="1"/>
          <w:color w:val="auto"/>
        </w:rPr>
        <w:t>Difficulty in enrolling patients could delay or prevent clinical trials of our product candidates. We may find it difficult to enroll patients in our open-label Phase 1/2 clinical trial for RP-3500 with the genomic alterations that RP-3500 is designed to target.</w:t>
      </w:r>
    </w:p>
    <w:p>
      <w:pPr>
        <w:spacing w:after="0" w:line="38"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particular, because we are focused on patients with specific genomic alterations, our ability to enroll eligible patients may be limited or may result in slower enrollment than we anticipate. For example, with respect to RP-3500, we are researching 19 STEP</w:t>
      </w:r>
      <w:r>
        <w:rPr>
          <w:rFonts w:ascii="Arial" w:cs="Arial" w:eastAsia="Arial" w:hAnsi="Arial"/>
          <w:sz w:val="13"/>
          <w:szCs w:val="13"/>
          <w:color w:val="auto"/>
        </w:rPr>
        <w:t>2</w:t>
      </w:r>
      <w:r>
        <w:rPr>
          <w:rFonts w:ascii="Arial" w:cs="Arial" w:eastAsia="Arial" w:hAnsi="Arial"/>
          <w:sz w:val="16"/>
          <w:szCs w:val="16"/>
          <w:color w:val="auto"/>
        </w:rPr>
        <w:t>-identified genomic alterations in addition to ATM deficiency, including several novel genes that have not been previously reported as rendering sensitivity to ATR inhibitors. Further, certain of these genes are not yet included in commercially available panels or CLIA-validated panels used in large academic centers. As such, for our planned Phase 1/2 trial, we have identified and partnered with multiple large, leading clinical centers globally where tumor sequencing is the standard of care. While we believe that these panels will include the majority, if not all, of the 20 genes, genes may not be available on certain panels at our clinical sites. We cannot be certain how many patients will have each of the genomic alterations that RP-3500 is designed to target or that the number of patients enrolled for each mutation will suffice for regulatory approval and inclusion of each such mutation in the approved label. We may be unsuccessful in our efforts to work with our clinical partners to identify patients who are eligible for our clinical trial of RP-3500.</w:t>
      </w:r>
    </w:p>
    <w:p>
      <w:pPr>
        <w:spacing w:after="0" w:line="174" w:lineRule="exact"/>
        <w:rPr>
          <w:sz w:val="20"/>
          <w:szCs w:val="20"/>
          <w:color w:val="auto"/>
        </w:rPr>
      </w:pPr>
    </w:p>
    <w:p>
      <w:pPr>
        <w:ind w:right="180" w:firstLine="449"/>
        <w:spacing w:after="0" w:line="342" w:lineRule="auto"/>
        <w:rPr>
          <w:sz w:val="20"/>
          <w:szCs w:val="20"/>
          <w:color w:val="auto"/>
        </w:rPr>
      </w:pPr>
      <w:r>
        <w:rPr>
          <w:rFonts w:ascii="Arial" w:cs="Arial" w:eastAsia="Arial" w:hAnsi="Arial"/>
          <w:sz w:val="16"/>
          <w:szCs w:val="16"/>
          <w:color w:val="auto"/>
        </w:rPr>
        <w:t>In addition, some of our competitors have ongoing clinical trials for product candidates that treat the same or similar populations as our product candidates, and patients who would otherwise be eligible for our clinical trials may instead enroll in clinical trials of our competitors’ product candidates.</w:t>
      </w:r>
    </w:p>
    <w:p>
      <w:pPr>
        <w:spacing w:after="0" w:line="12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are engaging third parties to develop patient selection tools for use in our clinical trials, but such third parties may not be successful in developing such tools, furthering the difficulty in identifying patients with the targeted genomic alterations for our clinical trials and risking enrollment into our trials. Next Generation Sequencing panels may not include genes required for screening for our clinical trials or may not be broadly commercially available. The optimal method of diagnosis is not yet known and the availability of third party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payment for diagnostic tests may limit our clinical trials as well. Further, if we are unable to include patients with the targeted genomic alterations, this could compromise our ability to seek participation in FDA’s expedited review and development programs or otherwise seek to accelerate clinical development and regulatory timelines.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enrollment of patients further depends on many factors, including:</w:t>
      </w:r>
    </w:p>
    <w:p>
      <w:pPr>
        <w:spacing w:after="0" w:line="131" w:lineRule="exact"/>
        <w:rPr>
          <w:sz w:val="20"/>
          <w:szCs w:val="20"/>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risks and benefits of the product candidate under trial;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and efficacy of competing therapies and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availability of genetic sequencing information for patient tumors so that we can identify patients with the targeted genomic alterations;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proximity of patients to clinical trial sites;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any current or future license partner to execute on its development commitments and responsibilities for any product candidate to which it has acquired development rights in a given geography;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225"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and because our product candidates have not been tested in humans before, potential patients and their doctors may be inclined to use conventional therapies, such as chemotherapy, rather than enroll patients in any future clinical trial.</w:t>
      </w:r>
    </w:p>
    <w:p>
      <w:pPr>
        <w:spacing w:after="0" w:line="166"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232" w:lineRule="exact"/>
        <w:rPr>
          <w:sz w:val="20"/>
          <w:szCs w:val="20"/>
          <w:color w:val="auto"/>
        </w:rPr>
      </w:pPr>
    </w:p>
    <w:p>
      <w:pPr>
        <w:ind w:left="460" w:right="2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potential or result in significant negative consequences following any potential marketing approval.</w:t>
      </w:r>
    </w:p>
    <w:p>
      <w:pPr>
        <w:spacing w:after="0" w:line="16"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Serious adverse events or undesirable side effects caused by our product candidates could cause us or regulatory authorities to interrupt, delay or halt clinical trials and could result in a more restrictive label or the delay or denial of regulatory approval by the FDA, EMA or other authorities. Results of our clinical trials could reveal a high and unacceptable severity and prevalence of side effects, toxicities or unexpected characteristics, including death.</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320" w:top="45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If unacceptable side effects or deaths arise in the development of our product candidates, we, the IRBs at the institutions in which our studies are conducted, the FDA or any comparable foreign regulatory authority could suspend or terminate our clinical trials or the FDA or other regulatory authorities could order us to cease clinical trials or deny approval of our product candidates for any or all targeted indications. Undesirable side effects or deaths in clinical trials with our product candidates may cause the FDA or comparable foreign regulatory authorities to place a clinical hold on the associated clinical trials, to require additional studies, or otherwise to delay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8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side effects caused by any such product, including during any long-term follow-up observation period recommended or required for patients who receive treatment using our products, a number of potentially significant negative consequences could result, including:</w:t>
      </w:r>
    </w:p>
    <w:p>
      <w:pPr>
        <w:spacing w:after="0" w:line="89" w:lineRule="exact"/>
        <w:rPr>
          <w:sz w:val="20"/>
          <w:szCs w:val="20"/>
          <w:color w:val="auto"/>
        </w:rPr>
      </w:pPr>
    </w:p>
    <w:p>
      <w:pPr>
        <w:ind w:left="1000" w:right="820" w:hanging="547"/>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approvals of such product, or seek an injunction against its manufacture and distribution;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additional restrictions may be imposed on the marketing of the particular product or the manufacturing processes for the product;</w:t>
      </w:r>
    </w:p>
    <w:p>
      <w:pPr>
        <w:spacing w:after="0" w:line="142" w:lineRule="exact"/>
        <w:rPr>
          <w:rFonts w:ascii="Arial" w:cs="Arial" w:eastAsia="Arial" w:hAnsi="Arial"/>
          <w:sz w:val="17"/>
          <w:szCs w:val="17"/>
          <w:color w:val="auto"/>
        </w:rPr>
      </w:pPr>
    </w:p>
    <w:p>
      <w:pPr>
        <w:ind w:left="1000" w:right="140" w:hanging="547"/>
        <w:spacing w:after="0" w:line="342"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on the label, such as a boxed warning or contraindication, or issue safety alerts, Dear Healthcare Provider letters, press releases or other communications containing warnings or other safety information about the product;</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may be required to implement a REMS or create a medication guide outlining the risks of such side effects for distribution to patients;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product could become less competitive;</w:t>
      </w:r>
    </w:p>
    <w:p>
      <w:pPr>
        <w:spacing w:after="0" w:line="130"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strategic collaborator for the product may choose to terminate its agreement and compromise our ability to commercialize such product in the collaborator’s geography;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78"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b w:val="1"/>
          <w:bCs w:val="1"/>
          <w:i w:val="1"/>
          <w:iCs w:val="1"/>
          <w:color w:val="auto"/>
        </w:rPr>
        <w:t>We may in the future conduct clinical trials for product candidates outside the United States, and the FDA and comparable foreign regulatory authorities may not accept data from such trials.</w:t>
      </w:r>
    </w:p>
    <w:p>
      <w:pPr>
        <w:spacing w:after="0" w:line="62" w:lineRule="exact"/>
        <w:rPr>
          <w:sz w:val="20"/>
          <w:szCs w:val="20"/>
          <w:color w:val="auto"/>
        </w:rPr>
      </w:pPr>
    </w:p>
    <w:p>
      <w:pPr>
        <w:ind w:right="380" w:firstLine="449"/>
        <w:spacing w:after="0" w:line="279" w:lineRule="auto"/>
        <w:rPr>
          <w:sz w:val="20"/>
          <w:szCs w:val="20"/>
          <w:color w:val="auto"/>
        </w:rPr>
      </w:pPr>
      <w:r>
        <w:rPr>
          <w:rFonts w:ascii="Arial" w:cs="Arial" w:eastAsia="Arial" w:hAnsi="Arial"/>
          <w:sz w:val="17"/>
          <w:szCs w:val="17"/>
          <w:color w:val="auto"/>
        </w:rPr>
        <w:t>We currently expect, and may in the future choose, to conduct one or more clinical trials outside the United States, including in Europe.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basis of foreign data alone unless (i) the data are applicable to the U.S. population and U.S. medical practice; and (ii) the trials were performed by clinical investigators of recognized competence and pursuant to good clinical practice, or GCP, regulations.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Results for our clinical trials may differ by jurisdiction as a result of varying standards of care or local restrictions on reimbursement from third-party payors for clinical trials, thereby affecting the willingness of the FDA or any comparable foreign regulatory authority to accept such data,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product candidates that we may develop not receiving approval for commercialization in the applicable jurisdiction.</w:t>
      </w:r>
    </w:p>
    <w:p>
      <w:pPr>
        <w:spacing w:after="0" w:line="293" w:lineRule="exact"/>
        <w:rPr>
          <w:sz w:val="20"/>
          <w:szCs w:val="20"/>
          <w:color w:val="auto"/>
        </w:rPr>
      </w:pPr>
    </w:p>
    <w:p>
      <w:pPr>
        <w:ind w:left="460" w:right="100"/>
        <w:spacing w:after="0" w:line="375" w:lineRule="auto"/>
        <w:rPr>
          <w:sz w:val="20"/>
          <w:szCs w:val="20"/>
          <w:color w:val="auto"/>
        </w:rPr>
      </w:pPr>
      <w:r>
        <w:rPr>
          <w:rFonts w:ascii="Arial" w:cs="Arial" w:eastAsia="Arial" w:hAnsi="Arial"/>
          <w:sz w:val="15"/>
          <w:szCs w:val="15"/>
          <w:b w:val="1"/>
          <w:bCs w:val="1"/>
          <w:i w:val="1"/>
          <w:iCs w:val="1"/>
          <w:color w:val="auto"/>
        </w:rPr>
        <w:t>If it is determined that companion diagnostics are needed, we may be unable to successfully develop companion diagnostics for biomarkers that enable patient selection, or experience significant delays in doing so, we may not realize the full commercial potential of our product candidates.</w:t>
      </w:r>
    </w:p>
    <w:p>
      <w:pPr>
        <w:spacing w:after="0" w:line="1"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A key component of our strategy includes the use of diagnostic tools to guide patient selection of our product candidates. In some cases, a diagnostic tool may be commercially available, for example, on a tumor-profiling panel. If not already commercially available, we may be required to seek collaborations with diagnostic companies for the development of diagnostics for biomarkers associated with our product candidates. We may have difficulty in establishing or maintaining such development relationships, and we will face competition from other companies in establishing these collaborations. Furthermore, even if a diagnostic is commercially available, we may not be able to obtain reimbursement for its use without obtaining regulatory approval.</w:t>
      </w:r>
    </w:p>
    <w:p>
      <w:pPr>
        <w:spacing w:after="0" w:line="192" w:lineRule="exact"/>
        <w:rPr>
          <w:sz w:val="20"/>
          <w:szCs w:val="20"/>
          <w:color w:val="auto"/>
        </w:rPr>
      </w:pPr>
    </w:p>
    <w:p>
      <w:pPr>
        <w:ind w:right="240" w:firstLine="449"/>
        <w:spacing w:after="0" w:line="255" w:lineRule="auto"/>
        <w:rPr>
          <w:sz w:val="20"/>
          <w:szCs w:val="20"/>
          <w:color w:val="auto"/>
        </w:rPr>
      </w:pPr>
      <w:r>
        <w:rPr>
          <w:rFonts w:ascii="Arial" w:cs="Arial" w:eastAsia="Arial" w:hAnsi="Arial"/>
          <w:sz w:val="18"/>
          <w:szCs w:val="18"/>
          <w:color w:val="auto"/>
        </w:rPr>
        <w:t xml:space="preserve">There are also several risks associated with biomarker identification and validation. We, in collaboration with any diagnostic partners, may not be able to identify predictive biomarkers or pharmacodynamic biomarkers for one or more of our programs. We may not be able to validate potential biomarkers (e.g., certain genomic alterations) or their functional relevance preclinically in relevant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Data analytics and information from databases that we rely on for identifying or validating some of our biomarker-target relationships may not accurately reflect potential patient populations or may be based on incorrect methodology. Potential biomarkers, even if validated preclinically, may not be functionally validated in human clinical trials.</w:t>
      </w:r>
    </w:p>
    <w:p>
      <w:pPr>
        <w:spacing w:after="0" w:line="192" w:lineRule="exact"/>
        <w:rPr>
          <w:sz w:val="20"/>
          <w:szCs w:val="20"/>
          <w:color w:val="auto"/>
        </w:rPr>
      </w:pPr>
    </w:p>
    <w:p>
      <w:pPr>
        <w:ind w:right="140" w:firstLine="449"/>
        <w:spacing w:after="0" w:line="301" w:lineRule="auto"/>
        <w:rPr>
          <w:sz w:val="20"/>
          <w:szCs w:val="20"/>
          <w:color w:val="auto"/>
        </w:rPr>
      </w:pPr>
      <w:r>
        <w:rPr>
          <w:rFonts w:ascii="Arial" w:cs="Arial" w:eastAsia="Arial" w:hAnsi="Arial"/>
          <w:sz w:val="16"/>
          <w:szCs w:val="16"/>
          <w:color w:val="auto"/>
        </w:rPr>
        <w:t>If it is determined that companion diagnostics are needed, we may, in collaboration with these parties, be unable to successfully develop companion diagnostics for our product candidates, or experience delays in doing so, which may adversely affect the development of our product candidates . The development of companion diagnostic products requires a significant investment of working capital, and may not result in any future income. This could require us to raise additional funds, which could dilute our current investors or impact our ability to continue our operations in the future.</w:t>
      </w:r>
    </w:p>
    <w:p>
      <w:pPr>
        <w:spacing w:after="0" w:line="15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There are also risks associated with diagnostics that are commercially available, including that we may not have access to reliable supply for such diagnostics.</w:t>
      </w:r>
    </w:p>
    <w:p>
      <w:pPr>
        <w:spacing w:after="0" w:line="278" w:lineRule="exact"/>
        <w:rPr>
          <w:sz w:val="20"/>
          <w:szCs w:val="20"/>
          <w:color w:val="auto"/>
        </w:rPr>
      </w:pPr>
    </w:p>
    <w:p>
      <w:pPr>
        <w:ind w:left="460" w:right="20"/>
        <w:spacing w:after="0" w:line="263" w:lineRule="auto"/>
        <w:rPr>
          <w:sz w:val="20"/>
          <w:szCs w:val="20"/>
          <w:color w:val="auto"/>
        </w:rPr>
      </w:pPr>
      <w:r>
        <w:rPr>
          <w:rFonts w:ascii="Arial" w:cs="Arial" w:eastAsia="Arial" w:hAnsi="Arial"/>
          <w:sz w:val="18"/>
          <w:szCs w:val="18"/>
          <w:b w:val="1"/>
          <w:bCs w:val="1"/>
          <w:i w:val="1"/>
          <w:iCs w:val="1"/>
          <w:color w:val="auto"/>
        </w:rPr>
        <w:t>The failure to obtain required regulatory approvals for any companion diagnostic tests that may be required and that we may pursue may prevent or delay approval of our product candidates. Moreover, the commercial success of any of our product candidates may be tied to the regulatory approval, market acceptance and continued availability of a companion diagnostic.</w:t>
      </w:r>
    </w:p>
    <w:p>
      <w:pPr>
        <w:spacing w:after="0" w:line="76"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 xml:space="preserve">The FDA and other comparable regulatory authorities regulate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as medical devices that will likely be subject to clinical trials in conjunction with the clinical trials for our product candidates, and which will require regulatory clearance or approval prior to commercialization. If it is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determined that companion diagnostics are needed, we plan to collaborate with third parties for the development, testing and manufacturing of these companion diagnostics, the application for and receipt of any required regulatory clearances or approvals, and the commercial supply of these companion diagnostics. Our third-party collaborators may fail to obtain the required regulatory clearances or approvals, which could prevent or delay approval of our product candidates. In addition, the commercial success of any of our product candidates may be tied to and dependent upon the receipt of required regulatory clearances or approvals of the companion diagnostic.</w:t>
      </w:r>
    </w:p>
    <w:p>
      <w:pPr>
        <w:spacing w:after="0" w:line="188" w:lineRule="exact"/>
        <w:rPr>
          <w:sz w:val="20"/>
          <w:szCs w:val="20"/>
          <w:color w:val="auto"/>
        </w:rPr>
      </w:pPr>
    </w:p>
    <w:p>
      <w:pPr>
        <w:jc w:val="both"/>
        <w:ind w:right="480" w:firstLine="449"/>
        <w:spacing w:after="0" w:line="263" w:lineRule="auto"/>
        <w:rPr>
          <w:sz w:val="20"/>
          <w:szCs w:val="20"/>
          <w:color w:val="auto"/>
        </w:rPr>
      </w:pPr>
      <w:r>
        <w:rPr>
          <w:rFonts w:ascii="Arial" w:cs="Arial" w:eastAsia="Arial" w:hAnsi="Arial"/>
          <w:sz w:val="18"/>
          <w:szCs w:val="18"/>
          <w:color w:val="auto"/>
        </w:rPr>
        <w:t>For example, ATM is a common cancer mutation and its prognostic significance has not been validated for the patient populations that we are targeting. Such development risk contributes to the costs that we may need to bear in validating the ATM as well as the optimal method of diagnostic screening for our clinical trial populations.</w:t>
      </w:r>
    </w:p>
    <w:p>
      <w:pPr>
        <w:spacing w:after="0" w:line="184"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Even if a companion diagnostic is approved, we will rely on the continued ability of any third-party collaborator to make the companion diagnostic commercially available to us on reasonable terms in the relevant geographies. Market acceptance of the companion diagnostic may be low as a result of the cost and complexity of utilizing such companion diagnostic. Furthermore, if commercial tumor profiling panels are not able to be updated to include additional tumor-associated genes, or if clinical oncologists do not incorporate molecular or genetic sequencing into their clinical practice, we may not be successful in developing or commercializing our existing product candidates or any future product candidates.</w:t>
      </w:r>
    </w:p>
    <w:p>
      <w:pPr>
        <w:spacing w:after="0" w:line="284" w:lineRule="exact"/>
        <w:rPr>
          <w:sz w:val="20"/>
          <w:szCs w:val="20"/>
          <w:color w:val="auto"/>
        </w:rPr>
      </w:pPr>
    </w:p>
    <w:p>
      <w:pPr>
        <w:ind w:left="460" w:right="20"/>
        <w:spacing w:after="0" w:line="342" w:lineRule="auto"/>
        <w:rPr>
          <w:sz w:val="20"/>
          <w:szCs w:val="20"/>
          <w:color w:val="auto"/>
        </w:rPr>
      </w:pPr>
      <w:r>
        <w:rPr>
          <w:rFonts w:ascii="Arial" w:cs="Arial" w:eastAsia="Arial" w:hAnsi="Arial"/>
          <w:sz w:val="16"/>
          <w:szCs w:val="16"/>
          <w:b w:val="1"/>
          <w:bCs w:val="1"/>
          <w:i w:val="1"/>
          <w:iCs w:val="1"/>
          <w:color w:val="auto"/>
        </w:rPr>
        <w:t>We intend to pursue the development of certain of our product candidates in combination with other therapies, and regulatory approval, safety or supply issues with these other therapies may delay or prevent the development and approval of our product candidates.</w:t>
      </w:r>
    </w:p>
    <w:p>
      <w:pPr>
        <w:spacing w:after="0" w:line="1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intend to pursue the development of RP-3500 as a monotherapy and in combination with approved PARP inhibitors. In the near future, we may explore the use of our product candidates in combination with other therapies, including those that are not yet approved. If we choose to develop a product candidate for use in combination with an approved therapy, we are subject to the risk that the FDA or comparable foreign regulatory authorities could revoke approval of, or that safety, efficacy, manufacturing or supply issues could arise with, the therapy used in combination with our product candidate. If the therapies we use in combination with our product candidates are replaced as the standard of care, the FDA or comparable foreign regulatory authorities may require us to conduct additional clinical trials, or we may not be able to obtain adequate reimbursement from third-party payors. The occurrence of any of these risks could result in our product candidates, if approved, being removed from the market or being less successful commercially.</w:t>
      </w:r>
    </w:p>
    <w:p>
      <w:pPr>
        <w:spacing w:after="0" w:line="166"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Where we develop a product candidate for use in combination with a therapy that has not been approved by the FDA or comparable foreign regulatory authorities, we will not be able to market our product candidate for use in combination with such an unapproved therapy, unless and until the unapproved therapy receives regulatory approval. These unapproved therapies face the same risks described with respect to our product candidates currently in development, including serious adverse effects and delays in their clinical trials.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9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If the FDA or comparable foreign regulatory authorities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and may experience delays or unexpected difficulties in obtaining regulatory approval for our current or future product candidates for our initial or potential additional indications.</w:t>
      </w:r>
    </w:p>
    <w:p>
      <w:pPr>
        <w:spacing w:after="0" w:line="6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We have never obtained regulatory approval for, or commercialized, a drug. It is possible that the FDA may refuse to accept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nonclinical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current or future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spacing w:after="0" w:line="293" w:lineRule="exact"/>
        <w:rPr>
          <w:sz w:val="20"/>
          <w:szCs w:val="20"/>
          <w:color w:val="auto"/>
        </w:rPr>
      </w:pPr>
    </w:p>
    <w:p>
      <w:pPr>
        <w:ind w:left="460" w:right="200"/>
        <w:spacing w:after="0" w:line="263"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as a company in marketing products. If we are unable to establish marketing and sales capabilities or enter into agreements with third parties to market and sell our product candidates, if approved, we may not be able to generate product revenue.</w:t>
      </w:r>
    </w:p>
    <w:p>
      <w:pPr>
        <w:spacing w:after="0" w:line="76"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65"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7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278" w:lineRule="exact"/>
        <w:rPr>
          <w:sz w:val="20"/>
          <w:szCs w:val="20"/>
          <w:color w:val="auto"/>
        </w:rPr>
      </w:pPr>
    </w:p>
    <w:p>
      <w:pPr>
        <w:ind w:left="460" w:right="100"/>
        <w:spacing w:after="0" w:line="311" w:lineRule="auto"/>
        <w:rPr>
          <w:sz w:val="20"/>
          <w:szCs w:val="20"/>
          <w:color w:val="auto"/>
        </w:rPr>
      </w:pPr>
      <w:r>
        <w:rPr>
          <w:rFonts w:ascii="Arial" w:cs="Arial" w:eastAsia="Arial" w:hAnsi="Arial"/>
          <w:sz w:val="16"/>
          <w:szCs w:val="16"/>
          <w:b w:val="1"/>
          <w:bCs w:val="1"/>
          <w:i w:val="1"/>
          <w:iCs w:val="1"/>
          <w:color w:val="auto"/>
        </w:rPr>
        <w:t>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p>
    <w:p>
      <w:pPr>
        <w:spacing w:after="0" w:line="41"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7"/>
          <w:szCs w:val="17"/>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our lead product candidate, our business, financial condition and results of operations could be materially adversely affected.</w:t>
      </w:r>
    </w:p>
    <w:p>
      <w:pPr>
        <w:spacing w:after="0" w:line="279"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62"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use of precision medicines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89" w:lineRule="exact"/>
        <w:rPr>
          <w:sz w:val="20"/>
          <w:szCs w:val="20"/>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physicians, hospitals, cancer treatment centers and patients considering our product candidates as a safe and effective treatment;</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or future alternative treatments;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demonstrate the advantages of our product candidates over other cancer medicines;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prevalence and severity of any side effects for other precision medicines and public perception of other precision medicines;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comparable foreign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 or comparable foreign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cost of treatment, including with respect to diagnostic tools for our product candidates, and the availability of testing for patient selection;</w:t>
      </w:r>
    </w:p>
    <w:p>
      <w:pPr>
        <w:spacing w:after="0" w:line="153" w:lineRule="exact"/>
        <w:rPr>
          <w:rFonts w:ascii="Arial" w:cs="Arial" w:eastAsia="Arial" w:hAnsi="Arial"/>
          <w:sz w:val="16"/>
          <w:szCs w:val="16"/>
          <w:color w:val="auto"/>
        </w:rPr>
      </w:pPr>
    </w:p>
    <w:p>
      <w:pPr>
        <w:ind w:left="1000" w:right="120" w:hanging="547"/>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pricing of our products, if approved, and the availability of adequate coverage and reimbursement by third-party payors and government authorities;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by third-party payors and government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25"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If our product candidates are approved for commercialization but fail to achieve market acceptance among physicians, patients, hospitals, cancer treatment centers or others in the medical community, we will not be able to generate significant revenue.</w:t>
      </w:r>
    </w:p>
    <w:p>
      <w:pPr>
        <w:spacing w:after="0" w:line="170"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459" w:right="3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70" w:lineRule="exact"/>
        <w:rPr>
          <w:sz w:val="20"/>
          <w:szCs w:val="20"/>
          <w:color w:val="auto"/>
        </w:rPr>
      </w:pPr>
    </w:p>
    <w:p>
      <w:pPr>
        <w:ind w:right="220" w:firstLine="449"/>
        <w:spacing w:after="0" w:line="308" w:lineRule="auto"/>
        <w:rPr>
          <w:sz w:val="20"/>
          <w:szCs w:val="20"/>
          <w:color w:val="auto"/>
        </w:rPr>
      </w:pPr>
      <w:r>
        <w:rPr>
          <w:rFonts w:ascii="Arial" w:cs="Arial" w:eastAsia="Arial" w:hAnsi="Arial"/>
          <w:sz w:val="17"/>
          <w:szCs w:val="17"/>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54" w:lineRule="exact"/>
        <w:rPr>
          <w:sz w:val="20"/>
          <w:szCs w:val="20"/>
          <w:color w:val="auto"/>
        </w:rPr>
      </w:pPr>
    </w:p>
    <w:p>
      <w:pPr>
        <w:ind w:left="460" w:right="180"/>
        <w:spacing w:after="0" w:line="342" w:lineRule="auto"/>
        <w:rPr>
          <w:sz w:val="20"/>
          <w:szCs w:val="20"/>
          <w:color w:val="auto"/>
        </w:rPr>
      </w:pPr>
      <w:r>
        <w:rPr>
          <w:rFonts w:ascii="Arial" w:cs="Arial" w:eastAsia="Arial" w:hAnsi="Arial"/>
          <w:sz w:val="16"/>
          <w:szCs w:val="16"/>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16"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Cancer therapies are sometimes characterized as first line, second line, or third line, and the FDA often approves new therapies initially only for a particular line of use. When cancer is detected early enough, first line therapy is sometimes adequate to cure the cancer or prolong life without a cure. Whenever first line therapy,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or third line therapy. Subsequently, for those product candidates that prove to be sufficiently safe and beneficial, if any, we would expect to seek approval as a second line therapy and potentially as a first line therapy, but there is no guarantee that our product candidates, even if approved as a second or third or subsequent line of therapy, would be approved for an earlier line of therapy, and, prior to any such approvals, we may have to conduct additional clinical trials.</w:t>
      </w:r>
    </w:p>
    <w:p>
      <w:pPr>
        <w:spacing w:after="0" w:line="18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rely on various sources, including published literature and public or proprietary databases, to ascertain an estimate of the number of patients having particular genomic alterations, such as mutations, deletions or fusions. The determinable prevalence may vary depending on the source and quality of the underlying data and in some cases, insufficient data or poorly curated data may impact our ability to accurately estimate the prevalence of our target patient populations for each indication and in the aggregate across multiple indications both in the clinical trial setting, as well as in the commercial setting, if our product is approved. If the market opportunities for our product candidates are smaller than we estimate, our business, financial position, results of operations and prospects may be harmed. In addition, upon treatment with our product candidates, patients may have or develop resistance to our product candidates, reducing the addressable patient population and duration of treatment.</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drugs before or more successfully than us.</w:t>
      </w:r>
    </w:p>
    <w:p>
      <w:pPr>
        <w:spacing w:after="0" w:line="140"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biopharmaceutical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459" w:right="3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w:t>
      </w:r>
    </w:p>
    <w:p>
      <w:pPr>
        <w:spacing w:after="0" w:line="15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We face competition from segments of the pharmaceutical, biotechnology and other related markets that pursue the development of precision oncology therapies for patients with genetically-defined cancers. Several biopharmaceutical companies, including Loxo Oncology, Inc. (recently acquired by Eli Lilly and Company), Blueprint Medicines Corporation, Agios Pharmaceuticals, Inc., SpringWorks Therapeutics, Inc., Black Diamond Therapeutics, Inc., Deciphera Pharmaceuticals, Inc. and Turning Point Therapeutics, Inc., are developing precision oncology medicines. In addition, we may face competition from companies developing product candidates that are based on SL, including AstraZeneca, GlaxoSmithKline, Pfizer, Bayer, Merck Serono, Artios Pharma Ltd. and IDEAYA Biosciences, Inc.</w:t>
      </w:r>
    </w:p>
    <w:p>
      <w:pPr>
        <w:spacing w:after="0" w:line="192"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w:t>
      </w:r>
    </w:p>
    <w:p>
      <w:pPr>
        <w:spacing w:after="0" w:line="27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any products outside of the United States, a variety of risks associated with international operations could adversely affect our business.</w:t>
      </w:r>
    </w:p>
    <w:p>
      <w:pPr>
        <w:spacing w:after="0" w:line="62"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If any of our product candidates are approved for commercialization, we may seek to enter into agreements with third parties to market them in certain jurisdictions outside the United States. We expect that we would be subject to additional risks related to international pharmaceutical operations, including:</w:t>
      </w:r>
    </w:p>
    <w:p>
      <w:pPr>
        <w:spacing w:after="0" w:line="89" w:lineRule="exact"/>
        <w:rPr>
          <w:sz w:val="20"/>
          <w:szCs w:val="20"/>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and rules governing drug commercialization in foreign countries;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auto"/>
        </w:rPr>
      </w:pPr>
    </w:p>
    <w:p>
      <w:pPr>
        <w:ind w:left="1000" w:right="40" w:hanging="547"/>
        <w:spacing w:after="0" w:line="311"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natural disasters including earthquakes, typhoons, floods and fires, or from economic or political instability, or public health emergencies, such as the novel COVID-19 coronavirus and related shelter-in-place orders, travel, social distancing and quarantine policies, boycotts, curtailment of trade and other business restrictions;</w:t>
      </w:r>
    </w:p>
    <w:p>
      <w:pPr>
        <w:spacing w:after="0" w:line="54" w:lineRule="exact"/>
        <w:rPr>
          <w:rFonts w:ascii="Arial" w:cs="Arial" w:eastAsia="Arial" w:hAnsi="Arial"/>
          <w:sz w:val="16"/>
          <w:szCs w:val="16"/>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greater difficulty with enforcing our contracts;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459" w:right="3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00" w:hanging="547"/>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noncompliance with the U.S. Foreign Corrupt Practices Act, the U.K. Bribery Act 2010 and similar anti-bribery and anticorruption laws in other jurisdictions;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25" w:lineRule="exact"/>
        <w:rPr>
          <w:sz w:val="20"/>
          <w:szCs w:val="20"/>
          <w:color w:val="auto"/>
        </w:rPr>
      </w:pPr>
    </w:p>
    <w:p>
      <w:pPr>
        <w:jc w:val="both"/>
        <w:ind w:right="340" w:firstLine="449"/>
        <w:spacing w:after="0" w:line="263" w:lineRule="auto"/>
        <w:rPr>
          <w:sz w:val="20"/>
          <w:szCs w:val="20"/>
          <w:color w:val="auto"/>
        </w:rPr>
      </w:pPr>
      <w:r>
        <w:rPr>
          <w:rFonts w:ascii="Arial" w:cs="Arial" w:eastAsia="Arial" w:hAnsi="Arial"/>
          <w:sz w:val="18"/>
          <w:szCs w:val="18"/>
          <w:color w:val="auto"/>
        </w:rPr>
        <w:t>As an organization, we have no prior experience in these areas. In addition, there are complex regulatory, tax, labor and other legal requirements imposed by individual countries in Europe with which we may need to comply. If we are unable to successfully manage the challenges of international expansion and operations, our business and operating results could be harmed.</w:t>
      </w:r>
    </w:p>
    <w:p>
      <w:pPr>
        <w:spacing w:after="0" w:line="292"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RP-3500 or any future product candidates, which could make it difficult for us to sell profitably or at all, if approved.</w:t>
      </w:r>
    </w:p>
    <w:p>
      <w:pPr>
        <w:spacing w:after="0" w:line="6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Market acceptance and sales of any product candidates that we commercialize, if approved, will depend in part on the extent to which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Reimbursement by a third-party payor may depend upon a number of factors, including, but not limited to, the third-party payor’s determination that use of a product is:</w:t>
      </w:r>
    </w:p>
    <w:p>
      <w:pPr>
        <w:spacing w:after="0" w:line="93" w:lineRule="exact"/>
        <w:rPr>
          <w:sz w:val="20"/>
          <w:szCs w:val="20"/>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formulary it will be placed. The position on a payor’s list of covered drugs,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w:t>
      </w:r>
    </w:p>
    <w:p>
      <w:pPr>
        <w:spacing w:after="0" w:line="168"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marketing approval. Additionally, we or our collaborators may develop companion diagnostic tests for use with our product candidates. Companion diagnostic tests require coverage and reimbursement separate and apart from the coverage and reimbursement for their companion pharmaceutical or biological products. Similar challenges to obtaining coverage and reimbursement, applicable to pharmaceutical products, will apply to companion diagnostics. If coverage and adequate reimbursement are not available, or are available only to limited levels, we may not be able to successfully commercialize RP-3500 or any future product candidates that we develop.</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459" w:right="3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Even if we are successful in obtaining regulatory approval, commercial success of any approved products will also depend in large part on the availability of insurance coverage and adequate reimbursement from third-party payors, including government payors, such as the Medicare and Medicaid programs, and managed care organizations, which may be affected by existing and future healthcare reform measures designed to reduce the cost of healthcare. Third-party payors could require us to conduct additional studies, including post-marketing studies related to the cost-effectiveness of a product, to qualify for reimbursement, which could be costly and divert our resources. If government and other healthcare payors were not to provide adequate insurance coverage and reimbursement levels for one any of our products once approved, market acceptance and commercial success would be limited.</w:t>
      </w:r>
    </w:p>
    <w:p>
      <w:pPr>
        <w:spacing w:after="0" w:line="272"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are exposed to potential product liability and professional indemnity risks that are inherent in the research, development, manufacturing, marketing and use of biopharmaceutical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74" w:lineRule="exact"/>
        <w:rPr>
          <w:sz w:val="20"/>
          <w:szCs w:val="20"/>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demand for our products due to negative public perception;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clinical trial participants or difficulties in recruiting new trial participants;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to defend or settle the related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revenues from product sales;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to commercialize any of our product candidates, if approved.</w:t>
      </w:r>
    </w:p>
    <w:p>
      <w:pPr>
        <w:spacing w:after="0" w:line="225"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40" w:firstLine="449"/>
        <w:spacing w:after="0" w:line="277" w:lineRule="auto"/>
        <w:rPr>
          <w:sz w:val="20"/>
          <w:szCs w:val="20"/>
          <w:color w:val="auto"/>
        </w:rPr>
      </w:pPr>
      <w:r>
        <w:rPr>
          <w:rFonts w:ascii="Arial" w:cs="Arial" w:eastAsia="Arial" w:hAnsi="Arial"/>
          <w:sz w:val="18"/>
          <w:szCs w:val="18"/>
          <w:color w:val="auto"/>
        </w:rPr>
        <w:t>Should any of the events described above occur, this could have a material adverse effect on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Matters</w:t>
      </w:r>
    </w:p>
    <w:p>
      <w:pPr>
        <w:spacing w:after="0" w:line="229"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b w:val="1"/>
          <w:bCs w:val="1"/>
          <w:i w:val="1"/>
          <w:iCs w:val="1"/>
          <w:color w:val="auto"/>
        </w:rPr>
        <w:t>Even if we obtain FDA approval for any of our product candidates in the United States, we may never obtain approval for or commercialize any of them in any other jurisdiction, which would limit our ability to realize their full market potential.</w:t>
      </w:r>
    </w:p>
    <w:p>
      <w:pPr>
        <w:spacing w:after="0" w:line="62"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70"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87"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85" w:lineRule="exact"/>
        <w:rPr>
          <w:sz w:val="20"/>
          <w:szCs w:val="20"/>
          <w:color w:val="auto"/>
        </w:rPr>
      </w:pPr>
    </w:p>
    <w:p>
      <w:pPr>
        <w:jc w:val="both"/>
        <w:ind w:left="460" w:right="120"/>
        <w:spacing w:after="0" w:line="263" w:lineRule="auto"/>
        <w:rPr>
          <w:sz w:val="20"/>
          <w:szCs w:val="20"/>
          <w:color w:val="auto"/>
        </w:rPr>
      </w:pPr>
      <w:r>
        <w:rPr>
          <w:rFonts w:ascii="Arial" w:cs="Arial" w:eastAsia="Arial" w:hAnsi="Arial"/>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6" w:lineRule="exact"/>
        <w:rPr>
          <w:sz w:val="20"/>
          <w:szCs w:val="20"/>
          <w:color w:val="auto"/>
        </w:rPr>
      </w:pPr>
    </w:p>
    <w:p>
      <w:pPr>
        <w:ind w:right="120" w:firstLine="449"/>
        <w:spacing w:after="0" w:line="301"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157"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76"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foreign regulatory authorities may also have programs similar to REMS. In addition, if the FDA or a comparable foreign regulatory authority approves our product candidates, we will have to comply with requirements including submissions of safety and other post-marketing information and reports and registration.</w:t>
      </w:r>
    </w:p>
    <w:p>
      <w:pPr>
        <w:spacing w:after="0" w:line="161"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98" w:lineRule="exact"/>
        <w:rPr>
          <w:sz w:val="20"/>
          <w:szCs w:val="20"/>
          <w:color w:val="auto"/>
        </w:rPr>
      </w:pPr>
    </w:p>
    <w:p>
      <w:pPr>
        <w:ind w:left="1000" w:right="4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30"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3" w:lineRule="exact"/>
        <w:rPr>
          <w:sz w:val="20"/>
          <w:szCs w:val="20"/>
          <w:color w:val="auto"/>
        </w:rPr>
      </w:pPr>
    </w:p>
    <w:p>
      <w:pPr>
        <w:ind w:left="460" w:right="14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76" w:lineRule="exact"/>
        <w:rPr>
          <w:sz w:val="20"/>
          <w:szCs w:val="20"/>
          <w:color w:val="auto"/>
        </w:rPr>
      </w:pPr>
    </w:p>
    <w:p>
      <w:pPr>
        <w:ind w:right="460" w:firstLine="449"/>
        <w:spacing w:after="0" w:line="311" w:lineRule="auto"/>
        <w:rPr>
          <w:sz w:val="20"/>
          <w:szCs w:val="20"/>
          <w:color w:val="auto"/>
        </w:rPr>
      </w:pPr>
      <w:r>
        <w:rPr>
          <w:rFonts w:ascii="Arial" w:cs="Arial" w:eastAsia="Arial" w:hAnsi="Arial"/>
          <w:sz w:val="16"/>
          <w:szCs w:val="16"/>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laws that may constrain the business or financial arrangements and relationships through which we research, sell, market, and distribute our product candidates, if we obtain marketing approval. Such laws include:</w:t>
      </w:r>
    </w:p>
    <w:p>
      <w:pPr>
        <w:spacing w:after="0" w:line="76" w:lineRule="exact"/>
        <w:rPr>
          <w:sz w:val="20"/>
          <w:szCs w:val="20"/>
          <w:color w:val="auto"/>
        </w:rPr>
      </w:pPr>
    </w:p>
    <w:p>
      <w:pPr>
        <w:ind w:left="1000" w:hanging="547"/>
        <w:spacing w:after="0" w:line="255"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97" w:lineRule="exact"/>
        <w:rPr>
          <w:rFonts w:ascii="Arial" w:cs="Arial" w:eastAsia="Arial" w:hAnsi="Arial"/>
          <w:sz w:val="18"/>
          <w:szCs w:val="18"/>
          <w:color w:val="auto"/>
        </w:rPr>
      </w:pPr>
    </w:p>
    <w:p>
      <w:pPr>
        <w:ind w:left="1000" w:right="20" w:hanging="547"/>
        <w:spacing w:after="0" w:line="270"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U.S. federal civil and criminal false claims laws, including the civil False Claims Act, which can be enforced by private individuals on behalf of the government through civil whistleblower or qui tam actions, and civil monetary penalties laws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Manufacturers can be held liable under the False Claims Act even when they do not submit claims directly to government payors if they are deemed to “cause” the submission of false or fraudulent claims. In addition, the government may assert that a claim including items and services resulting from a violation of the U.S. federal Anti-Kickback Statute constitutes a false or fraudulent claim for purposes of the civil False Claims Act;</w:t>
      </w:r>
    </w:p>
    <w:p>
      <w:pPr>
        <w:spacing w:after="0" w:line="86" w:lineRule="exact"/>
        <w:rPr>
          <w:rFonts w:ascii="Arial" w:cs="Arial" w:eastAsia="Arial" w:hAnsi="Arial"/>
          <w:sz w:val="17"/>
          <w:szCs w:val="17"/>
          <w:color w:val="auto"/>
        </w:rPr>
      </w:pPr>
    </w:p>
    <w:p>
      <w:pPr>
        <w:ind w:left="1000" w:right="160" w:hanging="547"/>
        <w:spacing w:after="0" w:line="296"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or HIPAA, which created additional federal civil and criminal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6" w:lineRule="exact"/>
        <w:rPr>
          <w:rFonts w:ascii="Arial" w:cs="Arial" w:eastAsia="Arial" w:hAnsi="Arial"/>
          <w:sz w:val="16"/>
          <w:szCs w:val="16"/>
          <w:color w:val="auto"/>
        </w:rPr>
      </w:pPr>
    </w:p>
    <w:p>
      <w:pPr>
        <w:ind w:left="1000" w:right="20" w:hanging="547"/>
        <w:spacing w:after="0" w:line="290"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implementing regulations, which impose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as well as their business associates, independent contractors of a covered entity that perform certain services involving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70" w:lineRule="exact"/>
        <w:rPr>
          <w:rFonts w:ascii="Arial" w:cs="Arial" w:eastAsia="Arial" w:hAnsi="Arial"/>
          <w:sz w:val="16"/>
          <w:szCs w:val="16"/>
          <w:color w:val="auto"/>
        </w:rPr>
      </w:pPr>
    </w:p>
    <w:p>
      <w:pPr>
        <w:ind w:left="1000" w:right="42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Food, Drug, and Cosmetic Act, which prohibits, among other things, the adulteration or misbranding of drugs, biologics and medical devices;</w:t>
      </w:r>
    </w:p>
    <w:p>
      <w:pPr>
        <w:spacing w:after="0" w:line="75"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75" w:lineRule="exact"/>
        <w:rPr>
          <w:rFonts w:ascii="Arial" w:cs="Arial" w:eastAsia="Arial" w:hAnsi="Arial"/>
          <w:sz w:val="18"/>
          <w:szCs w:val="18"/>
          <w:color w:val="auto"/>
        </w:rPr>
      </w:pPr>
    </w:p>
    <w:p>
      <w:pPr>
        <w:ind w:left="1000" w:hanging="547"/>
        <w:spacing w:after="0" w:line="311"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U.S. Physician Payments Sunshine Act and its implementing regulations, which require certain manufacturers of drugs, devices, biologics and medical supplies that are reimbursable under Medicare, Medicaid, or the Children’s Health Insurance Program, with specific exceptions, to report annually to the Centers for Medicare &amp; Medicaid Services, or CMS, information related to certain payments and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459"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0"/>
        <w:spacing w:after="0" w:line="279" w:lineRule="auto"/>
        <w:rPr>
          <w:sz w:val="20"/>
          <w:szCs w:val="20"/>
          <w:color w:val="auto"/>
        </w:rPr>
      </w:pPr>
      <w:r>
        <w:rPr>
          <w:rFonts w:ascii="Arial" w:cs="Arial" w:eastAsia="Arial" w:hAnsi="Arial"/>
          <w:sz w:val="17"/>
          <w:szCs w:val="17"/>
          <w:color w:val="auto"/>
        </w:rPr>
        <w:t>other transfers of value to physicians (currently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as well as ownership and investment interests held, during the previous year to certain non-physician providers such as physician assistants and nurse practitioners;</w:t>
      </w:r>
    </w:p>
    <w:p>
      <w:pPr>
        <w:spacing w:after="0" w:line="77" w:lineRule="exact"/>
        <w:rPr>
          <w:sz w:val="20"/>
          <w:szCs w:val="20"/>
          <w:color w:val="auto"/>
        </w:rPr>
      </w:pPr>
    </w:p>
    <w:p>
      <w:pPr>
        <w:ind w:left="1000" w:right="80" w:hanging="547"/>
        <w:spacing w:after="0" w:line="289"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drug pricing and marketing information, which requires tracking gifts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and</w:t>
      </w:r>
    </w:p>
    <w:p>
      <w:pPr>
        <w:spacing w:after="0" w:line="71" w:lineRule="exact"/>
        <w:rPr>
          <w:rFonts w:ascii="Arial" w:cs="Arial" w:eastAsia="Arial" w:hAnsi="Arial"/>
          <w:sz w:val="16"/>
          <w:szCs w:val="16"/>
          <w:color w:val="auto"/>
        </w:rPr>
      </w:pPr>
    </w:p>
    <w:p>
      <w:pPr>
        <w:ind w:left="1000" w:right="80" w:hanging="547"/>
        <w:spacing w:after="0" w:line="26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analogous laws in other jurisdictions including, but not limited to, laws relating to interactions with government officials, privacy laws, transparency laws, laws relating to reimbursement, competition, consumer protection laws, laws relating to the marketing of health products and other healthcare-related laws.</w:t>
      </w:r>
    </w:p>
    <w:p>
      <w:pPr>
        <w:spacing w:after="0" w:line="184"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In addition, we are also subject to federal and state consumer protection and unfair competition laws, which broadly regulate marketplace activities and activities that potentially harm customers.</w:t>
      </w:r>
    </w:p>
    <w:p>
      <w:pPr>
        <w:spacing w:after="0" w:line="170"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Ensuring that our business arrangements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spacing w:after="0" w:line="17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If the physicians or other providers or entities with whom we expect to do business are found not to be in compliance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shares.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320" w:top="459" w:right="3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6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83" w:lineRule="exact"/>
        <w:rPr>
          <w:sz w:val="20"/>
          <w:szCs w:val="20"/>
          <w:color w:val="auto"/>
        </w:rPr>
      </w:pPr>
    </w:p>
    <w:p>
      <w:pPr>
        <w:ind w:left="1000" w:right="440" w:hanging="547"/>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89" w:lineRule="exact"/>
        <w:rPr>
          <w:rFonts w:ascii="Arial" w:cs="Arial" w:eastAsia="Arial" w:hAnsi="Arial"/>
          <w:sz w:val="18"/>
          <w:szCs w:val="18"/>
          <w:color w:val="auto"/>
        </w:rPr>
      </w:pPr>
    </w:p>
    <w:p>
      <w:pPr>
        <w:ind w:left="1000" w:right="44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1000" w:right="480" w:hanging="547"/>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licensure framework for follow on biologic products;</w:t>
      </w:r>
    </w:p>
    <w:p>
      <w:pPr>
        <w:spacing w:after="0" w:line="130" w:lineRule="exact"/>
        <w:rPr>
          <w:rFonts w:ascii="Arial" w:cs="Arial" w:eastAsia="Arial" w:hAnsi="Arial"/>
          <w:sz w:val="18"/>
          <w:szCs w:val="18"/>
          <w:color w:val="auto"/>
        </w:rPr>
      </w:pPr>
    </w:p>
    <w:p>
      <w:pPr>
        <w:ind w:left="1000" w:right="68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75" w:lineRule="exact"/>
        <w:rPr>
          <w:rFonts w:ascii="Arial" w:cs="Arial" w:eastAsia="Arial" w:hAnsi="Arial"/>
          <w:sz w:val="18"/>
          <w:szCs w:val="18"/>
          <w:color w:val="auto"/>
        </w:rPr>
      </w:pPr>
    </w:p>
    <w:p>
      <w:pPr>
        <w:ind w:left="1000" w:right="44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establishment of a Center for Medicare &amp; Medicaid Innovation at CMS to test innovative payment and service delivery models to lower Medicare and Medicaid spending, potentially including prescription drug spending.</w:t>
      </w:r>
    </w:p>
    <w:p>
      <w:pPr>
        <w:spacing w:after="0" w:line="170" w:lineRule="exact"/>
        <w:rPr>
          <w:sz w:val="20"/>
          <w:szCs w:val="20"/>
          <w:color w:val="auto"/>
        </w:rPr>
      </w:pPr>
    </w:p>
    <w:p>
      <w:pPr>
        <w:ind w:right="100" w:firstLine="449"/>
        <w:spacing w:after="0" w:line="287" w:lineRule="auto"/>
        <w:rPr>
          <w:sz w:val="20"/>
          <w:szCs w:val="20"/>
          <w:color w:val="auto"/>
        </w:rPr>
      </w:pPr>
      <w:r>
        <w:rPr>
          <w:rFonts w:ascii="Arial" w:cs="Arial" w:eastAsia="Arial" w:hAnsi="Arial"/>
          <w:sz w:val="16"/>
          <w:szCs w:val="16"/>
          <w:color w:val="auto"/>
        </w:rPr>
        <w:t>There remain judicial, Congressional and executive branch challenges to certain aspects of the ACA, and we expect there will be additional challenges and amendments to the ACA in the future. While Congress has not passed comprehensive repeal legislation, it has enacted laws that modify certain provisions of the ACA such as removing penalties, starting January 1, 2019, for not complying with the ACA’s individual mandate to carry health insurance and increasing the point-of-sale discount that is owed by pharmaceutical manufacturers who participate in Medicare Part D. Further, the 2020 federal spending package permanently eliminated, effective January 1, 2020, the ACA-mandated “Cadillac” tax on high-cost employer-sponsored health coverage and medical device tax and, effective January 1, 2021, also eliminates the health insurer tax. On December 14, 2018, a U.S. District Court Judge in Texas ruled that the ACA is unconstitutional in its entirety because the “individual mandate” was repealed by Congress as part of the legislation enacted in 2017, informally titled the Tax Cuts and Jobs Act, or the Tax Act. Additionally, on December 18, 2019, the U.S. Court of Appeals for the 5th Circuit ruled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It is unclear when such oral arguments are to be held and when a decision is expected to be made. It is also unclear how such litigation and other efforts to repeal and replace the ACA will impact the ACA and our business.</w:t>
      </w:r>
    </w:p>
    <w:p>
      <w:pPr>
        <w:spacing w:after="0" w:line="168"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2030 unless additional action is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taken by Congress. These Medicare sequester reductions will be suspended from May 1, 2020 through December 31, 2020 due to the COVID-19 pandemic.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p>
    <w:p>
      <w:pPr>
        <w:spacing w:after="0" w:line="161"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On May 11, 2018, President Trump laid out his administration’s “Blueprint” to lower drug prices and reduce out-of-pocket costs of prescription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solicited feedback on some of these measures and has implemented others under its existing authority. For example, in May 2019, CMS issued a final rule to allow Medicare Advantage plans the option to use step therapy for Part B drugs beginning January 1, 2020. This final rule codified CMS’s policy change that was effective January 1, 2019. Although some of these and other measures may require additional authorization through to become effective, Congress and the Trump administration have each indicated that it will continue to seek new legislative and/or administrative measures to control drug costs.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7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76"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79" w:lineRule="auto"/>
        <w:rPr>
          <w:sz w:val="20"/>
          <w:szCs w:val="20"/>
          <w:color w:val="auto"/>
        </w:rPr>
      </w:pPr>
      <w:r>
        <w:rPr>
          <w:rFonts w:ascii="Arial" w:cs="Arial" w:eastAsia="Arial" w:hAnsi="Arial"/>
          <w:sz w:val="17"/>
          <w:szCs w:val="17"/>
          <w:color w:val="auto"/>
        </w:rPr>
        <w:t>In markets outside of the United States, reimbursement and healthcare payment systems vary significantly by country, and many countries have instituted price ceilings on specific products and therapies. The price control regulations outside of the United States can have a significant impact on the profitability of a given market, and further uncertainty is introduced if and when these laws change. For example, in Canada, price control legislation for patented medicines is currently undergoing significant change that may have significant effects on profitability in Canada.</w:t>
      </w:r>
    </w:p>
    <w:p>
      <w:pPr>
        <w:spacing w:after="0" w:line="171"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or any other jurisdiction. It is possible that additional governmental action is taken to address the COVID-19 pandemic.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face potential liability if we obtain identifiable patient health information from clinical trials sponsored by us.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Most healthcare providers, including certain research institutions from which we may obtain patient health information, are subject to privacy and security regulations promulgated under HIPAA, as amended by the HITECH.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185" w:lineRule="exact"/>
        <w:rPr>
          <w:sz w:val="20"/>
          <w:szCs w:val="20"/>
          <w:color w:val="auto"/>
        </w:rPr>
      </w:pPr>
    </w:p>
    <w:p>
      <w:pPr>
        <w:ind w:right="60" w:firstLine="449"/>
        <w:spacing w:after="0" w:line="289" w:lineRule="auto"/>
        <w:rPr>
          <w:sz w:val="20"/>
          <w:szCs w:val="20"/>
          <w:color w:val="auto"/>
        </w:rPr>
      </w:pPr>
      <w:r>
        <w:rPr>
          <w:rFonts w:ascii="Arial" w:cs="Arial" w:eastAsia="Arial" w:hAnsi="Arial"/>
          <w:sz w:val="16"/>
          <w:szCs w:val="16"/>
          <w:color w:val="auto"/>
        </w:rPr>
        <w:t>The EU General Data Protection Regulation, or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European Union, referred to as Brexit, has created uncertainty with regard to data protection regulation in the United Kingdom. In particular, it is unclear how data transfers to and from the United Kingdom will be regulated now that the United Kingdom has left the European Union.</w:t>
      </w:r>
    </w:p>
    <w:p>
      <w:pPr>
        <w:spacing w:after="0" w:line="166"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459" w:right="3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70"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If we or third-party CMOs,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78"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Additionally, we are subject to state and foreign equivalents of each of the healthcare laws described above, among others, some of which may be broader in scope and may apply regardless of the payor.</w:t>
      </w:r>
    </w:p>
    <w:p>
      <w:pPr>
        <w:spacing w:after="0" w:line="278"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If we or our third-party manufacturers and suppliers fail to comply with environmental, health and safety laws and regulations, we could become subject to fines or penalties or incur costs that could have a material adverse effect on the success of our business.</w:t>
      </w:r>
    </w:p>
    <w:p>
      <w:pPr>
        <w:spacing w:after="0" w:line="38"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4"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320" w:top="459" w:right="3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60" w:right="140"/>
        <w:spacing w:after="0" w:line="286"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5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79"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contracted laboratories and third-party CROs, to conduct our preclinical studies and clinical trials in accordance with applicable regulatory requirements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 party contractors and CROs are required to comply with good laboratory practices, or GLPs, as applicable, and GCP requirements, which are regulations and guidelines enforced by the FDA and comparable foreign regulatory authorities for all of our products in clinical development.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459"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61" w:lineRule="exact"/>
        <w:rPr>
          <w:sz w:val="20"/>
          <w:szCs w:val="20"/>
          <w:color w:val="auto"/>
        </w:rPr>
      </w:pPr>
    </w:p>
    <w:p>
      <w:pPr>
        <w:ind w:right="260" w:firstLine="449"/>
        <w:spacing w:after="0" w:line="342" w:lineRule="auto"/>
        <w:rPr>
          <w:sz w:val="20"/>
          <w:szCs w:val="20"/>
          <w:color w:val="auto"/>
        </w:rPr>
      </w:pPr>
      <w:r>
        <w:rPr>
          <w:rFonts w:ascii="Arial" w:cs="Arial" w:eastAsia="Arial" w:hAnsi="Arial"/>
          <w:sz w:val="16"/>
          <w:szCs w:val="16"/>
          <w:color w:val="auto"/>
        </w:rPr>
        <w:t>Our CROs have the right to terminate their agreements with us in the event of an uncured material breach. In addition, some of our CROs have an ability to terminate their respective agreements with us if we make a general assignment for the benefit of our creditors or if we are liquidated.</w:t>
      </w:r>
    </w:p>
    <w:p>
      <w:pPr>
        <w:spacing w:after="0" w:line="124"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7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8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w:t>
      </w:r>
    </w:p>
    <w:p>
      <w:pPr>
        <w:spacing w:after="0" w:line="300" w:lineRule="exact"/>
        <w:rPr>
          <w:sz w:val="20"/>
          <w:szCs w:val="20"/>
          <w:color w:val="auto"/>
        </w:rPr>
      </w:pPr>
    </w:p>
    <w:p>
      <w:pPr>
        <w:ind w:left="460" w:right="20"/>
        <w:spacing w:after="0" w:line="301" w:lineRule="auto"/>
        <w:rPr>
          <w:sz w:val="20"/>
          <w:szCs w:val="20"/>
          <w:color w:val="auto"/>
        </w:rPr>
      </w:pPr>
      <w:r>
        <w:rPr>
          <w:rFonts w:ascii="Arial" w:cs="Arial" w:eastAsia="Arial" w:hAnsi="Arial"/>
          <w:sz w:val="16"/>
          <w:szCs w:val="16"/>
          <w:b w:val="1"/>
          <w:bCs w:val="1"/>
          <w:i w:val="1"/>
          <w:iCs w:val="1"/>
          <w:color w:val="auto"/>
        </w:rPr>
        <w:t>We rely on third parties to supply and manufacture our product candidates, and we expect to continue to rely on third parties to manufacture our products, if approved. The development of such product candidates and the commercialization of any products, if approved, could be stopped, delayed or made less profitable if any such third party fails to provide us with sufficient quantities of product candidates or products or fails to do so at acceptable quality levels or prices or fails to maintain or achieve satisfactory regulatory compliance.</w:t>
      </w:r>
    </w:p>
    <w:p>
      <w:pPr>
        <w:spacing w:after="0" w:line="49"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We do not currently have the infrastructure or capability internally to manufacture all our product candidates for use in the conduct of our preclinical studies and clinical trials or for commercial supply, if our products are approved. We rely on, and expect to continue to rely on, contract manufacturing organizations, or CMOs. Any replacement of our CMOs could require significant effort and expertise because there may be a limited number of qualified CMOs. This could be particularly problematic where we rely on a single-source supplier, as is currently the case for the manufacture of RP-3500. Reliance on third-party providers may expose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459" w:right="3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us to more risk than if we were to manufacture our product candidates ourselves. We are dependent on our CMOs for the production of our product candidates in accordance with relevant regulations, such as cGMP, which includes, among other things, quality control, quality assurance and the maintenance of records and documentation. Moreover, many of the third parties with whom we contract may also have relationships with other commercial entities, including our competitors, for whom they may also be conducting product development activities that could harm our competitive position.</w:t>
      </w:r>
    </w:p>
    <w:p>
      <w:pPr>
        <w:spacing w:after="0" w:line="157"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Our third-party manufacturers may be subject to damage or interruption from, among other things, fire, natural or man-made disaster, disease outbreaks or public health pandemics, power loss, telecommunications failure, unauthorized entry, computer viruses, denial-of-service attacks, acts of terrorism, human error, vandalism or sabotage, financial insolvency, bankruptcy and similar events. For example, in December 2019, COVID-19 was reported to have surfaced in Wuhan, China. The extent to which COVID-19 may impact our manufacturing and supply chain as well as our results will depend on future developments, which are highly uncertain and cannot be predicted, including new information which may emerge concerning the severity of COVID-19 and the actions to contain COVID-19 or treat its impact, among others.</w:t>
      </w:r>
    </w:p>
    <w:p>
      <w:pPr>
        <w:spacing w:after="0" w:line="178"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If we were to experience an unexpected loss of supply of or if any supplier were unable to meet our demand for any of our product candidates, we could experience delays in our research or planned clinical trials or commercialization. We could be unable to find alternative suppliers of acceptable quality, in the appropriate volumes who could meet our timelines at an acceptable cost. Moreover, our suppliers are often subject to strict manufacturing requirements and rigorous testing requirements, which could limit or delay production. The long transition periods necessary to switch manufacturers and suppliers, if necessary, could significantly delay our preclinical studies, our clinical trials and the commercialization of our products, if approved, which could materially adversely affect our business, financial condition and results of operation.</w:t>
      </w:r>
    </w:p>
    <w:p>
      <w:pPr>
        <w:spacing w:after="0" w:line="178"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complying with the applicable manufacturing regulations of the FDA and comparable foreign regulatory authorities, we and our third-party suppliers must spend significant time, money and effort in the areas of design and development, testing, production, record-keeping and quality control to assure that the products meet applicable specifications and other regulatory requirements. The failure to comply with these requirements could result in an enforcement action against us, including the seizure of products and shutting down of production. We and any of these third-party suppliers may also be subject to audits by the FDA and comparable foreign regulatory authorities. If any of our third-party suppliers fails to comply with cGMP or other applicable manufacturing regulations, our ability to develop and commercialize the products could suffer significant interruptions. We face risks inherent in relying on CMOs, as any disruption, such as a fire, natural hazards, vandalism or an outbreak of contagious disease affecting the CMO or any supplier of the CMO could significantly interrupt our manufacturing capability. In case of a disruption, we will have to establish alternative manufacturing sources. This would require substantial capital on our part, which we may not be able to obtain on commercially acceptable terms or at all. Additionally, we would likely experience months of manufacturing delays as the CMO builds or locates replacement facilities and seeks and obtains necessary regulatory approvals. If this occurs, we will be unable to satisfy manufacturing needs on a timely basis, if at all.</w:t>
      </w:r>
    </w:p>
    <w:p>
      <w:pPr>
        <w:spacing w:after="0" w:line="280" w:lineRule="exact"/>
        <w:rPr>
          <w:sz w:val="20"/>
          <w:szCs w:val="20"/>
          <w:color w:val="auto"/>
        </w:rPr>
      </w:pPr>
    </w:p>
    <w:p>
      <w:pPr>
        <w:ind w:left="460" w:right="920"/>
        <w:spacing w:after="0" w:line="277" w:lineRule="auto"/>
        <w:rPr>
          <w:sz w:val="20"/>
          <w:szCs w:val="20"/>
          <w:color w:val="auto"/>
        </w:rPr>
      </w:pPr>
      <w:r>
        <w:rPr>
          <w:rFonts w:ascii="Arial" w:cs="Arial" w:eastAsia="Arial" w:hAnsi="Arial"/>
          <w:sz w:val="18"/>
          <w:szCs w:val="18"/>
          <w:b w:val="1"/>
          <w:bCs w:val="1"/>
          <w:i w:val="1"/>
          <w:iCs w:val="1"/>
          <w:color w:val="auto"/>
        </w:rPr>
        <w:t>Our current and future collaborations will be important to our business. If we are unable to enter into new collaborations, or if these collaborations are not successful, our business could be adversely affected.</w:t>
      </w:r>
    </w:p>
    <w:p>
      <w:pPr>
        <w:spacing w:after="0" w:line="62"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A part of our strategy is to strategically evaluate and, as deemed appropriate, enter into partnerships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320" w:top="459" w:right="3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of intellectual property rights held by third parties, and the growth of our business may depend in part on our ability to acquire or in-license these intellectual property rights.</w:t>
      </w:r>
    </w:p>
    <w:p>
      <w:pPr>
        <w:spacing w:after="0" w:line="170"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For example, we are currently party to a collaboration agreement with Ono Pharmaceutical Co., or Ono, pursuant to which we and Ono have agreed to collaborate in the research of potential product candidates targeting Polq and the development of our small molecule Polq inhibitor program. Similarly, in May 2020, we entered into a collaboration and license agreement with Bristol Myers Squibb pursuant to which we and Bristol Myers Squibb have agreed to collaborate in the research and development of potential new product candidates for the treatment of cancer. These and any future collaborations we enter into may pose a number of risks, including, but not limited to, the following:</w:t>
      </w:r>
    </w:p>
    <w:p>
      <w:pPr>
        <w:spacing w:after="0" w:line="82" w:lineRule="exact"/>
        <w:rPr>
          <w:sz w:val="20"/>
          <w:szCs w:val="20"/>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30" w:lineRule="exact"/>
        <w:rPr>
          <w:rFonts w:ascii="Arial" w:cs="Arial" w:eastAsia="Arial" w:hAnsi="Arial"/>
          <w:sz w:val="18"/>
          <w:szCs w:val="18"/>
          <w:color w:val="auto"/>
        </w:rPr>
      </w:pPr>
    </w:p>
    <w:p>
      <w:pPr>
        <w:ind w:left="1000" w:hanging="547"/>
        <w:spacing w:after="0" w:line="259"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92" w:lineRule="exact"/>
        <w:rPr>
          <w:rFonts w:ascii="Arial" w:cs="Arial" w:eastAsia="Arial" w:hAnsi="Arial"/>
          <w:sz w:val="18"/>
          <w:szCs w:val="18"/>
          <w:color w:val="auto"/>
        </w:rPr>
      </w:pPr>
    </w:p>
    <w:p>
      <w:pPr>
        <w:ind w:left="1000" w:right="480" w:hanging="547"/>
        <w:spacing w:after="0" w:line="308" w:lineRule="auto"/>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1" w:lineRule="exact"/>
        <w:rPr>
          <w:rFonts w:ascii="Arial" w:cs="Arial" w:eastAsia="Arial" w:hAnsi="Arial"/>
          <w:sz w:val="17"/>
          <w:szCs w:val="17"/>
          <w:color w:val="auto"/>
        </w:rPr>
      </w:pPr>
    </w:p>
    <w:p>
      <w:pPr>
        <w:ind w:left="1000" w:right="220" w:hanging="547"/>
        <w:spacing w:after="0" w:line="263"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89" w:lineRule="exact"/>
        <w:rPr>
          <w:rFonts w:ascii="Arial" w:cs="Arial" w:eastAsia="Arial" w:hAnsi="Arial"/>
          <w:sz w:val="18"/>
          <w:szCs w:val="18"/>
          <w:color w:val="auto"/>
        </w:rPr>
      </w:pPr>
    </w:p>
    <w:p>
      <w:pPr>
        <w:ind w:left="1000" w:right="100" w:hanging="547"/>
        <w:spacing w:after="0" w:line="342"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29" w:lineRule="exact"/>
        <w:rPr>
          <w:rFonts w:ascii="Arial" w:cs="Arial" w:eastAsia="Arial" w:hAnsi="Arial"/>
          <w:sz w:val="16"/>
          <w:szCs w:val="16"/>
          <w:color w:val="auto"/>
        </w:rPr>
      </w:pPr>
    </w:p>
    <w:p>
      <w:pPr>
        <w:ind w:left="1000" w:right="12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fail to comply with applicable regulatory requirements regarding the development, manufacture, distribution or marketing of a product candidate or product;</w:t>
      </w:r>
    </w:p>
    <w:p>
      <w:pPr>
        <w:spacing w:after="0" w:line="75" w:lineRule="exact"/>
        <w:rPr>
          <w:rFonts w:ascii="Arial" w:cs="Arial" w:eastAsia="Arial" w:hAnsi="Arial"/>
          <w:sz w:val="18"/>
          <w:szCs w:val="18"/>
          <w:color w:val="auto"/>
        </w:rPr>
      </w:pPr>
    </w:p>
    <w:p>
      <w:pPr>
        <w:ind w:left="1000" w:right="54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75" w:lineRule="exact"/>
        <w:rPr>
          <w:rFonts w:ascii="Arial" w:cs="Arial" w:eastAsia="Arial" w:hAnsi="Arial"/>
          <w:sz w:val="18"/>
          <w:szCs w:val="18"/>
          <w:color w:val="auto"/>
        </w:rPr>
      </w:pPr>
    </w:p>
    <w:p>
      <w:pPr>
        <w:ind w:left="1000" w:right="240" w:hanging="547"/>
        <w:spacing w:after="0" w:line="259"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92" w:lineRule="exact"/>
        <w:rPr>
          <w:rFonts w:ascii="Arial" w:cs="Arial" w:eastAsia="Arial" w:hAnsi="Arial"/>
          <w:sz w:val="18"/>
          <w:szCs w:val="18"/>
          <w:color w:val="auto"/>
        </w:rPr>
      </w:pPr>
    </w:p>
    <w:p>
      <w:pPr>
        <w:ind w:left="1000" w:right="100" w:hanging="547"/>
        <w:spacing w:after="0" w:line="342"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30" w:lineRule="exact"/>
        <w:rPr>
          <w:rFonts w:ascii="Arial" w:cs="Arial" w:eastAsia="Arial" w:hAnsi="Arial"/>
          <w:sz w:val="18"/>
          <w:szCs w:val="18"/>
          <w:color w:val="auto"/>
        </w:rPr>
      </w:pPr>
    </w:p>
    <w:p>
      <w:pPr>
        <w:ind w:left="1000" w:right="76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75" w:lineRule="exact"/>
        <w:rPr>
          <w:rFonts w:ascii="Arial" w:cs="Arial" w:eastAsia="Arial" w:hAnsi="Arial"/>
          <w:sz w:val="18"/>
          <w:szCs w:val="18"/>
          <w:color w:val="auto"/>
        </w:rPr>
      </w:pPr>
    </w:p>
    <w:p>
      <w:pPr>
        <w:ind w:left="1000" w:right="36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Moreover, we may not receive all of the milestone or royalty payments we are entitled to receive under our current and future collaboration agreements. For example, pursuant to the terms of our collaboration and license agreement with Bristol Myers Squibb, we are entitled to receive up to $301 million in total milestones per each program subject to the agreement. However, given the overlapping nature of the triggers for these milestone payments, as well as the uncertainty associated with achieving any of such milestones, it is unlikely that we will receive the entire $301 million in milestone payments with respect to each program subject to the agreement. See “Business—Collaborations and License Agreements.”</w:t>
      </w:r>
    </w:p>
    <w:p>
      <w:pPr>
        <w:spacing w:after="0" w:line="166"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All of the risks relating to product development, regulatory approval and commercialization described in this prospectus also apply to the activities of our therapeutic collaborators. Additionally, if one of our collaborators terminates its agreement with us, we may find it more difficult to attract new collaborators and our perception in the business and financial communities could be adversely affected.</w:t>
      </w:r>
    </w:p>
    <w:p>
      <w:pPr>
        <w:spacing w:after="0" w:line="184"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We face significant competition in seeking appropriate collaborative partners. Our ability to reach a definitive agreement for a partnership will depend, among other things, upon an assessment of the collaborator’s resources and expertise, the terms and conditions of the proposed partnership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partnership could be more attractive than the one with us.</w:t>
      </w:r>
    </w:p>
    <w:p>
      <w:pPr>
        <w:spacing w:after="0" w:line="178"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460" w:right="20"/>
        <w:spacing w:after="0" w:line="263" w:lineRule="auto"/>
        <w:rPr>
          <w:sz w:val="20"/>
          <w:szCs w:val="20"/>
          <w:color w:val="auto"/>
        </w:rPr>
      </w:pPr>
      <w:r>
        <w:rPr>
          <w:rFonts w:ascii="Arial" w:cs="Arial" w:eastAsia="Arial" w:hAnsi="Arial"/>
          <w:sz w:val="18"/>
          <w:szCs w:val="18"/>
          <w:b w:val="1"/>
          <w:bCs w:val="1"/>
          <w:i w:val="1"/>
          <w:iCs w:val="1"/>
          <w:color w:val="auto"/>
        </w:rPr>
        <w:t>Our success depends in part on our ability to obtain intellectual property rights for our proprietary technologies and product candidates, as well as our ability to protect our intellectual property. It is difficult and costly to protect our proprietary rights and technology, and we may not be able to ensure their protection.</w:t>
      </w:r>
    </w:p>
    <w:p>
      <w:pPr>
        <w:spacing w:after="0" w:line="184"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Our commercial success will depend in large part on obtaining and maintaining patent, trademark and trade secret protection of our proprietary technologies and our product candidates, their respective components,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similar or identical to ours, and our ability to commercialize any product candidates we may develop may be adversely affected. Moreover, we may not be able to obtain intellectual property protection with respect to the SL pairs that we identify which are the targets of our current and future product candidates. Although we expect that the compounds underlying our product candidates will be protectable through intellectual property rights, our competitors could develop their own inhibitors based on the SL pairs we identify that might not be protected by our intellectual property rights.</w:t>
      </w:r>
    </w:p>
    <w:p>
      <w:pPr>
        <w:spacing w:after="0" w:line="15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176"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178"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Since patent applications in the United States and most other countries are confidential for a period of time after filing, we cannot be certain that we were the first to file any patent application related to our product candidates. Furthermore, for United States applications in which all claims are entitled to a priority date before March 16, 2013, an interference proceeding can be provoked by a third-party or instituted by the United States patent office, or USPTO, to determine who was the first to invent any of the subject matter covered by the patent claims of our applications.</w:t>
      </w:r>
    </w:p>
    <w:p>
      <w:pPr>
        <w:spacing w:after="0" w:line="171"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182" w:lineRule="exact"/>
        <w:rPr>
          <w:sz w:val="20"/>
          <w:szCs w:val="20"/>
          <w:color w:val="auto"/>
        </w:rPr>
      </w:pPr>
    </w:p>
    <w:p>
      <w:pPr>
        <w:jc w:val="both"/>
        <w:ind w:right="220" w:firstLine="449"/>
        <w:spacing w:after="0" w:line="286" w:lineRule="auto"/>
        <w:rPr>
          <w:sz w:val="20"/>
          <w:szCs w:val="20"/>
          <w:color w:val="auto"/>
        </w:rPr>
      </w:pPr>
      <w:r>
        <w:rPr>
          <w:rFonts w:ascii="Arial" w:cs="Arial" w:eastAsia="Arial" w:hAnsi="Arial"/>
          <w:sz w:val="17"/>
          <w:szCs w:val="17"/>
          <w:color w:val="auto"/>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“first-to-file” system, assuming the other requirements for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96"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76" w:lineRule="exact"/>
        <w:rPr>
          <w:sz w:val="20"/>
          <w:szCs w:val="20"/>
          <w:color w:val="auto"/>
        </w:rPr>
      </w:pPr>
    </w:p>
    <w:p>
      <w:pPr>
        <w:ind w:left="1000" w:right="26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be able to make or use compounds or cells that are similar to the biological compositions of our product candidates but that are not covered by the claims of our patents;</w:t>
      </w:r>
    </w:p>
    <w:p>
      <w:pPr>
        <w:spacing w:after="0" w:line="75"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75"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products or technology similar to ours;</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42" w:lineRule="exact"/>
        <w:rPr>
          <w:rFonts w:ascii="Arial" w:cs="Arial" w:eastAsia="Arial" w:hAnsi="Arial"/>
          <w:sz w:val="17"/>
          <w:szCs w:val="17"/>
          <w:color w:val="auto"/>
        </w:rPr>
      </w:pPr>
    </w:p>
    <w:p>
      <w:pPr>
        <w:ind w:left="1000" w:right="2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75" w:lineRule="exact"/>
        <w:rPr>
          <w:rFonts w:ascii="Arial" w:cs="Arial" w:eastAsia="Arial" w:hAnsi="Arial"/>
          <w:sz w:val="18"/>
          <w:szCs w:val="18"/>
          <w:color w:val="auto"/>
        </w:rPr>
      </w:pPr>
    </w:p>
    <w:p>
      <w:pPr>
        <w:jc w:val="both"/>
        <w:ind w:left="1000" w:right="700" w:hanging="547"/>
        <w:spacing w:after="0" w:line="26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89" w:lineRule="exact"/>
        <w:rPr>
          <w:rFonts w:ascii="Arial" w:cs="Arial" w:eastAsia="Arial" w:hAnsi="Arial"/>
          <w:sz w:val="18"/>
          <w:szCs w:val="18"/>
          <w:color w:val="auto"/>
        </w:rPr>
      </w:pPr>
    </w:p>
    <w:p>
      <w:pPr>
        <w:ind w:left="1000" w:right="300" w:hanging="547"/>
        <w:spacing w:after="0" w:line="26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2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333" w:lineRule="exact"/>
        <w:rPr>
          <w:sz w:val="20"/>
          <w:szCs w:val="20"/>
          <w:color w:val="auto"/>
        </w:rPr>
      </w:pPr>
    </w:p>
    <w:p>
      <w:pPr>
        <w:jc w:val="both"/>
        <w:ind w:left="460" w:right="1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applications will have to be paid to the USPTO and various government patent agencies outside of the United States over the lifetime of our owned patents and/or applications and any patent rights we may own or license in the future. We rely on our outside counsel to pay these fees due to non-U.S. patent agencies. The USPTO and various non-U.S. government patent agencies require compliance with several procedural, documentary, fee payment and other similar provisions during the patent application process. We employ reputable law firms and other professionals to help us comply.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technologies, we may not be able to stop a competitor from marketing products that are the same as or similar to our product candidates, which would have a material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rely in part on trade secrets to protect our technology, and our failure to obtain or maintain trade secret protection could harm our business.</w:t>
      </w:r>
    </w:p>
    <w:p>
      <w:pPr>
        <w:spacing w:after="0" w:line="152" w:lineRule="exact"/>
        <w:rPr>
          <w:sz w:val="20"/>
          <w:szCs w:val="20"/>
          <w:color w:val="auto"/>
        </w:rPr>
      </w:pPr>
    </w:p>
    <w:p>
      <w:pPr>
        <w:ind w:right="280" w:firstLine="449"/>
        <w:spacing w:after="0" w:line="257" w:lineRule="auto"/>
        <w:rPr>
          <w:sz w:val="20"/>
          <w:szCs w:val="20"/>
          <w:color w:val="auto"/>
        </w:rPr>
      </w:pPr>
      <w:r>
        <w:rPr>
          <w:rFonts w:ascii="Arial" w:cs="Arial" w:eastAsia="Arial" w:hAnsi="Arial"/>
          <w:sz w:val="18"/>
          <w:szCs w:val="18"/>
          <w:color w:val="auto"/>
        </w:rPr>
        <w:t>We rely on trade secrets to protect some of our technology and proprietary information, especially where we believe patent protection is not appropriate or obtainable as is the case for our SNIPRx platform. However, trade secrets are difficult to protect. Litigating a claim that a third party had illegally obtained and was using our trade secrets would be expensive and time consuming, and the outcome would be unpredictable. Moreover, if our competitors independently develop similar knowledge, methods and know-how, it will be difficult for us to enforce our rights and our business could be harmed.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29"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We 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However, the applicable authorities, including the FDA and the USPTO in the United States, and any equivalent regulatory authority in other countries, may not agree with our assessment of whether such extensions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drug earlier than might otherwise be the case.</w:t>
      </w:r>
    </w:p>
    <w:p>
      <w:pPr>
        <w:spacing w:after="0" w:line="184"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Patent term extensions in other countries may also be subject to certain procedural or administrative requirements including adherence to certain strict timelines. A failure to meet such requirements may result in a loss of the extension in those countries.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w:t>
      </w:r>
    </w:p>
    <w:p>
      <w:pPr>
        <w:spacing w:after="0" w:line="117"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The following examples are illustrative:</w:t>
      </w:r>
    </w:p>
    <w:p>
      <w:pPr>
        <w:spacing w:after="0" w:line="76" w:lineRule="exact"/>
        <w:rPr>
          <w:sz w:val="20"/>
          <w:szCs w:val="20"/>
          <w:color w:val="auto"/>
        </w:rPr>
      </w:pPr>
    </w:p>
    <w:p>
      <w:pPr>
        <w:ind w:left="1000" w:right="28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be able to make compounds or formulations that are similar to our product candidates but that are not covered by the claims of any patents, should they issue, that we own or control;</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any strategic partners might not have been the first to make the inventions covered by the issued patents or pending patent applications that we own or control;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30"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issued patents that we own or control may not provide us with any competitive advantages, or may be held invalid or unenforceable as a result of legal challenges;</w:t>
      </w:r>
    </w:p>
    <w:p>
      <w:pPr>
        <w:spacing w:after="0" w:line="75" w:lineRule="exact"/>
        <w:rPr>
          <w:rFonts w:ascii="Arial" w:cs="Arial" w:eastAsia="Arial" w:hAnsi="Arial"/>
          <w:sz w:val="18"/>
          <w:szCs w:val="18"/>
          <w:color w:val="auto"/>
        </w:rPr>
      </w:pPr>
    </w:p>
    <w:p>
      <w:pPr>
        <w:ind w:left="1000" w:right="240" w:hanging="547"/>
        <w:spacing w:after="0" w:line="311" w:lineRule="auto"/>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drugs for sale in our major commercial markets;</w:t>
      </w:r>
    </w:p>
    <w:p>
      <w:pPr>
        <w:spacing w:after="0" w:line="54" w:lineRule="exact"/>
        <w:rPr>
          <w:rFonts w:ascii="Arial" w:cs="Arial" w:eastAsia="Arial" w:hAnsi="Arial"/>
          <w:sz w:val="16"/>
          <w:szCs w:val="16"/>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6" w:lineRule="exact"/>
        <w:rPr>
          <w:sz w:val="20"/>
          <w:szCs w:val="20"/>
          <w:color w:val="auto"/>
        </w:rPr>
      </w:pPr>
    </w:p>
    <w:p>
      <w:pPr>
        <w:ind w:left="460" w:right="6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rights, which could be expensive, time consuming and unsuccessful.</w:t>
      </w:r>
    </w:p>
    <w:p>
      <w:pPr>
        <w:spacing w:after="0" w:line="6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Competitors may infringe our issued patents, future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trademarks, copyrights or other intellectual property. In addition, in a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45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party against whom we have asserted trademark infringement has superior rights to the marks in question. In this case, we could ultimately be forced to cease use of such trademarks.</w:t>
      </w:r>
    </w:p>
    <w:p>
      <w:pPr>
        <w:spacing w:after="0" w:line="170"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shares. Moreover, there can be no assurance that we will have sufficient financial or other resources to file and pursue such infringement claims, which typically last for years before they are concluded. Some of our competitors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w:t>
      </w:r>
    </w:p>
    <w:p>
      <w:pPr>
        <w:spacing w:after="0" w:line="280"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62" w:lineRule="exact"/>
        <w:rPr>
          <w:sz w:val="20"/>
          <w:szCs w:val="20"/>
          <w:color w:val="auto"/>
        </w:rPr>
      </w:pPr>
    </w:p>
    <w:p>
      <w:pPr>
        <w:ind w:firstLine="449"/>
        <w:spacing w:after="0" w:line="267" w:lineRule="auto"/>
        <w:rPr>
          <w:sz w:val="20"/>
          <w:szCs w:val="20"/>
          <w:color w:val="auto"/>
        </w:rPr>
      </w:pPr>
      <w:r>
        <w:rPr>
          <w:rFonts w:ascii="Arial" w:cs="Arial" w:eastAsia="Arial" w:hAnsi="Arial"/>
          <w:sz w:val="17"/>
          <w:szCs w:val="17"/>
          <w:color w:val="auto"/>
        </w:rPr>
        <w:t>Our commercial success depends, in part, upon our ability and the ability of future collaborators, if any, to develop, manufacture, market and sell our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interference proceedings, post grant review and inter partes review before the USPTO or equivalent foreign regulatory authority.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Foreign courts will have similar burdens to overcome in order to successfully challenge a third party claim of patent infringement.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62"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296"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b w:val="1"/>
          <w:bCs w:val="1"/>
          <w:i w:val="1"/>
          <w:iCs w:val="1"/>
          <w:color w:val="auto"/>
        </w:rPr>
        <w:t>We depend on intellectual property licensed from a third party and termination of this license could result in the loss of significant rights, which would harm our business.</w:t>
      </w:r>
    </w:p>
    <w:p>
      <w:pPr>
        <w:spacing w:after="0" w:line="62"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We are dependent on patents, know-how and proprietary technology, both our own and licensed from others. In particular, we are dependent on our license agreement with New York University. Any termination of this license could result in the loss of significant rights and could harm our ability to commercialize our product candidates. See “Business—License and Collaboration Agreements” for additional information.</w:t>
      </w:r>
    </w:p>
    <w:p>
      <w:pPr>
        <w:spacing w:after="0" w:line="165"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Disputes may also arise between us and our current licensor or future licensors regarding intellectual property subject to a license agreement, including:</w:t>
      </w:r>
    </w:p>
    <w:p>
      <w:pPr>
        <w:spacing w:after="0" w:line="76" w:lineRule="exact"/>
        <w:rPr>
          <w:sz w:val="20"/>
          <w:szCs w:val="20"/>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00" w:right="40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70"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or future licensing arrangements on acceptable terms, we may be unable to successfully develop and commercialize the affected product candidates.</w:t>
      </w:r>
    </w:p>
    <w:p>
      <w:pPr>
        <w:spacing w:after="0" w:line="170"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If we, New York University or any future licensors fail to adequately protect any licensed intellectual property, our ability to commercialize products could suffer.</w:t>
      </w:r>
    </w:p>
    <w:p>
      <w:pPr>
        <w:spacing w:after="0" w:line="292"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8"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80"/>
          </w:cols>
          <w:pgMar w:left="320" w:top="459" w:right="3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7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74"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future product candidates.</w:t>
      </w:r>
    </w:p>
    <w:p>
      <w:pPr>
        <w:spacing w:after="0" w:line="62"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The United States has recently enacted and implemented wide 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have licensed or that we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 which could negatively impact our business.</w:t>
      </w:r>
    </w:p>
    <w:p>
      <w:pPr>
        <w:spacing w:after="0" w:line="129" w:lineRule="exact"/>
        <w:rPr>
          <w:sz w:val="20"/>
          <w:szCs w:val="20"/>
          <w:color w:val="auto"/>
        </w:rPr>
      </w:pPr>
    </w:p>
    <w:p>
      <w:pPr>
        <w:ind w:right="180" w:firstLine="449"/>
        <w:spacing w:after="0" w:line="293"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w:t>
      </w:r>
    </w:p>
    <w:p>
      <w:pPr>
        <w:spacing w:after="0" w:line="164"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efforts to enforce our intellectual property rights around the world may be inadequate to obtain a significant commercial advantage from the intellectual property that we develop or license.</w:t>
      </w:r>
    </w:p>
    <w:p>
      <w:pPr>
        <w:spacing w:after="0" w:line="278" w:lineRule="exact"/>
        <w:rPr>
          <w:sz w:val="20"/>
          <w:szCs w:val="20"/>
          <w:color w:val="auto"/>
        </w:rPr>
      </w:pPr>
    </w:p>
    <w:p>
      <w:pPr>
        <w:ind w:left="460" w:right="80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proprietary information, which increases the possibility that such information will be misappropriated or disclosed.</w:t>
      </w:r>
    </w:p>
    <w:p>
      <w:pPr>
        <w:spacing w:after="0" w:line="62" w:lineRule="exact"/>
        <w:rPr>
          <w:sz w:val="20"/>
          <w:szCs w:val="20"/>
          <w:color w:val="auto"/>
        </w:rPr>
      </w:pPr>
    </w:p>
    <w:p>
      <w:pPr>
        <w:ind w:right="160" w:firstLine="449"/>
        <w:spacing w:after="0" w:line="270" w:lineRule="auto"/>
        <w:rPr>
          <w:sz w:val="20"/>
          <w:szCs w:val="20"/>
          <w:color w:val="auto"/>
        </w:rPr>
      </w:pPr>
      <w:r>
        <w:rPr>
          <w:rFonts w:ascii="Arial" w:cs="Arial" w:eastAsia="Arial" w:hAnsi="Arial"/>
          <w:sz w:val="17"/>
          <w:szCs w:val="17"/>
          <w:color w:val="auto"/>
        </w:rPr>
        <w:t>Because we rely on third parties to develop and manufacture our product candidates, or if we collaborate with third parties for the development or commercialization of our future product candidates, we must, at times, share proprietary information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confidential information increases the risk that such information become known by our competitors, is inadvertently incorporated into the technology of others, or is disclosed or used in violation of these agreements. Given that our proprietary position is based, in part, on our know-how, a competitor’s discovery of our know-how or other unauthorized use or disclosure could have an adverse effect on our business and results of operations.</w:t>
      </w:r>
    </w:p>
    <w:p>
      <w:pPr>
        <w:spacing w:after="0" w:line="181"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In addition, these agreements typically restrict the ability of our advisors, employees, third-party contractors and consultants to publish data potentially relating to our know-how. Despite our efforts to protect our know-how, we may not be able to prevent the unauthorized disclosure or use of our technical know-how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third-party illegally obtained and is using our proprietary information, like patent litigation, is expensive and time consuming, and the outcome is unpredictable. In addition, courts outside the United States are sometimes less willing to protect proprietary information.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expect to rely on trademarks as one means to distinguish any of our product candidates that are approved for marketing from the products of our competitors. While we have registered a trademark for our SNIPRx platform, we have not yet selected trademarks for RP-3500 and have not yet begun the process of applying to register trademarks for RP-3500 or any other product candidate.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95" w:lineRule="exact"/>
        <w:rPr>
          <w:sz w:val="20"/>
          <w:szCs w:val="20"/>
          <w:color w:val="auto"/>
        </w:rPr>
      </w:pPr>
    </w:p>
    <w:p>
      <w:pPr>
        <w:ind w:right="400" w:firstLine="449"/>
        <w:spacing w:after="0" w:line="279" w:lineRule="auto"/>
        <w:rPr>
          <w:sz w:val="20"/>
          <w:szCs w:val="20"/>
          <w:color w:val="auto"/>
        </w:rPr>
      </w:pPr>
      <w:r>
        <w:rPr>
          <w:rFonts w:ascii="Arial" w:cs="Arial" w:eastAsia="Arial" w:hAnsi="Arial"/>
          <w:sz w:val="17"/>
          <w:szCs w:val="17"/>
          <w:color w:val="auto"/>
        </w:rPr>
        <w:t>In addition, any proprietary name we propose to use with RP-3500 or any future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proprietary product name that would qualify under applicable trademark laws, not infringe the existing rights of third parties and be acceptable to the FDA. Comparable foreign regulators may have similar requirements, and it is possible that different proprietary or non-proprietary names may be required in different jurisdictions.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If we are unable to protect the confidentiality of our proprietary information, our business and competitive position would be harmed.</w:t>
      </w:r>
    </w:p>
    <w:p>
      <w:pPr>
        <w:spacing w:after="0" w:line="12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addition to seeking patent and trademark protection for our product candidate, we also rely on unpatented know-how, technology and other proprietary information, to maintain our competitive position. 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unwilling to protect trade secrets.</w:t>
      </w:r>
    </w:p>
    <w:p>
      <w:pPr>
        <w:spacing w:after="0" w:line="181"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p>
    <w:p>
      <w:pPr>
        <w:spacing w:after="0" w:line="161"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spacing w:after="0" w:line="303" w:lineRule="exact"/>
        <w:rPr>
          <w:sz w:val="20"/>
          <w:szCs w:val="20"/>
          <w:color w:val="auto"/>
        </w:rPr>
      </w:pPr>
    </w:p>
    <w:p>
      <w:pPr>
        <w:ind w:left="460" w:right="160"/>
        <w:spacing w:after="0" w:line="308" w:lineRule="auto"/>
        <w:rPr>
          <w:sz w:val="20"/>
          <w:szCs w:val="20"/>
          <w:color w:val="auto"/>
        </w:rPr>
      </w:pPr>
      <w:r>
        <w:rPr>
          <w:rFonts w:ascii="Arial" w:cs="Arial" w:eastAsia="Arial" w:hAnsi="Arial"/>
          <w:sz w:val="17"/>
          <w:szCs w:val="17"/>
          <w:b w:val="1"/>
          <w:bCs w:val="1"/>
          <w:i w:val="1"/>
          <w:iCs w:val="1"/>
          <w:color w:val="auto"/>
        </w:rPr>
        <w:t>If we do not obtain patent term extension for patents covering our product candidates, our business may be materially harmed, and in any case, the terms of our patents may not be sufficient to effectively protect our product candidates and business.</w:t>
      </w:r>
    </w:p>
    <w:p>
      <w:pPr>
        <w:spacing w:after="0" w:line="146" w:lineRule="exact"/>
        <w:rPr>
          <w:sz w:val="20"/>
          <w:szCs w:val="20"/>
          <w:color w:val="auto"/>
        </w:rPr>
      </w:pPr>
    </w:p>
    <w:p>
      <w:pPr>
        <w:ind w:right="360" w:firstLine="449"/>
        <w:spacing w:after="0" w:line="301" w:lineRule="auto"/>
        <w:rPr>
          <w:sz w:val="20"/>
          <w:szCs w:val="20"/>
          <w:color w:val="auto"/>
        </w:rPr>
      </w:pPr>
      <w:r>
        <w:rPr>
          <w:rFonts w:ascii="Arial" w:cs="Arial" w:eastAsia="Arial" w:hAnsi="Arial"/>
          <w:sz w:val="16"/>
          <w:szCs w:val="16"/>
          <w:color w:val="auto"/>
        </w:rPr>
        <w:t>Patents have a limited term. In most countries, including the United States, the expiration of a patent is generally 20 years after its first effective non-provisional filing date. However, depending upon the timing, duration and specifics of FDA marketing approval of RP-3500, our other product candidates or any future product candidates, one or more of any U.S. patents we may be issued or have licensed may be eligible for limited patent term restoration under the Drug Price Competition and Patent Term Restoration Act of 1984, also known as the Hatch-Waxman Amendments.</w:t>
      </w:r>
    </w:p>
    <w:p>
      <w:pPr>
        <w:spacing w:after="0" w:line="15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Hatch-Waxman Amendments permit a patent restoration term of up to five years as compensation for patent term lost during product development and the FDA regulatory review process. The Hatch-Waxman Act allows a maximum of one patent to be extended per FDA-approved product as compensation for the patent term</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competitive position, business, financial condition, results of operations, and prospects could be harmed, possibly materially.</w:t>
      </w:r>
    </w:p>
    <w:p>
      <w:pPr>
        <w:spacing w:after="0" w:line="178"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If there are delays in obtaining regulatory approvals or other additional delays, the period of time during which we can market our product candidates under patent protection could be further reduced. Given the amount of time required for the development, testing and regulatory review of new product candidates, patents protecting such product candidates might expire before or shortly after such product candidates are commercialized. Once the patent term has expired, we may be open to competition from similar or generic products. The launch of a generic version of one of our products in particular would be likely to result in an immediate and substantial reduction in the demand for that product, which could have a material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Employee Matters and Managing Growth</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We are highly dependent on our management team, including Lloyd Segal, our President and Chief Executive Officer, Michael Zinda, Ph.D., our Chief Scientific Officer, and Maria Koehler, M.D., Ph.D., our Chief Medical Officer. Each of them may currently terminate their employment with us at any time and will continue to be able to do so after the closing of this offering. The loss of the services of any of these persons could impede the achievement of our research, development and commercialization objectives. We do not currently maintain “key person” life insurance on the lives of our executives or any of our employees.</w:t>
      </w:r>
    </w:p>
    <w:p>
      <w:pPr>
        <w:spacing w:after="0" w:line="188"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expect to expand our organization, and we may experience difficulties in managing this growth, which could disrupt our operations.</w:t>
      </w:r>
    </w:p>
    <w:p>
      <w:pPr>
        <w:spacing w:after="0" w:line="140"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As of March 31, 2020, we had 64 full-time employees, including 53 employees engaged in research and development. As our clinical development and commercialization plans and strategies develop, and as we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transition into operating as a public company, we expect we will need additional managerial, operational, sales, marketing, financial, legal and other personnel. Future growth would impose significant added responsibilities on members of management, including:</w:t>
      </w:r>
    </w:p>
    <w:p>
      <w:pPr>
        <w:spacing w:after="0" w:line="76" w:lineRule="exact"/>
        <w:rPr>
          <w:sz w:val="20"/>
          <w:szCs w:val="20"/>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managing our development efforts effectively, including the planned Phase 1 clinical trial of RP-3500, while complying with our contractual obligations to contractors and other third parties;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4"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The services include substantially all aspects of clinical trial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preclinical studies or clinical trials may be extended, delayed or terminated, and we may not be able to obtain marketing approval of our product candidates or otherwise advance our business. We cannot assure you that we will be able to manage our existing consultants or find other competent outside contractors and consultants on economically reasonable terms, or at all.</w:t>
      </w:r>
    </w:p>
    <w:p>
      <w:pPr>
        <w:spacing w:after="0" w:line="166"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If we are not able to effectively expand our organization by hiring qualified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292" w:lineRule="exact"/>
        <w:rPr>
          <w:sz w:val="20"/>
          <w:szCs w:val="20"/>
          <w:color w:val="auto"/>
        </w:rPr>
      </w:pPr>
    </w:p>
    <w:p>
      <w:pPr>
        <w:ind w:left="460" w:right="400"/>
        <w:spacing w:after="0" w:line="342" w:lineRule="auto"/>
        <w:rPr>
          <w:sz w:val="20"/>
          <w:szCs w:val="20"/>
          <w:color w:val="auto"/>
        </w:rPr>
      </w:pPr>
      <w:r>
        <w:rPr>
          <w:rFonts w:ascii="Arial" w:cs="Arial" w:eastAsia="Arial" w:hAnsi="Arial"/>
          <w:sz w:val="16"/>
          <w:szCs w:val="16"/>
          <w:b w:val="1"/>
          <w:bCs w:val="1"/>
          <w:i w:val="1"/>
          <w:iCs w:val="1"/>
          <w:color w:val="auto"/>
        </w:rPr>
        <w:t>Our internal computer systems, or those of our collaborators or other contractors or consultants, may fail or suffer security breaches, which could result in a significant disruption of our product development programs and our ability to operate our business effectively.</w:t>
      </w:r>
    </w:p>
    <w:p>
      <w:pPr>
        <w:spacing w:after="0" w:line="16"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w:t>
      </w:r>
    </w:p>
    <w:p>
      <w:pPr>
        <w:spacing w:after="0" w:line="192"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While we have not experienced any significant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by us or our CROs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federal and/or state breach notification laws and foreign law equivalents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459" w:right="3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and otherwise subject us to liability under laws and regulations that protect the privacy and security of personal information. Security breaches and other inappropriate access can be difficult to detect, and any delay in identifying them may lead to increased harm of the type described above. While we have implemented security measures to protect our information technology systems and infrastructure, such measures may not prevent service interruptions or security breaches that could adversely affect our business and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280" w:firstLine="449"/>
        <w:spacing w:after="0" w:line="273" w:lineRule="auto"/>
        <w:rPr>
          <w:sz w:val="20"/>
          <w:szCs w:val="20"/>
          <w:color w:val="auto"/>
        </w:rPr>
      </w:pPr>
      <w:r>
        <w:rPr>
          <w:rFonts w:ascii="Arial" w:cs="Arial" w:eastAsia="Arial" w:hAnsi="Arial"/>
          <w:sz w:val="17"/>
          <w:szCs w:val="17"/>
          <w:color w:val="auto"/>
        </w:rPr>
        <w:t>Our operations, and those of our CROs, CMOs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international operations pose currency risks, which may adversely affect our operating results.</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Our reporting and functional currency is the U.S. dollar. Assets and liabilities denominated in currencies other than the U.S. dollar are translated into U.S. dollars at exchange rates in effect at each balance sheet date. Income items and expenses are translated using the average exchange rate in effect for the relevant period.</w:t>
      </w:r>
    </w:p>
    <w:p>
      <w:pPr>
        <w:spacing w:after="0" w:line="184"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Our operating results may be affected by volatility in currency exchange rates and our ability to manage effectively our currency transaction risks. Although we report, and will continue to report, our results in U.S. dollars, a portion our expenses are incurred in Canadian dollars as a result of our operations in Canada, as well as other currencies to a lesser extent. For example, we are also exposed to currency risk through our collaboration agreement with Ono as future payments receivable under our collaboration agreement, if any, are denominated in Japanese Yen.</w:t>
      </w:r>
    </w:p>
    <w:p>
      <w:pPr>
        <w:spacing w:after="0" w:line="17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In addition, we maintain a significant portion of our cash in Canadian dollar-denominated reserves. We do not currently manage our foreign currency exposure in a manner that would eliminate the effects of changes in foreign exchange rates. For example, we have not engaged in any active hedging techniques, and we have not employed any derivative instruments to date. Therefore, unfavorable fluctuations in the exchange rate between the Canadian dollar and U.S. dollar could have a negative impact on our business and financial results. We do, however, keep expected Canadian dollar cash requirements in Canadian dollars to form a natural hedge.</w:t>
      </w:r>
    </w:p>
    <w:p>
      <w:pPr>
        <w:spacing w:after="0" w:line="296"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Failure to comply with health and data protection laws and regulations could lead to government enforcement actions, including civil or criminal penalties, private litigation, and adverse publicity and could negatively affect our operating results and business.</w:t>
      </w:r>
    </w:p>
    <w:p>
      <w:pPr>
        <w:spacing w:after="0" w:line="38"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We and any current and future collaborators may be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4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Data collection is governed by restrictive regulations governing the use, processing and cross-border transfer of personal information.</w:t>
      </w:r>
    </w:p>
    <w:p>
      <w:pPr>
        <w:spacing w:after="0" w:line="140" w:lineRule="exact"/>
        <w:rPr>
          <w:sz w:val="20"/>
          <w:szCs w:val="20"/>
          <w:color w:val="auto"/>
        </w:rPr>
      </w:pPr>
    </w:p>
    <w:p>
      <w:pPr>
        <w:ind w:right="80" w:firstLine="449"/>
        <w:spacing w:after="0" w:line="285" w:lineRule="auto"/>
        <w:rPr>
          <w:sz w:val="20"/>
          <w:szCs w:val="20"/>
          <w:color w:val="auto"/>
        </w:rPr>
      </w:pPr>
      <w:r>
        <w:rPr>
          <w:rFonts w:ascii="Arial" w:cs="Arial" w:eastAsia="Arial" w:hAnsi="Arial"/>
          <w:sz w:val="16"/>
          <w:szCs w:val="16"/>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European Union,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European Union, often referred to as Brexit, has created uncertainty with regard to data protection regulation in the United Kingdom. In particular, it is unclear how data transfers to and from the United Kingdom will be regulated.</w:t>
      </w:r>
    </w:p>
    <w:p>
      <w:pPr>
        <w:spacing w:after="0" w:line="174"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In addition,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may bring enforcement actions for violations beginning July 1, 2020. The CCPA was amended on September 23, 2018, and it remains unclear what, if any, further modifications will be made to</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320" w:top="459" w:right="3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70"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negatively affect our operating results and business. Moreover, clinical trial subjects about whom we or our current or future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300"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Shares</w:t>
      </w:r>
    </w:p>
    <w:p>
      <w:pPr>
        <w:spacing w:after="0" w:line="229"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b w:val="1"/>
          <w:bCs w:val="1"/>
          <w:i w:val="1"/>
          <w:iCs w:val="1"/>
          <w:color w:val="auto"/>
        </w:rPr>
        <w:t>No public market for our common shares currently exists, and a public market may not develop or be liquid enough for you to sell your shares quickly or at or above the offering price, if at all.</w:t>
      </w:r>
    </w:p>
    <w:p>
      <w:pPr>
        <w:spacing w:after="0" w:line="6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This offering constitutes our initial public offering, and no public market for our common shares currently exists. Any delay in the commencement of trading of our common shares on The Nasdaq Global Market would impair the liquidity of the market for our common shares and make it more difficult for holders to sell their shares. If an active trading market for our common shares does not develop following this offering, you may not be able to sell your shares quickly or at the market price. An inactive market may also impair our ability to raise capital to continue to fund operations by selling our common shares and may impair our ability to acquire other</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459"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companies or technologies by using our common shares as consideration. The initial public offering price of our common shares will be determined by negotiations between us and representatives of the underwriters and may not be indicative of the market prices of our common shares that will prevail in the trading market.</w:t>
      </w:r>
    </w:p>
    <w:p>
      <w:pPr>
        <w:spacing w:after="0" w:line="29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shares may be volatile and fluctuate substantially, which could result in substantial losses for purchasers of our common shares in this offering.</w:t>
      </w:r>
    </w:p>
    <w:p>
      <w:pPr>
        <w:spacing w:after="0" w:line="62"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The trading price of our common shares following this offering is likely to be highly volatile. The stock market in general and the market for biopharmaceutical and pharmaceutical companies in particular have experienced extreme volatility that has often been unrelated to the operating performance of particular companies. As a result of this volatility, you may not be able to sell your common shares at or above the initial public offering price. In addition to the factors discussed in this “Risk Factors” section and elsewhere in this prospectus, the trading price for our common shares may be influenced by the following factors:</w:t>
      </w:r>
    </w:p>
    <w:p>
      <w:pPr>
        <w:spacing w:after="0" w:line="93" w:lineRule="exact"/>
        <w:rPr>
          <w:sz w:val="20"/>
          <w:szCs w:val="20"/>
          <w:color w:val="auto"/>
        </w:rPr>
      </w:pPr>
    </w:p>
    <w:p>
      <w:pPr>
        <w:ind w:left="1000" w:right="280" w:hanging="547"/>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commencement, enrollment, timing and results of our planned or future clinical trials of RP-3500 and any future product candidates or those of our competitors;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success or failure in identifying new drug candidates to pursue in clinical development;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success or failure of our SNIPRx platform in identification of new druggable SL targets;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success of competitive drugs, therapies or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make our product candidates less attractive;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or discontinuation of any of our research or development programs;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developments related to any existing or future collaborations;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level of expenses related to RP-3500 and any future product candidates or clinical development programs;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inability to obtain or delays in obtaining adequate drug supply for any approved drug or inability to do so at acceptable prices;</w:t>
      </w:r>
    </w:p>
    <w:p>
      <w:pPr>
        <w:spacing w:after="0" w:line="142" w:lineRule="exact"/>
        <w:rPr>
          <w:rFonts w:ascii="Arial" w:cs="Arial" w:eastAsia="Arial" w:hAnsi="Arial"/>
          <w:sz w:val="17"/>
          <w:szCs w:val="17"/>
          <w:color w:val="auto"/>
        </w:rPr>
      </w:pPr>
    </w:p>
    <w:p>
      <w:pPr>
        <w:ind w:left="1000" w:right="240" w:hanging="547"/>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significant lawsuits, including patent or shareholder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 including coverage and adequate reimbursement for any approved drug;</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sales of common shares by us, our executive officers, directors or principal shareholders, or others;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general economic, political, and market conditions and overall fluctuations in the financial markets in the United States and abroad;</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 and elsewhere in this prospectus.</w:t>
      </w:r>
    </w:p>
    <w:p>
      <w:pPr>
        <w:spacing w:after="0" w:line="225"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These and other market and industry factors may cause the market price and demand for our common shares to fluctuate substantially, regardless of our actual operating performance, which may limit or prevent investors from selling their shares at or above the price paid for the shares and may otherwise negatively affect the liquidity of our common shares. In addition, the stock market in general, and biopharmaceutical companies in particular, have experienced extreme price and volume fluctuations that have often been unrelated or disproportionate to the operating performance of these companies.</w:t>
      </w:r>
    </w:p>
    <w:p>
      <w:pPr>
        <w:spacing w:after="0" w:line="157"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shares.</w:t>
      </w:r>
    </w:p>
    <w:p>
      <w:pPr>
        <w:spacing w:after="0" w:line="286"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shares among our existing executive officers, directors and principal shareholders may prevent new investors from influencing significant corporate decisions.</w:t>
      </w:r>
    </w:p>
    <w:p>
      <w:pPr>
        <w:spacing w:after="0" w:line="62"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Based upon our common shares outstanding as of March 31, 2020, upon the completion of this offering, our executive officers, directors and shareholders who owned more than 5% of our outstanding common shares before this offering will, in the aggregate, beneficially own shares representing approximately % of our outstanding common shares. If our executive officers, directors and shareholders who owned more than 5% of our outstanding common shares acted together, they may be able to significantly influence all matters requiring shareholder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shareholders may desire or result in the management of our company in ways with which other shareholders disagree.</w:t>
      </w:r>
    </w:p>
    <w:p>
      <w:pPr>
        <w:spacing w:after="0" w:line="285"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or reports, or publish unfavorable research or reports, about us, our business or our market, our share price and trading volume could decline.</w:t>
      </w:r>
    </w:p>
    <w:p>
      <w:pPr>
        <w:spacing w:after="0" w:line="62"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The trading market for our common shares will be influenced by the research and reports that industry or financial analysts publish about us or our business. We do not currently have, and may never obtain, research coverage by industry or financial analysts. Equity research analysts may elect not to provide research coverage of our common shares after the completion of this offering, and such lack of research coverage may adversely affect the market price of our common shares. In the event we do have equity research analyst coverage, we will not have any control over the analysts or the content and opinions included in their reports. The price of our shares could decline if one or more equity research analysts downgrade our shares or issue other unfavorable commentary or research about us. If one or more equity research analysts ceases coverage of us or fails to publish reports on us regularly, demand for our shares could decrease, which in turn could cause the trading price or trading volume of our common shares to decline.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 you purchase our common shares in this offering, you will suffer immediate dilution of your investment.</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initial public offering price of our common shares will be substantially higher than the net tangible book value per common share. Therefore, if you purchase our common shares in this offering, you will pay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459"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price per share that substantially exceeds our net tangible book value per share after this offering. Based on an assumed initial public offering price of</w:t>
      </w:r>
    </w:p>
    <w:p>
      <w:pPr>
        <w:spacing w:after="0" w:line="35" w:lineRule="exact"/>
        <w:rPr>
          <w:sz w:val="20"/>
          <w:szCs w:val="20"/>
          <w:color w:val="auto"/>
        </w:rPr>
      </w:pPr>
    </w:p>
    <w:p>
      <w:pPr>
        <w:ind w:left="860" w:hanging="852"/>
        <w:spacing w:after="0"/>
        <w:tabs>
          <w:tab w:leader="none" w:pos="8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per share, which is the midpoint of the price range set forth on the cover page of this prospectus, you will experience immediate dilution of</w:t>
      </w:r>
    </w:p>
    <w:p>
      <w:pPr>
        <w:spacing w:after="0" w:line="21" w:lineRule="exact"/>
        <w:rPr>
          <w:sz w:val="20"/>
          <w:szCs w:val="20"/>
          <w:color w:val="auto"/>
        </w:rPr>
      </w:pPr>
    </w:p>
    <w:p>
      <w:pPr>
        <w:ind w:right="120" w:firstLine="8"/>
        <w:spacing w:after="0" w:line="253" w:lineRule="auto"/>
        <w:tabs>
          <w:tab w:leader="none" w:pos="8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 share, representing the difference between our pro forma as adjusted net tangible book value per share after this offering and the initial public offering price per share. After this offering, we will also have outstanding options to purchase common shares with exercise prices lower than the initial public offering price. To the extent these outstanding options are exercised, there will be further dilution to investors in this offering. See the section titled “Dilution” for additional information.</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 significant portion of our total outstanding shares are restricted from immediate resale, but may be sold into the market in the near future.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This could cause the market price of our shares to drop significantly, even if our business is doing well.</w:t>
      </w:r>
    </w:p>
    <w:p>
      <w:pPr>
        <w:spacing w:after="0" w:line="103"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Sales of a substantial number of our common shares in the public market could occur at any time. If our shareholders sell, or the market perceives that our shareholders intend to sell, substantial amounts of our common shares in the public market following this offering, the market price of our common shares could decline significantly.</w:t>
      </w:r>
    </w:p>
    <w:p>
      <w:pPr>
        <w:spacing w:after="0" w:line="184" w:lineRule="exact"/>
        <w:rPr>
          <w:sz w:val="20"/>
          <w:szCs w:val="20"/>
          <w:color w:val="auto"/>
        </w:rPr>
      </w:pPr>
    </w:p>
    <w:p>
      <w:pPr>
        <w:ind w:right="180" w:firstLine="449"/>
        <w:spacing w:after="0" w:line="271" w:lineRule="auto"/>
        <w:rPr>
          <w:sz w:val="20"/>
          <w:szCs w:val="20"/>
          <w:color w:val="auto"/>
        </w:rPr>
      </w:pPr>
      <w:r>
        <w:rPr>
          <w:rFonts w:ascii="Arial" w:cs="Arial" w:eastAsia="Arial" w:hAnsi="Arial"/>
          <w:sz w:val="17"/>
          <w:szCs w:val="17"/>
          <w:color w:val="auto"/>
        </w:rPr>
        <w:t>Upon completion of this offering, we will have common shares outstanding, based on the number of shares outstanding as of March 31, 2020. Of these shares, the common shares sold in this offering and common shares currently outstanding will be freely tradable, and the remaining common shares will be available for sale in the public market beginning 180 days after the date of this prospectus following the</w:t>
      </w:r>
    </w:p>
    <w:p>
      <w:pPr>
        <w:ind w:right="60"/>
        <w:spacing w:after="0" w:line="253" w:lineRule="auto"/>
        <w:rPr>
          <w:sz w:val="20"/>
          <w:szCs w:val="20"/>
          <w:color w:val="auto"/>
        </w:rPr>
      </w:pPr>
      <w:r>
        <w:rPr>
          <w:rFonts w:ascii="Arial" w:cs="Arial" w:eastAsia="Arial" w:hAnsi="Arial"/>
          <w:sz w:val="18"/>
          <w:szCs w:val="18"/>
          <w:color w:val="auto"/>
        </w:rPr>
        <w:t>expiration of lock-up agreements entered into by our shareholders in connection with the offering. The representatives of the underwriters may agree to release these shareholders from their lock-up agreements at any time and without notice, which would allow for earlier sales of shares in the public market. Sales of a substantial number of such shares upon expiration of the lock-up agreements, the perception that such sales may occur, or early release of restrictions in the lock-up agreements, could cause the market price of our common shares to fall or make it more difficult for you to sell your shares at a time and price that you deem appropriate.</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promptly following the completion of this offering, we intend to file one or more registration statements on Form S-8 registering the</w:t>
      </w:r>
    </w:p>
    <w:p>
      <w:pPr>
        <w:spacing w:after="0" w:line="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issuance of common shares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the lock-up agreements described above and, in the case of our affiliates, the restrictions of Rule 144 under the Securities Act of 1933, as amended.</w:t>
      </w:r>
    </w:p>
    <w:p>
      <w:pPr>
        <w:spacing w:after="0" w:line="193" w:lineRule="exact"/>
        <w:rPr>
          <w:sz w:val="20"/>
          <w:szCs w:val="20"/>
          <w:color w:val="auto"/>
        </w:rPr>
      </w:pPr>
    </w:p>
    <w:p>
      <w:pPr>
        <w:ind w:right="180" w:firstLine="449"/>
        <w:spacing w:after="0" w:line="258" w:lineRule="auto"/>
        <w:rPr>
          <w:sz w:val="20"/>
          <w:szCs w:val="20"/>
          <w:color w:val="auto"/>
        </w:rPr>
      </w:pPr>
      <w:r>
        <w:rPr>
          <w:rFonts w:ascii="Arial" w:cs="Arial" w:eastAsia="Arial" w:hAnsi="Arial"/>
          <w:sz w:val="18"/>
          <w:szCs w:val="18"/>
          <w:color w:val="auto"/>
        </w:rPr>
        <w:t>Additionally, after this offering, the holders of an aggregate of common shares, which assumes the automatic exercise of the warrant held by an affiliate of Bristol Myers Squibb into an aggregate of common shares, based on an assumed initial public offering price of $ per</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share, the midpoint of the price range set forth on the cover page of this prospectus, or their transferees, will have rights, subject to some conditions, to require us to file one or more registration statements covering their shares or to include their shares in registration statements that we may file for ourselves or other shareholders. If we were to register the resale of these shares, they could be freely sold in the public market. If these additional shares are sold, or if it is perceived that they will be sold, in the public market, the trading price of our common shares could decline.</w:t>
      </w:r>
    </w:p>
    <w:p>
      <w:pPr>
        <w:spacing w:after="0" w:line="284"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share capital in the foreseeable future, capital appreciation, if any, will be your sole source of gain.</w:t>
      </w:r>
    </w:p>
    <w:p>
      <w:pPr>
        <w:spacing w:after="0" w:line="62"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You should not rely on an investment in our common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common shares in this offering.</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b w:val="1"/>
          <w:bCs w:val="1"/>
          <w:i w:val="1"/>
          <w:iCs w:val="1"/>
          <w:color w:val="auto"/>
        </w:rPr>
        <w:t>Our articles of continuance to be in effect following completion of this offering will permit us to issue an unlimited number of common shares and preferred shares without additional shareholder approval.</w:t>
      </w:r>
    </w:p>
    <w:p>
      <w:pPr>
        <w:spacing w:after="0" w:line="62"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color w:val="auto"/>
        </w:rPr>
        <w:t>Our articles of continuance to be in effect following completion of this offering will permit us to issue an unlimited number of common shares. We anticipate that we will, from time to time, issue additional common shares in the future. Any further issuances of common shares will result in immediate dilution to existing shareholders and may have an adverse effect on the value of their holdings.</w:t>
      </w:r>
    </w:p>
    <w:p>
      <w:pPr>
        <w:spacing w:after="0" w:line="184"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Our articles of continuance to be in effect following completion of this offering will also permit us to issue an unlimited number of preferred shares, issuable in one or more series and, subject to the provisions of the Business Corporations Act (Québec), or QBCA, having such designations, rights, privileges, restrictions and conditions, including dividend and voting rights, as our board of directors may determine and which may be superior to those of the common shares. The issuance of preferred shares, while providing flexibility in connection with possible acquisitions, financings and other corporate purposes, could, among other things, have the effect of delaying, deferring or preventing a change in control of Repare and might adversely affect the market price of our common shares and the voting and other rights of the holders of common shares. We have no current or immediate plans to issue any preferred shares following the completion of this offering.</w:t>
      </w:r>
    </w:p>
    <w:p>
      <w:pPr>
        <w:spacing w:after="0" w:line="177"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Subject to Nasdaq listing rules, we will not be required to obtain the approval of shareholders for the issuance of additional common shares and preferred shares.</w:t>
      </w:r>
    </w:p>
    <w:p>
      <w:pPr>
        <w:spacing w:after="0" w:line="278"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including the net proceeds from this offering, and may use them ineffectively, in ways in which you do not agree or in ways that do not increase the value of your investment.</w:t>
      </w:r>
    </w:p>
    <w:p>
      <w:pPr>
        <w:spacing w:after="0" w:line="62"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Our management will have broad discretion in the application of our cash, including the net proceeds from this offering, and could spend the proceeds in ways that do not improve our results of operations or enhance the value of our common shares</w:t>
      </w:r>
      <w:r>
        <w:rPr>
          <w:rFonts w:ascii="Arial" w:cs="Arial" w:eastAsia="Arial" w:hAnsi="Arial"/>
          <w:sz w:val="17"/>
          <w:szCs w:val="17"/>
          <w:i w:val="1"/>
          <w:iCs w:val="1"/>
          <w:color w:val="auto"/>
        </w:rPr>
        <w:t>.</w:t>
      </w:r>
      <w:r>
        <w:rPr>
          <w:rFonts w:ascii="Arial" w:cs="Arial" w:eastAsia="Arial" w:hAnsi="Arial"/>
          <w:sz w:val="17"/>
          <w:szCs w:val="17"/>
          <w:color w:val="auto"/>
        </w:rPr>
        <w:t xml:space="preserve"> The failure by our management to apply these funds effectively could result in financial losses that could have a negative impact on our business, cause the price of our common shares to decline and delay the development of our product candidates</w:t>
      </w:r>
      <w:r>
        <w:rPr>
          <w:rFonts w:ascii="Arial" w:cs="Arial" w:eastAsia="Arial" w:hAnsi="Arial"/>
          <w:sz w:val="17"/>
          <w:szCs w:val="17"/>
          <w:i w:val="1"/>
          <w:iCs w:val="1"/>
          <w:color w:val="auto"/>
        </w:rPr>
        <w:t>.</w:t>
      </w:r>
      <w:r>
        <w:rPr>
          <w:rFonts w:ascii="Arial" w:cs="Arial" w:eastAsia="Arial" w:hAnsi="Arial"/>
          <w:sz w:val="17"/>
          <w:szCs w:val="17"/>
          <w:color w:val="auto"/>
        </w:rPr>
        <w:t xml:space="preserve"> Pending their use, we may invest our cash, including the net proceeds from this offering, in a manner that does not produce income or that loses value. See the section titled “Use of Proceeds” for additional information.</w:t>
      </w:r>
    </w:p>
    <w:p>
      <w:pPr>
        <w:spacing w:after="0" w:line="284" w:lineRule="exact"/>
        <w:rPr>
          <w:sz w:val="20"/>
          <w:szCs w:val="20"/>
          <w:color w:val="auto"/>
        </w:rPr>
      </w:pPr>
    </w:p>
    <w:p>
      <w:pPr>
        <w:jc w:val="both"/>
        <w:ind w:left="46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6"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Section 404(a) of the Sarbanes-Oxley Act of 2002, as amended, or the Sarbanes-Oxley Act, requires that beginning with our second annual report following our initial public offering, management assess and report annually on the effectiveness of our internal control over financial reporting and identify any material weaknesses in our internal control over financial reporting. Although Section 404(b) of the Sarbanes-Oxley Act requires our independent registered public accounting firm to issue an annual report that addresses the effectiveness of our internal control over financial reporting, we have opted to rely on the exemptions provided in the JOBS Act, and consequently will not be required to comply with SEC rules that implement Section 404(b) until such time as we are no longer an emerging growth company.</w:t>
      </w:r>
    </w:p>
    <w:p>
      <w:pPr>
        <w:spacing w:after="0" w:line="192" w:lineRule="exact"/>
        <w:rPr>
          <w:sz w:val="20"/>
          <w:szCs w:val="20"/>
          <w:color w:val="auto"/>
        </w:rPr>
      </w:pPr>
    </w:p>
    <w:p>
      <w:pPr>
        <w:jc w:val="both"/>
        <w:ind w:right="300" w:firstLine="449"/>
        <w:spacing w:after="0" w:line="311"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common shares.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Upon the completion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6"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If we are a passive foreign investment company following this offering, there could be adverse U.S. federal income tax consequences to U.S.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Holders.</w:t>
      </w:r>
    </w:p>
    <w:p>
      <w:pPr>
        <w:spacing w:after="0" w:line="103"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Under the Internal Revenue Code of 1986, as amended, or the Code, we will be a passive foreign investment company, or PFIC, for any taxable year in which (1) 75% or more of our gross income consists of passive income or (2) 50% or more of the average quarterly value of our assets consists of assets that produce, or are held for the production of, passive income, including cash.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if it held its proportionate share of the assets and received directly its proportionate share of the income of such other corporation.</w:t>
      </w:r>
    </w:p>
    <w:p>
      <w:pPr>
        <w:spacing w:after="0" w:line="178" w:lineRule="exact"/>
        <w:rPr>
          <w:sz w:val="20"/>
          <w:szCs w:val="20"/>
          <w:color w:val="auto"/>
        </w:rPr>
      </w:pPr>
    </w:p>
    <w:p>
      <w:pPr>
        <w:ind w:right="100" w:firstLine="449"/>
        <w:spacing w:after="0" w:line="287" w:lineRule="auto"/>
        <w:rPr>
          <w:sz w:val="20"/>
          <w:szCs w:val="20"/>
          <w:color w:val="auto"/>
        </w:rPr>
      </w:pPr>
      <w:r>
        <w:rPr>
          <w:rFonts w:ascii="Arial" w:cs="Arial" w:eastAsia="Arial" w:hAnsi="Arial"/>
          <w:sz w:val="16"/>
          <w:szCs w:val="16"/>
          <w:color w:val="auto"/>
        </w:rPr>
        <w:t>Based on the composition of our income and assets, we believe we were a PFIC for the taxable year ended December 31, 2019. However, based on our operating history and the projected composition of our income and valuation of our assets, including goodwill, for the taxable year ending December 31, 2020, we do not expect to be classified as a PFIC. However, no assurances regarding our PFIC status can be provided for any past, current or future taxable years. 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for our current and future taxable years, the total value of our assets for PFIC testing purposes may be determined in part by reference to the market price of our common shares from time to time, which may fluctuate considerably. Under the income test, our status as a PFIC depends on the composition of our income which will depend on the transactions we enter into in the future and our corporate structure. The composition of our income and assets is also affected by how, and how quickly, we spend the cash we raise in any offering, including this offering. Accordingly, our U.S. counsel expresses no opinion with respect to our PFIC status for our taxable year ended December 31, 2019, and also expresses no opinion with regard to our expectations regarding our PFIC status in the future.</w:t>
      </w:r>
    </w:p>
    <w:p>
      <w:pPr>
        <w:spacing w:after="0" w:line="172"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If we are a PFIC, a U.S. Holder (as defined below under “Material Income Tax Considerations—Material U.S. Federal Income Tax Considerations for U.S. Holders”) of our common shares would be subject to adverse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U.S. federal income tax consequences, such as ineligibility for any preferential tax rates for individuals on capital gains or on actual or deemed dividends, interest charges on certain taxes treated as deferred, and additional reporting requirements under U.S. federal income tax laws and regulations. For further discussion of the PFIC rules and the adverse U.S. federal income tax consequences in the event we are classified as a PFIC, see the section titled ‘‘Material Income Tax Considerations—Material U.S. Federal Income Considerations for U.S. Holders” in this prospectus. Each U.S. Holder should consult its own tax advisors with respect to the potential adverse U.S. tax consequences to it if we are or were to become a PFIC.</w:t>
      </w:r>
    </w:p>
    <w:p>
      <w:pPr>
        <w:spacing w:after="0" w:line="269"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b w:val="1"/>
          <w:bCs w:val="1"/>
          <w:i w:val="1"/>
          <w:iCs w:val="1"/>
          <w:color w:val="auto"/>
        </w:rPr>
        <w:t>If we are a controlled foreign corporation, there could be materially adverse U.S. federal income tax consequences to certain U.S. Holders of our common shares.</w:t>
      </w:r>
    </w:p>
    <w:p>
      <w:pPr>
        <w:spacing w:after="0" w:line="62" w:lineRule="exact"/>
        <w:rPr>
          <w:sz w:val="20"/>
          <w:szCs w:val="20"/>
          <w:color w:val="auto"/>
        </w:rPr>
      </w:pPr>
    </w:p>
    <w:p>
      <w:pPr>
        <w:ind w:right="80" w:firstLine="449"/>
        <w:spacing w:after="0" w:line="253" w:lineRule="auto"/>
        <w:rPr>
          <w:sz w:val="20"/>
          <w:szCs w:val="20"/>
          <w:color w:val="auto"/>
        </w:rPr>
      </w:pPr>
      <w:r>
        <w:rPr>
          <w:rFonts w:ascii="Arial" w:cs="Arial" w:eastAsia="Arial" w:hAnsi="Arial"/>
          <w:sz w:val="18"/>
          <w:szCs w:val="18"/>
          <w:color w:val="auto"/>
        </w:rPr>
        <w:t>Each ‘‘Ten Percent Shareholder’’ (as defined below) in a non-U.S. corporation that is classified as a controlled foreign corporation, or a CFC, for U.S. federal income tax purposes generally is required to include in income for U.S. federal tax purposes such Ten Percent Shareholder’s pro rata share of the CFC’s ‘‘Subpart F income,’’ global intangible low taxed income, and investment of earnings in U.S. property, even if the CFC has made no distributions to its shareholders. Subpart F income generally includes dividends, interest, rents, royalties, gains from the sale of securities and income from certain transactions with related parties. In addition, a Ten Percent Shareholder that realizes gain from the sale or exchange of shares in a CFC may be required to classify a portion of such gain as dividend income rather than capital gain. An individual that is a Ten Percent Shareholder with respect to a CFC generally would not be allowed certain tax deductions or foreign tax credits that would be allowed to a Ten Percent Shareholder that is a U.S. corporation. Failure to comply with these reporting obligations may subject a Ten Percent Shareholder to significant monetary penalties and may prevent the statute of limitations with respect to such Ten Percent Shareholder’s U.S. federal income tax return for the year for which reporting was due from starting.</w:t>
      </w:r>
    </w:p>
    <w:p>
      <w:pPr>
        <w:spacing w:after="0" w:line="194" w:lineRule="exact"/>
        <w:rPr>
          <w:sz w:val="20"/>
          <w:szCs w:val="20"/>
          <w:color w:val="auto"/>
        </w:rPr>
      </w:pPr>
    </w:p>
    <w:p>
      <w:pPr>
        <w:ind w:right="100" w:firstLine="449"/>
        <w:spacing w:after="0" w:line="301" w:lineRule="auto"/>
        <w:rPr>
          <w:sz w:val="20"/>
          <w:szCs w:val="20"/>
          <w:color w:val="auto"/>
        </w:rPr>
      </w:pPr>
      <w:r>
        <w:rPr>
          <w:rFonts w:ascii="Arial" w:cs="Arial" w:eastAsia="Arial" w:hAnsi="Arial"/>
          <w:sz w:val="16"/>
          <w:szCs w:val="16"/>
          <w:color w:val="auto"/>
        </w:rPr>
        <w:t>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Code) who owns or is considered to own 10% or more of the total combined voting power of all classes of stock entitled to vote or 10% or more of the total value of all classes of stock of such corporation.</w:t>
      </w:r>
    </w:p>
    <w:p>
      <w:pPr>
        <w:spacing w:after="0" w:line="15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believe that we were a CFC in the 2019 taxable year, and we may continue to be a CFC in the 2020 taxable year or in a subsequent taxable year. The determination of CFC status is complex and includes attribution rules, the application of which is not entirely certain. In addition, recent changes to the attribution rules relating to the determination of CFC status may make it difficult to determine our CFC status for any taxable year. Because our group includes at least one U.S. subsidiary (Repare Therapeutics USA Inc.), if we were to form or acquire any non-U.S. subsidiaries in the future, those changes to the attribution rules may cause such non-U.S. subsidiaries to be treated as controlled foreign corporations. We cannot provide any assurances that we will assist holders of our common shares in determining whether we or any non-U.S. subsidiaries that we may form or acquire are or will be treated as a CFC or whether any holder of the common shares is treated as a Ten Percent Shareholder with respect to any such CFC or furnish to any Ten Percent Shareholders information that may be necessary to comply with the aforementioned reporting and tax paying obligations.</w:t>
      </w:r>
    </w:p>
    <w:p>
      <w:pPr>
        <w:spacing w:after="0" w:line="165"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Each U.S. Holder should consult its own tax advisors with respect to the potential adverse U.S. tax consequences of becoming a Ten Percent Shareholder in a CFC. If we are classified as both a CFC and a PFIC (as defined above), we generally will not be treated as a PFIC with respect to those U.S. Holders that meet the definition of a Ten Percent Shareholder during the period in which we are a CFC.</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Future changes to tax laws could materially adversely affect our company and reduce net returns to our shareholders.</w:t>
      </w:r>
    </w:p>
    <w:p>
      <w:pPr>
        <w:spacing w:after="0" w:line="117"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The tax treatment of the company is subject to changes in tax laws, regulations and treaties, or the interpretation thereof, tax policy initiatives and reforms under consideration and the practices of tax authorities in jurisdictions in which we operate, as well as tax policy initiatives and reforms related to the Organisation for Economic Co-Operation and Development’s, or OECD, Base Erosion and Profit Shifting, or BEPS,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ability to use our non-capital loss carryforwards to offset future taxable income may be subject to certain limitations.</w:t>
      </w:r>
    </w:p>
    <w:p>
      <w:pPr>
        <w:spacing w:after="0" w:line="117"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In general, where control of a corporation has been acquired by a person or group of persons, subsection 111(5) of the Income Tax Act (Canada), or the Canadian Tax Act, and equivalent provincial income tax legislation restrict the corporation’s ability to carry forward non-capital losses from preceding taxation years. We have not performed a detailed analysis to determine whether an acquisition of control for the purposes of subsection 111(5) of the Canadian Tax Act has occurred after each of our previous issuances of common shares or preferred shares. In addition, if we undergo an acquisition of control after this public offering, our ability to utilize non-capital losses could be limited by subsection 111(5) of the Canadian Tax Act. As of December 31, 2019, we had Canadian federal and provincial non-capital loss carry forwards of $31.5 million, which expire beginning in 2036 through 2039. In addition, we also have scientific research and experimental development expenditures of approximately $15.8 million for Canadian federal and provincial income tax purposes, which have not been deducted. These expenditures are available to reduce future taxable income and have an unlimited carry-forward period. We also have scientific research and experimental development tax credit carry forwards of approximately $2.6 million for Canadian federal income tax purposes, which expire beginning in 2036 through 2039. Research and development tax credits and expenditures are subject to verification by the tax authorities, and, accordingly, these amounts may vary. Future changes in our share ownership, some of which are outside of our control, could result in an acquisition of control for the purposes of subsection 111(5) of the Canadian Tax Act. Furthermore, our ability to utilize non-capital losses (or U.S. equivalents) of companies that we may acquire in the future may be subject to limitations. As a result, even if we attain profitability, we may be unable to use a material portion of our non-capital losses and other tax attributes, which could negatively impact our future cash flows.</w:t>
      </w:r>
    </w:p>
    <w:p>
      <w:pPr>
        <w:spacing w:after="0" w:line="290" w:lineRule="exact"/>
        <w:rPr>
          <w:sz w:val="20"/>
          <w:szCs w:val="20"/>
          <w:color w:val="auto"/>
        </w:rPr>
      </w:pPr>
    </w:p>
    <w:p>
      <w:pPr>
        <w:ind w:left="460" w:right="56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2"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A tax authority may disagree with tax positions that we have taken, which could result in increased tax liabilities. For example, the Canadian Revenue Agency,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80"/>
          </w:cols>
          <w:pgMar w:left="320" w:top="459" w:right="3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b w:val="1"/>
          <w:bCs w:val="1"/>
          <w:i w:val="1"/>
          <w:iCs w:val="1"/>
          <w:color w:val="auto"/>
        </w:rPr>
        <w:t>Our deductions and credits in respect of scientific research and experimental development expenditures may be challenged by the Canadian tax authorities.</w:t>
      </w:r>
    </w:p>
    <w:p>
      <w:pPr>
        <w:spacing w:after="0" w:line="62" w:lineRule="exact"/>
        <w:rPr>
          <w:sz w:val="20"/>
          <w:szCs w:val="20"/>
          <w:color w:val="auto"/>
        </w:rPr>
      </w:pPr>
    </w:p>
    <w:p>
      <w:pPr>
        <w:ind w:right="340" w:firstLine="449"/>
        <w:spacing w:after="0" w:line="257" w:lineRule="auto"/>
        <w:rPr>
          <w:sz w:val="20"/>
          <w:szCs w:val="20"/>
          <w:color w:val="auto"/>
        </w:rPr>
      </w:pPr>
      <w:r>
        <w:rPr>
          <w:rFonts w:ascii="Arial" w:cs="Arial" w:eastAsia="Arial" w:hAnsi="Arial"/>
          <w:sz w:val="18"/>
          <w:szCs w:val="18"/>
          <w:color w:val="auto"/>
        </w:rPr>
        <w:t>The Canadian taxation authorities may not necessarily agree with our determinations of the expenses and tax credits claimed by us, including scientific research and experimental development expenses and related tax credits. If the Canadian taxation authorities successfully challenge such expenses or the correctness of such income tax credits claimed, our operating results could be adversely affected. Furthermore, if the Canadian taxation authorities reduce the tax credit by reducing either the rate of the credit or the eligibility of some scientific research and experimental development expenses in the future, our operating results could be adversely affected.</w:t>
      </w:r>
    </w:p>
    <w:p>
      <w:pPr>
        <w:spacing w:after="0" w:line="296" w:lineRule="exact"/>
        <w:rPr>
          <w:sz w:val="20"/>
          <w:szCs w:val="20"/>
          <w:color w:val="auto"/>
        </w:rPr>
      </w:pPr>
    </w:p>
    <w:p>
      <w:pPr>
        <w:ind w:left="460" w:right="42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shares less attractive to investors.</w:t>
      </w:r>
    </w:p>
    <w:p>
      <w:pPr>
        <w:spacing w:after="0" w:line="1"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this prospectus and our periodic reports and proxy statements and (iii) exemptions from the requirements of holding nonbinding advisory shareholder votes on executive compensation and shareholder approval of any golden parachute payments not approved previously. In addition, as an emerging growth company, we are only required to provide two years of audited financial statements and two years of selected financial data in this prospectus. 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74"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We could be an emerging growth company until the last day of our fiscal year following the fifth anniversary of the completion of this offering, although circumstances could cause us to lose that status earlier, including if we are deemed to be a “large accelerated filer,” which occurs when the market value of our common shares that is held by non-affiliates equals or exceeds $700.0 million as of the prior June 30, or if we have total annual gross revenue of $1.07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w:t>
      </w:r>
    </w:p>
    <w:p>
      <w:pPr>
        <w:spacing w:after="0" w:line="192"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We are also a “smaller reporting company,” meaning that the market value of our common shares held by non-affiliates is less than $700 million and our annual revenue was less than $100 million during our most recently completed fiscal year. We may continue to be a smaller reporting company if either</w:t>
      </w:r>
    </w:p>
    <w:p>
      <w:pPr>
        <w:ind w:right="160" w:firstLine="8"/>
        <w:spacing w:after="0" w:line="253" w:lineRule="auto"/>
        <w:tabs>
          <w:tab w:leader="none" w:pos="2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market value of our common shares held by non-affiliates is less than $250 million or (ii) our annual revenue was less than $100 million during the most recently completed fiscal year and the market value of our common shares held by non-affiliates is less than $700 million. If we are a smaller reporting company at the time we cease to be an emerging growth company, we may continue to rely on exemptions from certain disclosure requirements that are available to smaller reporting companies, including not being required to comply with the auditor attestation requirements of Section 404 of the Sarbanes-Oxley Act and reduced disclosure obligations regarding executive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compensation in this prospectus and in our periodic reports and proxy statements. For so long as we remain a smaller reporting company, we are permitted and intend to rely on exemptions from certain disclosure and other requirements that are applicable to other public companies that are not smaller reporting companies.</w:t>
      </w:r>
    </w:p>
    <w:p>
      <w:pPr>
        <w:spacing w:after="0" w:line="184"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We cannot predict if investors will find our common shares less attractive because we may rely on the exemptions and reduced disclosure obligations applicable to emerging growth companies and smaller reporting companies. If some investors find our common shares less attractive as a result, there may be a less active trading market for our common shares and our share price may be more volatile.</w:t>
      </w:r>
    </w:p>
    <w:p>
      <w:pPr>
        <w:spacing w:after="0" w:line="292" w:lineRule="exact"/>
        <w:rPr>
          <w:sz w:val="20"/>
          <w:szCs w:val="20"/>
          <w:color w:val="auto"/>
        </w:rPr>
      </w:pPr>
    </w:p>
    <w:p>
      <w:pPr>
        <w:ind w:left="460" w:right="740"/>
        <w:spacing w:after="0" w:line="277" w:lineRule="auto"/>
        <w:rPr>
          <w:sz w:val="20"/>
          <w:szCs w:val="20"/>
          <w:color w:val="auto"/>
        </w:rPr>
      </w:pPr>
      <w:r>
        <w:rPr>
          <w:rFonts w:ascii="Arial" w:cs="Arial" w:eastAsia="Arial" w:hAnsi="Arial"/>
          <w:sz w:val="18"/>
          <w:szCs w:val="18"/>
          <w:b w:val="1"/>
          <w:bCs w:val="1"/>
          <w:i w:val="1"/>
          <w:iCs w:val="1"/>
          <w:color w:val="auto"/>
        </w:rPr>
        <w:t>We will incur significantly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services.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Because we are a Canadian company, it may be difficult to serve legal process or enforce judgments against us.</w:t>
      </w:r>
    </w:p>
    <w:p>
      <w:pPr>
        <w:spacing w:after="0" w:line="117" w:lineRule="exact"/>
        <w:rPr>
          <w:sz w:val="20"/>
          <w:szCs w:val="20"/>
          <w:color w:val="auto"/>
        </w:rPr>
      </w:pPr>
    </w:p>
    <w:p>
      <w:pPr>
        <w:jc w:val="both"/>
        <w:ind w:right="240" w:firstLine="449"/>
        <w:spacing w:after="0" w:line="257" w:lineRule="auto"/>
        <w:rPr>
          <w:sz w:val="20"/>
          <w:szCs w:val="20"/>
          <w:color w:val="auto"/>
        </w:rPr>
      </w:pPr>
      <w:r>
        <w:rPr>
          <w:rFonts w:ascii="Arial" w:cs="Arial" w:eastAsia="Arial" w:hAnsi="Arial"/>
          <w:sz w:val="18"/>
          <w:szCs w:val="18"/>
          <w:color w:val="auto"/>
        </w:rPr>
        <w:t>We are incorporated and have our corporate headquarters in Québec, Canada. In addition, while many of our directors and officers reside in the United States, several of them reside outside of the United States. Accordingly, service of process upon us may be difficult to obtain within the United States. Furthermore, because substantially all of our assets are located outside the United States, any judgment obtained in the United States against us, including one predicated on the civil liability provisions of the U.S. federal securities laws, may not be collectible within the United States. Therefore, it may not be possible to enforce those actions against us.</w:t>
      </w:r>
    </w:p>
    <w:p>
      <w:pPr>
        <w:spacing w:after="0" w:line="188"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In addition, it may be difficult to assert U.S. securities law claims in original actions instituted in Canada. Canadian courts may refuse to hear a claim based on an alleged violation of U.S. securities laws against us or these persons on the grounds that Canada is not the most appropriate forum in which to bring such a claim. Even if a Canadian court agrees to hear a claim, it may determine that Canadian law and not U.S. law is applicable to the claim. If U.S. law is found to be applicable, the content of applicable U.S. law must be proved as a fact, which can be a time-consuming and costly process. Certain matters of procedure will also be governed by Canadian law. Furthermore, it may not be possible to subject foreign persons or entities to the jurisdiction of the courts in Canada. Similarly, to the extent that our assets are located in Canada, investors may have difficulty collecting from us any judgments obtained in the U.S. courts and predicated on the civil liability provisions of U.S. securities provisions.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320" w:top="459" w:right="3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b w:val="1"/>
          <w:bCs w:val="1"/>
          <w:i w:val="1"/>
          <w:iCs w:val="1"/>
          <w:color w:val="auto"/>
        </w:rPr>
        <w:t>Following the completion of the offering, we will be governed by the corporate laws of Québec, which in some cases have a different effect on shareholders than the corporate laws of Delaware.</w:t>
      </w:r>
    </w:p>
    <w:p>
      <w:pPr>
        <w:spacing w:after="0" w:line="62" w:lineRule="exact"/>
        <w:rPr>
          <w:sz w:val="20"/>
          <w:szCs w:val="20"/>
          <w:color w:val="auto"/>
        </w:rPr>
      </w:pPr>
    </w:p>
    <w:p>
      <w:pPr>
        <w:ind w:right="80" w:firstLine="449"/>
        <w:spacing w:after="0" w:line="270" w:lineRule="auto"/>
        <w:rPr>
          <w:sz w:val="20"/>
          <w:szCs w:val="20"/>
          <w:color w:val="auto"/>
        </w:rPr>
      </w:pPr>
      <w:r>
        <w:rPr>
          <w:rFonts w:ascii="Arial" w:cs="Arial" w:eastAsia="Arial" w:hAnsi="Arial"/>
          <w:sz w:val="17"/>
          <w:szCs w:val="17"/>
          <w:color w:val="auto"/>
        </w:rPr>
        <w:t>Following the completion of the offering, we will be governed by the QBCA and other relevant laws, which may affect the rights of shareholders differently than those of a company governed by the laws of a U.S. jurisdiction, and may, together with our charter documents, have the effect of delaying, deferring or discouraging another party from acquiring control of us by means of a tender offer, a proxy contest or otherwise, or may affect the price an acquiring party would be willing to offer in such an instance. The material differences between the QBCA and Delaware General Corporation Law, or the DGCL, that may have the greatest such effect include but are not limited to the following: (i) for material corporate transactions (such as mergers and amalgamations, other extraordinary corporate transactions or amendments to our articles), the QBCA generally requires a two-thirds majority vote by shareholders, whereas the DGCL generally only requires a majority vote; and (ii) under the QBCA, a holder of 10% or more of our common shares can requisition a special meeting of shareholders, whereas such right does not exist under the DGCL. Refer to the section titled “Description of Share Capital-Differences in Corporation Law” for more information.</w:t>
      </w:r>
    </w:p>
    <w:p>
      <w:pPr>
        <w:spacing w:after="0" w:line="289" w:lineRule="exact"/>
        <w:rPr>
          <w:sz w:val="20"/>
          <w:szCs w:val="20"/>
          <w:color w:val="auto"/>
        </w:rPr>
      </w:pPr>
    </w:p>
    <w:p>
      <w:pPr>
        <w:ind w:left="460" w:right="220"/>
        <w:spacing w:after="0" w:line="308" w:lineRule="auto"/>
        <w:rPr>
          <w:sz w:val="20"/>
          <w:szCs w:val="20"/>
          <w:color w:val="auto"/>
        </w:rPr>
      </w:pPr>
      <w:r>
        <w:rPr>
          <w:rFonts w:ascii="Arial" w:cs="Arial" w:eastAsia="Arial" w:hAnsi="Arial"/>
          <w:sz w:val="17"/>
          <w:szCs w:val="17"/>
          <w:b w:val="1"/>
          <w:bCs w:val="1"/>
          <w:i w:val="1"/>
          <w:iCs w:val="1"/>
          <w:color w:val="auto"/>
        </w:rPr>
        <w:t>Our amended and restated bylaws to be in effect following completion of this offering and certain Canadian legislation contain provisions that may have the effect of delaying or preventing certain change in control transactions or shareholder proposals.</w:t>
      </w:r>
    </w:p>
    <w:p>
      <w:pPr>
        <w:spacing w:after="0" w:line="38"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Certain provisions of our amended and restated bylaws to be in effect following completion of this offering and certain Canadian legislation, together or separately, could discourage or delay certain change in control transactions or shareholder proposals.</w:t>
      </w:r>
    </w:p>
    <w:p>
      <w:pPr>
        <w:spacing w:after="0" w:line="170"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Our amended and restated bylaws to be in effect following completion of this offering contain provisions that establish certain advance notice procedures for nomination of candidates for election as directors at shareholders’ meetings. The QBCA requires that any shareholder proposal that includes nominations for the election of directors must be signed by one or more holders of shares representing in the aggregate not less than 5% of the shares or 5% of the shares of a class or series of shares of the corporation entitled to vote at the meeting to which the proposal is to be presented.</w:t>
      </w:r>
    </w:p>
    <w:p>
      <w:pPr>
        <w:spacing w:after="0" w:line="15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Investment Canada Act requires that a non-Canadian must file an application for review with the Minister responsible for the Investment Canada Act and obtain approval of the Minister prior to acquiring control of a “Canadian business” within the meaning of the Investment Canada Act, where prescribed financial thresholds are exceeded. Furthermore, limitations on the ability to acquire and hold our common shares may be imposed by the Competition Act (Canada). This legislation permits the Commissioner of Competition, or Commissioner, to review any acquisition or establishment, directly or indirectly, including through the acquisition of shares, of control over or of a significant interest in our company. Otherwise, there are no limitations either under the laws of Canada or Québec, or in our articles on the rights of non-Canadians to hold or vote our common shares.</w:t>
      </w:r>
    </w:p>
    <w:p>
      <w:pPr>
        <w:spacing w:after="0" w:line="164"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Any of these provisions may discourage a potential acquirer from proposing or completing a transaction that may have otherwise presented a premium to our shareholders.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459"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w:t>
      </w:r>
    </w:p>
    <w:p>
      <w:pPr>
        <w:spacing w:after="0" w:line="164"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known and unknown risks, uncertainties and assumptions, including risks described in the section titled “Risk Factors” and elsewhere in this prospectus, regarding, among other things:</w:t>
      </w:r>
    </w:p>
    <w:p>
      <w:pPr>
        <w:spacing w:after="0" w:line="92" w:lineRule="exact"/>
        <w:rPr>
          <w:sz w:val="20"/>
          <w:szCs w:val="20"/>
          <w:color w:val="auto"/>
        </w:rPr>
      </w:pPr>
    </w:p>
    <w:p>
      <w:pPr>
        <w:ind w:left="1000" w:right="80" w:hanging="547"/>
        <w:spacing w:after="0" w:line="308" w:lineRule="auto"/>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current and future preclinical studies and clinical trials and related preparatory work and the period during which the results of the trials will become available, as well as our research and development programs;</w:t>
      </w:r>
    </w:p>
    <w:p>
      <w:pPr>
        <w:spacing w:after="0" w:line="51" w:lineRule="exact"/>
        <w:rPr>
          <w:rFonts w:ascii="Arial" w:cs="Arial" w:eastAsia="Arial" w:hAnsi="Arial"/>
          <w:sz w:val="17"/>
          <w:szCs w:val="17"/>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obtain regulatory approval of RP-3500 and any of our current and future product candidates that we develop;</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using our SNIPRx platform;</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business disruptions affecting the initiation, patient enrollment, development and operation of our clinical trials, including a public health emergency, such as the recent global outbreak of the COVID-19 coronavirus;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expectations regarding the potential market size and the rate and degree of market acceptance for any product candidates that we develop;</w:t>
      </w:r>
    </w:p>
    <w:p>
      <w:pPr>
        <w:spacing w:after="0" w:line="153" w:lineRule="exact"/>
        <w:rPr>
          <w:rFonts w:ascii="Arial" w:cs="Arial" w:eastAsia="Arial" w:hAnsi="Arial"/>
          <w:sz w:val="16"/>
          <w:szCs w:val="16"/>
          <w:color w:val="auto"/>
        </w:rPr>
      </w:pPr>
    </w:p>
    <w:p>
      <w:pPr>
        <w:ind w:left="1000" w:right="120" w:hanging="547"/>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effects of competition with respect to RP-3500 or any of our other current or future product candidates, as well as innovations by current and future competitors in our industry;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maintain and enforce for intellectual property rights covering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financial performance and our ability to effectively manage our anticipated growth;</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obtain additional funding for our operations and our expected use of proceeds from this offering;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section titled “Risk Factors.”</w:t>
      </w:r>
    </w:p>
    <w:p>
      <w:pPr>
        <w:spacing w:after="0" w:line="225"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The foregoing list of risks is not exhaustive. Other sections of this prospectus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320" w:top="459" w:right="3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In light of the significant uncertainties in these forward-looking statements, you should not rely upon forward-looking statements as predictions of future events.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You should refer to the section titled “Risk Factors”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 The Private Securities Litigation Reform Act of 1995 and Section 27A of the Securities Act of 1933, as amended, do not protect any forward-looking statements that we make in connection with this offering.</w:t>
      </w:r>
    </w:p>
    <w:p>
      <w:pPr>
        <w:spacing w:after="0" w:line="178"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forward-looking statements in this prospectus by these cautionary statements.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Certain market and industry data included in this prospectus were obtained from independent third-party surveys, market research, publicly available information, reports of governmental agencies and industry publications and surveys. All market and industry data used in this prospectus involve a number of assumptions and limitations, and you are cautioned not to give undue weight to such estimates. Although we are responsible for the disclosure contained in this prospectus and we believe the information from industry publications and other third-party sources included in this prospectus is reliable, such information is inherently imprecise. The industry in which we operate is subject to a high degree of uncertainty and risk due to a variety of factors, including those described in the section titled “Risk Factors.” These and other factors could cause results to differ materially from those expressed in the estimates made by the independent parties and by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459"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560" w:firstLine="449"/>
        <w:spacing w:after="0" w:line="274" w:lineRule="auto"/>
        <w:rPr>
          <w:sz w:val="20"/>
          <w:szCs w:val="20"/>
          <w:color w:val="auto"/>
        </w:rPr>
      </w:pPr>
      <w:r>
        <w:rPr>
          <w:rFonts w:ascii="Arial" w:cs="Arial" w:eastAsia="Arial" w:hAnsi="Arial"/>
          <w:sz w:val="17"/>
          <w:szCs w:val="17"/>
          <w:color w:val="auto"/>
        </w:rPr>
        <w:t>We estimate that the net proceeds to us from this offering will be approximately $ million (or approximately $ million if the underwriters exercise in full their option to purchase up to $ additional common shares), based on an assumed initial public offering price of</w:t>
      </w:r>
    </w:p>
    <w:p>
      <w:pPr>
        <w:ind w:right="800" w:firstLine="8"/>
        <w:spacing w:after="0" w:line="260" w:lineRule="auto"/>
        <w:tabs>
          <w:tab w:leader="none" w:pos="6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 share, the midpoint of the price range set forth on the cover page of this prospectus, after deducting estimated underwriting fees and commissions and estimated offering expenses payable by us.</w:t>
      </w:r>
    </w:p>
    <w:p>
      <w:pPr>
        <w:spacing w:after="0" w:line="185" w:lineRule="exact"/>
        <w:rPr>
          <w:sz w:val="20"/>
          <w:szCs w:val="20"/>
          <w:color w:val="auto"/>
        </w:rPr>
      </w:pPr>
    </w:p>
    <w:p>
      <w:pPr>
        <w:ind w:right="360" w:firstLine="449"/>
        <w:spacing w:after="0" w:line="274" w:lineRule="auto"/>
        <w:rPr>
          <w:sz w:val="20"/>
          <w:szCs w:val="20"/>
          <w:color w:val="auto"/>
        </w:rPr>
      </w:pPr>
      <w:r>
        <w:rPr>
          <w:rFonts w:ascii="Arial" w:cs="Arial" w:eastAsia="Arial" w:hAnsi="Arial"/>
          <w:sz w:val="17"/>
          <w:szCs w:val="17"/>
          <w:color w:val="auto"/>
        </w:rPr>
        <w:t>Each $1.00 increase or decrease in the assumed initial public offering price of $ per share, the midpoint of the price range set forth on the cover page of this prospectus, would increase or decrease the net proceeds to us from this offering by $ million, assuming that the number of</w:t>
      </w:r>
    </w:p>
    <w:p>
      <w:pPr>
        <w:ind w:right="80"/>
        <w:spacing w:after="0" w:line="281" w:lineRule="auto"/>
        <w:rPr>
          <w:sz w:val="20"/>
          <w:szCs w:val="20"/>
          <w:color w:val="auto"/>
        </w:rPr>
      </w:pPr>
      <w:r>
        <w:rPr>
          <w:rFonts w:ascii="Arial" w:cs="Arial" w:eastAsia="Arial" w:hAnsi="Arial"/>
          <w:sz w:val="16"/>
          <w:szCs w:val="16"/>
          <w:color w:val="auto"/>
        </w:rPr>
        <w:t>common shares offered by us, as set forth on the cover page of this prospectus, remains the same and after deducting the estimated underwriting fees and commissions and estimated offering expenses payable by us. Similarly, each increase or decrease of 1,000,000 in the number of common shares offered by</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us, as set forth on the cover of this prospectus, would increase or decrease the net proceeds to us by $ million, assuming the assumed initial public offering price per share remains the same and after deducting the estimated underwriting fees and commissions and estimated offering expenses payable by us.</w:t>
      </w:r>
    </w:p>
    <w:p>
      <w:pPr>
        <w:spacing w:after="0" w:line="190"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As of March 31, 2020, we had cash of $83.7 million. In May 2020, we entered into a collaboration and license agreement with Bristol Myers Squibb, pursuant to which Bristol Myers Squibb agreed to pay us an initial upfront fee payment of $50 million, as well as to make an equity investment of $15 million in our company. We currently intend to use the net proceeds from this offering, together with our existing cash, as follows:</w:t>
      </w:r>
    </w:p>
    <w:p>
      <w:pPr>
        <w:spacing w:after="0" w:line="71" w:lineRule="exact"/>
        <w:rPr>
          <w:sz w:val="20"/>
          <w:szCs w:val="20"/>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advance clinical development of RP-3500;</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continued development of our preclinical programs;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remainder to fund working capital and other general corporate purposes.</w:t>
      </w:r>
    </w:p>
    <w:p>
      <w:pPr>
        <w:spacing w:after="0" w:line="225"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Based on our planned use of the net proceeds from this offering and our existing cash, including the $65.0 million payment Bristol Myers Squibb has agreed to pay us in connection with our entry into the collaboration and license agreement, we estimate that such funds will be sufficient to fund our</w:t>
      </w:r>
    </w:p>
    <w:p>
      <w:pPr>
        <w:ind w:right="60"/>
        <w:spacing w:after="0" w:line="253" w:lineRule="auto"/>
        <w:rPr>
          <w:sz w:val="20"/>
          <w:szCs w:val="20"/>
          <w:color w:val="auto"/>
        </w:rPr>
      </w:pPr>
      <w:r>
        <w:rPr>
          <w:rFonts w:ascii="Arial" w:cs="Arial" w:eastAsia="Arial" w:hAnsi="Arial"/>
          <w:sz w:val="18"/>
          <w:szCs w:val="18"/>
          <w:color w:val="auto"/>
        </w:rPr>
        <w:t>operating expenses and capital expenditure requirements at least through . We have based this estimate on assumptions that may prove to be wrong, and we could use our available capital resources sooner than we expect. The expected net proceeds from this offering, together with our existing cash, will not be sufficient for us to fund any of our drug candidates through regulatory approval, and we will need to raise additional capital to complete the development and commercialization of our product candidates.</w:t>
      </w:r>
    </w:p>
    <w:p>
      <w:pPr>
        <w:spacing w:after="0" w:line="193"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This expected use of the net proceeds from this offering represents our intentions based upon our current plans and prevailing business conditions, which could change in the future as such plans and conditions evolve. Predicting the cost necessary to develop product candidates can be difficult, and the amounts and timing of our actual expenditures may vary significantly depending on numerous factors, including the progress of our development, the status of and results from preclinical studies and clinical trials, any collaborations that we may enter into with third parties and any unforeseen cash needs. As a result, our management will retain broad discretion over the allocation of the net proceeds from this offering.</w:t>
      </w:r>
    </w:p>
    <w:p>
      <w:pPr>
        <w:spacing w:after="0" w:line="176"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We may also use a portion of the remaining net proceeds to in-license, acquire or invest in complementary businesses, technologies, products or assets. However, we have no current commitments or obligations to do so.</w:t>
      </w:r>
    </w:p>
    <w:p>
      <w:pPr>
        <w:spacing w:after="0" w:line="170"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Pending the use of the net proceeds from this offering as described above, we intend to invest the net proceeds in a variety of capital preservation instruments, including bank deposits, short-term, interest-bearing obligations, investment-grade instruments, certificates of deposit or direct or guaranteed United States or Canadian government obligations.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459"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have never declared or paid cash dividends on our share capital, and we do not currently intend to pay any cash dividends on our share capital in the foreseeable future. We currently intend to retain all available funds and any future earnings, if any, to fund the development and expansion of our business. Any future determination related to dividend policy will be made at the discretion of our board of directors, subject to applicable laws, and will depend upon, among other factors, our results of operations, financial condition, contractual restrictions and capital requirements. In addition, our ability to pay cash dividends on our share capital in the future may be limited by the terms of any future debt or preferred securities we issue or any credit facilities we enter into.</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320" w:top="459" w:right="3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our capitalization as of March 31, 2020 on:</w:t>
      </w:r>
    </w:p>
    <w:p>
      <w:pPr>
        <w:spacing w:after="0" w:line="131" w:lineRule="exact"/>
        <w:rPr>
          <w:sz w:val="20"/>
          <w:szCs w:val="20"/>
          <w:color w:val="auto"/>
        </w:rPr>
      </w:pPr>
    </w:p>
    <w:p>
      <w:pPr>
        <w:ind w:left="1000" w:hanging="54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1000" w:right="200" w:hanging="547"/>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pro forma basis, giving effect to the conversion of all outstanding preferred shares into an aggregate of 130,686,975 common shares upon the completion of this offering; and</w:t>
      </w:r>
    </w:p>
    <w:p>
      <w:pPr>
        <w:sectPr>
          <w:pgSz w:w="11900" w:h="16838" w:orient="portrait"/>
          <w:cols w:equalWidth="0" w:num="1">
            <w:col w:w="11240"/>
          </w:cols>
          <w:pgMar w:left="320" w:top="459" w:right="339" w:bottom="1440" w:gutter="0" w:footer="0" w:header="0"/>
        </w:sectPr>
      </w:pPr>
    </w:p>
    <w:p>
      <w:pPr>
        <w:spacing w:after="0" w:line="7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 pro forma as adjusted basis, giving further effect to: (i) the sale of common shares in this offering at an assumed initial public offering price of $ per share, the midpoint of the price range set forth on the cover page of this prospectus, after deducting estimated underwriting fees and commissions and estimated offering expenses payable by us; (ii) the issuance of a warrant to an affiliate of Bristol Myers Squibb on May 26, 2020 for proceeds of $15 million and the automatic exercise of the warrant into an aggregate of common shares, based on an assumed initial public offering price of $ per share, the midpoint of the price range set forth on the cover page of this prospectus, and excluding the $50 million upfront payment receivable from Bristol Myers Squibb pursuant to the collaboration and license agreement entered into in May 2020; and (iii) the filing and effectiveness of our articles of continuance.</w:t>
      </w:r>
    </w:p>
    <w:p>
      <w:pPr>
        <w:spacing w:after="0" w:line="177" w:lineRule="exact"/>
        <w:rPr>
          <w:sz w:val="20"/>
          <w:szCs w:val="20"/>
          <w:color w:val="auto"/>
        </w:rPr>
      </w:pPr>
    </w:p>
    <w:p>
      <w:pPr>
        <w:sectPr>
          <w:pgSz w:w="11900" w:h="16838" w:orient="portrait"/>
          <w:cols w:equalWidth="0" w:num="2">
            <w:col w:w="520" w:space="480"/>
            <w:col w:w="10240"/>
          </w:cols>
          <w:pgMar w:left="320" w:top="459" w:right="339" w:bottom="1440" w:gutter="0" w:footer="0" w:header="0"/>
          <w:type w:val="continuous"/>
        </w:sectPr>
      </w:pPr>
    </w:p>
    <w:p>
      <w:pPr>
        <w:ind w:right="160" w:firstLine="449"/>
        <w:spacing w:after="0" w:line="259" w:lineRule="auto"/>
        <w:rPr>
          <w:sz w:val="20"/>
          <w:szCs w:val="20"/>
          <w:color w:val="auto"/>
        </w:rPr>
      </w:pPr>
      <w:r>
        <w:rPr>
          <w:rFonts w:ascii="Arial" w:cs="Arial" w:eastAsia="Arial" w:hAnsi="Arial"/>
          <w:sz w:val="18"/>
          <w:szCs w:val="18"/>
          <w:color w:val="auto"/>
        </w:rPr>
        <w:t>Our capitalization following the closing of this offering will depend on the actual initial public offering price and other terms of this offering determined at pricing. You should read this table together with the sections titled “Selected Consolidated Financial Data,” “Management’s Discussion and Analysis of Financial Condition and Results of Operations” and our consolidated financial statements and the related notes included elsewhere in this prospectus.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AS OF MARCH 31, 2020</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PRO</w:t>
            </w:r>
          </w:p>
        </w:tc>
        <w:tc>
          <w:tcPr>
            <w:tcW w:w="14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48"/>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thousands, except share and per share amounts)</w:t>
            </w:r>
          </w:p>
        </w:tc>
        <w:tc>
          <w:tcPr>
            <w:tcW w:w="64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ACTUAL</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AS</w:t>
            </w:r>
          </w:p>
        </w:tc>
        <w:tc>
          <w:tcPr>
            <w:tcW w:w="0" w:type="dxa"/>
            <w:vAlign w:val="bottom"/>
          </w:tcPr>
          <w:p>
            <w:pPr>
              <w:spacing w:after="0"/>
              <w:rPr>
                <w:sz w:val="1"/>
                <w:szCs w:val="1"/>
                <w:color w:val="auto"/>
              </w:rPr>
            </w:pPr>
          </w:p>
        </w:tc>
      </w:tr>
      <w:tr>
        <w:trPr>
          <w:trHeight w:val="178"/>
        </w:trPr>
        <w:tc>
          <w:tcPr>
            <w:tcW w:w="3160" w:type="dxa"/>
            <w:vAlign w:val="bottom"/>
            <w:tcBorders>
              <w:bottom w:val="single" w:sz="8" w:color="auto"/>
            </w:tcBorders>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04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gridSpan w:val="3"/>
          </w:tcPr>
          <w:p>
            <w:pPr>
              <w:jc w:val="right"/>
              <w:ind w:right="600"/>
              <w:spacing w:after="0" w:line="158" w:lineRule="exact"/>
              <w:rPr>
                <w:sz w:val="20"/>
                <w:szCs w:val="20"/>
                <w:color w:val="auto"/>
              </w:rPr>
            </w:pPr>
            <w:r>
              <w:rPr>
                <w:rFonts w:ascii="Arial" w:cs="Arial" w:eastAsia="Arial" w:hAnsi="Arial"/>
                <w:sz w:val="14"/>
                <w:szCs w:val="14"/>
                <w:b w:val="1"/>
                <w:bCs w:val="1"/>
                <w:color w:val="auto"/>
              </w:rPr>
              <w:t>FORMA</w:t>
            </w:r>
          </w:p>
        </w:tc>
        <w:tc>
          <w:tcPr>
            <w:tcW w:w="10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 xml:space="preserve">ADJUSTED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03"/>
        </w:trPr>
        <w:tc>
          <w:tcPr>
            <w:tcW w:w="3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w:t>
            </w:r>
          </w:p>
        </w:tc>
        <w:tc>
          <w:tcPr>
            <w:tcW w:w="4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83,711</w:t>
            </w: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83,711</w:t>
            </w: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40" w:type="dxa"/>
            <w:vAlign w:val="bottom"/>
            <w:gridSpan w:val="3"/>
            <w:vMerge w:val="restart"/>
          </w:tcPr>
          <w:p>
            <w:pPr>
              <w:spacing w:after="0"/>
              <w:rPr>
                <w:sz w:val="20"/>
                <w:szCs w:val="20"/>
                <w:color w:val="auto"/>
              </w:rPr>
            </w:pPr>
            <w:r>
              <w:rPr>
                <w:rFonts w:ascii="Arial" w:cs="Arial" w:eastAsia="Arial" w:hAnsi="Arial"/>
                <w:sz w:val="18"/>
                <w:szCs w:val="18"/>
                <w:color w:val="auto"/>
                <w:w w:val="98"/>
              </w:rPr>
              <w:t>Series A preferred shares, no par value, unlimited shares authorized; 67,228,395 shares issued and</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3"/>
          </w:tcPr>
          <w:p>
            <w:pPr>
              <w:ind w:left="180"/>
              <w:spacing w:after="0"/>
              <w:rPr>
                <w:sz w:val="20"/>
                <w:szCs w:val="20"/>
                <w:color w:val="auto"/>
              </w:rPr>
            </w:pPr>
            <w:r>
              <w:rPr>
                <w:rFonts w:ascii="Arial" w:cs="Arial" w:eastAsia="Arial" w:hAnsi="Arial"/>
                <w:sz w:val="18"/>
                <w:szCs w:val="18"/>
                <w:color w:val="auto"/>
              </w:rPr>
              <w:t>outstanding, actual; unlimited shares authorized, no shares issued or outstanding, pro forma; no</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gridSpan w:val="3"/>
          </w:tcPr>
          <w:p>
            <w:pPr>
              <w:ind w:left="180"/>
              <w:spacing w:after="0"/>
              <w:rPr>
                <w:sz w:val="20"/>
                <w:szCs w:val="20"/>
                <w:color w:val="auto"/>
              </w:rPr>
            </w:pPr>
            <w:r>
              <w:rPr>
                <w:rFonts w:ascii="Arial" w:cs="Arial" w:eastAsia="Arial" w:hAnsi="Arial"/>
                <w:sz w:val="18"/>
                <w:szCs w:val="18"/>
                <w:color w:val="auto"/>
              </w:rPr>
              <w:t>shares authorized, issued or outstanding, pro forma as adjusted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53,749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8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Series B preferred shares, no par value, unlimited shares authorized; 63,458,580 shares issued and</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outstanding, actual; unlimited shares authorized, no shares issued or outstanding, pro forma; no</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shares authorized, issued or outstanding, pro forma as adjusted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82,248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Shareholders’ (deficit) equity:</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4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shares, no par value, no shares authorized, issued and outstanding, actual and pro</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4"/>
              </w:rPr>
              <w:t>forma; unlimited shares authorized and no shares issued and outstanding, pro forma as adjusted</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840" w:type="dxa"/>
            <w:vAlign w:val="bottom"/>
            <w:gridSpan w:val="3"/>
          </w:tcPr>
          <w:p>
            <w:pPr>
              <w:ind w:left="360"/>
              <w:spacing w:after="0" w:line="201" w:lineRule="exact"/>
              <w:rPr>
                <w:sz w:val="20"/>
                <w:szCs w:val="20"/>
                <w:color w:val="auto"/>
              </w:rPr>
            </w:pPr>
            <w:r>
              <w:rPr>
                <w:rFonts w:ascii="Arial" w:cs="Arial" w:eastAsia="Arial" w:hAnsi="Arial"/>
                <w:sz w:val="18"/>
                <w:szCs w:val="18"/>
                <w:color w:val="auto"/>
              </w:rPr>
              <w:t>Common shares, no par value, unlimited shares authorized, 10,364,166 shares issued and</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3"/>
          </w:tcPr>
          <w:p>
            <w:pPr>
              <w:ind w:left="540"/>
              <w:spacing w:after="0"/>
              <w:rPr>
                <w:sz w:val="20"/>
                <w:szCs w:val="20"/>
                <w:color w:val="auto"/>
              </w:rPr>
            </w:pPr>
            <w:r>
              <w:rPr>
                <w:rFonts w:ascii="Arial" w:cs="Arial" w:eastAsia="Arial" w:hAnsi="Arial"/>
                <w:sz w:val="18"/>
                <w:szCs w:val="18"/>
                <w:color w:val="auto"/>
                <w:w w:val="97"/>
              </w:rPr>
              <w:t>outstanding, actual; unlimited shares authorized, 141,051,141 shares issued and outstanding,</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ind w:left="540"/>
              <w:spacing w:after="0"/>
              <w:rPr>
                <w:sz w:val="20"/>
                <w:szCs w:val="20"/>
                <w:color w:val="auto"/>
              </w:rPr>
            </w:pPr>
            <w:r>
              <w:rPr>
                <w:rFonts w:ascii="Arial" w:cs="Arial" w:eastAsia="Arial" w:hAnsi="Arial"/>
                <w:sz w:val="18"/>
                <w:szCs w:val="18"/>
                <w:color w:val="auto"/>
              </w:rPr>
              <w:t>pro forma; unlimited shares authorized,</w:t>
            </w:r>
          </w:p>
        </w:tc>
        <w:tc>
          <w:tcPr>
            <w:tcW w:w="4040" w:type="dxa"/>
            <w:vAlign w:val="bottom"/>
          </w:tcPr>
          <w:p>
            <w:pPr>
              <w:jc w:val="right"/>
              <w:ind w:right="410"/>
              <w:spacing w:after="0"/>
              <w:rPr>
                <w:sz w:val="20"/>
                <w:szCs w:val="20"/>
                <w:color w:val="auto"/>
              </w:rPr>
            </w:pPr>
            <w:r>
              <w:rPr>
                <w:rFonts w:ascii="Arial" w:cs="Arial" w:eastAsia="Arial" w:hAnsi="Arial"/>
                <w:sz w:val="18"/>
                <w:szCs w:val="18"/>
                <w:color w:val="auto"/>
                <w:w w:val="99"/>
              </w:rPr>
              <w:t>shares issued and outstanding, pro forma as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ind w:left="540"/>
              <w:spacing w:after="0"/>
              <w:rPr>
                <w:sz w:val="20"/>
                <w:szCs w:val="20"/>
                <w:color w:val="auto"/>
              </w:rPr>
            </w:pPr>
            <w:r>
              <w:rPr>
                <w:rFonts w:ascii="Arial" w:cs="Arial" w:eastAsia="Arial" w:hAnsi="Arial"/>
                <w:sz w:val="18"/>
                <w:szCs w:val="18"/>
                <w:color w:val="auto"/>
              </w:rPr>
              <w:t>adjusted</w:t>
            </w:r>
          </w:p>
        </w:tc>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521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136,518</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3,886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(62,542)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(62,542)</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shareholders’ (deficit) equity</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(58,135)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77,862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0" w:type="dxa"/>
            <w:vAlign w:val="bottom"/>
            <w:gridSpan w:val="2"/>
          </w:tcPr>
          <w:p>
            <w:pPr>
              <w:ind w:left="1080"/>
              <w:spacing w:after="0"/>
              <w:rPr>
                <w:sz w:val="20"/>
                <w:szCs w:val="20"/>
                <w:color w:val="auto"/>
              </w:rPr>
            </w:pPr>
            <w:r>
              <w:rPr>
                <w:rFonts w:ascii="Arial" w:cs="Arial" w:eastAsia="Arial" w:hAnsi="Arial"/>
                <w:sz w:val="18"/>
                <w:szCs w:val="18"/>
                <w:color w:val="auto"/>
              </w:rPr>
              <w:t>Total capitalization</w:t>
            </w:r>
          </w:p>
        </w:tc>
        <w:tc>
          <w:tcPr>
            <w:tcW w:w="40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77,862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77,862</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40" w:type="dxa"/>
            <w:vAlign w:val="bottom"/>
            <w:vMerge w:val="restart"/>
          </w:tcPr>
          <w:p>
            <w:pPr>
              <w:jc w:val="right"/>
              <w:ind w:right="20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886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0" w:right="60" w:hanging="459"/>
        <w:spacing w:after="0" w:line="291" w:lineRule="auto"/>
        <w:tabs>
          <w:tab w:leader="none" w:pos="440" w:val="left"/>
        </w:tabs>
        <w:rPr>
          <w:sz w:val="20"/>
          <w:szCs w:val="20"/>
          <w:color w:val="auto"/>
        </w:rPr>
      </w:pPr>
      <w:r>
        <w:rPr>
          <w:rFonts w:ascii="Arial" w:cs="Arial" w:eastAsia="Arial" w:hAnsi="Arial"/>
          <w:sz w:val="16"/>
          <w:szCs w:val="16"/>
          <w:color w:val="auto"/>
        </w:rPr>
        <w:t>(1)</w:t>
        <w:tab/>
        <w:t>Each $1.00 increase or decrease in the assumed initial public offering price of $ per share, the midpoint of the price range set forth on the cover page of this prospectus, would increase or decrease each of pro forma as adjusted cash, common shares, total shareholders’ (deficit) equity and</w:t>
      </w:r>
    </w:p>
    <w:p>
      <w:pPr>
        <w:ind w:left="460" w:right="340"/>
        <w:spacing w:after="0" w:line="281" w:lineRule="auto"/>
        <w:rPr>
          <w:sz w:val="20"/>
          <w:szCs w:val="20"/>
          <w:color w:val="auto"/>
        </w:rPr>
      </w:pPr>
      <w:r>
        <w:rPr>
          <w:rFonts w:ascii="Arial" w:cs="Arial" w:eastAsia="Arial" w:hAnsi="Arial"/>
          <w:sz w:val="16"/>
          <w:szCs w:val="16"/>
          <w:color w:val="auto"/>
        </w:rPr>
        <w:t>total capitalization by $ million, assuming that the number of common shares offered by us, as set forth on the cover page of this prospectus, remains the same and after deducting estimated underwriting fees and commissions and estimated offering expenses payable by us. Similarly, each increase or decrease of 1,000,000 in the number of common shares offered by us would increase or decrease each of pro forma as</w:t>
      </w:r>
    </w:p>
    <w:p>
      <w:pPr>
        <w:spacing w:after="0" w:line="2" w:lineRule="exact"/>
        <w:rPr>
          <w:sz w:val="20"/>
          <w:szCs w:val="20"/>
          <w:color w:val="auto"/>
        </w:rPr>
      </w:pPr>
    </w:p>
    <w:p>
      <w:pPr>
        <w:ind w:left="460" w:right="120"/>
        <w:spacing w:after="0" w:line="323" w:lineRule="auto"/>
        <w:rPr>
          <w:sz w:val="20"/>
          <w:szCs w:val="20"/>
          <w:color w:val="auto"/>
        </w:rPr>
      </w:pPr>
      <w:r>
        <w:rPr>
          <w:rFonts w:ascii="Arial" w:cs="Arial" w:eastAsia="Arial" w:hAnsi="Arial"/>
          <w:sz w:val="16"/>
          <w:szCs w:val="16"/>
          <w:color w:val="auto"/>
        </w:rPr>
        <w:t>adjusted cash, common shares, total shareholders’ (deficit) equity and total capitalization by $ million, assuming that the assumed initial public offering price remains the same and after deducting estimated underwriting fees and commissions and estimated offering expenses payable by us.</w:t>
      </w:r>
    </w:p>
    <w:p>
      <w:pPr>
        <w:spacing w:after="0" w:line="138"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The number of common shares outstanding after this offering is based on common shares outstanding as of March 31, 2020, which gives effect to (i) the conversion of all outstanding preferred shares into an aggregate of 130,686,975 common shares and (ii) the automatic exercise of the</w:t>
      </w:r>
    </w:p>
    <w:p>
      <w:pPr>
        <w:spacing w:after="0"/>
        <w:tabs>
          <w:tab w:leader="none" w:pos="6020" w:val="left"/>
        </w:tabs>
        <w:rPr>
          <w:sz w:val="20"/>
          <w:szCs w:val="20"/>
          <w:color w:val="auto"/>
        </w:rPr>
      </w:pPr>
      <w:r>
        <w:rPr>
          <w:rFonts w:ascii="Arial" w:cs="Arial" w:eastAsia="Arial" w:hAnsi="Arial"/>
          <w:sz w:val="18"/>
          <w:szCs w:val="18"/>
          <w:color w:val="auto"/>
        </w:rPr>
        <w:t>warrant held by an affiliate of Bristol Myers Squibb into an aggregate of</w:t>
      </w:r>
      <w:r>
        <w:rPr>
          <w:sz w:val="20"/>
          <w:szCs w:val="20"/>
          <w:color w:val="auto"/>
        </w:rPr>
        <w:tab/>
      </w:r>
      <w:r>
        <w:rPr>
          <w:rFonts w:ascii="Arial" w:cs="Arial" w:eastAsia="Arial" w:hAnsi="Arial"/>
          <w:sz w:val="16"/>
          <w:szCs w:val="16"/>
          <w:color w:val="auto"/>
        </w:rPr>
        <w:t>common shares, based on an assumed initial public offering price of</w:t>
      </w:r>
    </w:p>
    <w:p>
      <w:pPr>
        <w:spacing w:after="0" w:line="9" w:lineRule="exact"/>
        <w:rPr>
          <w:sz w:val="20"/>
          <w:szCs w:val="20"/>
          <w:color w:val="auto"/>
        </w:rPr>
      </w:pPr>
    </w:p>
    <w:p>
      <w:pPr>
        <w:ind w:right="100" w:firstLine="8"/>
        <w:spacing w:after="0" w:line="260" w:lineRule="auto"/>
        <w:tabs>
          <w:tab w:leader="none" w:pos="6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 share, the midpoint of the price range set forth on the cover page of this prospectus, in each case effected immediately prior to the completion of this offering, and excludes:</w:t>
      </w:r>
    </w:p>
    <w:p>
      <w:pPr>
        <w:spacing w:after="0" w:line="90" w:lineRule="exact"/>
        <w:rPr>
          <w:rFonts w:ascii="Arial" w:cs="Arial" w:eastAsia="Arial" w:hAnsi="Arial"/>
          <w:sz w:val="18"/>
          <w:szCs w:val="18"/>
          <w:color w:val="auto"/>
        </w:rPr>
      </w:pPr>
    </w:p>
    <w:p>
      <w:pPr>
        <w:ind w:left="1000" w:right="180" w:hanging="547"/>
        <w:spacing w:after="0" w:line="277" w:lineRule="auto"/>
        <w:tabs>
          <w:tab w:leader="none" w:pos="10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20,148,992 common shares issuable upon the exercise of outstanding options as of March 31, 2020, at a weighted-average exercise price of $0.34 per share;</w:t>
      </w:r>
    </w:p>
    <w:p>
      <w:pPr>
        <w:spacing w:after="0" w:line="75" w:lineRule="exact"/>
        <w:rPr>
          <w:rFonts w:ascii="Arial" w:cs="Arial" w:eastAsia="Arial" w:hAnsi="Arial"/>
          <w:sz w:val="18"/>
          <w:szCs w:val="18"/>
          <w:color w:val="auto"/>
        </w:rPr>
      </w:pPr>
    </w:p>
    <w:p>
      <w:pPr>
        <w:ind w:left="1000" w:right="100" w:hanging="547"/>
        <w:spacing w:after="0" w:line="308" w:lineRule="auto"/>
        <w:tabs>
          <w:tab w:leader="none" w:pos="1000" w:val="left"/>
        </w:tabs>
        <w:numPr>
          <w:ilvl w:val="1"/>
          <w:numId w:val="61"/>
        </w:numPr>
        <w:rPr>
          <w:rFonts w:ascii="Arial" w:cs="Arial" w:eastAsia="Arial" w:hAnsi="Arial"/>
          <w:sz w:val="17"/>
          <w:szCs w:val="17"/>
          <w:color w:val="auto"/>
        </w:rPr>
      </w:pPr>
      <w:r>
        <w:rPr>
          <w:rFonts w:ascii="Arial" w:cs="Arial" w:eastAsia="Arial" w:hAnsi="Arial"/>
          <w:sz w:val="17"/>
          <w:szCs w:val="17"/>
          <w:color w:val="auto"/>
        </w:rPr>
        <w:t>3,449,250 common shares reserved for future issuance under our Existing Plan as of March 31, 2020, which shares will cease to be available for future issuance immediately prior to the time that our 2020 Plan becomes effective in connection with this offering;</w:t>
      </w:r>
    </w:p>
    <w:p>
      <w:pPr>
        <w:spacing w:after="0" w:line="51" w:lineRule="exact"/>
        <w:rPr>
          <w:rFonts w:ascii="Arial" w:cs="Arial" w:eastAsia="Arial" w:hAnsi="Arial"/>
          <w:sz w:val="17"/>
          <w:szCs w:val="17"/>
          <w:color w:val="auto"/>
        </w:rPr>
      </w:pPr>
    </w:p>
    <w:p>
      <w:pPr>
        <w:jc w:val="both"/>
        <w:ind w:left="1000" w:right="140" w:hanging="547"/>
        <w:spacing w:after="0" w:line="263" w:lineRule="auto"/>
        <w:tabs>
          <w:tab w:leader="none" w:pos="1765"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common shares reserved for future issuance under our 2020 Plan, which will become effective immediately prior to the execution of the underwriting agreement related to this offering, as well as any future increases in the number of common shares reserved for issuance under our 2020 Plan; and</w:t>
      </w:r>
    </w:p>
    <w:p>
      <w:pPr>
        <w:spacing w:after="0" w:line="89" w:lineRule="exact"/>
        <w:rPr>
          <w:rFonts w:ascii="Arial" w:cs="Arial" w:eastAsia="Arial" w:hAnsi="Arial"/>
          <w:sz w:val="18"/>
          <w:szCs w:val="18"/>
          <w:color w:val="auto"/>
        </w:rPr>
      </w:pPr>
    </w:p>
    <w:p>
      <w:pPr>
        <w:ind w:left="1000" w:hanging="547"/>
        <w:spacing w:after="0" w:line="263" w:lineRule="auto"/>
        <w:tabs>
          <w:tab w:leader="none" w:pos="1765"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common shares reserved for future issuance under our ESPP, which will become effective immediately prior to the execution of the underwriting agreement related to this offering, as well as any future increases in the number of common shares reserved for issuance under our ESPP.</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45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40" w:firstLine="449"/>
        <w:spacing w:after="0" w:line="342" w:lineRule="auto"/>
        <w:rPr>
          <w:sz w:val="20"/>
          <w:szCs w:val="20"/>
          <w:color w:val="auto"/>
        </w:rPr>
      </w:pPr>
      <w:r>
        <w:rPr>
          <w:rFonts w:ascii="Arial" w:cs="Arial" w:eastAsia="Arial" w:hAnsi="Arial"/>
          <w:sz w:val="16"/>
          <w:szCs w:val="16"/>
          <w:color w:val="auto"/>
        </w:rPr>
        <w:t>If you invest in our common shares in this offering, your ownership interest will be diluted immediately to the extent of the difference between the initial public offering price per common share and the pro forma as adjusted net tangible book value per common share after this offering.</w:t>
      </w:r>
    </w:p>
    <w:p>
      <w:pPr>
        <w:spacing w:after="0" w:line="12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Our historical net tangible book deficit as of March 31, 2020 was $58.1 million, or ($5.61) per common share. Our historical net tangible book deficit represents our total tangible assets less total liabilities and preferred shares. Historical net tangible book deficit per share is our historical net tangible book deficit divided by the number of common shares outstanding as of March 31, 2020.</w:t>
      </w:r>
    </w:p>
    <w:p>
      <w:pPr>
        <w:spacing w:after="0" w:line="184"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Our pro forma net tangible book value as of March 31, 2020 was $77.8 million, or $0.55 per common share, which gives effect to the conversion of all outstanding preferred shares into an aggregate of 130,686,975 common shares immediately prior to the completion of this offering. Pro forma net tangible book value per share is our pro forma net tangible book value divided by the number of common shares deemed to be outstanding as of March 31, 2020.</w:t>
      </w:r>
    </w:p>
    <w:p>
      <w:pPr>
        <w:spacing w:after="0" w:line="187" w:lineRule="exact"/>
        <w:rPr>
          <w:sz w:val="20"/>
          <w:szCs w:val="20"/>
          <w:color w:val="auto"/>
        </w:rPr>
      </w:pPr>
    </w:p>
    <w:p>
      <w:pPr>
        <w:ind w:right="200" w:firstLine="449"/>
        <w:spacing w:after="0" w:line="287" w:lineRule="auto"/>
        <w:rPr>
          <w:sz w:val="20"/>
          <w:szCs w:val="20"/>
          <w:color w:val="auto"/>
        </w:rPr>
      </w:pPr>
      <w:r>
        <w:rPr>
          <w:rFonts w:ascii="Arial" w:cs="Arial" w:eastAsia="Arial" w:hAnsi="Arial"/>
          <w:sz w:val="16"/>
          <w:szCs w:val="16"/>
          <w:color w:val="auto"/>
        </w:rPr>
        <w:t>After giving further effect to (i) the sale of common shares in this offering at an assumed initial public offering price of $ per share, the midpoint of the price range set forth on the cover page of this prospectus, and after deducting the estimated underwriting fees and commissions and estimated offering expenses payable by us, and (ii) the automatic exercise of the warrant held by an affiliate of Bristol Myers Squibb into an aggregate of</w:t>
      </w:r>
    </w:p>
    <w:tbl>
      <w:tblPr>
        <w:tblLayout w:type="fixed"/>
        <w:tblInd w:w="0" w:type="dxa"/>
        <w:tblCellMar>
          <w:top w:w="0" w:type="dxa"/>
          <w:left w:w="0" w:type="dxa"/>
          <w:bottom w:w="0" w:type="dxa"/>
          <w:right w:w="0" w:type="dxa"/>
        </w:tblCellMar>
      </w:tblPr>
      <w:tr>
        <w:trPr>
          <w:trHeight w:val="204"/>
        </w:trPr>
        <w:tc>
          <w:tcPr>
            <w:tcW w:w="6280" w:type="dxa"/>
            <w:vAlign w:val="bottom"/>
            <w:gridSpan w:val="3"/>
          </w:tcPr>
          <w:p>
            <w:pPr>
              <w:ind w:left="780"/>
              <w:spacing w:after="0" w:line="204" w:lineRule="exact"/>
              <w:rPr>
                <w:sz w:val="20"/>
                <w:szCs w:val="20"/>
                <w:color w:val="auto"/>
              </w:rPr>
            </w:pPr>
            <w:r>
              <w:rPr>
                <w:rFonts w:ascii="Arial" w:cs="Arial" w:eastAsia="Arial" w:hAnsi="Arial"/>
                <w:sz w:val="18"/>
                <w:szCs w:val="18"/>
                <w:color w:val="auto"/>
                <w:w w:val="98"/>
              </w:rPr>
              <w:t>common shares, based on an assumed initial public offering price of $</w:t>
            </w:r>
          </w:p>
        </w:tc>
        <w:tc>
          <w:tcPr>
            <w:tcW w:w="4960" w:type="dxa"/>
            <w:vAlign w:val="bottom"/>
            <w:gridSpan w:val="8"/>
          </w:tcPr>
          <w:p>
            <w:pPr>
              <w:jc w:val="right"/>
              <w:ind w:right="300"/>
              <w:spacing w:after="0" w:line="204" w:lineRule="exact"/>
              <w:rPr>
                <w:sz w:val="20"/>
                <w:szCs w:val="20"/>
                <w:color w:val="auto"/>
              </w:rPr>
            </w:pPr>
            <w:r>
              <w:rPr>
                <w:rFonts w:ascii="Arial" w:cs="Arial" w:eastAsia="Arial" w:hAnsi="Arial"/>
                <w:sz w:val="18"/>
                <w:szCs w:val="18"/>
                <w:color w:val="auto"/>
                <w:w w:val="92"/>
              </w:rPr>
              <w:t>per share, the midpoint of the price range set forth on the cover</w:t>
            </w:r>
          </w:p>
        </w:tc>
      </w:tr>
      <w:tr>
        <w:trPr>
          <w:trHeight w:val="216"/>
        </w:trPr>
        <w:tc>
          <w:tcPr>
            <w:tcW w:w="8840" w:type="dxa"/>
            <w:vAlign w:val="bottom"/>
            <w:gridSpan w:val="5"/>
          </w:tcPr>
          <w:p>
            <w:pPr>
              <w:spacing w:after="0"/>
              <w:rPr>
                <w:sz w:val="20"/>
                <w:szCs w:val="20"/>
                <w:color w:val="auto"/>
              </w:rPr>
            </w:pPr>
            <w:r>
              <w:rPr>
                <w:rFonts w:ascii="Arial" w:cs="Arial" w:eastAsia="Arial" w:hAnsi="Arial"/>
                <w:sz w:val="18"/>
                <w:szCs w:val="18"/>
                <w:color w:val="auto"/>
                <w:w w:val="95"/>
              </w:rPr>
              <w:t>page of this prospectus, our pro forma as adjusted net tangible book value as of March 31, 2020 would have been $</w:t>
            </w: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w w:val="99"/>
              </w:rPr>
              <w:t>million, or $</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per share.</w:t>
            </w:r>
          </w:p>
        </w:tc>
      </w:tr>
      <w:tr>
        <w:trPr>
          <w:trHeight w:val="216"/>
        </w:trPr>
        <w:tc>
          <w:tcPr>
            <w:tcW w:w="6900" w:type="dxa"/>
            <w:vAlign w:val="bottom"/>
            <w:gridSpan w:val="4"/>
          </w:tcPr>
          <w:p>
            <w:pPr>
              <w:spacing w:after="0"/>
              <w:rPr>
                <w:sz w:val="20"/>
                <w:szCs w:val="20"/>
                <w:color w:val="auto"/>
              </w:rPr>
            </w:pPr>
            <w:r>
              <w:rPr>
                <w:rFonts w:ascii="Arial" w:cs="Arial" w:eastAsia="Arial" w:hAnsi="Arial"/>
                <w:sz w:val="18"/>
                <w:szCs w:val="18"/>
                <w:color w:val="auto"/>
                <w:w w:val="93"/>
              </w:rPr>
              <w:t>This represents an immediate increase in pro forma as adjusted net tangible book value of $</w:t>
            </w:r>
          </w:p>
        </w:tc>
        <w:tc>
          <w:tcPr>
            <w:tcW w:w="4340" w:type="dxa"/>
            <w:vAlign w:val="bottom"/>
            <w:gridSpan w:val="7"/>
          </w:tcPr>
          <w:p>
            <w:pPr>
              <w:jc w:val="right"/>
              <w:ind w:right="40"/>
              <w:spacing w:after="0"/>
              <w:rPr>
                <w:sz w:val="20"/>
                <w:szCs w:val="20"/>
                <w:color w:val="auto"/>
              </w:rPr>
            </w:pPr>
            <w:r>
              <w:rPr>
                <w:rFonts w:ascii="Arial" w:cs="Arial" w:eastAsia="Arial" w:hAnsi="Arial"/>
                <w:sz w:val="18"/>
                <w:szCs w:val="18"/>
                <w:color w:val="auto"/>
                <w:w w:val="95"/>
              </w:rPr>
              <w:t>per share to our existing shareholders and an immediate</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dilution of $</w:t>
            </w:r>
          </w:p>
        </w:tc>
        <w:tc>
          <w:tcPr>
            <w:tcW w:w="5060" w:type="dxa"/>
            <w:vAlign w:val="bottom"/>
            <w:gridSpan w:val="2"/>
          </w:tcPr>
          <w:p>
            <w:pPr>
              <w:ind w:left="260"/>
              <w:spacing w:after="0"/>
              <w:rPr>
                <w:sz w:val="20"/>
                <w:szCs w:val="20"/>
                <w:color w:val="auto"/>
              </w:rPr>
            </w:pPr>
            <w:r>
              <w:rPr>
                <w:rFonts w:ascii="Arial" w:cs="Arial" w:eastAsia="Arial" w:hAnsi="Arial"/>
                <w:sz w:val="18"/>
                <w:szCs w:val="18"/>
                <w:color w:val="auto"/>
              </w:rPr>
              <w:t>per share to new investors participating in this offering.</w:t>
            </w:r>
          </w:p>
        </w:tc>
        <w:tc>
          <w:tcPr>
            <w:tcW w:w="6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6280" w:type="dxa"/>
            <w:vAlign w:val="bottom"/>
            <w:gridSpan w:val="3"/>
          </w:tcPr>
          <w:p>
            <w:pPr>
              <w:ind w:left="460"/>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4740" w:type="dxa"/>
            <w:vAlign w:val="bottom"/>
            <w:gridSpan w:val="2"/>
          </w:tcPr>
          <w:p>
            <w:pPr>
              <w:spacing w:after="0"/>
              <w:rPr>
                <w:sz w:val="21"/>
                <w:szCs w:val="21"/>
                <w:color w:val="auto"/>
              </w:rPr>
            </w:pP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280" w:type="dxa"/>
            <w:vAlign w:val="bottom"/>
            <w:gridSpan w:val="3"/>
          </w:tcPr>
          <w:p>
            <w:pPr>
              <w:ind w:left="360"/>
              <w:spacing w:after="0"/>
              <w:rPr>
                <w:sz w:val="20"/>
                <w:szCs w:val="20"/>
                <w:color w:val="auto"/>
              </w:rPr>
            </w:pPr>
            <w:r>
              <w:rPr>
                <w:rFonts w:ascii="Arial" w:cs="Arial" w:eastAsia="Arial" w:hAnsi="Arial"/>
                <w:sz w:val="18"/>
                <w:szCs w:val="18"/>
                <w:color w:val="auto"/>
              </w:rPr>
              <w:t>Historical net tangible book deficit per share as of March 31, 2020</w:t>
            </w: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$(5.61)</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10300" w:type="dxa"/>
            <w:vAlign w:val="bottom"/>
            <w:gridSpan w:val="8"/>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Pro forma increase in net tangible book value per share as of March 31, 2020 attributable to pro forma transactions described</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1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above</w:t>
            </w:r>
          </w:p>
        </w:tc>
        <w:tc>
          <w:tcPr>
            <w:tcW w:w="35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6.16</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3"/>
        </w:trPr>
        <w:tc>
          <w:tcPr>
            <w:tcW w:w="6280" w:type="dxa"/>
            <w:vAlign w:val="bottom"/>
            <w:gridSpan w:val="3"/>
          </w:tcPr>
          <w:p>
            <w:pPr>
              <w:ind w:left="360"/>
              <w:spacing w:after="0"/>
              <w:rPr>
                <w:sz w:val="20"/>
                <w:szCs w:val="20"/>
                <w:color w:val="auto"/>
              </w:rPr>
            </w:pPr>
            <w:r>
              <w:rPr>
                <w:rFonts w:ascii="Arial" w:cs="Arial" w:eastAsia="Arial" w:hAnsi="Arial"/>
                <w:sz w:val="18"/>
                <w:szCs w:val="18"/>
                <w:color w:val="auto"/>
              </w:rPr>
              <w:t>Pro forma net tangible book value per share as of March 31, 2020</w:t>
            </w:r>
          </w:p>
        </w:tc>
        <w:tc>
          <w:tcPr>
            <w:tcW w:w="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8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w w:val="95"/>
              </w:rPr>
              <w:t>Increase in pro forma net tangible book value per share attributable to new investors participating in this offering</w:t>
            </w:r>
          </w:p>
        </w:tc>
        <w:tc>
          <w:tcPr>
            <w:tcW w:w="8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6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Dilution per share to new investors participating in this offering</w:t>
            </w: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6280" w:type="dxa"/>
            <w:vAlign w:val="bottom"/>
            <w:gridSpan w:val="3"/>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6280" w:type="dxa"/>
            <w:vAlign w:val="bottom"/>
            <w:gridSpan w:val="3"/>
          </w:tcPr>
          <w:p>
            <w:pPr>
              <w:ind w:left="460"/>
              <w:spacing w:after="0"/>
              <w:rPr>
                <w:sz w:val="20"/>
                <w:szCs w:val="20"/>
                <w:color w:val="auto"/>
              </w:rPr>
            </w:pPr>
            <w:r>
              <w:rPr>
                <w:rFonts w:ascii="Arial" w:cs="Arial" w:eastAsia="Arial" w:hAnsi="Arial"/>
                <w:sz w:val="18"/>
                <w:szCs w:val="18"/>
                <w:color w:val="auto"/>
                <w:w w:val="91"/>
              </w:rPr>
              <w:t>Each $1.00 increase or decrease in the assumed initial public offering price of $</w:t>
            </w:r>
          </w:p>
        </w:tc>
        <w:tc>
          <w:tcPr>
            <w:tcW w:w="4960" w:type="dxa"/>
            <w:vAlign w:val="bottom"/>
            <w:gridSpan w:val="8"/>
          </w:tcPr>
          <w:p>
            <w:pPr>
              <w:jc w:val="right"/>
              <w:ind w:right="100"/>
              <w:spacing w:after="0"/>
              <w:rPr>
                <w:sz w:val="20"/>
                <w:szCs w:val="20"/>
                <w:color w:val="auto"/>
              </w:rPr>
            </w:pPr>
            <w:r>
              <w:rPr>
                <w:rFonts w:ascii="Arial" w:cs="Arial" w:eastAsia="Arial" w:hAnsi="Arial"/>
                <w:sz w:val="18"/>
                <w:szCs w:val="18"/>
                <w:color w:val="auto"/>
                <w:w w:val="92"/>
              </w:rPr>
              <w:t>, the midpoint of the price range set forth on the cover page of this</w:t>
            </w:r>
          </w:p>
        </w:tc>
      </w:tr>
      <w:tr>
        <w:trPr>
          <w:trHeight w:val="216"/>
        </w:trPr>
        <w:tc>
          <w:tcPr>
            <w:tcW w:w="8840" w:type="dxa"/>
            <w:vAlign w:val="bottom"/>
            <w:gridSpan w:val="5"/>
          </w:tcPr>
          <w:p>
            <w:pPr>
              <w:spacing w:after="0"/>
              <w:rPr>
                <w:sz w:val="20"/>
                <w:szCs w:val="20"/>
                <w:color w:val="auto"/>
              </w:rPr>
            </w:pPr>
            <w:r>
              <w:rPr>
                <w:rFonts w:ascii="Arial" w:cs="Arial" w:eastAsia="Arial" w:hAnsi="Arial"/>
                <w:sz w:val="18"/>
                <w:szCs w:val="18"/>
                <w:color w:val="auto"/>
                <w:w w:val="90"/>
              </w:rPr>
              <w:t>prospectus, would increase or decrease our pro forma as adjusted net tangible book value per share after this offering by $</w:t>
            </w:r>
          </w:p>
        </w:tc>
        <w:tc>
          <w:tcPr>
            <w:tcW w:w="2400" w:type="dxa"/>
            <w:vAlign w:val="bottom"/>
            <w:gridSpan w:val="6"/>
          </w:tcPr>
          <w:p>
            <w:pPr>
              <w:jc w:val="right"/>
              <w:ind w:right="40"/>
              <w:spacing w:after="0"/>
              <w:rPr>
                <w:sz w:val="20"/>
                <w:szCs w:val="20"/>
                <w:color w:val="auto"/>
              </w:rPr>
            </w:pPr>
            <w:r>
              <w:rPr>
                <w:rFonts w:ascii="Arial" w:cs="Arial" w:eastAsia="Arial" w:hAnsi="Arial"/>
                <w:sz w:val="18"/>
                <w:szCs w:val="18"/>
                <w:color w:val="auto"/>
              </w:rPr>
              <w:t>per share and the dilution</w:t>
            </w: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per share to new investors participating in this offering by $</w:t>
            </w:r>
          </w:p>
        </w:tc>
        <w:tc>
          <w:tcPr>
            <w:tcW w:w="6500" w:type="dxa"/>
            <w:vAlign w:val="bottom"/>
            <w:gridSpan w:val="9"/>
          </w:tcPr>
          <w:p>
            <w:pPr>
              <w:jc w:val="right"/>
              <w:ind w:right="20"/>
              <w:spacing w:after="0"/>
              <w:rPr>
                <w:sz w:val="20"/>
                <w:szCs w:val="20"/>
                <w:color w:val="auto"/>
              </w:rPr>
            </w:pPr>
            <w:r>
              <w:rPr>
                <w:rFonts w:ascii="Arial" w:cs="Arial" w:eastAsia="Arial" w:hAnsi="Arial"/>
                <w:sz w:val="18"/>
                <w:szCs w:val="18"/>
                <w:color w:val="auto"/>
                <w:w w:val="90"/>
              </w:rPr>
              <w:t>per share, assuming that the number of common shares offered by us, as set forth on the</w:t>
            </w:r>
          </w:p>
        </w:tc>
      </w:tr>
    </w:tbl>
    <w:p>
      <w:pPr>
        <w:ind w:right="60"/>
        <w:spacing w:after="0" w:line="281" w:lineRule="auto"/>
        <w:rPr>
          <w:sz w:val="20"/>
          <w:szCs w:val="20"/>
          <w:color w:val="auto"/>
        </w:rPr>
      </w:pPr>
      <w:r>
        <w:rPr>
          <w:rFonts w:ascii="Arial" w:cs="Arial" w:eastAsia="Arial" w:hAnsi="Arial"/>
          <w:sz w:val="16"/>
          <w:szCs w:val="16"/>
          <w:color w:val="auto"/>
        </w:rPr>
        <w:t>cover page of this prospectus, remains the same and after deducting estimated underwriting fees and commissions and estimated offering expenses payable by us. Similarly, an increase of 1,000,000 in the number of common shares offered by us would increase the pro forma as adjusted net tangible book value</w:t>
      </w:r>
    </w:p>
    <w:p>
      <w:pPr>
        <w:spacing w:after="0" w:line="1"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after this offering by $ per share and decrease the dilution per share to new investors participating in this offering by $ per share, and a decrease of 1,000,000 in the number of common shares offered by us would decrease the pro forma as adjusted net tangible book value by $ per share, and</w:t>
      </w:r>
    </w:p>
    <w:p>
      <w:pPr>
        <w:ind w:right="260"/>
        <w:spacing w:after="0" w:line="260" w:lineRule="auto"/>
        <w:rPr>
          <w:sz w:val="20"/>
          <w:szCs w:val="20"/>
          <w:color w:val="auto"/>
        </w:rPr>
      </w:pPr>
      <w:r>
        <w:rPr>
          <w:rFonts w:ascii="Arial" w:cs="Arial" w:eastAsia="Arial" w:hAnsi="Arial"/>
          <w:sz w:val="18"/>
          <w:szCs w:val="18"/>
          <w:color w:val="auto"/>
        </w:rPr>
        <w:t>increase the dilution per share to new investors in this offering by $ per share, assuming that the assumed initial public offering price remains the same and after deducting estimated underwriting fees and commissions and estimated offering expenses payable by 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459" w:right="33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32" w:lineRule="exact"/>
        <w:rPr>
          <w:sz w:val="20"/>
          <w:szCs w:val="20"/>
          <w:color w:val="auto"/>
        </w:rPr>
      </w:pPr>
    </w:p>
    <w:p>
      <w:pPr>
        <w:ind w:firstLine="449"/>
        <w:spacing w:after="0" w:line="274" w:lineRule="auto"/>
        <w:rPr>
          <w:sz w:val="20"/>
          <w:szCs w:val="20"/>
          <w:color w:val="auto"/>
        </w:rPr>
      </w:pPr>
      <w:r>
        <w:rPr>
          <w:rFonts w:ascii="Arial" w:cs="Arial" w:eastAsia="Arial" w:hAnsi="Arial"/>
          <w:sz w:val="17"/>
          <w:szCs w:val="17"/>
          <w:color w:val="auto"/>
        </w:rPr>
        <w:t>If the underwriters exercise in full their option to purchase up to value per share after giving effect to this offering would be $</w:t>
      </w:r>
    </w:p>
    <w:p>
      <w:pPr>
        <w:ind w:left="860" w:hanging="852"/>
        <w:spacing w:after="0"/>
        <w:tabs>
          <w:tab w:leader="none" w:pos="8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 share.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right="260" w:firstLine="731"/>
        <w:spacing w:after="0" w:line="342" w:lineRule="auto"/>
        <w:rPr>
          <w:sz w:val="20"/>
          <w:szCs w:val="20"/>
          <w:color w:val="auto"/>
        </w:rPr>
      </w:pPr>
      <w:r>
        <w:rPr>
          <w:rFonts w:ascii="Arial" w:cs="Arial" w:eastAsia="Arial" w:hAnsi="Arial"/>
          <w:sz w:val="16"/>
          <w:szCs w:val="16"/>
          <w:color w:val="auto"/>
        </w:rPr>
        <w:t>additional common shares, the pro forma as adjusted net tangible book per share and dilution to new investors participating in this offering would be</w:t>
      </w:r>
    </w:p>
    <w:p>
      <w:pPr>
        <w:spacing w:after="0" w:line="328" w:lineRule="exact"/>
        <w:rPr>
          <w:sz w:val="20"/>
          <w:szCs w:val="20"/>
          <w:color w:val="auto"/>
        </w:rPr>
      </w:pPr>
    </w:p>
    <w:p>
      <w:pPr>
        <w:sectPr>
          <w:pgSz w:w="11900" w:h="16838" w:orient="portrait"/>
          <w:cols w:equalWidth="0" w:num="2">
            <w:col w:w="5060" w:space="80"/>
            <w:col w:w="6100"/>
          </w:cols>
          <w:pgMar w:left="320" w:top="459" w:right="339" w:bottom="1440" w:gutter="0" w:footer="0" w:header="0"/>
          <w:type w:val="continuous"/>
        </w:sectPr>
      </w:pPr>
    </w:p>
    <w:p>
      <w:pPr>
        <w:spacing w:after="0" w:line="11"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The following table summarizes, on the pro forma as adjusted basis described above, the differences between the number of shares purchased from us on an as converted basis, the total consideration paid and the weighted average price per share paid by existing shareholders and by investors purchasing</w:t>
      </w:r>
    </w:p>
    <w:p>
      <w:pPr>
        <w:ind w:right="300"/>
        <w:spacing w:after="0" w:line="290" w:lineRule="auto"/>
        <w:rPr>
          <w:sz w:val="20"/>
          <w:szCs w:val="20"/>
          <w:color w:val="auto"/>
        </w:rPr>
      </w:pPr>
      <w:r>
        <w:rPr>
          <w:rFonts w:ascii="Arial" w:cs="Arial" w:eastAsia="Arial" w:hAnsi="Arial"/>
          <w:sz w:val="17"/>
          <w:szCs w:val="17"/>
          <w:color w:val="auto"/>
        </w:rPr>
        <w:t>shares in this offering at the assumed initial public offering price of $ per share, which is the midpoint of the price range set forth on the cover page on this prospectus, before deducting estimated underwriting fees and commissions and estimated offering expenses payable by 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80" w:type="dxa"/>
            <w:vAlign w:val="bottom"/>
            <w:gridSpan w:val="3"/>
            <w:vMerge w:val="restart"/>
          </w:tcPr>
          <w:p>
            <w:pPr>
              <w:jc w:val="right"/>
              <w:ind w:right="59"/>
              <w:spacing w:after="0"/>
              <w:rPr>
                <w:sz w:val="20"/>
                <w:szCs w:val="20"/>
                <w:color w:val="auto"/>
              </w:rPr>
            </w:pPr>
            <w:r>
              <w:rPr>
                <w:rFonts w:ascii="Arial" w:cs="Arial" w:eastAsia="Arial" w:hAnsi="Arial"/>
                <w:sz w:val="14"/>
                <w:szCs w:val="14"/>
                <w:b w:val="1"/>
                <w:bCs w:val="1"/>
                <w:color w:val="auto"/>
              </w:rPr>
              <w:t>SHARES PURCHASED</w:t>
            </w:r>
          </w:p>
        </w:tc>
        <w:tc>
          <w:tcPr>
            <w:tcW w:w="3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3"/>
            <w:vMerge w:val="restart"/>
          </w:tcPr>
          <w:p>
            <w:pPr>
              <w:jc w:val="right"/>
              <w:ind w:right="56"/>
              <w:spacing w:after="0"/>
              <w:rPr>
                <w:sz w:val="20"/>
                <w:szCs w:val="20"/>
                <w:color w:val="auto"/>
              </w:rPr>
            </w:pPr>
            <w:r>
              <w:rPr>
                <w:rFonts w:ascii="Arial" w:cs="Arial" w:eastAsia="Arial" w:hAnsi="Arial"/>
                <w:sz w:val="14"/>
                <w:szCs w:val="14"/>
                <w:b w:val="1"/>
                <w:bCs w:val="1"/>
                <w:color w:val="auto"/>
              </w:rPr>
              <w:t>TOTAL CONSIDERATION</w:t>
            </w:r>
          </w:p>
        </w:tc>
        <w:tc>
          <w:tcPr>
            <w:tcW w:w="580" w:type="dxa"/>
            <w:vAlign w:val="bottom"/>
            <w:vMerge w:val="restart"/>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82"/>
        </w:trPr>
        <w:tc>
          <w:tcPr>
            <w:tcW w:w="1220" w:type="dxa"/>
            <w:vAlign w:val="bottom"/>
          </w:tcPr>
          <w:p>
            <w:pPr>
              <w:spacing w:after="0"/>
              <w:rPr>
                <w:sz w:val="6"/>
                <w:szCs w:val="6"/>
                <w:color w:val="auto"/>
              </w:rPr>
            </w:pPr>
          </w:p>
        </w:tc>
        <w:tc>
          <w:tcPr>
            <w:tcW w:w="3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780" w:type="dxa"/>
            <w:vAlign w:val="bottom"/>
            <w:tcBorders>
              <w:bottom w:val="single" w:sz="8" w:color="auto"/>
            </w:tcBorders>
            <w:gridSpan w:val="3"/>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020" w:type="dxa"/>
            <w:vAlign w:val="bottom"/>
            <w:tcBorders>
              <w:bottom w:val="single" w:sz="8" w:color="auto"/>
            </w:tcBorders>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52"/>
        </w:trPr>
        <w:tc>
          <w:tcPr>
            <w:tcW w:w="12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4"/>
                <w:szCs w:val="4"/>
                <w:color w:val="auto"/>
              </w:rPr>
            </w:pPr>
          </w:p>
        </w:tc>
        <w:tc>
          <w:tcPr>
            <w:tcW w:w="106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4"/>
                <w:szCs w:val="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380" w:type="dxa"/>
            <w:vAlign w:val="bottom"/>
            <w:gridSpan w:val="2"/>
            <w:vMerge w:val="restart"/>
          </w:tcPr>
          <w:p>
            <w:pPr>
              <w:jc w:val="right"/>
              <w:ind w:right="550"/>
              <w:spacing w:after="0"/>
              <w:rPr>
                <w:sz w:val="20"/>
                <w:szCs w:val="20"/>
                <w:color w:val="auto"/>
              </w:rPr>
            </w:pPr>
            <w:r>
              <w:rPr>
                <w:rFonts w:ascii="Arial" w:cs="Arial" w:eastAsia="Arial" w:hAnsi="Arial"/>
                <w:sz w:val="14"/>
                <w:szCs w:val="14"/>
                <w:b w:val="1"/>
                <w:bCs w:val="1"/>
                <w:color w:val="auto"/>
              </w:rPr>
              <w:t>PERCENT</w:t>
            </w: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0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0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87"/>
              </w:rPr>
              <w:t>%</w:t>
            </w:r>
          </w:p>
        </w:tc>
        <w:tc>
          <w:tcPr>
            <w:tcW w:w="780" w:type="dxa"/>
            <w:vAlign w:val="bottom"/>
            <w:tcBorders>
              <w:top w:val="single" w:sz="8" w:color="auto"/>
            </w:tcBorders>
            <w:shd w:val="clear" w:color="auto" w:fill="CCEEFF"/>
          </w:tcPr>
          <w:p>
            <w:pPr>
              <w:jc w:val="right"/>
              <w:ind w:right="604"/>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New investors</w:t>
            </w:r>
          </w:p>
        </w:tc>
        <w:tc>
          <w:tcPr>
            <w:tcW w:w="3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gridSpan w:val="3"/>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20" w:type="dxa"/>
            <w:vAlign w:val="bottom"/>
            <w:gridSpan w:val="10"/>
          </w:tcPr>
          <w:p>
            <w:pPr>
              <w:ind w:left="460"/>
              <w:spacing w:after="0"/>
              <w:rPr>
                <w:sz w:val="20"/>
                <w:szCs w:val="20"/>
                <w:color w:val="auto"/>
              </w:rPr>
            </w:pPr>
            <w:r>
              <w:rPr>
                <w:rFonts w:ascii="Arial" w:cs="Arial" w:eastAsia="Arial" w:hAnsi="Arial"/>
                <w:sz w:val="18"/>
                <w:szCs w:val="18"/>
                <w:color w:val="auto"/>
                <w:w w:val="95"/>
              </w:rPr>
              <w:t>If the underwriters exercise their option to purchase additional shares in full, our existing shareholders would own</w:t>
            </w:r>
          </w:p>
        </w:tc>
        <w:tc>
          <w:tcPr>
            <w:tcW w:w="2220" w:type="dxa"/>
            <w:vAlign w:val="bottom"/>
            <w:gridSpan w:val="4"/>
          </w:tcPr>
          <w:p>
            <w:pPr>
              <w:ind w:left="360"/>
              <w:spacing w:after="0"/>
              <w:rPr>
                <w:sz w:val="20"/>
                <w:szCs w:val="20"/>
                <w:color w:val="auto"/>
              </w:rPr>
            </w:pPr>
            <w:r>
              <w:rPr>
                <w:rFonts w:ascii="Arial" w:cs="Arial" w:eastAsia="Arial" w:hAnsi="Arial"/>
                <w:sz w:val="18"/>
                <w:szCs w:val="18"/>
                <w:color w:val="auto"/>
                <w:w w:val="93"/>
              </w:rPr>
              <w:t>% and our new investors</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would own</w:t>
            </w:r>
          </w:p>
        </w:tc>
        <w:tc>
          <w:tcPr>
            <w:tcW w:w="7800" w:type="dxa"/>
            <w:vAlign w:val="bottom"/>
            <w:gridSpan w:val="9"/>
          </w:tcPr>
          <w:p>
            <w:pPr>
              <w:ind w:left="180"/>
              <w:spacing w:after="0"/>
              <w:rPr>
                <w:sz w:val="20"/>
                <w:szCs w:val="20"/>
                <w:color w:val="auto"/>
              </w:rPr>
            </w:pPr>
            <w:r>
              <w:rPr>
                <w:rFonts w:ascii="Arial" w:cs="Arial" w:eastAsia="Arial" w:hAnsi="Arial"/>
                <w:sz w:val="18"/>
                <w:szCs w:val="18"/>
                <w:color w:val="auto"/>
              </w:rPr>
              <w:t>% of the total number of our common shares outstanding upon the completion of this offering.</w:t>
            </w: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0" w:type="dxa"/>
            <w:vAlign w:val="bottom"/>
            <w:gridSpan w:val="2"/>
          </w:tcPr>
          <w:p>
            <w:pPr>
              <w:ind w:left="460"/>
              <w:spacing w:after="0"/>
              <w:rPr>
                <w:sz w:val="20"/>
                <w:szCs w:val="20"/>
                <w:color w:val="auto"/>
              </w:rPr>
            </w:pPr>
            <w:r>
              <w:rPr>
                <w:rFonts w:ascii="Arial" w:cs="Arial" w:eastAsia="Arial" w:hAnsi="Arial"/>
                <w:sz w:val="18"/>
                <w:szCs w:val="18"/>
                <w:color w:val="auto"/>
                <w:w w:val="98"/>
              </w:rPr>
              <w:t>The foregoing discussion and tables are based on</w:t>
            </w:r>
          </w:p>
        </w:tc>
        <w:tc>
          <w:tcPr>
            <w:tcW w:w="6840" w:type="dxa"/>
            <w:vAlign w:val="bottom"/>
            <w:gridSpan w:val="12"/>
          </w:tcPr>
          <w:p>
            <w:pPr>
              <w:ind w:left="400"/>
              <w:spacing w:after="0"/>
              <w:rPr>
                <w:sz w:val="20"/>
                <w:szCs w:val="20"/>
                <w:color w:val="auto"/>
              </w:rPr>
            </w:pPr>
            <w:r>
              <w:rPr>
                <w:rFonts w:ascii="Arial" w:cs="Arial" w:eastAsia="Arial" w:hAnsi="Arial"/>
                <w:sz w:val="18"/>
                <w:szCs w:val="18"/>
                <w:color w:val="auto"/>
              </w:rPr>
              <w:t>common shares outstanding as of March 31, 2020, which gives effect to (i) the</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conversion of all outstanding preferred shares into an aggregate of 130,686,975 common shares and (ii) the automatic exercise of the warrant held by an</w:t>
      </w:r>
    </w:p>
    <w:p>
      <w:pPr>
        <w:spacing w:after="0" w:line="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affiliate of Bristol Myers Squibb into an aggregate of common shares, based on an assumed initial public offering price of $ per share, the midpoint of the price range set forth on the cover page of this prospectus, in each case effected immediately prior to the completion of this offering, and excludes:</w:t>
      </w:r>
    </w:p>
    <w:p>
      <w:pPr>
        <w:spacing w:after="0" w:line="95" w:lineRule="exact"/>
        <w:rPr>
          <w:sz w:val="20"/>
          <w:szCs w:val="20"/>
          <w:color w:val="auto"/>
        </w:rPr>
      </w:pPr>
    </w:p>
    <w:p>
      <w:pPr>
        <w:ind w:left="1000" w:right="180" w:hanging="547"/>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20,148,992 common shares issuable upon the exercise of outstanding options as of March 31, 2020, at a weighted-average exercise price of $0.34 per share;</w:t>
      </w:r>
    </w:p>
    <w:p>
      <w:pPr>
        <w:spacing w:after="0" w:line="75" w:lineRule="exact"/>
        <w:rPr>
          <w:rFonts w:ascii="Arial" w:cs="Arial" w:eastAsia="Arial" w:hAnsi="Arial"/>
          <w:sz w:val="18"/>
          <w:szCs w:val="18"/>
          <w:color w:val="auto"/>
        </w:rPr>
      </w:pPr>
    </w:p>
    <w:p>
      <w:pPr>
        <w:ind w:left="1000" w:right="100" w:hanging="547"/>
        <w:spacing w:after="0" w:line="308" w:lineRule="auto"/>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3,449,250 common shares reserved for future issuance under our Existing Plan as of March 31, 2020, which shares will cease to be available for future issuance immediately prior to the time that our 2020 Plan becomes effective in connection with this offering;</w:t>
      </w:r>
    </w:p>
    <w:p>
      <w:pPr>
        <w:spacing w:after="0" w:line="51" w:lineRule="exact"/>
        <w:rPr>
          <w:rFonts w:ascii="Arial" w:cs="Arial" w:eastAsia="Arial" w:hAnsi="Arial"/>
          <w:sz w:val="17"/>
          <w:szCs w:val="17"/>
          <w:color w:val="auto"/>
        </w:rPr>
      </w:pPr>
    </w:p>
    <w:p>
      <w:pPr>
        <w:ind w:left="1000" w:hanging="547"/>
        <w:spacing w:after="0" w:line="263" w:lineRule="auto"/>
        <w:tabs>
          <w:tab w:leader="none" w:pos="1765"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common shares reserved for future issuance under our 2020 Plan, which became effective immediately prior to the execution of the underwriting agreement related to this offering, as well as any future increases in the number of common shares reserved for issuance under our 2020 Plan; and</w:t>
      </w:r>
    </w:p>
    <w:p>
      <w:pPr>
        <w:spacing w:after="0" w:line="89" w:lineRule="exact"/>
        <w:rPr>
          <w:rFonts w:ascii="Arial" w:cs="Arial" w:eastAsia="Arial" w:hAnsi="Arial"/>
          <w:sz w:val="18"/>
          <w:szCs w:val="18"/>
          <w:color w:val="auto"/>
        </w:rPr>
      </w:pPr>
    </w:p>
    <w:p>
      <w:pPr>
        <w:ind w:left="1000" w:hanging="547"/>
        <w:spacing w:after="0" w:line="263" w:lineRule="auto"/>
        <w:tabs>
          <w:tab w:leader="none" w:pos="1765"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common shares reserved for future issuance under our ESPP, which will become effective immediately prior to the execution of the underwriting agreement related to this offering, as well as any future increases in the number of common shares reserved for issuance under our ESPP.</w:t>
      </w:r>
    </w:p>
    <w:p>
      <w:pPr>
        <w:spacing w:after="0" w:line="184" w:lineRule="exact"/>
        <w:rPr>
          <w:sz w:val="20"/>
          <w:szCs w:val="20"/>
          <w:color w:val="auto"/>
        </w:rPr>
      </w:pPr>
    </w:p>
    <w:p>
      <w:pPr>
        <w:ind w:right="140" w:firstLine="449"/>
        <w:spacing w:after="0" w:line="291" w:lineRule="auto"/>
        <w:rPr>
          <w:sz w:val="20"/>
          <w:szCs w:val="20"/>
          <w:color w:val="auto"/>
        </w:rPr>
      </w:pPr>
      <w:r>
        <w:rPr>
          <w:rFonts w:ascii="Arial" w:cs="Arial" w:eastAsia="Arial" w:hAnsi="Arial"/>
          <w:sz w:val="16"/>
          <w:szCs w:val="16"/>
          <w:color w:val="auto"/>
        </w:rPr>
        <w:t>To the extent that outstanding options are exercised, new options or other equity awards are issued under our equity incentive plans, or we issue additional shares in the future, there will be further dilution to investors purchasing shares in this offering. Assuming the exercise of all of our outstanding</w:t>
      </w:r>
    </w:p>
    <w:p>
      <w:pPr>
        <w:spacing w:after="0"/>
        <w:tabs>
          <w:tab w:leader="none" w:pos="7960" w:val="left"/>
        </w:tabs>
        <w:rPr>
          <w:sz w:val="20"/>
          <w:szCs w:val="20"/>
          <w:color w:val="auto"/>
        </w:rPr>
      </w:pPr>
      <w:r>
        <w:rPr>
          <w:rFonts w:ascii="Arial" w:cs="Arial" w:eastAsia="Arial" w:hAnsi="Arial"/>
          <w:sz w:val="18"/>
          <w:szCs w:val="18"/>
          <w:color w:val="auto"/>
        </w:rPr>
        <w:t>options as of March 31, 2020, the number of shares held by existing shareholders would increase to</w:t>
      </w:r>
      <w:r>
        <w:rPr>
          <w:sz w:val="20"/>
          <w:szCs w:val="20"/>
          <w:color w:val="auto"/>
        </w:rPr>
        <w:tab/>
      </w:r>
      <w:r>
        <w:rPr>
          <w:rFonts w:ascii="Arial" w:cs="Arial" w:eastAsia="Arial" w:hAnsi="Arial"/>
          <w:sz w:val="16"/>
          <w:szCs w:val="16"/>
          <w:color w:val="auto"/>
        </w:rPr>
        <w:t>% of the total number of shares to be</w:t>
      </w:r>
    </w:p>
    <w:p>
      <w:pPr>
        <w:spacing w:after="0" w:line="9"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color w:val="auto"/>
        </w:rPr>
        <w:t>outstanding after this offering, and the number of shares held by investors participating in this offering would be reduced to</w:t>
      </w:r>
      <w:r>
        <w:rPr>
          <w:sz w:val="20"/>
          <w:szCs w:val="20"/>
          <w:color w:val="auto"/>
        </w:rPr>
        <w:tab/>
      </w:r>
      <w:r>
        <w:rPr>
          <w:rFonts w:ascii="Arial" w:cs="Arial" w:eastAsia="Arial" w:hAnsi="Arial"/>
          <w:sz w:val="16"/>
          <w:szCs w:val="16"/>
          <w:color w:val="auto"/>
        </w:rPr>
        <w:t>% of the total</w:t>
      </w:r>
    </w:p>
    <w:p>
      <w:pPr>
        <w:spacing w:after="0" w:line="9" w:lineRule="exact"/>
        <w:rPr>
          <w:sz w:val="20"/>
          <w:szCs w:val="20"/>
          <w:color w:val="auto"/>
        </w:rPr>
      </w:pPr>
    </w:p>
    <w:p>
      <w:pPr>
        <w:spacing w:after="0"/>
        <w:tabs>
          <w:tab w:leader="none" w:pos="10600" w:val="left"/>
        </w:tabs>
        <w:rPr>
          <w:sz w:val="20"/>
          <w:szCs w:val="20"/>
          <w:color w:val="auto"/>
        </w:rPr>
      </w:pPr>
      <w:r>
        <w:rPr>
          <w:rFonts w:ascii="Arial" w:cs="Arial" w:eastAsia="Arial" w:hAnsi="Arial"/>
          <w:sz w:val="18"/>
          <w:szCs w:val="18"/>
          <w:color w:val="auto"/>
        </w:rPr>
        <w:t>number of shares to be outstanding after this offering. Additionally, the total consideration paid to us by existing shareholders would be $</w:t>
      </w:r>
      <w:r>
        <w:rPr>
          <w:sz w:val="20"/>
          <w:szCs w:val="20"/>
          <w:color w:val="auto"/>
        </w:rPr>
        <w:tab/>
      </w:r>
      <w:r>
        <w:rPr>
          <w:rFonts w:ascii="Arial" w:cs="Arial" w:eastAsia="Arial" w:hAnsi="Arial"/>
          <w:sz w:val="18"/>
          <w:szCs w:val="18"/>
          <w:color w:val="auto"/>
        </w:rPr>
        <w:t>million,</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or</w:t>
      </w:r>
      <w:r>
        <w:rPr>
          <w:sz w:val="20"/>
          <w:szCs w:val="20"/>
          <w:color w:val="auto"/>
        </w:rPr>
        <w:tab/>
      </w:r>
      <w:r>
        <w:rPr>
          <w:rFonts w:ascii="Arial" w:cs="Arial" w:eastAsia="Arial" w:hAnsi="Arial"/>
          <w:sz w:val="16"/>
          <w:szCs w:val="16"/>
          <w:color w:val="auto"/>
        </w:rPr>
        <w:t>%, of the total consideration paid for our outstanding shares, and the total consideration paid to us by investors participating in this offering</w:t>
      </w:r>
    </w:p>
    <w:p>
      <w:pPr>
        <w:spacing w:after="0" w:line="32"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would be</w:t>
      </w:r>
      <w:r>
        <w:rPr>
          <w:sz w:val="20"/>
          <w:szCs w:val="20"/>
          <w:color w:val="auto"/>
        </w:rPr>
        <w:tab/>
      </w:r>
      <w:r>
        <w:rPr>
          <w:rFonts w:ascii="Arial" w:cs="Arial" w:eastAsia="Arial" w:hAnsi="Arial"/>
          <w:sz w:val="16"/>
          <w:szCs w:val="16"/>
          <w:color w:val="auto"/>
        </w:rPr>
        <w:t>% of the total consideration paid for our outstanding shares. The weighted average price per share paid to us by existing shareholders</w:t>
      </w:r>
    </w:p>
    <w:p>
      <w:pPr>
        <w:spacing w:after="0" w:line="9"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would be $</w:t>
      </w:r>
      <w:r>
        <w:rPr>
          <w:sz w:val="20"/>
          <w:szCs w:val="20"/>
          <w:color w:val="auto"/>
        </w:rPr>
        <w:tab/>
      </w:r>
      <w:r>
        <w:rPr>
          <w:rFonts w:ascii="Arial" w:cs="Arial" w:eastAsia="Arial" w:hAnsi="Arial"/>
          <w:sz w:val="16"/>
          <w:szCs w:val="16"/>
          <w:color w:val="auto"/>
        </w:rPr>
        <w:t>and the weighted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459" w:right="3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average price per share paid to us by investors participating in this offering would not change.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40"/>
          </w:cols>
          <w:pgMar w:left="320" w:top="459" w:right="6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The following tables set forth our financial data for the periods indicated. We have derived the selected consolidated statement of operations data for the years ended December 31, 2017, 2018 and 2019, and the selected consolidated balance sheet data as of December 31, 2018 and 2019, from our audited consolidated financial statements appearing elsewhere in this prospectus. We have derived the summary consolidated statements of operations data for the three-month periods ended March 31, 2019 and 2020 and the summary consolidated balance sheet data as of March 31, 2020 from our unaudited condensed consolidated financial statements appearing elsewhere in this prospectus. Our historical results are not necessarily indicative of the results that may be expected for any period in the future.</w:t>
      </w:r>
    </w:p>
    <w:p>
      <w:pPr>
        <w:spacing w:after="0" w:line="178"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You should read the following selected consolidated financial data together with the section titled “Management’s Discussion and Analysis of Financial Condition and Results of Operations” and our consolidated financial statements and the related notes included elsewhere in this prospectus. The selected consolidated financial data included in this section are not intended to replace the consolidated financial statements and are qualified in their entirety by the consolidated financial statements and the related notes included elsewhere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80" w:type="dxa"/>
            <w:vAlign w:val="bottom"/>
            <w:gridSpan w:val="9"/>
          </w:tcPr>
          <w:p>
            <w:pPr>
              <w:jc w:val="right"/>
              <w:ind w:right="200"/>
              <w:spacing w:after="0" w:line="142" w:lineRule="exact"/>
              <w:rPr>
                <w:sz w:val="20"/>
                <w:szCs w:val="20"/>
                <w:color w:val="auto"/>
              </w:rPr>
            </w:pPr>
            <w:r>
              <w:rPr>
                <w:rFonts w:ascii="Arial" w:cs="Arial" w:eastAsia="Arial" w:hAnsi="Arial"/>
                <w:sz w:val="14"/>
                <w:szCs w:val="14"/>
                <w:b w:val="1"/>
                <w:bCs w:val="1"/>
                <w:color w:val="auto"/>
                <w:w w:val="90"/>
              </w:rPr>
              <w:t>(in thousands, except share and per share amounts)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Summary of Consolidated Operations Data:</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Research and development, net of tax credits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9,906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20,995</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3,703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ind w:left="34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1,774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2,914</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5,382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1,076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Total operating expenses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12,820</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26,377</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4,779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6"/>
                <w:szCs w:val="16"/>
                <w:color w:val="auto"/>
              </w:rPr>
              <w:t>Loss from operations</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(6,175)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(12,820)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(26,377)</w:t>
            </w: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(4,779)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(10,815)</w:t>
            </w:r>
          </w:p>
        </w:tc>
        <w:tc>
          <w:tcPr>
            <w:tcW w:w="0" w:type="dxa"/>
            <w:vAlign w:val="bottom"/>
          </w:tcPr>
          <w:p>
            <w:pPr>
              <w:spacing w:after="0"/>
              <w:rPr>
                <w:sz w:val="1"/>
                <w:szCs w:val="1"/>
                <w:color w:val="auto"/>
              </w:rPr>
            </w:pPr>
          </w:p>
        </w:tc>
      </w:tr>
      <w:tr>
        <w:trPr>
          <w:trHeight w:val="206"/>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 income, net: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ind w:left="340"/>
              <w:spacing w:after="0"/>
              <w:rPr>
                <w:sz w:val="20"/>
                <w:szCs w:val="20"/>
                <w:color w:val="auto"/>
              </w:rPr>
            </w:pPr>
            <w:r>
              <w:rPr>
                <w:rFonts w:ascii="Arial" w:cs="Arial" w:eastAsia="Arial" w:hAnsi="Arial"/>
                <w:sz w:val="16"/>
                <w:szCs w:val="16"/>
                <w:color w:val="auto"/>
              </w:rPr>
              <w:t>Realized and unrealized (loss) gain on foreign exchange, net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(147)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(292)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72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(1,731)</w:t>
            </w: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Change in fair value of convertible notes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(1,615)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20" w:type="dxa"/>
            <w:vAlign w:val="bottom"/>
            <w:gridSpan w:val="2"/>
          </w:tcPr>
          <w:p>
            <w:pPr>
              <w:ind w:left="340"/>
              <w:spacing w:after="0"/>
              <w:rPr>
                <w:sz w:val="20"/>
                <w:szCs w:val="20"/>
                <w:color w:val="auto"/>
              </w:rPr>
            </w:pPr>
            <w:r>
              <w:rPr>
                <w:rFonts w:ascii="Arial" w:cs="Arial" w:eastAsia="Arial" w:hAnsi="Arial"/>
                <w:sz w:val="16"/>
                <w:szCs w:val="16"/>
                <w:color w:val="auto"/>
              </w:rPr>
              <w:t>Change in fair value of series A preferred share tranche obligation</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(1,130)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(1,350)</w:t>
            </w: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expense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ind w:left="660"/>
              <w:spacing w:after="0"/>
              <w:rPr>
                <w:sz w:val="20"/>
                <w:szCs w:val="20"/>
                <w:color w:val="auto"/>
              </w:rPr>
            </w:pPr>
            <w:r>
              <w:rPr>
                <w:rFonts w:ascii="Arial" w:cs="Arial" w:eastAsia="Arial" w:hAnsi="Arial"/>
                <w:sz w:val="16"/>
                <w:szCs w:val="16"/>
                <w:color w:val="auto"/>
              </w:rPr>
              <w:t>Total other expense, net</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(1,621)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(1,428)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(644)</w:t>
            </w:r>
          </w:p>
        </w:tc>
        <w:tc>
          <w:tcPr>
            <w:tcW w:w="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(1,733)</w:t>
            </w:r>
          </w:p>
        </w:tc>
        <w:tc>
          <w:tcPr>
            <w:tcW w:w="0" w:type="dxa"/>
            <w:vAlign w:val="bottom"/>
          </w:tcPr>
          <w:p>
            <w:pPr>
              <w:spacing w:after="0"/>
              <w:rPr>
                <w:sz w:val="1"/>
                <w:szCs w:val="1"/>
                <w:color w:val="auto"/>
              </w:rPr>
            </w:pPr>
          </w:p>
        </w:tc>
      </w:tr>
      <w:tr>
        <w:trPr>
          <w:trHeight w:val="30"/>
        </w:trPr>
        <w:tc>
          <w:tcPr>
            <w:tcW w:w="12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before income taxes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(7,796)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(14,248)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(27,021)</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(4,729)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(12,548)</w:t>
            </w:r>
          </w:p>
        </w:tc>
        <w:tc>
          <w:tcPr>
            <w:tcW w:w="0" w:type="dxa"/>
            <w:vAlign w:val="bottom"/>
          </w:tcPr>
          <w:p>
            <w:pPr>
              <w:spacing w:after="0"/>
              <w:rPr>
                <w:sz w:val="1"/>
                <w:szCs w:val="1"/>
                <w:color w:val="auto"/>
              </w:rPr>
            </w:pPr>
          </w:p>
        </w:tc>
      </w:tr>
      <w:tr>
        <w:trPr>
          <w:trHeight w:val="203"/>
        </w:trPr>
        <w:tc>
          <w:tcPr>
            <w:tcW w:w="5120" w:type="dxa"/>
            <w:vAlign w:val="bottom"/>
            <w:gridSpan w:val="2"/>
          </w:tcPr>
          <w:p>
            <w:pPr>
              <w:ind w:left="34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(109)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and comprehensive loss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(7,796)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(14,283)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(27,216)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(4,838)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(12,601)</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line="236" w:lineRule="exact"/>
              <w:rPr>
                <w:sz w:val="20"/>
                <w:szCs w:val="20"/>
                <w:color w:val="auto"/>
              </w:rPr>
            </w:pPr>
            <w:r>
              <w:rPr>
                <w:rFonts w:ascii="Arial" w:cs="Arial" w:eastAsia="Arial" w:hAnsi="Arial"/>
                <w:sz w:val="16"/>
                <w:szCs w:val="16"/>
                <w:color w:val="auto"/>
              </w:rPr>
              <w:t xml:space="preserve">Net loss per share: </w:t>
            </w:r>
            <w:r>
              <w:rPr>
                <w:rFonts w:ascii="Arial" w:cs="Arial" w:eastAsia="Arial" w:hAnsi="Arial"/>
                <w:sz w:val="27"/>
                <w:szCs w:val="27"/>
                <w:color w:val="auto"/>
                <w:vertAlign w:val="superscript"/>
              </w:rPr>
              <w:t>(1)</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Basic and diluted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(0.84)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line="236" w:lineRule="exact"/>
              <w:rPr>
                <w:sz w:val="20"/>
                <w:szCs w:val="20"/>
                <w:color w:val="auto"/>
              </w:rPr>
            </w:pPr>
            <w:r>
              <w:rPr>
                <w:rFonts w:ascii="Arial" w:cs="Arial" w:eastAsia="Arial" w:hAnsi="Arial"/>
                <w:sz w:val="16"/>
                <w:szCs w:val="16"/>
                <w:color w:val="auto"/>
              </w:rPr>
              <w:t xml:space="preserve">Weighted average shares used in computing net loss per share: </w:t>
            </w:r>
            <w:r>
              <w:rPr>
                <w:rFonts w:ascii="Arial" w:cs="Arial" w:eastAsia="Arial" w:hAnsi="Arial"/>
                <w:sz w:val="27"/>
                <w:szCs w:val="27"/>
                <w:color w:val="auto"/>
                <w:vertAlign w:val="superscript"/>
              </w:rPr>
              <w:t>(1)</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Basic and diluted</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9,229,658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w w:val="87"/>
              </w:rPr>
              <w:t>9,265,000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9,265,000</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9,265,000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9,906,973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line="236" w:lineRule="exact"/>
              <w:rPr>
                <w:sz w:val="20"/>
                <w:szCs w:val="20"/>
                <w:color w:val="auto"/>
              </w:rPr>
            </w:pPr>
            <w:r>
              <w:rPr>
                <w:rFonts w:ascii="Arial" w:cs="Arial" w:eastAsia="Arial" w:hAnsi="Arial"/>
                <w:sz w:val="16"/>
                <w:szCs w:val="16"/>
                <w:color w:val="auto"/>
              </w:rPr>
              <w:t xml:space="preserve">Pro forma net loss per share (unaudited): </w:t>
            </w:r>
            <w:r>
              <w:rPr>
                <w:rFonts w:ascii="Arial" w:cs="Arial" w:eastAsia="Arial" w:hAnsi="Arial"/>
                <w:sz w:val="27"/>
                <w:szCs w:val="27"/>
                <w:color w:val="auto"/>
                <w:vertAlign w:val="superscript"/>
              </w:rPr>
              <w:t>(1)</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Basic and diluted</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(0.27)</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6"/>
                <w:szCs w:val="16"/>
                <w:color w:val="auto"/>
                <w:w w:val="95"/>
              </w:rPr>
              <w:t>Weighted average shares outstanding used in computing pro forma net loss</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180"/>
              <w:spacing w:after="0" w:line="216" w:lineRule="exact"/>
              <w:rPr>
                <w:sz w:val="20"/>
                <w:szCs w:val="20"/>
                <w:color w:val="auto"/>
              </w:rPr>
            </w:pPr>
            <w:r>
              <w:rPr>
                <w:rFonts w:ascii="Arial" w:cs="Arial" w:eastAsia="Arial" w:hAnsi="Arial"/>
                <w:sz w:val="15"/>
                <w:szCs w:val="15"/>
                <w:color w:val="auto"/>
              </w:rPr>
              <w:t xml:space="preserve">per share (unaudited): </w:t>
            </w:r>
            <w:r>
              <w:rPr>
                <w:rFonts w:ascii="Arial" w:cs="Arial" w:eastAsia="Arial" w:hAnsi="Arial"/>
                <w:sz w:val="25"/>
                <w:szCs w:val="25"/>
                <w:color w:val="auto"/>
                <w:vertAlign w:val="superscript"/>
              </w:rPr>
              <w:t>(1)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Basic and diluted</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95,722,801</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140,593,948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3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60" w:right="360" w:hanging="452"/>
        <w:spacing w:after="0" w:line="293"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See Note 13 to our audited consolidated financial statements and Note 7 to our unaudited condensed consolidated financial statements included elsewhere in this prospectus for an explanation of the calculations of our basic and diluted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459"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loss per share, pro forma net loss per share and the weighted-average number of shares used in the computation of the per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49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2018</w:t>
            </w:r>
          </w:p>
        </w:tc>
        <w:tc>
          <w:tcPr>
            <w:tcW w:w="9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49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4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Cash</w:t>
            </w:r>
          </w:p>
        </w:tc>
        <w:tc>
          <w:tcPr>
            <w:tcW w:w="3360" w:type="dxa"/>
            <w:vAlign w:val="bottom"/>
            <w:gridSpan w:val="2"/>
          </w:tcPr>
          <w:p>
            <w:pPr>
              <w:jc w:val="right"/>
              <w:ind w:right="268"/>
              <w:spacing w:after="0"/>
              <w:rPr>
                <w:sz w:val="20"/>
                <w:szCs w:val="20"/>
                <w:color w:val="auto"/>
              </w:rPr>
            </w:pPr>
            <w:r>
              <w:rPr>
                <w:rFonts w:ascii="Arial" w:cs="Arial" w:eastAsia="Arial" w:hAnsi="Arial"/>
                <w:sz w:val="18"/>
                <w:szCs w:val="18"/>
                <w:color w:val="auto"/>
              </w:rPr>
              <w:t>$ 10,731</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$ 94,797</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83,711</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33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10,143</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94,326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80,578</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Total assets</w:t>
            </w:r>
          </w:p>
        </w:tc>
        <w:tc>
          <w:tcPr>
            <w:tcW w:w="3360" w:type="dxa"/>
            <w:vAlign w:val="bottom"/>
            <w:gridSpan w:val="2"/>
          </w:tcPr>
          <w:p>
            <w:pPr>
              <w:jc w:val="right"/>
              <w:ind w:right="268"/>
              <w:spacing w:after="0"/>
              <w:rPr>
                <w:sz w:val="20"/>
                <w:szCs w:val="20"/>
                <w:color w:val="auto"/>
              </w:rPr>
            </w:pPr>
            <w:r>
              <w:rPr>
                <w:rFonts w:ascii="Arial" w:cs="Arial" w:eastAsia="Arial" w:hAnsi="Arial"/>
                <w:sz w:val="18"/>
                <w:szCs w:val="18"/>
                <w:color w:val="auto"/>
              </w:rPr>
              <w:t>13,925</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102,695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93,569</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w:t>
            </w:r>
          </w:p>
        </w:tc>
        <w:tc>
          <w:tcPr>
            <w:tcW w:w="33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31,873</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135,997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135,997</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Accumulated deficit</w:t>
            </w:r>
          </w:p>
        </w:tc>
        <w:tc>
          <w:tcPr>
            <w:tcW w:w="3360" w:type="dxa"/>
            <w:vAlign w:val="bottom"/>
            <w:gridSpan w:val="2"/>
          </w:tcPr>
          <w:p>
            <w:pPr>
              <w:jc w:val="right"/>
              <w:ind w:right="208"/>
              <w:spacing w:after="0"/>
              <w:rPr>
                <w:sz w:val="20"/>
                <w:szCs w:val="20"/>
                <w:color w:val="auto"/>
              </w:rPr>
            </w:pPr>
            <w:r>
              <w:rPr>
                <w:rFonts w:ascii="Arial" w:cs="Arial" w:eastAsia="Arial" w:hAnsi="Arial"/>
                <w:sz w:val="18"/>
                <w:szCs w:val="18"/>
                <w:color w:val="auto"/>
              </w:rPr>
              <w:t>(22,725)</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(49,941)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(62,542)</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w:t>
            </w:r>
          </w:p>
        </w:tc>
        <w:tc>
          <w:tcPr>
            <w:tcW w:w="33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(22,384)</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(46,129)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459"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“Selected Consolidated Financial Data” section of this prospectus and our audited consolidated financial statements and related notes, as well as our unaudited condensed consolidated financial statements and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We are a leading precision oncology medicine company enabled by our proprietary synthetic lethality insights for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thus susceptible to therapeutic intervention targeting the other gene pair.</w:t>
      </w:r>
    </w:p>
    <w:p>
      <w:pPr>
        <w:spacing w:after="0" w:line="16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Since our inception in September 2016, we have focused primarily on raising capital, organizing and staffing our company, conducting discovery and research activities, identifying potential SL gene pairs, establishing and protecting our intellectual property portfolio including for our proprietary SNIPRx platform, developing and progressing our product candidates through preclinical studies and preparing for clinical trials and establishing arrangements with third parties for the manufacture of initial quantities of our product candidates and component materials. We do not have any product candidates approved for sale and have not generated any revenue from product sales. Since our inception, we have funded our operations primarily through equity financings, and have raised an aggregate of approximately $135.2 million of gross proceeds from the sale of our preferred shares. As of March 31, 2020, we had cash on hand of $83.7 million.</w:t>
      </w:r>
    </w:p>
    <w:p>
      <w:pPr>
        <w:spacing w:after="0" w:line="195"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Since inception, we have incurred significant operating losses. Our net losses were $7.8 million, $14.3 million and $27.2 million for the years ended December 31, 2017, 2018 and 2019, respectively and $12.6 million for the three-month period ended March 31, 2020. As of March 31, 2020, we had an accumulated deficit of $62.5 million. We expect to continue to incur significant and increasing expenses and operating losses for the foreseeable future, as we advance our product candidates, including RP-3500, through preclinical and clinical development and seek regulatory approvals, manufacture drug product and drug supply, maintain and expand our intellectual property portfolio, as well as hire additional personnel, pay for accounting, audit, legal, regulatory and consulting services, and pay costs associated with maintaining compliance with Nasdaq listing rules and the requirements of the U.S. Securities and Exchange Commission, or SEC,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73"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do not have any products approved for sale.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459" w:right="3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76"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In May 2020, we entered into a collaboration and license agreement with Bristol-Myers Squibb Company, or Bristol Myers Squibb, pursuant to which we and Bristol Myers Squibb have agreed to collaborate in the research and development of potential new product candidates for the treatment of cancer. We are providing Bristol Myers Squibb access to a selected number of our existing early SNIPRx screening campaigns and novel campaigns. The collaboration consists of programs directed to both druggable targets and to targets commonly considered undruggable by traditional small molecule approaches. As part of the agreement, Bristol Myers Squibb agreed to pay us an initial upfront fee payment of $50.0 million, as well as to make an equity investment of $15.0 million into our company. We will also be eligible to receive up to $301 million in total milestones per program subject upon the achievement of certain specified research, development, regulatory and commercial milestones. See “Business—Collaborations and License Agreements— Collaboration and License Agreement with Bristol-Myers Squibb Company” for additional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w:t>
      </w:r>
    </w:p>
    <w:p>
      <w:pPr>
        <w:spacing w:after="0" w:line="229"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color w:val="auto"/>
        </w:rPr>
        <w:t>With the global spread of the ongoing COVID-19 pandemic in the first quarter of 2020, we established a cross-functional task force and have implemented business continuity plans designed to address and mitigate the impact of the COVID-19 pandemic on our employees and our business, including our preclinical studies and planned clinical trials. Our operations are considered as an essential business and we are continuing to operate during this period. We have taken measures to secure our research and development activities, while work in laboratories and facilities has been organized to reduce risk of COVID-19 transmission. While we are experiencing limited financial impacts at this time, given the global economic slowdown, the overall disruption of global healthcare systems and the other risks and uncertainties associated with the pandemic, our business, financial condition and results of operations could be materially adversely affected. We continue to closely monitor the COVID-19 pandemic as we evolve our business continuity plans, clinical development plans and response strategy.</w:t>
      </w:r>
    </w:p>
    <w:p>
      <w:pPr>
        <w:spacing w:after="0" w:line="178"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 addition, our planned clinical trials may be affected by the COVID-19 pandemic, including (i) delays or difficulties in enrolling and retaining patients in our planned clinical trials, including patients that may not be able or willing to comply with clinical trial protocols if quarantines impede patient movement or interrupt healthcare services; (ii) delays or difficulties in clinical site initiation, including difficulties in recruiting and retaining clinical site investigators and clinical site staff; (iii) 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 (iv) interruption of our future clinical supply chain or key clinical trial activities, such as clinical trial site monitoring, due to limitations on travel imposed or recommended by federal, state/provincial or municipal governments, employers and others; and (v) limitations in employee resources that would otherwise be focused on the conduct of our planned clinical trials, including because of sickness of employees or their families or the desire of employees to avoid contact with large groups of people.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320" w:top="459" w:right="3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Collaboration Agreement with Ono Pharmaceutical Company Ltd.</w:t>
      </w:r>
    </w:p>
    <w:p>
      <w:pPr>
        <w:spacing w:after="0" w:line="117"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In January 2019, we entered into a research services, license and collaboration agreement with Ono Pharmaceutical Company Ltd., or Ono, pursuant to which we and Ono have agreed to collaborate in the research of potential product candidates targeting Polq and the development of our small molecule Polq inhibitor program. Pursuant to the terms of the agreement, we received initial upfront payments of approximately $8.1 million. These upfront payments have been recorded as deferred revenue on our balance sheet as of December 31, 2019 and March 31, 2020 as per our revenue recognition accounting policy and will be recognized as revenue at the point in time when a product candidate is licensed to Ono pursuant to the terms of the agreement. Refer to Notes 2 and 10 to our annual consolidated financial statements included elsewhere in this prospectus for additional information regarding our revenue recognition accounting policy and our collaboration agreement with Ono.</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We expense research and development costs as incurred, which include:</w:t>
      </w:r>
    </w:p>
    <w:p>
      <w:pPr>
        <w:spacing w:after="0" w:line="76" w:lineRule="exact"/>
        <w:rPr>
          <w:sz w:val="20"/>
          <w:szCs w:val="20"/>
          <w:color w:val="auto"/>
        </w:rPr>
      </w:pPr>
    </w:p>
    <w:p>
      <w:pPr>
        <w:ind w:left="1000" w:right="860" w:hanging="547"/>
        <w:spacing w:after="0" w:line="342"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external research and development expenses incurred under agreements with contract research organizations, or CROs, as well as investigative sites and consultants that conduct our clinical trials, preclinical studies and other scientific development services;</w:t>
      </w:r>
    </w:p>
    <w:p>
      <w:pPr>
        <w:spacing w:after="0" w:line="29" w:lineRule="exact"/>
        <w:rPr>
          <w:rFonts w:ascii="Arial" w:cs="Arial" w:eastAsia="Arial" w:hAnsi="Arial"/>
          <w:sz w:val="16"/>
          <w:szCs w:val="16"/>
          <w:color w:val="auto"/>
        </w:rPr>
      </w:pPr>
    </w:p>
    <w:p>
      <w:pPr>
        <w:ind w:left="1000" w:hanging="547"/>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share-based compensation, other related costs for those employees involved in research and development efforts;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studies and clinical trials, including fees paid to CMOs;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upfront, milestone and maintenance fees incurred under license, acquisition and other third-party agreements;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30" w:lineRule="exact"/>
        <w:rPr>
          <w:rFonts w:ascii="Arial" w:cs="Arial" w:eastAsia="Arial" w:hAnsi="Arial"/>
          <w:sz w:val="18"/>
          <w:szCs w:val="18"/>
          <w:color w:val="auto"/>
        </w:rPr>
      </w:pPr>
    </w:p>
    <w:p>
      <w:pPr>
        <w:ind w:left="1000" w:right="720" w:hanging="547"/>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facilities, depreciation, scientific advisory board and other allocated expenses, which include direct and allocated expenses for rent, maintenance of facilities and equipment, insurance, equipment and software.</w:t>
      </w:r>
    </w:p>
    <w:p>
      <w:pPr>
        <w:spacing w:after="0" w:line="170"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Costs for certain activities are recognized based on an evaluation of the progress to completion of specific tasks using data such as information provided to us by our vendors and analyzing the progress of our preclinical</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80"/>
          </w:cols>
          <w:pgMar w:left="320" w:top="459" w:right="3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studies or other services performed. Significant judgment and estimates are made in determining the accrued expense balances at the end of any reporting period.</w:t>
      </w:r>
    </w:p>
    <w:p>
      <w:pPr>
        <w:spacing w:after="0" w:line="170"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We characterize research and development costs incurred prior to the identification of a product candidate as discovery costs. We characterize costs incurred once a product candidate has been identified as development costs.</w:t>
      </w:r>
    </w:p>
    <w:p>
      <w:pPr>
        <w:spacing w:after="0" w:line="170" w:lineRule="exact"/>
        <w:rPr>
          <w:sz w:val="20"/>
          <w:szCs w:val="20"/>
          <w:color w:val="auto"/>
        </w:rPr>
      </w:pPr>
    </w:p>
    <w:p>
      <w:pPr>
        <w:jc w:val="both"/>
        <w:ind w:right="60" w:firstLine="449"/>
        <w:spacing w:after="0" w:line="279" w:lineRule="auto"/>
        <w:rPr>
          <w:sz w:val="20"/>
          <w:szCs w:val="20"/>
          <w:color w:val="auto"/>
        </w:rPr>
      </w:pPr>
      <w:r>
        <w:rPr>
          <w:rFonts w:ascii="Arial" w:cs="Arial" w:eastAsia="Arial" w:hAnsi="Arial"/>
          <w:sz w:val="17"/>
          <w:szCs w:val="17"/>
          <w:color w:val="auto"/>
        </w:rPr>
        <w:t>Our direct external research and development expenses consist primarily of fees paid to outside consultants, CROs, CMOs and research laboratories in connection with our preclinical development, process development, manufacturing and clinical development activities. Our direct external research and development expenses also include fees incurred under license, acquisition and option agreements. We track these external research and development costs on a program-by-program basis once we have identified a product candidate.</w:t>
      </w:r>
    </w:p>
    <w:p>
      <w:pPr>
        <w:spacing w:after="0" w:line="171"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activities as well as for managing our preclinical development, process development, manufacturing and clinical development activities.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costs: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68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Discovery costs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Direct external costs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$2,259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3,918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7,004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1,371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2,013</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Laboratory supplies and research materials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Personnel related costs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4,476</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1,327</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Facilities related costs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Other costs</w:t>
            </w:r>
          </w:p>
        </w:tc>
        <w:tc>
          <w:tcPr>
            <w:tcW w:w="520" w:type="dxa"/>
            <w:vAlign w:val="bottom"/>
          </w:tcPr>
          <w:p>
            <w:pPr>
              <w:jc w:val="right"/>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r>
      <w:tr>
        <w:trPr>
          <w:trHeight w:val="27"/>
        </w:trPr>
        <w:tc>
          <w:tcPr>
            <w:tcW w:w="68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10,236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16,728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Development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RP-3500 program (direct external costs)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3,512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Personnel related costs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Facilities related costs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Other costs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7"/>
        </w:trPr>
        <w:tc>
          <w:tcPr>
            <w:tcW w:w="68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4,833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R&amp;D tax credits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r>
      <w:tr>
        <w:trPr>
          <w:trHeight w:val="27"/>
        </w:trPr>
        <w:tc>
          <w:tcPr>
            <w:tcW w:w="68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costs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4,401</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20,995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8,632</w:t>
            </w:r>
          </w:p>
        </w:tc>
      </w:tr>
      <w:tr>
        <w:trPr>
          <w:trHeight w:val="20"/>
        </w:trPr>
        <w:tc>
          <w:tcPr>
            <w:tcW w:w="68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We anticipate that our expenses will increase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459"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substantially, particularly due to the numerous risks and uncertainties associated with developing product candidates, including the uncertainty of:</w:t>
      </w:r>
    </w:p>
    <w:p>
      <w:pPr>
        <w:spacing w:after="0" w:line="142" w:lineRule="exact"/>
        <w:rPr>
          <w:sz w:val="20"/>
          <w:szCs w:val="20"/>
          <w:color w:val="auto"/>
        </w:rPr>
      </w:pPr>
    </w:p>
    <w:p>
      <w:pPr>
        <w:ind w:left="1000" w:right="20" w:hanging="547"/>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scope, rate of progress, and expenses of our ongoing research activities as well as any preclinical studies, clinical trials and other research and development activities;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establishing an appropriate safety profile;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our product candidates show safety and efficacy in our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continued acceptable safety profile of products following any regulatory approval.</w:t>
      </w:r>
    </w:p>
    <w:p>
      <w:pPr>
        <w:spacing w:after="0" w:line="225"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FDA, EMA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General and administrative expense consists primarily of employee related costs, including salaries, bonuses, benefits, share-based compensation and other related costs, as well as expenses for outside professional services, including legal, accounting and audit services and other consulting fees, rent expense, and other general administrative expenses.</w:t>
      </w:r>
    </w:p>
    <w:p>
      <w:pPr>
        <w:spacing w:after="0" w:line="184"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We anticipate that our general and administrative expenses will increase in the future as we increase our headcount to support our continued research activities and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right="160" w:firstLine="449"/>
        <w:spacing w:after="0" w:line="308" w:lineRule="auto"/>
        <w:rPr>
          <w:sz w:val="20"/>
          <w:szCs w:val="20"/>
          <w:color w:val="auto"/>
        </w:rPr>
      </w:pPr>
      <w:r>
        <w:rPr>
          <w:rFonts w:ascii="Arial" w:cs="Arial" w:eastAsia="Arial" w:hAnsi="Arial"/>
          <w:sz w:val="17"/>
          <w:szCs w:val="17"/>
          <w:color w:val="auto"/>
        </w:rPr>
        <w:t>Other (expense) income, net consists primarily of changes in the fair value of convertible notes and Series A preferred share tranche obligations, as well as realized and unrealized gains and losses on foreign exchange and other expenses such as interest and bank charges.</w:t>
      </w:r>
    </w:p>
    <w:p>
      <w:pPr>
        <w:spacing w:after="0" w:line="146"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Changes in the fair value of convertible notes consisted of losses on the re-measurement at fair value at each reporting date of the convertible notes liability as we elected the fair value option to account for our convertible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320" w:top="459" w:right="3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notes. As of June 2017, in connection with our Series A preferred financing, the outstanding convertible notes were converted into shares of Series A preferred shares and as such, the convertible notes liability was extinguished.</w:t>
      </w:r>
    </w:p>
    <w:p>
      <w:pPr>
        <w:spacing w:after="0" w:line="170"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Changes in the fair value of the Series A preferred share tranche obligation consisted of gains and losses on the re-measurement at fair value at each reporting date of the tranche obligation, arising from the obligation and right to make future issuances of Series A preferred shares. As of September 2019, in connection with the issuance and sale of Series B preferred shares, the final Series A preferred tranche obligation was extinguished and recognized as additional paid-in-capital.</w:t>
      </w:r>
    </w:p>
    <w:p>
      <w:pPr>
        <w:spacing w:after="0" w:line="18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Realized and unrealized gains and losses on foreign exchange consist of realized and unrealized gains and losses from holding cash and restricted cash in foreign currency and foreign currency denominated research and development tax credits receivable, other receivables, accounts payable, accrued expenses and other current liabilities as well as operating lease liabilities.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2019 and 2020:</w:t>
      </w:r>
    </w:p>
    <w:tbl>
      <w:tblPr>
        <w:tblLayout w:type="fixed"/>
        <w:tblInd w:w="0" w:type="dxa"/>
        <w:tblCellMar>
          <w:top w:w="0" w:type="dxa"/>
          <w:left w:w="0" w:type="dxa"/>
          <w:bottom w:w="0" w:type="dxa"/>
          <w:right w:w="0" w:type="dxa"/>
        </w:tblCellMar>
      </w:tblPr>
      <w:tr>
        <w:trPr>
          <w:trHeight w:val="149"/>
        </w:trPr>
        <w:tc>
          <w:tcPr>
            <w:tcW w:w="6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5"/>
          </w:tcPr>
          <w:p>
            <w:pPr>
              <w:jc w:val="right"/>
              <w:ind w:right="480"/>
              <w:spacing w:after="0" w:line="149" w:lineRule="exact"/>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2020</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Research and development, net of tax credits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3,703</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8,632</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4,929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2,183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4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10,815</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(4,779)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(10,815)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(6,036)</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foreign exchange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(1,803)</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(1,733)</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(4,729)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(12,548)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(7,819)</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Income tax expense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(4,838)</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(12,601)</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(7,763)</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Research and development expenses were $8.6 million for the three months ended March 31, 2020, compared to $3.7 million for the three months ended March 31, 2019. The increase of $4.9 million was primarily due to a:</w:t>
      </w:r>
    </w:p>
    <w:p>
      <w:pPr>
        <w:spacing w:after="0" w:line="76" w:lineRule="exact"/>
        <w:rPr>
          <w:sz w:val="20"/>
          <w:szCs w:val="20"/>
          <w:color w:val="auto"/>
        </w:rPr>
      </w:pPr>
    </w:p>
    <w:p>
      <w:pPr>
        <w:ind w:left="1000" w:right="620" w:hanging="547"/>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$3.5 million increase in direct external costs for both discovery and development activities as a result of our increased efforts towards identifying a product candidate and advancing the development of RP-3500;</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$1.1 million increase in personnel related expenses in support of our increased discovery and development activities;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459"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$0.2 million increase in lab supplies and research materials as a result of our increased efforts towards identifying a product candidate; and</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$0.1 million net increase in other research and development costs in support of increased research and development activities.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General and administrative expenses were $2.2 million for the three months ended March 31, 2020, compared to $1.1 million for the three months ended March 31, 2019. The increase of $1.1 million consisted of a $0.4 million increase in payroll and personnel related costs, a $0.3 million increase in legal and professional fees and a $0.4 million increase in other general and administrative expenses, related to costs associated with operating activities and the preparations for becoming a public company.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Other expense, net was $1.7 million for the three months ended March 31, 2020, compared to other income, net of $0.1 million for the three months ended March 31, 2019. The increase of $1.8 million in other expenses is primarily attributable to an increase of $1.8 million in unrealized losses on foreign exchange as a result of fluctuations in foreign exchange rates, as well as higher foreign currency-denominated cash, other receivables and research and development tax credits receivable balances held in the first quarter of 2020. From December 31, 2019 to March 31, 2020, the relative value of the U.S. dollar to the Canadian dollar increased by approximately 8%.</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Income tax expense was $0.1 million for the three months ended March 31, 2020, reflecting taxable income in our U.S. subsidiary. Income tax expense was $0.1 million for the three months ended March 31, 2019, reflecting withholding taxes on one of the upfront payments under our collaboration agreement with Ono as well as taxable income in our U.S. subsidiary.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net losses of $4.8 million and $12.6 million for the three months ended March 31, 2019 and 2020, respectively.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320" w:top="459" w:right="3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years ended December 31, 2018 and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8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9,906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20,995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11,089</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26,377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(12,820)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(26,377)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(13,557)</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gain (loss) on foreign exchange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(1,428)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(14,248)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(27,021)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(12,773)</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(14,283)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(27,216)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(12,933)</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Research and development expenses were $21.0 million for the year ended December 31, 2019, compared to $9.9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The increase of $11.1 million was primarily due to a:</w:t>
      </w:r>
    </w:p>
    <w:p>
      <w:pPr>
        <w:spacing w:after="0" w:line="116" w:lineRule="exact"/>
        <w:rPr>
          <w:sz w:val="20"/>
          <w:szCs w:val="20"/>
          <w:color w:val="auto"/>
        </w:rPr>
      </w:pPr>
    </w:p>
    <w:p>
      <w:pPr>
        <w:ind w:left="1000" w:right="620" w:hanging="547"/>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$6.6 million increase in direct external costs for both discovery and development activities as a result of our increased efforts towards identifying a product candidate and advancing the development of RP-3500;</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$2.3 million increase in personnel related expenses in support of our increased discovery and development activities;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$1.4 million increase in lab supplies and research materials as a result of our increased efforts towards identifying a product candidate; and</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$0.8 million net increase in other research and development costs in support of increased research and development activities.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General and administrative expenses were $5.4 million for the year ended December 31, 2019, compared to $2.9 million for the year ended December 31, 2018. The increase of $2.5 million consisted of a $1.1 million increase in payroll and personnel related costs, a $0.7 million increase in legal and professional fees and a $0.7 million increase in other general and administrative expenses, related to costs associated with operating activities and the preparations for becoming a public company.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Other expense, net was $0.6 million for the year ended December 31, 2019, compared to $1.4 million for the year ended December 31, 2018. The decrease of $0.8 million is primarily attributable to an increase of $1.0 million in realized and unrealized gains on foreign exchange as a result of fluctuations in foreign exchange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rates, as well as higher foreign currency-denominated cash balances held in 2019, partially offset by a $0.2 million increase in changes in the fair value of our Series A preferred share tranche obligation year over year.</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Income tax expense was $0.2 million for the year ended December 31, 2019. This expense was primarily attributed to withholding taxes on one of the upfront payments under our collaboration agreement with Ono as well as higher taxable income in our U.S. subsidiary. Income tax expense was $0.03 million for the year ended December 31, 2018, reflecting taxable income in our U.S. subsidiary.</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net losses of $14.3 million and $27.2 million for the years ended December 31, 2018 and 2019, respectively.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years ended December 31, 2017 and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780" w:type="dxa"/>
            <w:vAlign w:val="bottom"/>
            <w:gridSpan w:val="7"/>
          </w:tcPr>
          <w:p>
            <w:pPr>
              <w:jc w:val="right"/>
              <w:ind w:right="44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620" w:type="dxa"/>
            <w:vAlign w:val="bottom"/>
          </w:tcPr>
          <w:p>
            <w:pPr>
              <w:spacing w:after="0"/>
              <w:rPr>
                <w:sz w:val="14"/>
                <w:szCs w:val="14"/>
                <w:color w:val="auto"/>
              </w:rPr>
            </w:pPr>
          </w:p>
        </w:tc>
        <w:tc>
          <w:tcPr>
            <w:tcW w:w="1780" w:type="dxa"/>
            <w:vAlign w:val="bottom"/>
            <w:gridSpan w:val="7"/>
          </w:tcPr>
          <w:p>
            <w:pPr>
              <w:jc w:val="right"/>
              <w:ind w:right="401"/>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8620" w:type="dxa"/>
            <w:vAlign w:val="bottom"/>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jc w:val="right"/>
              <w:ind w:right="1"/>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9"/>
              </w:rPr>
              <w:t>$ 4,401</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9,906</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12,820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89"/>
              </w:rPr>
              <w:t>(12,820)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(6,645)</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gain (loss) on foreign exchange</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(1,615)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(1,310)</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(7,796)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(14,248)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Net and comprehensive loss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(7,796</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(14,283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(6,487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Research and development expenses were $9.9 million for the year ended December 31, 2018, compared to $4.4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The $5.5 million increase was primarily due to a:</w:t>
      </w:r>
    </w:p>
    <w:p>
      <w:pPr>
        <w:spacing w:after="0" w:line="116" w:lineRule="exact"/>
        <w:rPr>
          <w:sz w:val="20"/>
          <w:szCs w:val="20"/>
          <w:color w:val="auto"/>
        </w:rPr>
      </w:pPr>
    </w:p>
    <w:p>
      <w:pPr>
        <w:ind w:left="1000" w:right="620" w:hanging="547"/>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$1.7 million increase in direct external costs for both discovery and development activities as a result of our increased efforts towards identifying a product candidate;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$2.0 million increase in personnel related expenses in support of our increased discovery and development activities;</w:t>
      </w:r>
    </w:p>
    <w:p>
      <w:pPr>
        <w:spacing w:after="0" w:line="130" w:lineRule="exact"/>
        <w:rPr>
          <w:rFonts w:ascii="Arial" w:cs="Arial" w:eastAsia="Arial" w:hAnsi="Arial"/>
          <w:sz w:val="18"/>
          <w:szCs w:val="18"/>
          <w:color w:val="auto"/>
        </w:rPr>
      </w:pPr>
    </w:p>
    <w:p>
      <w:pPr>
        <w:ind w:left="5540" w:right="240" w:hanging="5087"/>
        <w:spacing w:after="0" w:line="449" w:lineRule="auto"/>
        <w:tabs>
          <w:tab w:leader="none" w:pos="1013" w:val="left"/>
        </w:tabs>
        <w:numPr>
          <w:ilvl w:val="0"/>
          <w:numId w:val="71"/>
        </w:numPr>
        <w:rPr>
          <w:rFonts w:ascii="Arial" w:cs="Arial" w:eastAsia="Arial" w:hAnsi="Arial"/>
          <w:sz w:val="18"/>
          <w:szCs w:val="18"/>
          <w:color w:val="auto"/>
        </w:rPr>
      </w:pPr>
      <w:r>
        <w:rPr>
          <w:rFonts w:ascii="Arial" w:cs="Arial" w:eastAsia="Arial" w:hAnsi="Arial"/>
          <w:sz w:val="18"/>
          <w:szCs w:val="18"/>
          <w:color w:val="auto"/>
        </w:rPr>
        <w:t>$1.1 million increase in lab supplies and research materials as a result of our increased efforts towards identifying a product candidate; and 98</w:t>
      </w:r>
    </w:p>
    <w:p>
      <w:pPr>
        <w:sectPr>
          <w:pgSz w:w="11900" w:h="16838" w:orient="portrait"/>
          <w:cols w:equalWidth="0" w:num="1">
            <w:col w:w="11240"/>
          </w:cols>
          <w:pgMar w:left="32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$0.7 million net increase in other research and development net costs in support of our increased research and development activities.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340" w:firstLine="449"/>
        <w:spacing w:after="0" w:line="311" w:lineRule="auto"/>
        <w:rPr>
          <w:sz w:val="20"/>
          <w:szCs w:val="20"/>
          <w:color w:val="auto"/>
        </w:rPr>
      </w:pPr>
      <w:r>
        <w:rPr>
          <w:rFonts w:ascii="Arial" w:cs="Arial" w:eastAsia="Arial" w:hAnsi="Arial"/>
          <w:sz w:val="16"/>
          <w:szCs w:val="16"/>
          <w:color w:val="auto"/>
        </w:rPr>
        <w:t>General and administrative expenses were $2.9 million for the year ended December 31, 2018, compared to $1.8 million for the year ended December 31, 2017. The increase of $1.1 million is primarily attributed to a $0.7 million increase in payroll and personnel related costs, a $0.3 million increase in legal and professional fees and a $0.1 million increase in other general and administrative expenses, all in support of operating activities.</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Other expense, net was $1.4 million for the year ended December 31, 2018, compared to $1.6 million for the year ended December 31, 2017. The decrease of $0.2 million is primarily attributable to a decrease of $1.6 million in changes in the fair value of our convertible notes as a result of their conversion into Series A preferred shares in 2017, partially offset by an increase of $1.3 million in changes in the fair value of our Series A preferred share tranche obligation and a $0.1 million increase in realized and unrealized losses on foreign exchange as a result of fluctuations in foreign exchange rates.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Income tax expense was $0.03 million for the year ended December 31, 2018, reflecting taxable income in our U.S. subsidiary. No comparable income tax expense was incurred for the year ended December 31, 2017.</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net losses of $7.8 million and $14.3 million for the years ended December 31, 2017 and 2018,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Since our inception, we have funded our operations primarily through equity financings, and have raised an aggregate of approximately $135.2 million of gross proceeds from the sale of our preferred shares. We have also partnered with Ono for our Polq inhibitor program and received initial upfront payments of approximately $8.1 million. As of March 31, 2020, we had $83.7 million of cash on hand.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As of March 31, 2020, our cash on hand was $83.7 million. We believe that the net proceeds from this offering, together with our existing cash on hand and the $65.0 million payment Bristol Myers Squibb has agreed to pay us in connection with our entry into the collaboration and license agreement in</w:t>
      </w:r>
    </w:p>
    <w:p>
      <w:pPr>
        <w:ind w:right="40"/>
        <w:spacing w:after="0" w:line="260" w:lineRule="auto"/>
        <w:rPr>
          <w:sz w:val="20"/>
          <w:szCs w:val="20"/>
          <w:color w:val="auto"/>
        </w:rPr>
      </w:pPr>
      <w:r>
        <w:rPr>
          <w:rFonts w:ascii="Arial" w:cs="Arial" w:eastAsia="Arial" w:hAnsi="Arial"/>
          <w:sz w:val="18"/>
          <w:szCs w:val="18"/>
          <w:color w:val="auto"/>
        </w:rPr>
        <w:t>May 2020, will enable us to fund our operating expenses and capital expenditure requirements into . We have based this estimate on assumptions that may prove to be wrong, and we could expend our capital resources sooner than we expect.</w:t>
      </w:r>
    </w:p>
    <w:p>
      <w:pPr>
        <w:spacing w:after="0" w:line="18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our product candidates through preclinical and clinical development, seek regulatory approval and pursue commercialization of any approved product candidates. We expect that our research and development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320" w:top="459" w:right="3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general and administrative costs will increase in connection with our planned research and development activities. In addition, upon the completion of this offering, we expect to incur additional costs associated with operating as a public company.</w:t>
      </w:r>
    </w:p>
    <w:p>
      <w:pPr>
        <w:spacing w:after="0" w:line="170"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believe that our existing cash on hand will be sufficient to fund our anticipated operating and capital expenditure requirements for at least the next 12 months from the date of this prospectus. We have based this estimate on assumptions that may prove to be wrong, and we could exhaust our capital resources sooner than we expect. If we receive regulatory approval for any of our product candidates, we expect to incur significant commercialization expenses related to product manufacturing, sales, marketing and distribution, depending on where we choose to commercialize. We may also require additional capital to pursue in-licenses or acquisitions of other product candidates.</w:t>
      </w:r>
    </w:p>
    <w:p>
      <w:pPr>
        <w:spacing w:after="0" w:line="188" w:lineRule="exact"/>
        <w:rPr>
          <w:sz w:val="20"/>
          <w:szCs w:val="20"/>
          <w:color w:val="auto"/>
        </w:rPr>
      </w:pPr>
    </w:p>
    <w:p>
      <w:pPr>
        <w:ind w:right="340" w:firstLine="449"/>
        <w:spacing w:after="0" w:line="342" w:lineRule="auto"/>
        <w:rPr>
          <w:sz w:val="20"/>
          <w:szCs w:val="20"/>
          <w:color w:val="auto"/>
        </w:rPr>
      </w:pPr>
      <w:r>
        <w:rPr>
          <w:rFonts w:ascii="Arial" w:cs="Arial" w:eastAsia="Arial" w:hAnsi="Arial"/>
          <w:sz w:val="16"/>
          <w:szCs w:val="16"/>
          <w:color w:val="auto"/>
        </w:rPr>
        <w:t>Because of the numerous risks and uncertainties associated with research, development and commercialization of our product candidates, we are unable to estimate the exact amount of our working capital requirements. Our future capital requirements will depend on many factors, including:</w:t>
      </w:r>
    </w:p>
    <w:p>
      <w:pPr>
        <w:spacing w:after="0" w:line="29" w:lineRule="exact"/>
        <w:rPr>
          <w:sz w:val="20"/>
          <w:szCs w:val="20"/>
          <w:color w:val="auto"/>
        </w:rPr>
      </w:pPr>
    </w:p>
    <w:p>
      <w:pPr>
        <w:ind w:left="1000" w:hanging="547"/>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initiation, timing, costs, progress and results of our planned clinical trials of RP-3500;</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earlier-stage programs;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scope, progress, results and costs of our research programs and preclinical development of any additional product candidates that we may pursue;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42" w:lineRule="exact"/>
        <w:rPr>
          <w:rFonts w:ascii="Arial" w:cs="Arial" w:eastAsia="Arial" w:hAnsi="Arial"/>
          <w:sz w:val="17"/>
          <w:szCs w:val="17"/>
          <w:color w:val="auto"/>
        </w:rPr>
      </w:pPr>
    </w:p>
    <w:p>
      <w:pPr>
        <w:ind w:left="1000" w:right="440" w:hanging="547"/>
        <w:spacing w:after="0" w:line="27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agreements;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regulatory authorities;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00" w:right="220" w:hanging="547"/>
        <w:spacing w:after="0" w:line="27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any of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strategic collaborations;</w:t>
      </w:r>
    </w:p>
    <w:p>
      <w:pPr>
        <w:spacing w:after="0" w:line="75" w:lineRule="exact"/>
        <w:rPr>
          <w:rFonts w:ascii="Arial" w:cs="Arial" w:eastAsia="Arial" w:hAnsi="Arial"/>
          <w:sz w:val="18"/>
          <w:szCs w:val="18"/>
          <w:color w:val="auto"/>
        </w:rPr>
      </w:pPr>
    </w:p>
    <w:p>
      <w:pPr>
        <w:ind w:left="1000" w:right="780" w:hanging="547"/>
        <w:spacing w:after="0" w:line="27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RP-3500 and any future product candidates for which we receive marketing approval;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Until such time, if ever, as we can generate substantial product revenues to support our cost structure, we expect to finance our cash needs through a combination of equity offerings, debt financings, collaborations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320" w:top="459" w:right="3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other similar arrangements.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common shareholders.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shares.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ind w:left="40"/>
              <w:spacing w:after="0"/>
              <w:rPr>
                <w:sz w:val="20"/>
                <w:szCs w:val="20"/>
                <w:color w:val="auto"/>
              </w:rPr>
            </w:pPr>
            <w:r>
              <w:rPr>
                <w:rFonts w:ascii="Arial" w:cs="Arial" w:eastAsia="Arial" w:hAnsi="Arial"/>
                <w:sz w:val="14"/>
                <w:szCs w:val="14"/>
                <w:b w:val="1"/>
                <w:bCs w:val="1"/>
                <w:color w:val="auto"/>
              </w:rPr>
              <w:t>ENDED MARCH 31,</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(9,717)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 (12,567)</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20,995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(20,773)</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Effect of exchange rate fluctuations on cash held</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(1,577)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(decrease) in cash and restricted cash</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23,721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(11,102)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 (34,823)</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Net cash provided by operating activities was $2.9 million for the three months ended March 31, 2019, reflecting a net loss of $4.8 million, offset by a net change of $7.4 million in our net operating assets and non-cash charges of $0.3 million. The non-cash charges primarily consist of depreciation expense, share-based compensation expense for option grants to employees, changes in the fair value of the Series A preferred share tranche obligation, non-cash lease expense, as well as foreign exchange gains and losses. The change in our net operating assets and liabilities was primarily due to an increase of $8.1 million in deferred revenue from the upfront payments received from Ono pursuant to the terms of our collaboration and a decrease of $0.1 million in prepaid expenses, partially offset by a net increase of $0.4 million for research and development tax credits receivable and other receivables, as well as a decrease of $0.4 million in accrued expenses and other current liabilities.</w:t>
      </w:r>
    </w:p>
    <w:p>
      <w:pPr>
        <w:spacing w:after="0" w:line="177" w:lineRule="exact"/>
        <w:rPr>
          <w:sz w:val="20"/>
          <w:szCs w:val="20"/>
          <w:color w:val="auto"/>
        </w:rPr>
      </w:pPr>
    </w:p>
    <w:p>
      <w:pPr>
        <w:ind w:right="220" w:firstLine="449"/>
        <w:spacing w:after="0" w:line="273" w:lineRule="auto"/>
        <w:rPr>
          <w:sz w:val="20"/>
          <w:szCs w:val="20"/>
          <w:color w:val="auto"/>
        </w:rPr>
      </w:pPr>
      <w:r>
        <w:rPr>
          <w:rFonts w:ascii="Arial" w:cs="Arial" w:eastAsia="Arial" w:hAnsi="Arial"/>
          <w:sz w:val="17"/>
          <w:szCs w:val="17"/>
          <w:color w:val="auto"/>
        </w:rPr>
        <w:t>Net cash used in operating activities was $9.7 million for the three months ended March 31, 2020, reflecting a net loss of $12.6 million, offset by a net change of $0.5 million in our net operating assets and non-cash charges of $2.4 million. The non-cash charges primarily consist of unrealized foreign exchange losses, as well as depreciation expense, share-based compensation expense for option grants to employees and non-cash lease expense. The change in our net operating assets and liabilities was primarily due to an increase of $1.4 million in other assets, other receivables, research and development tax credits receivable and prepaid expenses, as well as a decrease of $0.1 million in operating lease liabilities, offset by an increase of $2.0 million in accounts payable, accrued expenses and other current liabilities, as well as income tax payable.</w:t>
      </w:r>
    </w:p>
    <w:p>
      <w:pPr>
        <w:spacing w:after="0" w:line="178"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$12.6 million increase in cash used in operating activities for the three months ended March 31, 2020 compared to March 31, 2019 is primarily due to a decrease in cash provided by the $8.1 million in upfront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payments received from Ono under the terms of our collaboration agreement for our Polq inhibitor program in the first quarter of 2019, as well as an increase in research and development expenses and general and administrative expenses as a result of our increased efforts towards identifying product candidates and advancing the development of RP-3500.</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Net cash used in investing activities was $0.1 million and $0.03 million for the three months ended March 31, 2019 and 2020, respectively, and resulted from the purchases of property and equipment.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Net cash provided by financing activities was $21.0 million for the three months ended March 31, 2019, consisting of net proceeds from the issuance of Series A preferred shares in January 2019. Net cash provided by financing activities was $0.2 million for the three months ended March 31, 2020, consisting of net proceeds from the exercise of stock options, partially offset by payments of deferred financing costs.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Effect of exchange rate fluctuations on cash held</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effect of exchange rate fluctuations on cash held was $0.04 million and $1.6 million for the three months ended March 31, 2019 and 2020, respectively, and resulted from fluctuations in foreign exchange rates, as well as higher foreign currency-denominated cash balances held in the first quarter of 2020 compared to the first quarter of 2019. From December 31, 2019 to March 31, 2020, the relative value of the U.S. dollar to the Canadian dollar increased by approximately 8%.</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each of the years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6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(18,429)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40" w:type="dxa"/>
            <w:vAlign w:val="bottom"/>
            <w:gridSpan w:val="3"/>
          </w:tcPr>
          <w:p>
            <w:pPr>
              <w:jc w:val="right"/>
              <w:ind w:right="100"/>
              <w:spacing w:after="0"/>
              <w:rPr>
                <w:sz w:val="20"/>
                <w:szCs w:val="20"/>
                <w:color w:val="auto"/>
              </w:rPr>
            </w:pPr>
            <w:r>
              <w:rPr>
                <w:rFonts w:ascii="Arial" w:cs="Arial" w:eastAsia="Arial" w:hAnsi="Arial"/>
                <w:sz w:val="18"/>
                <w:szCs w:val="18"/>
                <w:color w:val="auto"/>
              </w:rPr>
              <w:t>(583)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103,243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103,243</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Effect of exchange rate fluctuations on cash held</w:t>
            </w:r>
          </w:p>
        </w:tc>
        <w:tc>
          <w:tcPr>
            <w:tcW w:w="2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(decrease) increase in cash and restricted cash</w:t>
            </w:r>
          </w:p>
        </w:tc>
        <w:tc>
          <w:tcPr>
            <w:tcW w:w="2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(13,460)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97,536</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Net cash used in operating activities was $12.6 million for the year ended December 31, 2018, reflecting a net loss of $14.3 million, a net change of $0.4 million in our net operating assets and non-cash charges of $2.1 million. The non-cash charges primarily consist of changes in the fair value of the Series A preferred share tranche obligation, depreciation expense, share-based compensation expense for option grants to employees as well as foreign exchange gains and losses. The change in our net operating assets and liabilities was primarily due to an increase of $0.5 million for research and development tax credits receivable, other receivables and prepaid expenses, partially offset by a net increase of $0.1 million in accrued expenses and other current liabilities.</w:t>
      </w:r>
    </w:p>
    <w:p>
      <w:pPr>
        <w:spacing w:after="0" w:line="192"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Net cash used in operating activities was $18.4 million for the year ended December 31, 2019, reflecting a net loss of $27.2 million, offset by a net change of $6.6 million in our net operating assets and non-cash charges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459"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of $2.2 million. The non-cash charges primarily consist of changes in the fair value of the Series A preferred share tranche obligation, depreciation expense, share-based compensation expense for option grants to employees, non-cash lease expense as well as foreign exchange gains and losses. The change in our net operating assets and liabilities was primarily due to an increase of $8.1 million in deferred revenue from the upfront payments received from Ono pursuant to the terms of our collaboration, an increase of $1.7 million in accounts payable, accrued expenses and other current liabilities, partially offset by a decrease of $0.4 million in operating lease liabilities and an increase of $2.8 million for prepaid expenses, research and development tax credits receivable, other receivables and other non-current assets.</w:t>
      </w:r>
    </w:p>
    <w:p>
      <w:pPr>
        <w:spacing w:after="0" w:line="178"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$5.8 million increase in cash used in operating activities for the year ended December 31, 2019 compared to December 31, 2018 is primarily due to an increase in research and development expenses and general and administrative expenses as a result of our increased efforts towards identifying product candidates and advancing the development of RP-3500, partially offset by the $8.1 million in upfront payments received from Ono under the terms of our collaboration for our Polq inhibitor program.</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Net cash used in investing activities was $0.6 million and $1.3 million for the years ended December 31, 2018 and 2019, respectively, and resulted from the purchases of property and equipment.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80" w:firstLine="449"/>
        <w:spacing w:after="0" w:line="263" w:lineRule="auto"/>
        <w:rPr>
          <w:sz w:val="20"/>
          <w:szCs w:val="20"/>
          <w:color w:val="auto"/>
        </w:rPr>
      </w:pPr>
      <w:r>
        <w:rPr>
          <w:rFonts w:ascii="Arial" w:cs="Arial" w:eastAsia="Arial" w:hAnsi="Arial"/>
          <w:sz w:val="18"/>
          <w:szCs w:val="18"/>
          <w:color w:val="auto"/>
        </w:rPr>
        <w:t>Net cash provided by financing activities was $103.2 million for the year ended December 31, 2019, consisting of net proceeds from the issuance of Series A preferred shares in January 2019 and net proceeds from the issuance of Series B preferred shares in September 2019. We had no cash provided by financing activities in 2018.</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each of the years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(6,007)</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(12,618)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20" w:type="dxa"/>
            <w:vAlign w:val="bottom"/>
            <w:gridSpan w:val="3"/>
          </w:tcPr>
          <w:p>
            <w:pPr>
              <w:jc w:val="right"/>
              <w:ind w:right="100"/>
              <w:spacing w:after="0"/>
              <w:rPr>
                <w:sz w:val="20"/>
                <w:szCs w:val="20"/>
                <w:color w:val="auto"/>
              </w:rPr>
            </w:pPr>
            <w:r>
              <w:rPr>
                <w:rFonts w:ascii="Arial" w:cs="Arial" w:eastAsia="Arial" w:hAnsi="Arial"/>
                <w:sz w:val="18"/>
                <w:szCs w:val="18"/>
                <w:color w:val="auto"/>
              </w:rPr>
              <w:t>(1,156)</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30,458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(30,458)</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Effect of exchange rate fluctuations on cash held</w:t>
            </w:r>
          </w:p>
        </w:tc>
        <w:tc>
          <w:tcPr>
            <w:tcW w:w="2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(decrease) in cash and restricted cash</w:t>
            </w:r>
          </w:p>
        </w:tc>
        <w:tc>
          <w:tcPr>
            <w:tcW w:w="2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23,302</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(13,460)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(36,762)</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320" w:firstLine="449"/>
        <w:spacing w:after="0" w:line="273" w:lineRule="auto"/>
        <w:rPr>
          <w:sz w:val="20"/>
          <w:szCs w:val="20"/>
          <w:color w:val="auto"/>
        </w:rPr>
      </w:pPr>
      <w:r>
        <w:rPr>
          <w:rFonts w:ascii="Arial" w:cs="Arial" w:eastAsia="Arial" w:hAnsi="Arial"/>
          <w:sz w:val="17"/>
          <w:szCs w:val="17"/>
          <w:color w:val="auto"/>
        </w:rPr>
        <w:t>Net cash used in operating activities was $6.0 million for the year ended December 31, 2017, reflecting a net loss of $7.8 million, a net change of $0.2 million in our net operating assets and non-cash charges of $1.6 million. The non-cash charges primarily consist of changes in the fair value of the convertible notes and Series A preferred share tranche obligation, depreciation expense and share-based compensation expense for option grants to employees. The change in our net operating assets and liabilities was primarily attributable to an increase of $1.1 million in accounts payables, accrued expenses and other current liabilities, as well as other liabilities, partially offset by an increase of $0.8 million in prepaid expenses, research and development tax credits receivable, other receivables and other non-current assets.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459"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Net cash used in operating activities was $12.6 million for the year ended December 31, 2018, reflecting a net loss of $14.3 million, a net change of $0.4 million in our net operating assets and non-cash charges of $2.1 million. The non-cash charges primarily consist of changes in the fair value of the Series A preferred share tranche obligation, depreciation expense, share-based compensation expense for option grants to employees as well as foreign exchange gains and losses. The change in our net operating assets and liabilities was primarily due to an increase of $0.5 million for research and development tax credits receivable, other receivables and prepaid expenses, partially offset by a net increase of $0.1 million in accrued expenses and other current liabilities.</w:t>
      </w:r>
    </w:p>
    <w:p>
      <w:pPr>
        <w:spacing w:after="0" w:line="192"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$6.6 million increase in cash used in operating activities for the year ended December 31, 2018 compared to December 31, 2017 was primarily due to an increase in research and development expenses and general and administrative expenses as a result of our increased efforts towards advancing our research and development program.</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220" w:firstLine="449"/>
        <w:spacing w:after="0" w:line="277" w:lineRule="auto"/>
        <w:rPr>
          <w:sz w:val="20"/>
          <w:szCs w:val="20"/>
          <w:color w:val="auto"/>
        </w:rPr>
      </w:pPr>
      <w:r>
        <w:rPr>
          <w:rFonts w:ascii="Arial" w:cs="Arial" w:eastAsia="Arial" w:hAnsi="Arial"/>
          <w:sz w:val="18"/>
          <w:szCs w:val="18"/>
          <w:color w:val="auto"/>
        </w:rPr>
        <w:t>Net cash used in investing activities was $1.2 million and $0.6 million for the years ended December 31, 2017 and 2018, respectively, and resulted from the purchases of property and equipment.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Net cash provided by financing activities was $30.5 million for the year ended December 31, 2017, consisting of net proceeds from the issuance of convertible notes in April 2017 and the net proceeds from the issuance of Series A preferred shares in June 2017. We had no cash provided by financing activities in 2018.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The following table summarizes our commitments to settle contractual obligations at March 31, 2020 (in thousands), other than leases which are recognized as operating lease liabilities in our balance sheet: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1"/>
              </w:rPr>
              <w:t>Payments Due By Period</w:t>
            </w: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5"/>
              </w:rPr>
              <w:t>Total</w:t>
            </w: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 1</w:t>
            </w: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1-3 Years</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3-5 Years</w:t>
            </w:r>
          </w:p>
        </w:tc>
        <w:tc>
          <w:tcPr>
            <w:tcW w:w="24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and research agreements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11,125</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$ 5,250</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$ 2,350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11,125</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460" w:type="dxa"/>
            <w:vAlign w:val="bottom"/>
          </w:tcPr>
          <w:p>
            <w:pPr>
              <w:spacing w:after="0"/>
              <w:rPr>
                <w:sz w:val="19"/>
                <w:szCs w:val="19"/>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$ 5,250</w:t>
            </w:r>
          </w:p>
        </w:tc>
        <w:tc>
          <w:tcPr>
            <w:tcW w:w="460" w:type="dxa"/>
            <w:vAlign w:val="bottom"/>
          </w:tcPr>
          <w:p>
            <w:pPr>
              <w:spacing w:after="0"/>
              <w:rPr>
                <w:sz w:val="19"/>
                <w:szCs w:val="19"/>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$ 2,350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Collaboration and Research Agreements</w:t>
      </w:r>
    </w:p>
    <w:p>
      <w:pPr>
        <w:spacing w:after="0" w:line="117"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Collaboration and research agreement obligations primarily relate to a strategic collaboration agreement that we entered into with the University of Texas M. D. Anderson Cancer Center, or MDACC, in March 2020. The collaboration will consist of preclinical studies and clinical trials designed by us and MDACC with the research to be completed by MDACC. We have agreed to commit $10.0 million in the aggregate to fund the collaboration, with payments to be made over a period of five years, of which $2.0 million was paid in April 2020.</w:t>
      </w:r>
    </w:p>
    <w:p>
      <w:pPr>
        <w:spacing w:after="0" w:line="187"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Collaboration and research agreement obligations also relate to the agreement we entered into with the Broad Institute Inc., or Broad, in February 2019, under which Broad will perform specialty screening services at our request over the course of a three-year term in exchange for payments of $0.5 million per year, totaling $1.5 million in the aggregate.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Purchase and Other Obligations</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the normal course of business, we enter into contracts with CROs and other third parties for preclinical studies and clinical trials, research and development supplies and other testing and manufacturing services. These contracts generally do not contain minimum purchase commitments and provide for termination on notice, and therefore are cancellable contracts. These payments are not included in the table above as the amount and timing of such payments are not known as of March 31, 2020.</w:t>
      </w:r>
    </w:p>
    <w:p>
      <w:pPr>
        <w:spacing w:after="0" w:line="18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have also entered into license agreements under which we are obligated to make milestone and royalty payments and incur annual maintenance fees. We have not included future milestone or royalty payments under these agreements in the table above since the payment obligations are contingent upon future events, such as achieving certain clinical and commercial milestones or generating product sales. As of March 31, 2020, we were unable to estimate the timing or likelihood of achieving these clinical and commercial milestones or generating future product sales. See the section titled “—License and Collaboration Agreements” elsewhere in this prospectus as well as Note 6 to our annual consolidated financial statements appearing elsewhere in this prospectus for a description of our license agreements.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This management’s discussion and analysis is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reported periods.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66" w:lineRule="exact"/>
        <w:rPr>
          <w:sz w:val="20"/>
          <w:szCs w:val="20"/>
          <w:color w:val="auto"/>
        </w:rPr>
      </w:pPr>
    </w:p>
    <w:p>
      <w:pPr>
        <w:ind w:right="280" w:firstLine="449"/>
        <w:spacing w:after="0" w:line="259" w:lineRule="auto"/>
        <w:rPr>
          <w:sz w:val="20"/>
          <w:szCs w:val="20"/>
          <w:color w:val="auto"/>
        </w:rPr>
      </w:pPr>
      <w:r>
        <w:rPr>
          <w:rFonts w:ascii="Arial" w:cs="Arial" w:eastAsia="Arial" w:hAnsi="Arial"/>
          <w:sz w:val="18"/>
          <w:szCs w:val="18"/>
          <w:color w:val="auto"/>
        </w:rPr>
        <w:t>While our accounting policies are described in more detail in the notes to our consolidated financial statements appearing elsewhere in this prospectus, we believe the following accounting policies used in the preparation of our consolidated financial statements require the most significant judgments and estimates. See Note 2 to our annual consolidated financial statements included elsewhere in this prospectus for a description of our other significant accounting policies.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research and development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w:t>
      </w:r>
    </w:p>
    <w:p>
      <w:pPr>
        <w:spacing w:after="0" w:line="164"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320" w:top="459" w:right="3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balance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88" w:lineRule="exact"/>
        <w:rPr>
          <w:sz w:val="20"/>
          <w:szCs w:val="20"/>
          <w:color w:val="auto"/>
        </w:rPr>
      </w:pPr>
    </w:p>
    <w:p>
      <w:pPr>
        <w:ind w:right="560" w:firstLine="449"/>
        <w:spacing w:after="0" w:line="263" w:lineRule="auto"/>
        <w:rPr>
          <w:sz w:val="20"/>
          <w:szCs w:val="20"/>
          <w:color w:val="auto"/>
        </w:rPr>
      </w:pPr>
      <w:r>
        <w:rPr>
          <w:rFonts w:ascii="Arial" w:cs="Arial" w:eastAsia="Arial" w:hAnsi="Arial"/>
          <w:sz w:val="18"/>
          <w:szCs w:val="18"/>
          <w:color w:val="auto"/>
        </w:rPr>
        <w:t>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Preferred Share Tranche Obligation</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 initial fair value of the preferred share tranche obligation recognized in connection with our issuance of Series A preferred shares in June 2017 was determined based on significant inputs not observable in the market, which represents a Level 3 measurement within the fair value hierarchy, which are detailed in Note 3 to our annual consolidated financial statements included elsewhere in this prospectus. The initial fair value of the obligation was estimated based on results of a third-party valuation. This obligation is remeasured prior to the issuance of subsequent tranches and at each subsequent reporting period. See Note 8 to our annual consolidated financial statements included elsewhere in this prospectus for additional information regarding our issuances of preferred shares.</w:t>
      </w:r>
    </w:p>
    <w:p>
      <w:pPr>
        <w:spacing w:after="0" w:line="192"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Each tranche obligation is valued as a forward contract. The values are determined using a probability-weighted present value calculation. In determining the fair values of the tranche obligations, estimates and assumptions impacting fair value included the future value of our Series A preferred shares, discount rates, estimated years to liquidity, and probability of each tranche closing. We determined the per share future value of the Series A preferred shares by back-solving to the initial proceeds of the Series A financing. We remeasured each tranche obligation at each reporting period and prior to settlement.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 xml:space="preserve">We measure share-based compensation based on the grant date fair value of the share-based awards and recognize share-based compensation expense on a straight-line basis over the requisite service period of the awards, which is generally the vesting period of the respective award. For non-employee awards, compensation expense is recognized as the services are provided, which is generally ratably over the vesting period. On January 1, 2017, we adopted, using the modified retroactive approach, the guidance of </w:t>
      </w:r>
      <w:r>
        <w:rPr>
          <w:rFonts w:ascii="Arial" w:cs="Arial" w:eastAsia="Arial" w:hAnsi="Arial"/>
          <w:sz w:val="16"/>
          <w:szCs w:val="16"/>
          <w:i w:val="1"/>
          <w:iCs w:val="1"/>
          <w:color w:val="auto"/>
        </w:rPr>
        <w:t>Accounting Standard Update, or ASU, 2018-07, Compensation — Stock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(Topic 718) — Improvements to Nonemployee Share-Based Payment Accounting</w:t>
      </w:r>
      <w:r>
        <w:rPr>
          <w:rFonts w:ascii="Arial" w:cs="Arial" w:eastAsia="Arial" w:hAnsi="Arial"/>
          <w:sz w:val="16"/>
          <w:szCs w:val="16"/>
          <w:color w:val="auto"/>
        </w:rPr>
        <w:t>, and account for awards to non-employees using the grant date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subsequent periodic remeasurement. The adoption of ASU 2018-07 did not have a material effect on our consolidated financial statements.</w:t>
      </w:r>
    </w:p>
    <w:p>
      <w:pPr>
        <w:spacing w:after="0" w:line="164"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Share-based compensation expense is classified in our consolidated statements of operations and comprehensive loss based on the function to which the related services are provided. We recognize share-based compensation expense for the portion of awards that have vested. Forfeitures are accounted for as they occur.</w:t>
      </w:r>
    </w:p>
    <w:p>
      <w:pPr>
        <w:spacing w:after="0" w:line="184"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which requires inputs based on certain subjective assumptions, including the expected share price volatility, the expected term of the option, the risk-free interest rate for a period that approximates the expected term of the option, and our expected dividend yield. The fair value of each restricted common shares award is estimated on the date of grant based on the fair value of our common share on that same date. As there is currently no public market for our common shares, we determined the volatility for awards granted based on an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analysis of reported data for a group of guideline companies that issued options with substantially similar terms. The expected volatility has been determined using a weighted-average of the historical volatility measures of this group of guideline companies. We expect to continue to do so until we have adequate historical data regarding the volatility of the trading price of our common shares on Nasdaq. The expected term of our options granted to employees has been determined utilizing the “simplified” method for awards that qualify as “plain-vanilla” options. With the adoption of ASU 2018-07, we applied the nonpublic entity practical expedient for calculating the expected term of non-employee awards, using the midpoint between the vesting date and the contractual term, which is consistent with the method used for employee awards. The risk-free interest rate is determined by reference to the U.S. Treasury yield curve in effect at the time of grant of the award for time periods approximately equal to the expected term of the award. We have not paid, and do not anticipate paying, dividends on our common shares; therefore, the expected dividend yield is assumed to be zero.</w:t>
      </w:r>
    </w:p>
    <w:p>
      <w:pPr>
        <w:spacing w:after="0" w:line="165" w:lineRule="exact"/>
        <w:rPr>
          <w:sz w:val="20"/>
          <w:szCs w:val="20"/>
          <w:color w:val="auto"/>
        </w:rPr>
      </w:pPr>
    </w:p>
    <w:p>
      <w:pPr>
        <w:ind w:right="80" w:firstLine="449"/>
        <w:spacing w:after="0" w:line="286" w:lineRule="auto"/>
        <w:rPr>
          <w:sz w:val="20"/>
          <w:szCs w:val="20"/>
          <w:color w:val="auto"/>
        </w:rPr>
      </w:pPr>
      <w:r>
        <w:rPr>
          <w:rFonts w:ascii="Arial" w:cs="Arial" w:eastAsia="Arial" w:hAnsi="Arial"/>
          <w:sz w:val="16"/>
          <w:szCs w:val="16"/>
          <w:color w:val="auto"/>
        </w:rPr>
        <w:t xml:space="preserve">As there has been no public market for our common shares to date, the historical estimated fair value of our common shares has been approved by our board of directors, considering our most recently available independent third-party valuations of common shares.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Issued as Compensation</w:t>
      </w:r>
      <w:r>
        <w:rPr>
          <w:rFonts w:ascii="Arial" w:cs="Arial" w:eastAsia="Arial" w:hAnsi="Arial"/>
          <w:sz w:val="16"/>
          <w:szCs w:val="16"/>
          <w:color w:val="auto"/>
        </w:rPr>
        <w:t>, a third-party valuation firm prepared valuations of our common shares using either an option pricing method, or OPM,</w:t>
      </w:r>
      <w:r>
        <w:rPr>
          <w:rFonts w:ascii="Arial" w:cs="Arial" w:eastAsia="Arial" w:hAnsi="Arial"/>
          <w:sz w:val="16"/>
          <w:szCs w:val="16"/>
          <w:i w:val="1"/>
          <w:iCs w:val="1"/>
          <w:color w:val="auto"/>
        </w:rPr>
        <w:t xml:space="preserve"> </w:t>
      </w:r>
      <w:r>
        <w:rPr>
          <w:rFonts w:ascii="Arial" w:cs="Arial" w:eastAsia="Arial" w:hAnsi="Arial"/>
          <w:sz w:val="16"/>
          <w:szCs w:val="16"/>
          <w:color w:val="auto"/>
        </w:rPr>
        <w:t>or a hybrid method, both of which used market approaches to estimate our enterprise value. The OPM treats common shares and preferred shares as call options on the total equity value of a company, with exercise prices based on the value thresholds at which the allocation among the various holders of a company’s securities changes. Under this method, the common shares have value only if the funds available for distribution to shareholders exceeded the value of the preferred share liquidation preferences at the time of the liquidity event, such as a strategic sale or a merger. A discount for lack of marketability of the common shares is then applied to arrive at an indication of value for the common shares. The hybrid method is a probability-weighted expected return method, or PWERM, where the equity value in one or more scenarios is calculated using an OPM. The PWERM is a scenario-based methodology that estimates the fair value of common shares based upon an analysis of future values for the company, assuming various outcomes. The common share value is based on the probability-weighted present value of expected future investment returns considering each of the possible outcomes available as well as the rights of each share class. The future value of the common share under each outcome is discounted back to the valuation date at an appropriate risk-adjusted discount rate and probability weighted to arrive at an indication of value for the common share.</w:t>
      </w:r>
    </w:p>
    <w:p>
      <w:pPr>
        <w:spacing w:after="0" w:line="171" w:lineRule="exact"/>
        <w:rPr>
          <w:sz w:val="20"/>
          <w:szCs w:val="20"/>
          <w:color w:val="auto"/>
        </w:rPr>
      </w:pPr>
    </w:p>
    <w:p>
      <w:pPr>
        <w:ind w:right="200" w:firstLine="449"/>
        <w:spacing w:after="0" w:line="342" w:lineRule="auto"/>
        <w:rPr>
          <w:sz w:val="20"/>
          <w:szCs w:val="20"/>
          <w:color w:val="auto"/>
        </w:rPr>
      </w:pPr>
      <w:r>
        <w:rPr>
          <w:rFonts w:ascii="Arial" w:cs="Arial" w:eastAsia="Arial" w:hAnsi="Arial"/>
          <w:sz w:val="16"/>
          <w:szCs w:val="16"/>
          <w:color w:val="auto"/>
        </w:rPr>
        <w:t>In addition to considering the results of the third-party valuations, our board of directors considered various objective and subjective factors to determine the fair value of our common shares as of each grant date, which may be a date later than the most recent third-party valuation date, including:</w:t>
      </w:r>
    </w:p>
    <w:p>
      <w:pPr>
        <w:spacing w:after="0" w:line="29" w:lineRule="exact"/>
        <w:rPr>
          <w:sz w:val="20"/>
          <w:szCs w:val="20"/>
          <w:color w:val="auto"/>
        </w:rPr>
      </w:pPr>
    </w:p>
    <w:p>
      <w:pPr>
        <w:ind w:left="1000" w:right="160" w:hanging="547"/>
        <w:spacing w:after="0" w:line="277"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prices at which we sold preferred shares and the superior rights and preferences of the preferred shares relative to our common shares at the time of each grant;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progress of our research and development efforts, including the status of preclinical studies for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lack of liquidity of our equity as a private company;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stage of development and business strategy and the material risks related to our business and industry;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achievement of enterprise milestones, including entering into collaboration and license agreements;</w:t>
      </w:r>
    </w:p>
    <w:p>
      <w:pPr>
        <w:spacing w:after="0" w:line="130" w:lineRule="exact"/>
        <w:rPr>
          <w:rFonts w:ascii="Arial" w:cs="Arial" w:eastAsia="Arial" w:hAnsi="Arial"/>
          <w:sz w:val="18"/>
          <w:szCs w:val="18"/>
          <w:color w:val="auto"/>
        </w:rPr>
      </w:pPr>
    </w:p>
    <w:p>
      <w:pPr>
        <w:ind w:left="1000" w:right="700" w:hanging="547"/>
        <w:spacing w:after="0" w:line="277"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peer companies;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external market conditions affecting the biotechnology industry, and trends within the biotechnology industry;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459" w:right="3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80" w:hanging="547"/>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preferred shares and holders of our common shares, such as an initial public offering, or IPO, or a sale of our company, given prevailing market conditions;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There are significant judgments and estimates inherent in these valuations. These judgments and estimates include assumptions regarding our future operating performance, the stage of development of our product candidates, the timing of a potential IPO or other liquidity event and the determination of the appropriate valuation methodology at each valuation date. The assumptions underlying these valuations represent management’s best estimates, which involve inherent uncertainties and the application of management judgment. As a result, if factors or expected outcomes change and we use significantly different assumptions or estimates, our share-based compensation expense could be materially different. Following the completion of this offering, the fair value of our common shares will be determined based on the quoted market price of our common shares.</w:t>
      </w:r>
    </w:p>
    <w:p>
      <w:pPr>
        <w:spacing w:after="0" w:line="16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following table sets forth by grant date, the number of shares underlying options granted, the per share exercise price of options, the fair value of per common share on each grant date, and the per share estimated fair value of the options granted between January 1, 2017 and March 31, 2020. We did not grant any restricted common shares during this period.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Number of Common</w:t>
            </w:r>
          </w:p>
        </w:tc>
        <w:tc>
          <w:tcPr>
            <w:tcW w:w="1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Exercise Price per</w:t>
            </w:r>
          </w:p>
        </w:tc>
        <w:tc>
          <w:tcPr>
            <w:tcW w:w="1960" w:type="dxa"/>
            <w:vAlign w:val="bottom"/>
            <w:gridSpan w:val="3"/>
          </w:tcPr>
          <w:p>
            <w:pPr>
              <w:ind w:left="60"/>
              <w:spacing w:after="0"/>
              <w:rPr>
                <w:sz w:val="20"/>
                <w:szCs w:val="20"/>
                <w:color w:val="auto"/>
              </w:rPr>
            </w:pPr>
            <w:r>
              <w:rPr>
                <w:rFonts w:ascii="Arial" w:cs="Arial" w:eastAsia="Arial" w:hAnsi="Arial"/>
                <w:sz w:val="14"/>
                <w:szCs w:val="14"/>
                <w:b w:val="1"/>
                <w:bCs w:val="1"/>
                <w:color w:val="auto"/>
              </w:rPr>
              <w:t>Estimated Per-Share</w:t>
            </w:r>
          </w:p>
        </w:tc>
        <w:tc>
          <w:tcPr>
            <w:tcW w:w="19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Estimated Fair Value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18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Shares Subject</w:t>
            </w:r>
          </w:p>
        </w:tc>
        <w:tc>
          <w:tcPr>
            <w:tcW w:w="1720" w:type="dxa"/>
            <w:vAlign w:val="bottom"/>
            <w:gridSpan w:val="3"/>
            <w:vMerge w:val="continue"/>
          </w:tcPr>
          <w:p>
            <w:pPr>
              <w:spacing w:after="0"/>
              <w:rPr>
                <w:sz w:val="12"/>
                <w:szCs w:val="12"/>
                <w:color w:val="auto"/>
              </w:rPr>
            </w:pPr>
          </w:p>
        </w:tc>
        <w:tc>
          <w:tcPr>
            <w:tcW w:w="1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Fair Value of Options</w:t>
            </w:r>
          </w:p>
        </w:tc>
        <w:tc>
          <w:tcPr>
            <w:tcW w:w="1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 Common Share at</w:t>
            </w:r>
          </w:p>
        </w:tc>
        <w:tc>
          <w:tcPr>
            <w:tcW w:w="7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Type</w:t>
            </w:r>
          </w:p>
        </w:tc>
        <w:tc>
          <w:tcPr>
            <w:tcW w:w="0" w:type="dxa"/>
            <w:vAlign w:val="bottom"/>
          </w:tcPr>
          <w:p>
            <w:pPr>
              <w:spacing w:after="0"/>
              <w:rPr>
                <w:sz w:val="1"/>
                <w:szCs w:val="1"/>
                <w:color w:val="auto"/>
              </w:rPr>
            </w:pPr>
          </w:p>
        </w:tc>
      </w:tr>
      <w:tr>
        <w:trPr>
          <w:trHeight w:val="148"/>
        </w:trPr>
        <w:tc>
          <w:tcPr>
            <w:tcW w:w="3080" w:type="dxa"/>
            <w:vAlign w:val="bottom"/>
            <w:gridSpan w:val="2"/>
            <w:vMerge w:val="continue"/>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to Options Granted</w:t>
            </w:r>
          </w:p>
        </w:tc>
        <w:tc>
          <w:tcPr>
            <w:tcW w:w="1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 xml:space="preserve">Common Share </w:t>
            </w:r>
            <w:r>
              <w:rPr>
                <w:rFonts w:ascii="Arial" w:cs="Arial" w:eastAsia="Arial" w:hAnsi="Arial"/>
                <w:sz w:val="12"/>
                <w:szCs w:val="12"/>
                <w:b w:val="1"/>
                <w:bCs w:val="1"/>
                <w:color w:val="auto"/>
              </w:rPr>
              <w:t>(1)</w:t>
            </w:r>
          </w:p>
        </w:tc>
        <w:tc>
          <w:tcPr>
            <w:tcW w:w="360" w:type="dxa"/>
            <w:vAlign w:val="bottom"/>
          </w:tcPr>
          <w:p>
            <w:pPr>
              <w:spacing w:after="0"/>
              <w:rPr>
                <w:sz w:val="12"/>
                <w:szCs w:val="12"/>
                <w:color w:val="auto"/>
              </w:rPr>
            </w:pPr>
          </w:p>
        </w:tc>
        <w:tc>
          <w:tcPr>
            <w:tcW w:w="1020" w:type="dxa"/>
            <w:vAlign w:val="bottom"/>
          </w:tcPr>
          <w:p>
            <w:pPr>
              <w:jc w:val="right"/>
              <w:ind w:right="533"/>
              <w:spacing w:after="0"/>
              <w:rPr>
                <w:sz w:val="20"/>
                <w:szCs w:val="20"/>
                <w:color w:val="auto"/>
              </w:rPr>
            </w:pPr>
            <w:r>
              <w:rPr>
                <w:rFonts w:ascii="Arial" w:cs="Arial" w:eastAsia="Arial" w:hAnsi="Arial"/>
                <w:sz w:val="12"/>
                <w:szCs w:val="12"/>
                <w:b w:val="1"/>
                <w:bCs w:val="1"/>
                <w:color w:val="auto"/>
              </w:rPr>
              <w:t>(2)</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7"/>
              </w:rPr>
              <w:t xml:space="preserve">Grant Date </w:t>
            </w:r>
            <w:r>
              <w:rPr>
                <w:rFonts w:ascii="Arial" w:cs="Arial" w:eastAsia="Arial" w:hAnsi="Arial"/>
                <w:sz w:val="12"/>
                <w:szCs w:val="12"/>
                <w:b w:val="1"/>
                <w:bCs w:val="1"/>
                <w:color w:val="auto"/>
                <w:w w:val="97"/>
              </w:rPr>
              <w:t>(3)</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December 1, 2017</w:t>
            </w: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4,987,000</w:t>
            </w: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w w:val="79"/>
              </w:rPr>
              <w:t>0.27</w:t>
            </w: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0.17</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0.27</w:t>
            </w: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November 30, 2018</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336,000</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0.27</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0.26</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30, 2018</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240,000</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0.34</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0.26</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March 29, 2019</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6,144,700</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0.34</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0.16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0.27</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25, 2019</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20,000</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0.34</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0.31</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September 25, 2019</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280,000</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0.31</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0.31</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25, 2019</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105,000</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0.31</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0.31</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November 21, 2019</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2,130,000</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0.31</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0.31</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16, 2019</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7,992,750</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0.40</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0.40</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December 16, 2019</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65,000</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0.40</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0.40</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886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exercise price per common share represents the fair value of our common shares on the date of grant, as determined by our board of directors.</w:t>
      </w:r>
    </w:p>
    <w:p>
      <w:pPr>
        <w:spacing w:after="0" w:line="46" w:lineRule="exact"/>
        <w:rPr>
          <w:rFonts w:ascii="Arial" w:cs="Arial" w:eastAsia="Arial" w:hAnsi="Arial"/>
          <w:sz w:val="16"/>
          <w:szCs w:val="16"/>
          <w:color w:val="auto"/>
        </w:rPr>
      </w:pPr>
    </w:p>
    <w:p>
      <w:pPr>
        <w:ind w:left="460" w:right="380" w:hanging="452"/>
        <w:spacing w:after="0" w:line="250"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estimated per share fair value of options reflects the weighted average fair value of options granted on each grant date, determined using the Black-Scholes option-pricing model.</w:t>
      </w:r>
    </w:p>
    <w:p>
      <w:pPr>
        <w:ind w:left="460" w:right="80" w:hanging="452"/>
        <w:spacing w:after="0" w:line="253"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the time of the option grants above, our board of directors determined that the values included under “Exercise Price per Common Share” reasonably reflected the per share fair value of our common shares as of the grant dates. However, for certain dates, the fair value of the common shares at the date of these grants was adjusted to the amounts included under “Estimated Fair Value per Common Share at Grant Date” in connection with retrospective fair value assessments for financial reporting purposes.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20" w:firstLine="449"/>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See Note 2 to our annual consolidated financial statements financial statements appearing elsewhere in this prospectus for a description of recent accounting pronouncements applicable to our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459"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21" w:lineRule="exact"/>
        <w:rPr>
          <w:sz w:val="20"/>
          <w:szCs w:val="20"/>
          <w:color w:val="auto"/>
        </w:rPr>
      </w:pPr>
    </w:p>
    <w:p>
      <w:pPr>
        <w:jc w:val="both"/>
        <w:ind w:right="240" w:firstLine="449"/>
        <w:spacing w:after="0" w:line="263" w:lineRule="auto"/>
        <w:rPr>
          <w:sz w:val="20"/>
          <w:szCs w:val="20"/>
          <w:color w:val="auto"/>
        </w:rPr>
      </w:pPr>
      <w:r>
        <w:rPr>
          <w:rFonts w:ascii="Arial" w:cs="Arial" w:eastAsia="Arial" w:hAnsi="Arial"/>
          <w:sz w:val="18"/>
          <w:szCs w:val="18"/>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Interest-earning instruments carry a degree of interest rate risk. We have not historically earned interest on our cash balances and we do not enter into investments for trading or speculative purposes.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Our reporting and functional currency is the U.S. dollar. Assets and liabilities denominated in currencies other than the U.S. dollar are translated into U.S. dollars at exchange rates in effect at each balance sheet date. Income items and expenses are translated using the average exchange rate in effect for the relevant period.</w:t>
      </w:r>
    </w:p>
    <w:p>
      <w:pPr>
        <w:spacing w:after="0" w:line="184"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incur a portion of our expenses in Canadian dollars, as well as other currencies to a lesser extent. A change in the relative value of the U.S. dollar to the Canadian dollar and other currencies may negatively affect revenue and other operating results as expressed in U.S. dollars. We have not engaged in the hedging of foreign currency transactions to date, although we may choose to do so in the future. We do, however, keep expected Canadian dollar cash requirements in Canadian dollars to form a natural hedge. We are exposed to currency risk through our cash, research and development tax credits receivable, other receivables, restricted cash, accounts payable, accrued expenses and other current liabilities, and operating lease liabilities denominated in Canadian dollars. Based on our March 31, 2020 Canadian dollar net exposure, and assuming all other variables remain constant, a 10% depreciation in the relative value of the U.S. dollar to the Canadian dollar would result in an increase of approximately $1.8 million on our net loss.</w:t>
      </w:r>
    </w:p>
    <w:p>
      <w:pPr>
        <w:spacing w:after="0" w:line="166" w:lineRule="exact"/>
        <w:rPr>
          <w:sz w:val="20"/>
          <w:szCs w:val="20"/>
          <w:color w:val="auto"/>
        </w:rPr>
      </w:pPr>
    </w:p>
    <w:p>
      <w:pPr>
        <w:ind w:right="780" w:firstLine="449"/>
        <w:spacing w:after="0" w:line="277" w:lineRule="auto"/>
        <w:rPr>
          <w:sz w:val="20"/>
          <w:szCs w:val="20"/>
          <w:color w:val="auto"/>
        </w:rPr>
      </w:pPr>
      <w:r>
        <w:rPr>
          <w:rFonts w:ascii="Arial" w:cs="Arial" w:eastAsia="Arial" w:hAnsi="Arial"/>
          <w:sz w:val="18"/>
          <w:szCs w:val="18"/>
          <w:color w:val="auto"/>
        </w:rPr>
        <w:t>We are also exposed to currency risk through our collaboration agreement with Ono as future payments receivable under our collaboration agreement, if any, are denominated in Japanese yen.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In April 2012, the Jumpstart Our Business Startups Act of 2012, or the JOBS Act, was enacted. The JOBS Act provides that, among other things, an “emerging growth company” can take advantage of the extended transition period for complying with new or revised accounting standards. Thus,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date for public and private companies, we will disclose the date on which adoption is required for non-emerging growth companies and the date on which we will adopt the recently issued accounting standard.</w:t>
      </w:r>
    </w:p>
    <w:p>
      <w:pPr>
        <w:spacing w:after="0" w:line="165"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In addition, we intend to rely on the other exemptions and reduced reporting requirements provided by the JOBS Act. Subject to certain conditions, as an emerging growth company, we are entitled to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320" w:top="459" w:right="3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will remain an emerging growth company until the earlier to occur of (1) the last day of our fiscal year (a) following the fifth anniversary of the completion of this offering, (b) in which we have total annual gross revenues of at least $1.0 billion or (c) in which we are deemed to be a “large accelerated filer” under the rules of the SEC, which means the market value of our common shares that is held by non-affiliates exceeds $700 million as of the last day of the second quarter of our fiscal year, and (2) the date on which we have issued more than $1.0 billion in non-convertible debt during the prior three-year period.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60"/>
          </w:cols>
          <w:pgMar w:left="320" w:top="459" w:right="4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are a leading precision oncology company enabled by our proprietary synthetic lethality approach to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susceptible to therapeutic intervention targeting the other gene pair. Using our SNIPRx platform, we are developing our pipeline of SL product candidates, including our lead product candidate, RP-3500, an oral small molecule inhibitor for the treatment of solid tumors with specific DNA damage repair-related genomic alterations. We anticipate filing an investigational new drug, or IND, application in the second quarter of 2020 and initiating an open-label Phase 1/2 clinical trial of RP-3500 in the third quarter of 2020.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powerful SL-based approach to the development of new precision oncology therapeutics has multiple potential benefits:</w:t>
      </w:r>
    </w:p>
    <w:p>
      <w:pPr>
        <w:spacing w:after="0" w:line="127" w:lineRule="exact"/>
        <w:rPr>
          <w:sz w:val="20"/>
          <w:szCs w:val="20"/>
          <w:color w:val="auto"/>
        </w:rPr>
      </w:pPr>
    </w:p>
    <w:p>
      <w:pPr>
        <w:ind w:left="1000" w:hanging="547"/>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Ability to address previously untargetable tumor biology</w:t>
      </w:r>
      <w:r>
        <w:rPr>
          <w:rFonts w:ascii="Arial" w:cs="Arial" w:eastAsia="Arial" w:hAnsi="Arial"/>
          <w:sz w:val="18"/>
          <w:szCs w:val="18"/>
          <w:color w:val="auto"/>
        </w:rPr>
        <w:t>, including, for example, loss-of-function mutations;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Enhanced benefit-risk profile</w:t>
      </w:r>
      <w:r>
        <w:rPr>
          <w:rFonts w:ascii="Arial" w:cs="Arial" w:eastAsia="Arial" w:hAnsi="Arial"/>
          <w:sz w:val="17"/>
          <w:szCs w:val="17"/>
          <w:color w:val="auto"/>
        </w:rPr>
        <w:t>, by precisely targeting tumor cells with the defined mutation while sparing normal, non-cancerous cells;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Genetic stratification of patients</w:t>
      </w:r>
      <w:r>
        <w:rPr>
          <w:rFonts w:ascii="Arial" w:cs="Arial" w:eastAsia="Arial" w:hAnsi="Arial"/>
          <w:sz w:val="18"/>
          <w:szCs w:val="18"/>
          <w:color w:val="auto"/>
        </w:rPr>
        <w:t>, potentially enabling higher response rates;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Tumor-agnostic approach</w:t>
      </w:r>
      <w:r>
        <w:rPr>
          <w:rFonts w:ascii="Arial" w:cs="Arial" w:eastAsia="Arial" w:hAnsi="Arial"/>
          <w:sz w:val="18"/>
          <w:szCs w:val="18"/>
          <w:color w:val="auto"/>
        </w:rPr>
        <w:t>, focusing on specific genetics and enabling the application to multiple tumor types.</w:t>
      </w:r>
    </w:p>
    <w:p>
      <w:pPr>
        <w:spacing w:after="0" w:line="22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A cornerstone of our company is our SNIPRx platform, which enables us to accurately identify SL gene pairs and the corresponding patients who are most likely to benefit from our therapies based on the genetic profile of their tumors. These differentiated patient selection insights have driven the development of our lead product candidate, RP-3500, which is designed as a selective inhibitor of the DNA repair protein ataxia telangiectasia and Rad3-related protein, or ATR, a kinase that is activated by DNA replication stress. Tumors containing alterations in genes encoding other DNA repair proteins, such as ataxia-telangiectasia mutated kinase, or ATM, are SL with ATR inhibition and were observed to be hypersensitive to RP-3500 in our preclinical models. We believe that the preclinical selectivity and pharmacokinetic properties of RP-3500 support the profile of a differentiated therapy with the potential to enhance anti-tumor activity as compared to third party ATR inhibitors currently in development. Based on our preclinical studies, we believe RP-3500 has the potential to provide therapeutic benefit to identified patient populations both as a monotherapy and in combination with other therapies such as poly (ADP-ribose) polymerase, or PARP, inhibitors.</w:t>
      </w:r>
    </w:p>
    <w:p>
      <w:pPr>
        <w:spacing w:after="0" w:line="181"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addition to RP-3500, we are developing a portfolio of product candidates based on targets identified using our SNIPRx platform to treat cancers with a high unmet medical need. We have a preclinical program that is focused on a novel target we discovered to be SL with amplification of cyclin E1, or CCNE1, in tumors such as gynecological and upper gastrointestinal malignancies. We anticipate advancing a clinical candidate for this potential first-in-class program into IND-enabling studies in the fourth quarter of 2020. We are also developing an inhibitor of polymerase theta, or Polq, which is SL with multiple gene deficiencies found in tumors, including BRCA1 or BRCA2. We anticipate advancing a clinical candidate and initiating IND-enabling studies for this program in the second half of 2021.</w:t>
      </w:r>
    </w:p>
    <w:p>
      <w:pPr>
        <w:spacing w:after="0" w:line="192"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The core of our SNIPRx platform is the ability to identify both known and novel SL targets. Our SNIPRx platform begins with a genome-wide CRISPR-based screening approach that utilizes our proprietary isogenic cell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459" w:right="3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lines, which are cell lines that are identical with the exception of a single genomic alteration, to identify SL gene pairs. Our systematic and comprehensive screening approach has been optimized to significantly reduce false negatives, providing the opportunity to identify a larger and more accurate set of SL interactions as compared to what others have reported with CRISPR-based screening technologies.</w:t>
      </w:r>
    </w:p>
    <w:p>
      <w:pPr>
        <w:spacing w:after="0" w:line="184"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have systematically analyzed genomic data from approximately 60,000 tumor samples and identified an initial set of 16 clinically relevant tumor genomic alterations, which we refer to as tumor lesions, that are linked to genomic instability. These 16 tumor lesions are present in approximately 30% of tumors. For each of these 16 tumor lesions, we have completed a SNIPRx screen campaign to identify both previously reported and unreported targets that are SL with the tumor lesion of the campaign. The majority of our SNIPRx screen campaigns have identified multiple potential targets, which allows us to prioritize and select targets based on their potential to be amenable to small molecule inhibitors with drug-like properties. Once a SL product candidate is identified, we perform our proprietary SNIPRx Targeted Expansion of Patient Populations, or STEP</w:t>
      </w:r>
      <w:r>
        <w:rPr>
          <w:rFonts w:ascii="Arial" w:cs="Arial" w:eastAsia="Arial" w:hAnsi="Arial"/>
          <w:sz w:val="14"/>
          <w:szCs w:val="14"/>
          <w:color w:val="auto"/>
        </w:rPr>
        <w:t>2</w:t>
      </w:r>
      <w:r>
        <w:rPr>
          <w:rFonts w:ascii="Arial" w:cs="Arial" w:eastAsia="Arial" w:hAnsi="Arial"/>
          <w:sz w:val="17"/>
          <w:szCs w:val="17"/>
          <w:color w:val="auto"/>
        </w:rPr>
        <w:t>, screens to identify additional genomic alterations that are SL to our product candidate. Using these screens, we are able to enrich the patient population in our clinical trials and expand the patient populations that may be addressable with our product candidates.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 leader in developing innovative SL therapies and have built our SNIPRx platform based on three primary pillars:</w:t>
      </w:r>
    </w:p>
    <w:p>
      <w:pPr>
        <w:spacing w:after="0" w:line="131" w:lineRule="exact"/>
        <w:rPr>
          <w:sz w:val="20"/>
          <w:szCs w:val="20"/>
          <w:color w:val="auto"/>
        </w:rPr>
      </w:pPr>
    </w:p>
    <w:p>
      <w:pPr>
        <w:ind w:left="1000" w:right="360" w:hanging="357"/>
        <w:spacing w:after="0" w:line="277" w:lineRule="auto"/>
        <w:tabs>
          <w:tab w:leader="none" w:pos="10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Identify </w:t>
      </w:r>
      <w:r>
        <w:rPr>
          <w:rFonts w:ascii="Arial" w:cs="Arial" w:eastAsia="Arial" w:hAnsi="Arial"/>
          <w:sz w:val="18"/>
          <w:szCs w:val="18"/>
          <w:color w:val="auto"/>
        </w:rPr>
        <w:t>novel SL targets using our proprietary, genome-wide, CRISPR-enabled screening technology against clinically relevant genomic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alterations in tumors with high unmet medical need;</w:t>
      </w:r>
    </w:p>
    <w:p>
      <w:pPr>
        <w:spacing w:after="0" w:line="75" w:lineRule="exact"/>
        <w:rPr>
          <w:rFonts w:ascii="Arial" w:cs="Arial" w:eastAsia="Arial" w:hAnsi="Arial"/>
          <w:sz w:val="18"/>
          <w:szCs w:val="18"/>
          <w:b w:val="1"/>
          <w:bCs w:val="1"/>
          <w:color w:val="auto"/>
        </w:rPr>
      </w:pPr>
    </w:p>
    <w:p>
      <w:pPr>
        <w:ind w:left="1000" w:hanging="357"/>
        <w:spacing w:after="0"/>
        <w:tabs>
          <w:tab w:leader="none" w:pos="10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Design and synthesize </w:t>
      </w:r>
      <w:r>
        <w:rPr>
          <w:rFonts w:ascii="Arial" w:cs="Arial" w:eastAsia="Arial" w:hAnsi="Arial"/>
          <w:sz w:val="18"/>
          <w:szCs w:val="18"/>
          <w:color w:val="auto"/>
        </w:rPr>
        <w:t>potent and selective small molecule inhibitors of these targets; and</w:t>
      </w:r>
    </w:p>
    <w:p>
      <w:pPr>
        <w:spacing w:after="0" w:line="130" w:lineRule="exact"/>
        <w:rPr>
          <w:rFonts w:ascii="Arial" w:cs="Arial" w:eastAsia="Arial" w:hAnsi="Arial"/>
          <w:sz w:val="18"/>
          <w:szCs w:val="18"/>
          <w:b w:val="1"/>
          <w:bCs w:val="1"/>
          <w:color w:val="auto"/>
        </w:rPr>
      </w:pPr>
    </w:p>
    <w:p>
      <w:pPr>
        <w:ind w:left="1000" w:right="140" w:hanging="357"/>
        <w:spacing w:after="0" w:line="277" w:lineRule="auto"/>
        <w:tabs>
          <w:tab w:leader="none" w:pos="10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Expand </w:t>
      </w:r>
      <w:r>
        <w:rPr>
          <w:rFonts w:ascii="Arial" w:cs="Arial" w:eastAsia="Arial" w:hAnsi="Arial"/>
          <w:sz w:val="18"/>
          <w:szCs w:val="18"/>
          <w:color w:val="auto"/>
        </w:rPr>
        <w:t>beyond the initial target population based on the additional genomic alterations identified by our proprietary STEP</w:t>
      </w:r>
      <w:r>
        <w:rPr>
          <w:rFonts w:ascii="Arial" w:cs="Arial" w:eastAsia="Arial" w:hAnsi="Arial"/>
          <w:sz w:val="15"/>
          <w:szCs w:val="15"/>
          <w:color w:val="auto"/>
        </w:rPr>
        <w:t>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screens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SL with our inhibitors.</w:t>
      </w:r>
    </w:p>
    <w:p>
      <w:pPr>
        <w:spacing w:after="0" w:line="170"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In May 2020, we entered into a collaboration and license agreement with Bristol-Myers Squibb Company, or Bristol Myers Squibb, pursuant to which we and Bristol Myers Squibb have agreed to collaborate in the research and development of potential new product candidates for the treatment of cancer. We are providing Bristol Myers Squibb access to a selected number of our existing early SNIPRx screening campaigns and novel campaigns. The collaboration consists of programs directed to both druggable targets and to targets commonly considered undruggable by traditional small molecule approaches. As part of the agreement, Bristol Myers Squibb agreed to pay us an initial upfront fee payment of $50.0 million, as well as to make an equity investment of $15.0 million into our company. We will also be eligible to receive up to $3.0 billion in total milestones across all potential programs. Such milestones consist of $301 million in total milestones per program subject upon the achievement of certain specified research, development, regulatory and commercial milestones. See “—Collaborations and License Agreements—Collaboration and License Agreement with Bristol-Myers Squibb Company” for additional information.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459" w:right="3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We are leveraging our proprietary SNIPRx platform to discover, validate and build a robust pipeline of SL-based therapeutics. Our current pipeline is represented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163310" cy="30949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63310" cy="309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60" w:right="140" w:hanging="452"/>
        <w:spacing w:after="0" w:line="263"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Ono Pharmaceutical has development and commercialization rights in Japan, South Korea, Taiwan, Hong Kong, Macau and certain other Southeast Asian countries. We retained all other rights outside of those countries. See “Business—Research Services, License and Collaboration Agreement with Ono Pharmaceutical Co.” for additional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History and Team</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Our company was founded in 2016 by field-leading academics and Versant Ventures to systematically employ SL insights and platforms and develop new precision oncology medicines. Our co-founder, Daniel Durocher, Ph.D., a principal investigator at the Lunenfeld-Tanenbaum Research Institute, was an early pioneer of genome-wide, SL screening using CRISPR, which formed the framework for our SNIPRx platform. Our other co-founders, Agnel Sfeir, Ph.D. at NYU-Langone Medical Center and Frank Sicheri, Ph.D. at the Lunenfeld-Tanenbaum Research Institute, also played a key role in the development of our company.</w:t>
      </w:r>
    </w:p>
    <w:p>
      <w:pPr>
        <w:spacing w:after="0" w:line="188" w:lineRule="exact"/>
        <w:rPr>
          <w:sz w:val="20"/>
          <w:szCs w:val="20"/>
          <w:color w:val="auto"/>
        </w:rPr>
      </w:pPr>
    </w:p>
    <w:p>
      <w:pPr>
        <w:ind w:right="140" w:firstLine="449"/>
        <w:spacing w:after="0" w:line="270" w:lineRule="auto"/>
        <w:rPr>
          <w:sz w:val="20"/>
          <w:szCs w:val="20"/>
          <w:color w:val="auto"/>
        </w:rPr>
      </w:pPr>
      <w:r>
        <w:rPr>
          <w:rFonts w:ascii="Arial" w:cs="Arial" w:eastAsia="Arial" w:hAnsi="Arial"/>
          <w:sz w:val="17"/>
          <w:szCs w:val="17"/>
          <w:color w:val="auto"/>
        </w:rPr>
        <w:t>We have assembled a highly qualified management team with broad experience in drug discovery and development to execute on our mission to develop novel precision oncology therapies based on SL. Our scientific co-founders and members of our management team collectively have extensive experience in oncology drug discovery and development and are pioneers in the SL field. Our management team includes industry veterans with prior experience at companies such as Pfizer, AstraZeneca, Merck, Bicycle Therapeutics and Clementia Pharmaceuticals. We have an experienced research and development team focused on leveraging our deep expertise and differentiated know-how across genomic target identification, target prioritization and selection, drug discovery chemistry and clinical development to develop highly potent and selective small molecule inhibitors based on SL for the treatment of cancer. Since our inception, we have raised an aggregate of approximately $135.2 million of gross proceeds from the sale of our preferred shares. Our investors include Versant Ventures, MPM Capital, Cowen Healthcare Investments, OrbiMed, BVF Partners, Redmile Group, Logos Capital, Celgene/Bristol Myers Squibb, Fonds de Solidarité FTQ, and Amplitude Ventures.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459" w:right="3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Our goal is to be the leading biopharmaceutical company developing precision oncology, small molecule therapies based on SL. The key elements of our strategy are to:</w:t>
      </w:r>
    </w:p>
    <w:p>
      <w:pPr>
        <w:spacing w:after="0" w:line="72" w:lineRule="exact"/>
        <w:rPr>
          <w:sz w:val="20"/>
          <w:szCs w:val="20"/>
          <w:color w:val="auto"/>
        </w:rPr>
      </w:pPr>
    </w:p>
    <w:p>
      <w:pPr>
        <w:ind w:left="1000" w:hanging="547"/>
        <w:spacing w:after="0" w:line="271" w:lineRule="auto"/>
        <w:tabs>
          <w:tab w:leader="none" w:pos="1000"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Advance our lead product candidate, RP-3500, through clinical development by leveraging our differentiated STEP</w:t>
      </w:r>
      <w:r>
        <w:rPr>
          <w:rFonts w:ascii="Arial" w:cs="Arial" w:eastAsia="Arial" w:hAnsi="Arial"/>
          <w:sz w:val="14"/>
          <w:szCs w:val="14"/>
          <w:b w:val="1"/>
          <w:bCs w:val="1"/>
          <w:color w:val="auto"/>
        </w:rPr>
        <w:t>2</w:t>
      </w:r>
      <w:r>
        <w:rPr>
          <w:rFonts w:ascii="Arial" w:cs="Arial" w:eastAsia="Arial" w:hAnsi="Arial"/>
          <w:sz w:val="17"/>
          <w:szCs w:val="17"/>
          <w:b w:val="1"/>
          <w:bCs w:val="1"/>
          <w:color w:val="auto"/>
        </w:rPr>
        <w:t xml:space="preserve"> patient selection approach</w:t>
      </w:r>
      <w:r>
        <w:rPr>
          <w:rFonts w:ascii="Arial" w:cs="Arial" w:eastAsia="Arial" w:hAnsi="Arial"/>
          <w:sz w:val="17"/>
          <w:szCs w:val="17"/>
          <w:color w:val="auto"/>
        </w:rPr>
        <w:t>. We designed RP-3500 to have a highly selective and potent profile that may enable it to be a leading inhibitor of ATR, if</w:t>
      </w:r>
      <w:r>
        <w:rPr>
          <w:rFonts w:ascii="Arial" w:cs="Arial" w:eastAsia="Arial" w:hAnsi="Arial"/>
          <w:sz w:val="17"/>
          <w:szCs w:val="17"/>
          <w:b w:val="1"/>
          <w:bCs w:val="1"/>
          <w:color w:val="auto"/>
        </w:rPr>
        <w:t xml:space="preserve"> </w:t>
      </w:r>
      <w:r>
        <w:rPr>
          <w:rFonts w:ascii="Arial" w:cs="Arial" w:eastAsia="Arial" w:hAnsi="Arial"/>
          <w:sz w:val="17"/>
          <w:szCs w:val="17"/>
          <w:color w:val="auto"/>
        </w:rPr>
        <w:t>approved. We intend to initiate an open-label Phase 1/2 clinical trial of RP-3500 in the third quarter of 2020 in patients with advanced tumors that have alterations in the ATM gene or any of the 19 genes identified through our STEP</w:t>
      </w:r>
      <w:r>
        <w:rPr>
          <w:rFonts w:ascii="Arial" w:cs="Arial" w:eastAsia="Arial" w:hAnsi="Arial"/>
          <w:sz w:val="14"/>
          <w:szCs w:val="14"/>
          <w:color w:val="auto"/>
        </w:rPr>
        <w:t>2</w:t>
      </w:r>
      <w:r>
        <w:rPr>
          <w:rFonts w:ascii="Arial" w:cs="Arial" w:eastAsia="Arial" w:hAnsi="Arial"/>
          <w:sz w:val="17"/>
          <w:szCs w:val="17"/>
          <w:color w:val="auto"/>
        </w:rPr>
        <w:t xml:space="preserve"> screens. We believe this clinical trial design element will enrich the patient population in our trials with those who are most likely to respond to RP-3500. In parallel with the monotherapy dose-escalation portion of the trial, we intend to initiate a combination therapy arm to evaluate the safety and efficacy of RP-3500 in combination with an approved PARP inhibitor in the same patient subgroups. We expect preliminary safety and efficacy data for the monotherapy and combination therapy dose escalation phase of the trial in the second half of 2021, which may inform the design, including the targeted patient population, of a future pivotal trial.</w:t>
      </w:r>
    </w:p>
    <w:p>
      <w:pPr>
        <w:spacing w:after="0" w:line="79" w:lineRule="exact"/>
        <w:rPr>
          <w:rFonts w:ascii="Arial" w:cs="Arial" w:eastAsia="Arial" w:hAnsi="Arial"/>
          <w:sz w:val="17"/>
          <w:szCs w:val="17"/>
          <w:color w:val="auto"/>
        </w:rPr>
      </w:pPr>
    </w:p>
    <w:p>
      <w:pPr>
        <w:ind w:left="1000" w:hanging="547"/>
        <w:spacing w:after="0" w:line="274" w:lineRule="auto"/>
        <w:tabs>
          <w:tab w:leader="none" w:pos="1000"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Continue to advance our preclinical programs into clinical development</w:t>
      </w:r>
      <w:r>
        <w:rPr>
          <w:rFonts w:ascii="Arial" w:cs="Arial" w:eastAsia="Arial" w:hAnsi="Arial"/>
          <w:sz w:val="17"/>
          <w:szCs w:val="17"/>
          <w:color w:val="auto"/>
        </w:rPr>
        <w:t>. In addition to RP-3500, we have two programs in advanced</w:t>
      </w:r>
      <w:r>
        <w:rPr>
          <w:rFonts w:ascii="Arial" w:cs="Arial" w:eastAsia="Arial" w:hAnsi="Arial"/>
          <w:sz w:val="17"/>
          <w:szCs w:val="17"/>
          <w:b w:val="1"/>
          <w:bCs w:val="1"/>
          <w:color w:val="auto"/>
        </w:rPr>
        <w:t xml:space="preserve"> </w:t>
      </w:r>
      <w:r>
        <w:rPr>
          <w:rFonts w:ascii="Arial" w:cs="Arial" w:eastAsia="Arial" w:hAnsi="Arial"/>
          <w:sz w:val="17"/>
          <w:szCs w:val="17"/>
          <w:color w:val="auto"/>
        </w:rPr>
        <w:t>preclinical development. One of these programs is focused on a novel target we discovered using our SNIPRx platform to be SL with CCNE1 amplification in tumors such as gynecological and upper gastrointestinal malignancies. We anticipate advancing a clinical candidate for this potential first-in-class program into IND-enabling studies in the fourth quarter of 2020. We are also developing an inhibitor of Polq, which is SL with multiple gene deficiencies found in tumors, including BRCA1 or BRCA2. We anticipate advancing a clinical candidate and initiating IND-enabling studies for this program in the second half of 2021.</w:t>
      </w:r>
    </w:p>
    <w:p>
      <w:pPr>
        <w:spacing w:after="0" w:line="78" w:lineRule="exact"/>
        <w:rPr>
          <w:rFonts w:ascii="Arial" w:cs="Arial" w:eastAsia="Arial" w:hAnsi="Arial"/>
          <w:sz w:val="17"/>
          <w:szCs w:val="17"/>
          <w:color w:val="auto"/>
        </w:rPr>
      </w:pPr>
    </w:p>
    <w:p>
      <w:pPr>
        <w:ind w:left="1000" w:right="40" w:hanging="547"/>
        <w:spacing w:after="0" w:line="273" w:lineRule="auto"/>
        <w:tabs>
          <w:tab w:leader="none" w:pos="1000"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Extend our leading position in SL drug discovery</w:t>
      </w:r>
      <w:r>
        <w:rPr>
          <w:rFonts w:ascii="Arial" w:cs="Arial" w:eastAsia="Arial" w:hAnsi="Arial"/>
          <w:sz w:val="17"/>
          <w:szCs w:val="17"/>
          <w:color w:val="auto"/>
        </w:rPr>
        <w:t>. We have systematically analyzed genomic data from approximately 60,000 tumor</w:t>
      </w:r>
      <w:r>
        <w:rPr>
          <w:rFonts w:ascii="Arial" w:cs="Arial" w:eastAsia="Arial" w:hAnsi="Arial"/>
          <w:sz w:val="17"/>
          <w:szCs w:val="17"/>
          <w:b w:val="1"/>
          <w:bCs w:val="1"/>
          <w:color w:val="auto"/>
        </w:rPr>
        <w:t xml:space="preserve"> </w:t>
      </w:r>
      <w:r>
        <w:rPr>
          <w:rFonts w:ascii="Arial" w:cs="Arial" w:eastAsia="Arial" w:hAnsi="Arial"/>
          <w:sz w:val="17"/>
          <w:szCs w:val="17"/>
          <w:color w:val="auto"/>
        </w:rPr>
        <w:t>samples and have identified an initial set of 16 tumor lesions that are linked to genomic instability. This initial set of tumor lesions provides us with the opportunity to be among the first to mine this substantial, largely non-overlapping genomic space for new SL gene pairs and develop a robust portfolio of novel targeted therapeutics. We intend to continue leveraging our leading position in the identification of novel oncology SL gene pairs and systematically applying our STEP</w:t>
      </w:r>
      <w:r>
        <w:rPr>
          <w:rFonts w:ascii="Arial" w:cs="Arial" w:eastAsia="Arial" w:hAnsi="Arial"/>
          <w:sz w:val="14"/>
          <w:szCs w:val="14"/>
          <w:color w:val="auto"/>
        </w:rPr>
        <w:t>2</w:t>
      </w:r>
      <w:r>
        <w:rPr>
          <w:rFonts w:ascii="Arial" w:cs="Arial" w:eastAsia="Arial" w:hAnsi="Arial"/>
          <w:sz w:val="17"/>
          <w:szCs w:val="17"/>
          <w:color w:val="auto"/>
        </w:rPr>
        <w:t xml:space="preserve"> screens to expand the addressable patient populations for each of our product candidates. We believe our approach will allow us to continue to build a sustainable and long-term pipeline of novel product candidates for the targeted treatment of cancers with high unmet medical need.</w:t>
      </w:r>
    </w:p>
    <w:p>
      <w:pPr>
        <w:spacing w:after="0" w:line="77" w:lineRule="exact"/>
        <w:rPr>
          <w:rFonts w:ascii="Arial" w:cs="Arial" w:eastAsia="Arial" w:hAnsi="Arial"/>
          <w:sz w:val="17"/>
          <w:szCs w:val="17"/>
          <w:color w:val="auto"/>
        </w:rPr>
      </w:pPr>
    </w:p>
    <w:p>
      <w:pPr>
        <w:ind w:left="1000" w:hanging="547"/>
        <w:spacing w:after="0" w:line="274" w:lineRule="auto"/>
        <w:tabs>
          <w:tab w:leader="none" w:pos="1000"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Opportunistically pursue strategic partnerships to maximize the full potential of our pipeline and SNIPRx platform</w:t>
      </w:r>
      <w:r>
        <w:rPr>
          <w:rFonts w:ascii="Arial" w:cs="Arial" w:eastAsia="Arial" w:hAnsi="Arial"/>
          <w:sz w:val="17"/>
          <w:szCs w:val="17"/>
          <w:color w:val="auto"/>
        </w:rPr>
        <w:t>. The large number</w:t>
      </w:r>
      <w:r>
        <w:rPr>
          <w:rFonts w:ascii="Arial" w:cs="Arial" w:eastAsia="Arial" w:hAnsi="Arial"/>
          <w:sz w:val="17"/>
          <w:szCs w:val="17"/>
          <w:b w:val="1"/>
          <w:bCs w:val="1"/>
          <w:color w:val="auto"/>
        </w:rPr>
        <w:t xml:space="preserve"> </w:t>
      </w:r>
      <w:r>
        <w:rPr>
          <w:rFonts w:ascii="Arial" w:cs="Arial" w:eastAsia="Arial" w:hAnsi="Arial"/>
          <w:sz w:val="17"/>
          <w:szCs w:val="17"/>
          <w:color w:val="auto"/>
        </w:rPr>
        <w:t>of pre-existing mutations affecting genomic stability in tumors combined with the high throughput of our SNIPRx platform has the potential to provide us with an abundance of novel targets. We believe this provides the opportunity to selectively enter into strategic partnerships and leverage our partners’ complementary capabilities. We intend to selectively evaluate partnerships to maximize the long-term value of our research and development portfolio. We believe our recent collaboration with Bristol Myers Squibb highlights the potential broad application of our platform in the search for the next generation of precision oncology medicines.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Targeted Oncology Therapeutics</w:t>
      </w:r>
    </w:p>
    <w:p>
      <w:pPr>
        <w:spacing w:after="0" w:line="117"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The first-generation of approved targeted therapies were predominately directed at driver mutations, which target specific types of receptor tyrosine kinases, such as, bcr-abl, EGFR and HER2. This initial class of precision therapies generated approximately $20.0 billion of worldwide sales in 2019 and has largely represented the focus of the targeted oncology sector for the last 20 years. A rapid evolution in the understanding of tumor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459" w:right="3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biology coupled with an improved ability to segment subsets of tumors based on genomic alterations have led to the development of new generations of targeted cancer therapies for a variety of additional tumor-specific genomic abnormalities.</w:t>
      </w:r>
    </w:p>
    <w:p>
      <w:pPr>
        <w:spacing w:after="0" w:line="170"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A new generation of targeted oncology therapeutics has recently emerged that transcends single tumor, organ or histology-targeted cancers. These new therapies are tumor agnostic and are instead targeted at specific genomic alterations that underlie more complex tumor cell vulnerabilities. This has led to the approval of therapies that address specific genomic features of tumors, such as nTRK kinase inhibitors, including larotrectinib, for the treatment of tumors with nTRK gene fusions, and PD1 inhibitors, including pembrolizumab, for the treatment of tumors with microsatellite instability. This emerging trend for tumor-agnostic indications represents a breakthrough in drug development, clinical trial designs, drug approval patterns and speed to market. This new generation of targeted therapies requires diagnostic tools for patient selection but offers substantial benefit to patients across many tumor types.</w:t>
      </w:r>
    </w:p>
    <w:p>
      <w:pPr>
        <w:spacing w:after="0" w:line="164"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The speed at which science has uncovered genetic changes associated with tumors has outpaced the discovery and development of precision medicines that can target those alterations. Oncology drug development has been primarily focused on genes with readily druggable alterations that confer new or enhanced protein activity, known as gain-of-function targets, such as EGFR, which represent only 29% of targets in oncology. The remaining 71% of targets have historically been considered undruggable. These include both gain-of-function alterations (approximately 17%), such as CCNE1, as well as loss-of-function alterations (approximately 54%), such as BRCA1. In June 2019, the New England Journal of Medicine referred to SL as a particularly attractive means to target the complex and gene-network oriented relationships associated with this previously undiscovered domain of oncology targets.</w:t>
      </w:r>
    </w:p>
    <w:p>
      <w:pPr>
        <w:spacing w:after="0" w:line="164"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more recent ability to identify a tumor’s genetic vulnerabilities and networks of genes responsible for more complex gene functions underlying many cancers has been enabled through new and disruptive technical breakthroughs in the field including:</w:t>
      </w:r>
    </w:p>
    <w:p>
      <w:pPr>
        <w:spacing w:after="0" w:line="72" w:lineRule="exact"/>
        <w:rPr>
          <w:sz w:val="20"/>
          <w:szCs w:val="20"/>
          <w:color w:val="auto"/>
        </w:rPr>
      </w:pPr>
    </w:p>
    <w:p>
      <w:pPr>
        <w:ind w:left="1000" w:right="560" w:hanging="547"/>
        <w:spacing w:after="0" w:line="282"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Clinically-relevant tumor genomic data: </w:t>
      </w:r>
      <w:r>
        <w:rPr>
          <w:rFonts w:ascii="Arial" w:cs="Arial" w:eastAsia="Arial" w:hAnsi="Arial"/>
          <w:sz w:val="18"/>
          <w:szCs w:val="18"/>
          <w:color w:val="auto"/>
        </w:rPr>
        <w:t>the increasing adoption and regulatory acceptance of molecular tumor testing, enabling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profiling of patient tumors;</w:t>
      </w:r>
    </w:p>
    <w:p>
      <w:pPr>
        <w:spacing w:after="0" w:line="67" w:lineRule="exact"/>
        <w:rPr>
          <w:rFonts w:ascii="Arial" w:cs="Arial" w:eastAsia="Arial" w:hAnsi="Arial"/>
          <w:sz w:val="18"/>
          <w:szCs w:val="18"/>
          <w:color w:val="auto"/>
        </w:rPr>
      </w:pPr>
    </w:p>
    <w:p>
      <w:pPr>
        <w:ind w:left="1000" w:right="320" w:hanging="547"/>
        <w:spacing w:after="0" w:line="282"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and annotated databases: </w:t>
      </w:r>
      <w:r>
        <w:rPr>
          <w:rFonts w:ascii="Arial" w:cs="Arial" w:eastAsia="Arial" w:hAnsi="Arial"/>
          <w:sz w:val="18"/>
          <w:szCs w:val="18"/>
          <w:color w:val="auto"/>
        </w:rPr>
        <w:t>the availability of multiple new and publicly accessible databases that consolidate, analyze and</w:t>
      </w:r>
      <w:r>
        <w:rPr>
          <w:rFonts w:ascii="Arial" w:cs="Arial" w:eastAsia="Arial" w:hAnsi="Arial"/>
          <w:sz w:val="18"/>
          <w:szCs w:val="18"/>
          <w:b w:val="1"/>
          <w:bCs w:val="1"/>
          <w:color w:val="auto"/>
        </w:rPr>
        <w:t xml:space="preserve"> </w:t>
      </w:r>
      <w:r>
        <w:rPr>
          <w:rFonts w:ascii="Arial" w:cs="Arial" w:eastAsia="Arial" w:hAnsi="Arial"/>
          <w:sz w:val="18"/>
          <w:szCs w:val="18"/>
          <w:color w:val="auto"/>
        </w:rPr>
        <w:t>synthesize new genetic data on tens of thousands of tumors; and</w:t>
      </w:r>
    </w:p>
    <w:p>
      <w:pPr>
        <w:spacing w:after="0" w:line="67" w:lineRule="exact"/>
        <w:rPr>
          <w:rFonts w:ascii="Arial" w:cs="Arial" w:eastAsia="Arial" w:hAnsi="Arial"/>
          <w:sz w:val="18"/>
          <w:szCs w:val="18"/>
          <w:color w:val="auto"/>
        </w:rPr>
      </w:pPr>
    </w:p>
    <w:p>
      <w:pPr>
        <w:ind w:left="1000" w:right="60" w:hanging="547"/>
        <w:spacing w:after="0" w:line="282"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Tools to apply emerging genetic knowledge: </w:t>
      </w:r>
      <w:r>
        <w:rPr>
          <w:rFonts w:ascii="Arial" w:cs="Arial" w:eastAsia="Arial" w:hAnsi="Arial"/>
          <w:sz w:val="18"/>
          <w:szCs w:val="18"/>
          <w:color w:val="auto"/>
        </w:rPr>
        <w:t>the emergence of new tools and methodologies, including CRISPR/Cas9, enabling large-scale</w:t>
      </w:r>
      <w:r>
        <w:rPr>
          <w:rFonts w:ascii="Arial" w:cs="Arial" w:eastAsia="Arial" w:hAnsi="Arial"/>
          <w:sz w:val="18"/>
          <w:szCs w:val="18"/>
          <w:b w:val="1"/>
          <w:bCs w:val="1"/>
          <w:color w:val="auto"/>
        </w:rPr>
        <w:t xml:space="preserve"> </w:t>
      </w:r>
      <w:r>
        <w:rPr>
          <w:rFonts w:ascii="Arial" w:cs="Arial" w:eastAsia="Arial" w:hAnsi="Arial"/>
          <w:sz w:val="18"/>
          <w:szCs w:val="18"/>
          <w:color w:val="auto"/>
        </w:rPr>
        <w:t>studies of genetic networks underlying cancer biology.</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Synthetic Lethality Opportunity and Challenge</w:t>
      </w:r>
    </w:p>
    <w:p>
      <w:pPr>
        <w:spacing w:after="0" w:line="117" w:lineRule="exact"/>
        <w:rPr>
          <w:sz w:val="20"/>
          <w:szCs w:val="20"/>
          <w:color w:val="auto"/>
        </w:rPr>
      </w:pPr>
    </w:p>
    <w:p>
      <w:pPr>
        <w:ind w:right="140" w:firstLine="449"/>
        <w:spacing w:after="0" w:line="286" w:lineRule="auto"/>
        <w:rPr>
          <w:sz w:val="20"/>
          <w:szCs w:val="20"/>
          <w:color w:val="auto"/>
        </w:rPr>
      </w:pPr>
      <w:r>
        <w:rPr>
          <w:rFonts w:ascii="Arial" w:cs="Arial" w:eastAsia="Arial" w:hAnsi="Arial"/>
          <w:sz w:val="17"/>
          <w:szCs w:val="17"/>
          <w:color w:val="auto"/>
        </w:rPr>
        <w:t>Synthetic lethality is a powerful approach and opportunity in oncology drug development that combines two key principles in treating patients with cancer through precision oncology: (1) identifying and selecting patient subgroups with specific genomic alterations in tumors that are most likely to benefit from these therapies and (2) improving tolerability and reducing toxicity by not affecting normal, non-cancerous cells.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320" w:top="459" w:right="3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SL arises when deficiencies in a pair of genes occur simultaneously to result in cell death, but if that deficiency exists in only one gene, the cell will survive. As depicted below, cancer cells that contain an alteration in one gene of a SL pair are susceptible to therapeutic intervention targeting the other gene pair, resulting in cell death, whereas normal cells are not affected by the inhibition of the targeted gene and remain viable.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Illustration of Synthetic Lethality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171450</wp:posOffset>
            </wp:positionV>
            <wp:extent cx="4894580" cy="25031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89458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first clinically-validated SL gene pair was PARP-BRCA1/2, and based on the efficacy of PARP inhibitors, the SL approach to treating cancer has achieved substantial commercial validation. PARP enzymes regulate critical DNA repair pathways that cancer cells rely on as they grow and divide. PARP inhibition blocks these pathways, preventing DNA repair in cancer cells with a BRCA1/2 alteration and resulting in cancer cell death while sparing normal cells. Multiple PARP inhibitors, including olaparib (AstraZeneca), niraparib (GlaxoSmithKline), talazoparib (Pfizer) and rucaparib (Clovis), have been approved for the treatment of tumors with BRCA and other DNA damage repair alterations, including ovarian, breast and pancreatic cancers. These four drugs generated over $1.6 billion in worldwide sales in 2019 and are expected to reach over $6.1 billion in worldwide sales by 2024.</w:t>
      </w:r>
    </w:p>
    <w:p>
      <w:pPr>
        <w:spacing w:after="0" w:line="16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While SL offers a new route to uncover important gene targets for the treatment of cancers, identifying these SL gene pairs has been a challenge due to the lack of systematic, prospective and large-scale methods to capture and exploit these gene-gene relationships for new drug discovery and development.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459" w:right="3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An Overview of Our Drug Discovery and Development Platform</w:t>
      </w:r>
    </w:p>
    <w:p>
      <w:pPr>
        <w:spacing w:after="0" w:line="121" w:lineRule="exact"/>
        <w:rPr>
          <w:sz w:val="20"/>
          <w:szCs w:val="20"/>
          <w:color w:val="auto"/>
        </w:rPr>
      </w:pPr>
    </w:p>
    <w:p>
      <w:pPr>
        <w:ind w:right="520" w:firstLine="449"/>
        <w:spacing w:after="0" w:line="342" w:lineRule="auto"/>
        <w:rPr>
          <w:sz w:val="20"/>
          <w:szCs w:val="20"/>
          <w:color w:val="auto"/>
        </w:rPr>
      </w:pPr>
      <w:r>
        <w:rPr>
          <w:rFonts w:ascii="Arial" w:cs="Arial" w:eastAsia="Arial" w:hAnsi="Arial"/>
          <w:sz w:val="16"/>
          <w:szCs w:val="16"/>
          <w:color w:val="auto"/>
        </w:rPr>
        <w:t>Our SNIPRx platform integrates our deep expertise and differentiated know-how across genomic target identification, target prioritization and selection, drug discovery chemistry and clinical development. Our approach can be divided into six steps, as depicted in the graphic below.</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Integrated Approach to Drug Discovery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8002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8604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1. Select tumor lesion of interest.</w:t>
      </w:r>
    </w:p>
    <w:p>
      <w:pPr>
        <w:spacing w:after="0" w:line="117"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i w:val="1"/>
          <w:iCs w:val="1"/>
          <w:color w:val="auto"/>
        </w:rPr>
        <w:t>Apply our deep understanding of tumor lesions with a bias for alterations associated with genomic instability and cancers with high unmet medical need.</w:t>
      </w:r>
    </w:p>
    <w:p>
      <w:pPr>
        <w:spacing w:after="0" w:line="62"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Since 2016, we have systematically analyzed genomic data from approximately 60,000 tumor samples. We consult with leading oncology clinicians and key advisors to identify cancer types and subtypes where the current standard of care is not adequately improving patient survival. We then prioritize genetic lesions based on various criteria including mutation frequency and the feasibility of identifying lesion-positive patients. Of those, we focus on lesions that are known to directly or indirectly impact processes involved in genomic instability, such as DNA repair and cell cycle regulation.</w:t>
      </w:r>
    </w:p>
    <w:p>
      <w:pPr>
        <w:spacing w:after="0" w:line="157"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We have identified an initial set of 16 largely mutually exclusive tumor lesions that comprise approximately 30% of tumors. These lesions are all linked to genomic instability.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 Execute SNIPRx screen campaign.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Utilize our SNIPRx screening technology to identify target gene candidates that induce SL in the context of our initial set of 16 tumor lesions.</w:t>
      </w:r>
    </w:p>
    <w:p>
      <w:pPr>
        <w:spacing w:after="0" w:line="129"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For each of the initial 16 tumor lesions we identified, each of which we refer to as an original tumor lesion, we have completed a screen campaign utilizing CRISPR technology and other tools to create proprietary isogenic cell lines, which are pairs of cell lines that are identical with the exception of a single genomic alteration. This allows us to identify, on a genome-wide basis, both known and novel targets that are SL with each original tumor lesion. Our SNIPRx platform has been optimized to both sensitivity and reproducibility, resulting in a significant decrease in false negatives compared to what has been reported with other CRISPR-based screening technologies.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3. Prioritize, select and validate druggable targets.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Evaluate the multiple SL targets identified for each original tumor lesion.</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Our screen campaigns result in the identification of multiple SL targets for each original tumor lesion. We prioritize and select targets to advance into drug discovery based on a systematic and proprietary set of criteria,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320" w:top="459" w:right="3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 xml:space="preserve">which include thresholds for biological validation, cellular function, known and likely toxicity, druggability with small molecules, patentability and the potential for clinical impact versus alternative therapies. Our processes include extensive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genetic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validation of targets and comprehensive development of tool compounds for initial pharmacological corroboration.</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4. Develop potent and selective inhibitors.</w:t>
      </w:r>
    </w:p>
    <w:p>
      <w:pPr>
        <w:spacing w:after="0" w:line="117"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i w:val="1"/>
          <w:iCs w:val="1"/>
          <w:color w:val="auto"/>
        </w:rPr>
        <w:t>Develop small molecule product candidates that are highly potent and selective and advance them from lead discovery through the identification of a clinical candidate.</w:t>
      </w:r>
    </w:p>
    <w:p>
      <w:pPr>
        <w:spacing w:after="0" w:line="62" w:lineRule="exact"/>
        <w:rPr>
          <w:sz w:val="20"/>
          <w:szCs w:val="20"/>
          <w:color w:val="auto"/>
        </w:rPr>
      </w:pPr>
    </w:p>
    <w:p>
      <w:pPr>
        <w:ind w:right="200" w:firstLine="449"/>
        <w:spacing w:after="0" w:line="255" w:lineRule="auto"/>
        <w:rPr>
          <w:sz w:val="20"/>
          <w:szCs w:val="20"/>
          <w:color w:val="auto"/>
        </w:rPr>
      </w:pPr>
      <w:r>
        <w:rPr>
          <w:rFonts w:ascii="Arial" w:cs="Arial" w:eastAsia="Arial" w:hAnsi="Arial"/>
          <w:sz w:val="18"/>
          <w:szCs w:val="18"/>
          <w:color w:val="auto"/>
        </w:rPr>
        <w:t xml:space="preserve">We have assembled an internal research team that has extensive experience in small molecule drug discovery with a proven track record of identifying development candidates and delivering them into and through the clinic. Our team has deep in-house capabilities in cell biology, molecular biology, biochemistry, enzymology, medicinal chemistry, computational chemistry and molecular modeling. We also have proven capabilities in drug metabolism, pharmacokinetic/pharmacodynamics, and absorption, distribution, metabolism and excretion evaluation, as well as pharmacology, including dedicated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facilities to internally drive translational studies for human clinical trials. We believe these capabilities were demonstrated in the discovery and development of RP-3500.</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5. Perform SNIPRx Targeted Expansion of Patient Populations (STEP</w:t>
      </w:r>
      <w:r>
        <w:rPr>
          <w:rFonts w:ascii="Arial" w:cs="Arial" w:eastAsia="Arial" w:hAnsi="Arial"/>
          <w:sz w:val="15"/>
          <w:szCs w:val="15"/>
          <w:b w:val="1"/>
          <w:bCs w:val="1"/>
          <w:i w:val="1"/>
          <w:iCs w:val="1"/>
          <w:color w:val="auto"/>
        </w:rPr>
        <w:t>2</w:t>
      </w:r>
      <w:r>
        <w:rPr>
          <w:rFonts w:ascii="Arial" w:cs="Arial" w:eastAsia="Arial" w:hAnsi="Arial"/>
          <w:sz w:val="18"/>
          <w:szCs w:val="18"/>
          <w:b w:val="1"/>
          <w:bCs w:val="1"/>
          <w:i w:val="1"/>
          <w:iCs w:val="1"/>
          <w:color w:val="auto"/>
        </w:rPr>
        <w:t>) screens.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Expand our potential patient populations beyond those identified by the original SL pair.</w:t>
      </w:r>
    </w:p>
    <w:p>
      <w:pPr>
        <w:spacing w:after="0" w:line="117"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Once we have identified a clinical candidate, our STEP</w:t>
      </w:r>
      <w:r>
        <w:rPr>
          <w:rFonts w:ascii="Arial" w:cs="Arial" w:eastAsia="Arial" w:hAnsi="Arial"/>
          <w:sz w:val="14"/>
          <w:szCs w:val="14"/>
          <w:color w:val="auto"/>
        </w:rPr>
        <w:t>2</w:t>
      </w:r>
      <w:r>
        <w:rPr>
          <w:rFonts w:ascii="Arial" w:cs="Arial" w:eastAsia="Arial" w:hAnsi="Arial"/>
          <w:sz w:val="17"/>
          <w:szCs w:val="17"/>
          <w:color w:val="auto"/>
        </w:rPr>
        <w:t xml:space="preserve"> screens utilize a set of cell lines that, when treated with our clinical candidate, elucidate genes that, when knocked down, cause (hyper) sensitivity to our selected inhibitor. These screens not only confirm the SL relationship with the original tumor lesion, but also identify additional genomic alterations that confer a response to our product candidates and are mutually exclusive from the original tumor lesion. We believe the identification of these new SL pairs allows us to rationally expand our targeted patient populations by enabling us to potentially treat patients with tumors across multiple genomic alterations with the same product candidate.</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6. Conduct clinical trials in an enriched patient population.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Design our clinical trials for efficient clinical development.</w:t>
      </w:r>
    </w:p>
    <w:p>
      <w:pPr>
        <w:spacing w:after="0" w:line="11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For our clinical trials, we plan to enroll patients with tumors that contain either the original tumor lesion or any one of the genomic alterations identified by our STEP</w:t>
      </w:r>
      <w:r>
        <w:rPr>
          <w:rFonts w:ascii="Arial" w:cs="Arial" w:eastAsia="Arial" w:hAnsi="Arial"/>
          <w:sz w:val="15"/>
          <w:szCs w:val="15"/>
          <w:color w:val="auto"/>
        </w:rPr>
        <w:t>2</w:t>
      </w:r>
      <w:r>
        <w:rPr>
          <w:rFonts w:ascii="Arial" w:cs="Arial" w:eastAsia="Arial" w:hAnsi="Arial"/>
          <w:sz w:val="18"/>
          <w:szCs w:val="18"/>
          <w:color w:val="auto"/>
        </w:rPr>
        <w:t xml:space="preserve"> screens. We believe this strategy will allow us to enroll only those patients who are most likely to achieve clinical benefit from our product candidates. In addition, we are prioritizing tumor types for which there are no effective therapies currently available. We plan to evaluate multiple cohorts of patients based on specific genomic alterations, which may enable us to pursue an accelerated regulatory approval pathway for certain targeted patient populations.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SNIPRx Platform</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core of our SNIPRx platform is the ability to identify both known and novel SL targets. We believe that our platform and approach provide many key advantages as highlighted below.</w:t>
      </w:r>
    </w:p>
    <w:p>
      <w:pPr>
        <w:spacing w:after="0" w:line="72" w:lineRule="exact"/>
        <w:rPr>
          <w:sz w:val="20"/>
          <w:szCs w:val="20"/>
          <w:color w:val="auto"/>
        </w:rPr>
      </w:pPr>
    </w:p>
    <w:p>
      <w:pPr>
        <w:ind w:left="1000" w:right="60" w:hanging="547"/>
        <w:spacing w:after="0" w:line="256"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Designed to Address Previously Untargetable Tumor Biology. </w:t>
      </w:r>
      <w:r>
        <w:rPr>
          <w:rFonts w:ascii="Arial" w:cs="Arial" w:eastAsia="Arial" w:hAnsi="Arial"/>
          <w:sz w:val="18"/>
          <w:szCs w:val="18"/>
          <w:color w:val="auto"/>
        </w:rPr>
        <w:t>Oncology drug development has been primarily focused on genes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readily druggable alterations that confer new or enhanced protein activity, known as gain-of-function targets, such as EGFR, which represent only 29% of targets in oncology. The remaining 71% of targets have historically been considered undruggable. These include both gain-of-function alterations (approximately 17%), such as CCNE1, as well as loss-of-function alterations (approximately 54%), such as BRCA1. Our SNIPRx platform has demonstrated an ability to identify novel SL relationships, including those that address previously untargetable tumor biology.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459" w:right="3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right="80" w:hanging="547"/>
        <w:spacing w:after="0" w:line="256"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Applies Our Proprietary Genome-wide Library. </w:t>
      </w:r>
      <w:r>
        <w:rPr>
          <w:rFonts w:ascii="Arial" w:cs="Arial" w:eastAsia="Arial" w:hAnsi="Arial"/>
          <w:sz w:val="18"/>
          <w:szCs w:val="18"/>
          <w:color w:val="auto"/>
        </w:rPr>
        <w:t>Genome-scale screens often identify many genes coding for the same protein complex or</w:t>
      </w:r>
      <w:r>
        <w:rPr>
          <w:rFonts w:ascii="Arial" w:cs="Arial" w:eastAsia="Arial" w:hAnsi="Arial"/>
          <w:sz w:val="18"/>
          <w:szCs w:val="18"/>
          <w:b w:val="1"/>
          <w:bCs w:val="1"/>
          <w:color w:val="auto"/>
        </w:rPr>
        <w:t xml:space="preserve"> </w:t>
      </w:r>
      <w:r>
        <w:rPr>
          <w:rFonts w:ascii="Arial" w:cs="Arial" w:eastAsia="Arial" w:hAnsi="Arial"/>
          <w:sz w:val="18"/>
          <w:szCs w:val="18"/>
          <w:color w:val="auto"/>
        </w:rPr>
        <w:t>cellular pathway, thereby increasing confidence in those hits. These screens allow us to screen the entire genome to determine the top hits across all genes, as compared to the more limited druggable gene libraries. In addition, because the definition of what is druggable is continuously evolving, by using genome-scale screens, we are able to mine the results of our existing screens as new therapeutic modalities emerge. Our genome-wide libraries, together with our industrialized and optimized screening approach and technology, result in a significant reduction in false negative hits.</w:t>
      </w:r>
    </w:p>
    <w:p>
      <w:pPr>
        <w:spacing w:after="0" w:line="92" w:lineRule="exact"/>
        <w:rPr>
          <w:rFonts w:ascii="Arial" w:cs="Arial" w:eastAsia="Arial" w:hAnsi="Arial"/>
          <w:sz w:val="18"/>
          <w:szCs w:val="18"/>
          <w:color w:val="auto"/>
        </w:rPr>
      </w:pPr>
    </w:p>
    <w:p>
      <w:pPr>
        <w:ind w:left="1000" w:right="100" w:hanging="547"/>
        <w:spacing w:after="0" w:line="273" w:lineRule="auto"/>
        <w:tabs>
          <w:tab w:leader="none" w:pos="1000"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 xml:space="preserve">Utilizes Isogenic Cell Lines. </w:t>
      </w:r>
      <w:r>
        <w:rPr>
          <w:rFonts w:ascii="Arial" w:cs="Arial" w:eastAsia="Arial" w:hAnsi="Arial"/>
          <w:sz w:val="17"/>
          <w:szCs w:val="17"/>
          <w:color w:val="auto"/>
        </w:rPr>
        <w:t>We believe a key differentiator of our SNIPRx platform is the utilization of thoroughly characterized,</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isogenic cell lines for our CRISPR-based genome-wide SL screen campaigns. We use normal, non-cancerous cell lines to engineer our isogenic cell models, which enable us to mine for SL interactions between two genes in models with clean genetic backgrounds that have minimal mutations and normal chromosome numbers. We have also developed a proprietary computational algorithm that is specifically designed to identify SL interactions from our isogenic screens. We believe using isogenic cell lines gives us a significant competitive advantage since most SL screening approaches used by others are based on cancer cell line panels, which we believe are less accurate due to their propensity to result in variable data.</w:t>
      </w:r>
    </w:p>
    <w:p>
      <w:pPr>
        <w:spacing w:after="0" w:line="77" w:lineRule="exact"/>
        <w:rPr>
          <w:rFonts w:ascii="Arial" w:cs="Arial" w:eastAsia="Arial" w:hAnsi="Arial"/>
          <w:sz w:val="17"/>
          <w:szCs w:val="17"/>
          <w:color w:val="auto"/>
        </w:rPr>
      </w:pPr>
    </w:p>
    <w:p>
      <w:pPr>
        <w:ind w:left="1000" w:right="80" w:hanging="547"/>
        <w:spacing w:after="0" w:line="294" w:lineRule="auto"/>
        <w:tabs>
          <w:tab w:leader="none" w:pos="1000"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 xml:space="preserve">Focuses on Niche of Genomic Instability. </w:t>
      </w:r>
      <w:r>
        <w:rPr>
          <w:rFonts w:ascii="Arial" w:cs="Arial" w:eastAsia="Arial" w:hAnsi="Arial"/>
          <w:sz w:val="16"/>
          <w:szCs w:val="16"/>
          <w:color w:val="auto"/>
        </w:rPr>
        <w:t>Based on the well-established network of SL interactions in DNA synthesis and repair across</w:t>
      </w:r>
      <w:r>
        <w:rPr>
          <w:rFonts w:ascii="Arial" w:cs="Arial" w:eastAsia="Arial" w:hAnsi="Arial"/>
          <w:sz w:val="16"/>
          <w:szCs w:val="16"/>
          <w:b w:val="1"/>
          <w:bCs w:val="1"/>
          <w:color w:val="auto"/>
        </w:rPr>
        <w:t xml:space="preserve"> </w:t>
      </w:r>
      <w:r>
        <w:rPr>
          <w:rFonts w:ascii="Arial" w:cs="Arial" w:eastAsia="Arial" w:hAnsi="Arial"/>
          <w:sz w:val="16"/>
          <w:szCs w:val="16"/>
          <w:color w:val="auto"/>
        </w:rPr>
        <w:t>model organisms, we have found and believe we will continue to find clear and reproducible SL interactions through our SNIPRx platform. Genomic instability is an early event that underlies all cancer, and many of the genes we screen represent early hits in cancer that may have less heterogeneity in later stage tumors. The genomic instability space is enriched with genes encoding enzymatic activity, which provides us with ample opportunity to identify novel druggable genes for development into small molecule precision oncology therapies. We believe developing product candidates that target genomic instability may lead to durable responses with resulting clinical benefits for patients.</w:t>
      </w:r>
    </w:p>
    <w:p>
      <w:pPr>
        <w:spacing w:after="0" w:line="164"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One example that illustrates the power of our SNIPRx platform is a SL screen campaign that we conducted in an isogenic pair of cell lines in which one cell line had a BRCA1 mutation and the other cell line was normal for BRCA1. The results of this screen campaign are graphically depicted below. The top-right quadrant of Graphic A highlights the SL hits resulting from our screen and shows that we were able to identify PARP1 as a SL hit with BRCA1. In addition, two additional sets of genes were identified to be SL with BRCA1: (1) the genes encoding the Fanconi Anemia pathway, which are depicted in purple, and (2) the genes coding for the BLM-RMI1-RMI2 complex, which are depicted in green. The independent identification by our SNIPRx screen campaign of multiple genes within a pathway or complex greatly increases confidence that those are true SL hits. In contrast, external cell panel screens that look for SL hits by comparing a panel of cancer cell lines that have either BRCA1-mutant or normal BRCA1 cell lines do not identify these validated BRCA1 SL genes. As shown in Graphic B below, multiple cancer cell line panel screens utilizing CRISPR or shRNA all failed to identify PARP1 as a SL hit with BRCA1.</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459" w:right="3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SNIPRx Screen Campaign Identifies Both Known and Novel SL Pairs Undetected by Cancer Cell Line Panels</w:t>
      </w:r>
    </w:p>
    <w:p>
      <w:pPr>
        <w:spacing w:after="0" w:line="256" w:lineRule="exact"/>
        <w:rPr>
          <w:sz w:val="20"/>
          <w:szCs w:val="20"/>
          <w:color w:val="auto"/>
        </w:rPr>
      </w:pPr>
    </w:p>
    <w:p>
      <w:pPr>
        <w:ind w:left="1000" w:hanging="547"/>
        <w:spacing w:after="0"/>
        <w:tabs>
          <w:tab w:leader="none" w:pos="100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SNIPRx BRCA1 Isogenic SL Screen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168910</wp:posOffset>
            </wp:positionV>
            <wp:extent cx="3583305" cy="21259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58330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00" w:hanging="547"/>
        <w:spacing w:after="0"/>
        <w:tabs>
          <w:tab w:leader="none" w:pos="1000" w:val="left"/>
        </w:tabs>
        <w:numPr>
          <w:ilvl w:val="0"/>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External BRCA1 Cell Panel SL Screens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2515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8604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 Program, RP-3500</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320" w:firstLine="449"/>
        <w:spacing w:after="0" w:line="272" w:lineRule="auto"/>
        <w:rPr>
          <w:sz w:val="20"/>
          <w:szCs w:val="20"/>
          <w:color w:val="auto"/>
        </w:rPr>
      </w:pPr>
      <w:r>
        <w:rPr>
          <w:rFonts w:ascii="Arial" w:cs="Arial" w:eastAsia="Arial" w:hAnsi="Arial"/>
          <w:sz w:val="17"/>
          <w:szCs w:val="17"/>
          <w:color w:val="auto"/>
        </w:rPr>
        <w:t>Our lead product candidate, RP-3500, is a potent and selective oral small molecule inhibitor of ATR that we are developing for the treatment of tumors with mutations in ATM, which is a SL pair with ATR. ATR is a critical DNA damage response, or DDR, protein that acts as both the master regulator of the response to DNA replication stress, as well as a central effector of the DNA damage checkpoint. Based on the previously published SL relationship between ATR and ATM, ATR has been the target of prior drug discovery efforts, and ATR inhibitors in development have demonstrated promising, durable clinical responses in a small number of patients in early clinical trials. Through our STEP</w:t>
      </w:r>
      <w:r>
        <w:rPr>
          <w:rFonts w:ascii="Arial" w:cs="Arial" w:eastAsia="Arial" w:hAnsi="Arial"/>
          <w:sz w:val="14"/>
          <w:szCs w:val="14"/>
          <w:color w:val="auto"/>
        </w:rPr>
        <w:t>2</w:t>
      </w:r>
      <w:r>
        <w:rPr>
          <w:rFonts w:ascii="Arial" w:cs="Arial" w:eastAsia="Arial" w:hAnsi="Arial"/>
          <w:sz w:val="17"/>
          <w:szCs w:val="17"/>
          <w:color w:val="auto"/>
        </w:rPr>
        <w:t xml:space="preserve"> screens, we believe that we have more precisely identified and expanded the patient populations that would benefit from RP-3500, which allows us to differentiate and enrich our clinical development strategy as well as address multiple types of solid tumors.</w:t>
      </w:r>
    </w:p>
    <w:p>
      <w:pPr>
        <w:spacing w:after="0" w:line="17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RP-3500 has demonstrated an optimized anti-tumor effect, selectivity and pharmacokinetics profile in preclinical studies that we believe supports the potential for it to be a leading ATR inhibitor, if approved. These data led to our decision to advance RP-3500 into IND-enabling studies. We also conducted multiple STEP</w:t>
      </w:r>
      <w:r>
        <w:rPr>
          <w:rFonts w:ascii="Arial" w:cs="Arial" w:eastAsia="Arial" w:hAnsi="Arial"/>
          <w:sz w:val="15"/>
          <w:szCs w:val="15"/>
          <w:color w:val="auto"/>
        </w:rPr>
        <w:t>2</w:t>
      </w:r>
      <w:r>
        <w:rPr>
          <w:rFonts w:ascii="Arial" w:cs="Arial" w:eastAsia="Arial" w:hAnsi="Arial"/>
          <w:sz w:val="18"/>
          <w:szCs w:val="18"/>
          <w:color w:val="auto"/>
        </w:rPr>
        <w:t xml:space="preserve"> screens in which we confirmed the SL relationship between ATR and ATM and identified an additional 19 genes that are also SL with ATR, potentially expanding the patient populations that may benefit from our product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00"/>
          </w:cols>
          <w:pgMar w:left="320" w:top="459" w:right="3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candidate. We anticipate filing an IND application in the second quarter of 2020 and initiating an open-label Phase 1/2 clinical trial of RP-3500 in the third quarter of 2020. We have designed our Phase 1/2 clinical trial to enroll patients based on the presence of alterations in ATM or any of the 19 STEP</w:t>
      </w:r>
      <w:r>
        <w:rPr>
          <w:rFonts w:ascii="Arial" w:cs="Arial" w:eastAsia="Arial" w:hAnsi="Arial"/>
          <w:sz w:val="14"/>
          <w:szCs w:val="14"/>
          <w:color w:val="auto"/>
        </w:rPr>
        <w:t>2</w:t>
      </w:r>
      <w:r>
        <w:rPr>
          <w:rFonts w:ascii="Arial" w:cs="Arial" w:eastAsia="Arial" w:hAnsi="Arial"/>
          <w:sz w:val="17"/>
          <w:szCs w:val="17"/>
          <w:color w:val="auto"/>
        </w:rPr>
        <w:t>-identified genes. Based on the observed synergistic activity in preclinical models with ATM and STEP</w:t>
      </w:r>
      <w:r>
        <w:rPr>
          <w:rFonts w:ascii="Arial" w:cs="Arial" w:eastAsia="Arial" w:hAnsi="Arial"/>
          <w:sz w:val="14"/>
          <w:szCs w:val="14"/>
          <w:color w:val="auto"/>
        </w:rPr>
        <w:t>2</w:t>
      </w:r>
      <w:r>
        <w:rPr>
          <w:rFonts w:ascii="Arial" w:cs="Arial" w:eastAsia="Arial" w:hAnsi="Arial"/>
          <w:sz w:val="17"/>
          <w:szCs w:val="17"/>
          <w:color w:val="auto"/>
        </w:rPr>
        <w:t>-identified genes, we also intend to include a combination arm in this trial to evaluate the anti-tumor activity of RP-3500 with an approved PARP inhibitor. We expect to report preliminary safety and efficacy data for the monotherapy and combination therapy dose escalation phase of the trial in the second half of 2021.</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1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ATR is a protein kinase that acts at multiple levels of the DDR network. It is activated when problems with ongoing DNA replication are identified, a phenomenon known as DNA replication stress. It uses its kinase activity to stabilize the DNA replication machinery locally and to suppress the initiation of DNA replication globally. As a consequence, ATR prevents the formation of DNA damage when DNA replication is stressed. In addition to these roles, ATR also restrains cell cycle progression when it is activated, a phenomenon known as the DNA damage checkpoint. ATR is one member of an extensive network of proteins that serve to recognize early stages of DNA damage, prevent replication from proceeding through these damaged sites and repair the damage. Cancer cells with alterations in genes encoding this network of DDR proteins are highly dependent on ATR for survival. ATR’s central role in the regulation of replication stress has led to the development of multiple ATR inhibitors that have demonstrated durable responses in early clinical trials.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320" w:top="459" w:right="3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ATM-ATR Synthetic Lethality</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ATM is a DDR protein related to ATR that is responsible for sensing and signaling DNA double-strand breaks. Our ATM SNIPRx screen campaign confirmed that ATM-deficient cells rely on ATR activity for survival. ATM orchestrates the response to double-strand break repair and thus, ATM-deficient tumors have an impaired response to DNA breaks. Inhibition of ATR compromises the stabilization of DNA replication forks and is associated with increases in DNA double-strand breaks that would normally be detected and signaled for repair by ATM. SL screens conducted by us and others have identified that ATR is SL with ATM, making cancer cells that are deficient in ATM highly sensitive to killing by ATR inhibitors. An overview of the ATM-ATR SL relationship is illustrated below.</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Mechanism of ATM-ATR Synthetic Lethality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171450</wp:posOffset>
            </wp:positionV>
            <wp:extent cx="3197225" cy="4852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197225" cy="485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320" w:top="459" w:right="3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gene encoding for ATM is frequently mutated in cancer. An analysis of sequence data collected as part of The Cancer Genome Atlas, or TCGA, found that between 1% and 4% of solid tumors, such as breast, bladder, pancreatic and lung cancers, have deficiencies in ATM, as depicted in the graph below.</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Top 10 Tumor Types with Highest Prevalence of ATM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171450</wp:posOffset>
            </wp:positionV>
            <wp:extent cx="5109210" cy="23920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09210" cy="239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Validation of ATR Inhibitors in ATM-Deficient Tumors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Three ATR inhibitors in development by third parties have been evaluated in clinical trials either as a monotherapy or in combination with DNA-damaging chemotherapy drugs, ionizing radiation, immune checkpoint blockers or PARP inhibitors, in advanced solid tumors and hematological malignancies. Data published to date from these trials support the preclinical observations of the SL of ATR inhibitors in ATM-deficient cancers. For example, in a clinical trial conducted by Merck Serono of its ATR inhibitor, a patient with colorectal cancer containing a mutation in ATM reported a complete response. Additional proof-of-concept for the clinical relevance of the SL link between ATR and ATM was reported in June 2019 with data from Bayer’s Phase 1 clinical trial of its ATR inhibitor. This dose-escalation trial evaluated Bayer’s ATR inhibitor as a monotherapy in patients with advanced metastatic solid tumors that were resistant or refractory to standard treatment. Of thirteen evaluable patients who received Bayer’s ATR inhibitor at doses of 40 mg or greater twice a day, four patients, all of whom had tumors with mutations in ATM, had a durable tumor response. Additional clinical evidence indicates that the patient population that could benefit from an ATR inhibitor is not limited to ATM deficiency. For example, AstraZeneca conducted a clinical trial, which evaluated ATR inhibition as a monotherapy without any patient selection based on genomic tumor alterations. Results from this trial demonstrated that the three responding patients had normal ATM protein expression, which suggests that additional genomic tumor alterations may also be sensitive to ATR inhibition.</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Solution, RP-3500</w:t>
      </w:r>
    </w:p>
    <w:p>
      <w:pPr>
        <w:spacing w:after="0" w:line="117"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We identified ATR as one of the SL targets through our SNIPRx screen campaign of ATM and selected ATR as the target for our lead product candidate, RP-3500, based on:</w:t>
      </w:r>
    </w:p>
    <w:p>
      <w:pPr>
        <w:spacing w:after="0" w:line="76" w:lineRule="exact"/>
        <w:rPr>
          <w:sz w:val="20"/>
          <w:szCs w:val="20"/>
          <w:color w:val="auto"/>
        </w:rPr>
      </w:pPr>
    </w:p>
    <w:p>
      <w:pPr>
        <w:ind w:left="1000" w:hanging="547"/>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existing third party clinical and preclinical support for the potential of ATR inhibition as a precision oncology therapy;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ability to design an ATR inhibitor with enhanced chemical properties, such as potency and selectivity;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459"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0" w:hanging="547"/>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results of our STEP</w:t>
      </w:r>
      <w:r>
        <w:rPr>
          <w:rFonts w:ascii="Arial" w:cs="Arial" w:eastAsia="Arial" w:hAnsi="Arial"/>
          <w:sz w:val="15"/>
          <w:szCs w:val="15"/>
          <w:color w:val="auto"/>
        </w:rPr>
        <w:t>2</w:t>
      </w:r>
      <w:r>
        <w:rPr>
          <w:rFonts w:ascii="Arial" w:cs="Arial" w:eastAsia="Arial" w:hAnsi="Arial"/>
          <w:sz w:val="18"/>
          <w:szCs w:val="18"/>
          <w:color w:val="auto"/>
        </w:rPr>
        <w:t xml:space="preserve"> screens, which identified 19 additional genomic alterations beyond ATM deficiency to be SL with ATR, facilitating the expansion of the addressable patient populations.</w:t>
      </w:r>
    </w:p>
    <w:p>
      <w:pPr>
        <w:spacing w:after="0" w:line="170" w:lineRule="exact"/>
        <w:rPr>
          <w:sz w:val="20"/>
          <w:szCs w:val="20"/>
          <w:color w:val="auto"/>
        </w:rPr>
      </w:pPr>
    </w:p>
    <w:p>
      <w:pPr>
        <w:ind w:right="160" w:firstLine="449"/>
        <w:spacing w:after="0" w:line="286" w:lineRule="auto"/>
        <w:rPr>
          <w:sz w:val="20"/>
          <w:szCs w:val="20"/>
          <w:color w:val="auto"/>
        </w:rPr>
      </w:pPr>
      <w:r>
        <w:rPr>
          <w:rFonts w:ascii="Arial" w:cs="Arial" w:eastAsia="Arial" w:hAnsi="Arial"/>
          <w:sz w:val="17"/>
          <w:szCs w:val="17"/>
          <w:color w:val="auto"/>
        </w:rPr>
        <w:t>We designed RP-3500 as an oral small molecule ATR inhibitor with increased potency and a similar or improved selectivity profile compared to other known ATR inhibitors. RP-3500 has demonstrated a favorable pharmacokinetic profile in multiple preclinical models, including rodent and canine, and a distribution, metabolism and excretion profile that suggests a low potential for drug-drug interactions in the clinic.</w:t>
      </w:r>
    </w:p>
    <w:p>
      <w:pPr>
        <w:spacing w:after="0" w:line="165"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Our STEP</w:t>
      </w:r>
      <w:r>
        <w:rPr>
          <w:rFonts w:ascii="Arial" w:cs="Arial" w:eastAsia="Arial" w:hAnsi="Arial"/>
          <w:sz w:val="13"/>
          <w:szCs w:val="13"/>
          <w:color w:val="auto"/>
        </w:rPr>
        <w:t>2</w:t>
      </w:r>
      <w:r>
        <w:rPr>
          <w:rFonts w:ascii="Arial" w:cs="Arial" w:eastAsia="Arial" w:hAnsi="Arial"/>
          <w:sz w:val="16"/>
          <w:szCs w:val="16"/>
          <w:color w:val="auto"/>
        </w:rPr>
        <w:t xml:space="preserve"> screens have generated proprietary patient selection insights that we believe provide the rationale to expand the potential patient populations addressable by RP-3500 beyond patients with tumors carrying ATM genetic defects. We have identified 19 genomic alterations, in addition to ATM deficiency, that confer sensitivity to RP-3500. This 19 gene set, which we refer to as our STEP</w:t>
      </w:r>
      <w:r>
        <w:rPr>
          <w:rFonts w:ascii="Arial" w:cs="Arial" w:eastAsia="Arial" w:hAnsi="Arial"/>
          <w:sz w:val="13"/>
          <w:szCs w:val="13"/>
          <w:color w:val="auto"/>
        </w:rPr>
        <w:t>2</w:t>
      </w:r>
      <w:r>
        <w:rPr>
          <w:rFonts w:ascii="Arial" w:cs="Arial" w:eastAsia="Arial" w:hAnsi="Arial"/>
          <w:sz w:val="16"/>
          <w:szCs w:val="16"/>
          <w:color w:val="auto"/>
        </w:rPr>
        <w:t>-identified genes, includes several novel genes that have not been previously reported as rendering sensitivity to ATR inhibitors. In addition, many of the genes we have selected do not overlap with previously identified genes in the homologous recombination defect panel, which is utilized to identify patients for treatment with PARP inhibitors and is currently used by others to test for sensitivity to ATR inhibitors. Furthermore, our STEP</w:t>
      </w:r>
      <w:r>
        <w:rPr>
          <w:rFonts w:ascii="Arial" w:cs="Arial" w:eastAsia="Arial" w:hAnsi="Arial"/>
          <w:sz w:val="13"/>
          <w:szCs w:val="13"/>
          <w:color w:val="auto"/>
        </w:rPr>
        <w:t>2</w:t>
      </w:r>
      <w:r>
        <w:rPr>
          <w:rFonts w:ascii="Arial" w:cs="Arial" w:eastAsia="Arial" w:hAnsi="Arial"/>
          <w:sz w:val="16"/>
          <w:szCs w:val="16"/>
          <w:color w:val="auto"/>
        </w:rPr>
        <w:t xml:space="preserve"> screens demonstrated that two genes previously reported by others to be sensitive to ATR inhibition were not sensitive and hence, those genes were excluded from our set of STEP</w:t>
      </w:r>
      <w:r>
        <w:rPr>
          <w:rFonts w:ascii="Arial" w:cs="Arial" w:eastAsia="Arial" w:hAnsi="Arial"/>
          <w:sz w:val="13"/>
          <w:szCs w:val="13"/>
          <w:color w:val="auto"/>
        </w:rPr>
        <w:t>2</w:t>
      </w:r>
      <w:r>
        <w:rPr>
          <w:rFonts w:ascii="Arial" w:cs="Arial" w:eastAsia="Arial" w:hAnsi="Arial"/>
          <w:sz w:val="16"/>
          <w:szCs w:val="16"/>
          <w:color w:val="auto"/>
        </w:rPr>
        <w:t>-identified genes.</w:t>
      </w:r>
    </w:p>
    <w:p>
      <w:pPr>
        <w:spacing w:after="0" w:line="166"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The sensitivity and accuracy of our STEP</w:t>
      </w:r>
      <w:r>
        <w:rPr>
          <w:rFonts w:ascii="Arial" w:cs="Arial" w:eastAsia="Arial" w:hAnsi="Arial"/>
          <w:sz w:val="13"/>
          <w:szCs w:val="13"/>
          <w:color w:val="auto"/>
        </w:rPr>
        <w:t>2</w:t>
      </w:r>
      <w:r>
        <w:rPr>
          <w:rFonts w:ascii="Arial" w:cs="Arial" w:eastAsia="Arial" w:hAnsi="Arial"/>
          <w:sz w:val="16"/>
          <w:szCs w:val="16"/>
          <w:color w:val="auto"/>
        </w:rPr>
        <w:t xml:space="preserve"> screens enable the identification of several novel gene alterations, including certain genes that are not yet included in commercially available Next Generation Sequencing cancer panels or CLIA-validated panels used in large academic centers. As such, for our planned Phase 1/2 trial, we have identified and partnered with multiple large, leading clinical centers globally where tumor sequencing is a component of standard of care. These centers’ panels are validated and sufficiently large to accommodate screening for alterations in ATM or our 19 STEP</w:t>
      </w:r>
      <w:r>
        <w:rPr>
          <w:rFonts w:ascii="Arial" w:cs="Arial" w:eastAsia="Arial" w:hAnsi="Arial"/>
          <w:sz w:val="13"/>
          <w:szCs w:val="13"/>
          <w:color w:val="auto"/>
        </w:rPr>
        <w:t>2</w:t>
      </w:r>
      <w:r>
        <w:rPr>
          <w:rFonts w:ascii="Arial" w:cs="Arial" w:eastAsia="Arial" w:hAnsi="Arial"/>
          <w:sz w:val="16"/>
          <w:szCs w:val="16"/>
          <w:color w:val="auto"/>
        </w:rPr>
        <w:t>-identified genes. We believe that these panels will include the majority, if not all, of these 20 genes. For genes that are not available on certain panels at a particular clinical site, we have identified surrogate genes that are co-deleted with the STEP</w:t>
      </w:r>
      <w:r>
        <w:rPr>
          <w:rFonts w:ascii="Arial" w:cs="Arial" w:eastAsia="Arial" w:hAnsi="Arial"/>
          <w:sz w:val="13"/>
          <w:szCs w:val="13"/>
          <w:color w:val="auto"/>
        </w:rPr>
        <w:t>2</w:t>
      </w:r>
      <w:r>
        <w:rPr>
          <w:rFonts w:ascii="Arial" w:cs="Arial" w:eastAsia="Arial" w:hAnsi="Arial"/>
          <w:sz w:val="16"/>
          <w:szCs w:val="16"/>
          <w:color w:val="auto"/>
        </w:rPr>
        <w:t xml:space="preserve"> genes and have an approximately 50% to 80% probability of concomitant loss, which we believe will provide sufficient enrichment for our clinical trial. By working in collaboration with our clinical partners to access their existing patient databases, we believe that we will be able to efficiently identify existing and new patients who may be eligible for our clinical trial.</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80"/>
          </w:cols>
          <w:pgMar w:left="320" w:top="459" w:right="3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00" w:firstLine="449"/>
        <w:spacing w:after="0" w:line="308" w:lineRule="auto"/>
        <w:rPr>
          <w:sz w:val="20"/>
          <w:szCs w:val="20"/>
          <w:color w:val="auto"/>
        </w:rPr>
      </w:pPr>
      <w:r>
        <w:rPr>
          <w:rFonts w:ascii="Arial" w:cs="Arial" w:eastAsia="Arial" w:hAnsi="Arial"/>
          <w:sz w:val="17"/>
          <w:szCs w:val="17"/>
          <w:color w:val="auto"/>
        </w:rPr>
        <w:t>Based on the prevalence of ATM deficiencies and our STEP</w:t>
      </w:r>
      <w:r>
        <w:rPr>
          <w:rFonts w:ascii="Arial" w:cs="Arial" w:eastAsia="Arial" w:hAnsi="Arial"/>
          <w:sz w:val="14"/>
          <w:szCs w:val="14"/>
          <w:color w:val="auto"/>
        </w:rPr>
        <w:t>2</w:t>
      </w:r>
      <w:r>
        <w:rPr>
          <w:rFonts w:ascii="Arial" w:cs="Arial" w:eastAsia="Arial" w:hAnsi="Arial"/>
          <w:sz w:val="17"/>
          <w:szCs w:val="17"/>
          <w:color w:val="auto"/>
        </w:rPr>
        <w:t>-identified genomic alterations across various solid tumors, as shown in the graph below, we believe that RP-3500 has the potential to benefit a significant number of patients representing a large unmet medical need.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 10 Tumor Types with Highest Prevalence of ATM Deficiency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STEP</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Genomic Alterations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160655</wp:posOffset>
            </wp:positionV>
            <wp:extent cx="5074920" cy="25634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74920"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As part of our development strategy for RP-3500, we are evaluating the potential anti-tumor activity of RP-3500 in combination with an approved PARP inhibitor based on the synergies we have observed in our preclinical studies. PARP inhibitors lead to the stabilization of PARP-DNA complexes that block the progression of replication forks. ATR activity stabilizes the DNA replication forks that are destabilized by PARP inhibition and inhibition of ATR causes stalled replication forks to collapse and form cytotoxic DNA double-strand breaks. As a consequence, ATR inhibition can potentiate the cytotoxic effects of PARP inhibitors. We note that this phenomenon is particularly prominent under conditions where some cancer-relevant DDR genes, such as those identified through our STEP</w:t>
      </w:r>
      <w:r>
        <w:rPr>
          <w:rFonts w:ascii="Arial" w:cs="Arial" w:eastAsia="Arial" w:hAnsi="Arial"/>
          <w:sz w:val="14"/>
          <w:szCs w:val="14"/>
          <w:color w:val="auto"/>
        </w:rPr>
        <w:t>2</w:t>
      </w:r>
      <w:r>
        <w:rPr>
          <w:rFonts w:ascii="Arial" w:cs="Arial" w:eastAsia="Arial" w:hAnsi="Arial"/>
          <w:sz w:val="17"/>
          <w:szCs w:val="17"/>
          <w:color w:val="auto"/>
        </w:rPr>
        <w:t xml:space="preserve"> screens, are inactivated, thereby creating a potential therapeutic window.</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Data: Monotherapy</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observed RP-3500 to have a favorable tolerability and pharmacokinetics profile across multiple preclinical studies and animal models, which we believe supports advancing the product candidate into clinical trials. In a preclinical study, we evaluated continuous daily dosing of RP-3500 in a colon cancer xenograft model with CW-2 cancer cells, which contain an inactivating mutation in ATM that confers sensitivity to ATR inhibition. In this study, we injected mice with tumor cells and waited for tumor growth to approximately 200 mm</w:t>
      </w:r>
      <w:r>
        <w:rPr>
          <w:rFonts w:ascii="Arial" w:cs="Arial" w:eastAsia="Arial" w:hAnsi="Arial"/>
          <w:sz w:val="14"/>
          <w:szCs w:val="14"/>
          <w:color w:val="auto"/>
        </w:rPr>
        <w:t>3</w:t>
      </w:r>
      <w:r>
        <w:rPr>
          <w:rFonts w:ascii="Arial" w:cs="Arial" w:eastAsia="Arial" w:hAnsi="Arial"/>
          <w:sz w:val="17"/>
          <w:szCs w:val="17"/>
          <w:color w:val="auto"/>
        </w:rPr>
        <w:t xml:space="preserve"> before initiating daily dosing over a period of 14 days with vehicle, RP-3500 at its maximum tolerated dose, or MTD, of 10 mg/kg/day, or Bayer’s ATR inhibitor product candidate, BAY1895344, at what we determined to be its MTD of 35 mg/kg/day (n=10 mice per group). Both RP-3500 and BAY1895344 demonstrated statistically significant suppression of tumor growth as compared to vehicle. Importantly, we observed statistically significant higher suppression of tumor growth with RP-3500 as compared to BAY1895344 (p=0.018). Body weight loss as a measurement of tolerability was similar for both compounds in this study.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459" w:right="3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Statistically Significant Tumor Growth Suppression in Colon Cancer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6548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8604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another preclinical study using an intermittent dosing schedule, we evaluated RP-3500 in comparison to BAY1895344 in a Granta-519 mantle cell lymphoma xenograft model. Similar to CW-2 cancer cells, Granta-519 cancer cells also contain an inactivating mutation in ATM that confers sensitivity to ATR inhibition. In this study, we injected mice with tumor cells and waited for tumor growth to approximately 150 mm</w:t>
      </w:r>
      <w:r>
        <w:rPr>
          <w:rFonts w:ascii="Arial" w:cs="Arial" w:eastAsia="Arial" w:hAnsi="Arial"/>
          <w:sz w:val="14"/>
          <w:szCs w:val="14"/>
          <w:color w:val="auto"/>
        </w:rPr>
        <w:t>3</w:t>
      </w:r>
      <w:r>
        <w:rPr>
          <w:rFonts w:ascii="Arial" w:cs="Arial" w:eastAsia="Arial" w:hAnsi="Arial"/>
          <w:sz w:val="17"/>
          <w:szCs w:val="17"/>
          <w:color w:val="auto"/>
        </w:rPr>
        <w:t xml:space="preserve"> before initiating intermittent dosing with vehicle or either treatment (n=9 mice per group). We observed that both RP-3500 and BAY1895344 exhibited tolerability at higher doses when administered on a three days per week schedule than their respective MTDs from the daily dosing CW-2 colon cancer study. The MTDs utilizing this intermittent dosing schedule were determined to be 30 mg/kg daily for RP-3500 and 50 mg/kg twice-daily for BAY1895344. Both agents demonstrated similar and significant suppression of tumor growth in this model without body weight loss. However, significant anemia, or hematocrit reduction, was observed in mice treated with BAY1895344 (p=0.0002), whereas we did not observe these tolerability issues with RP-3500, which we believe supports our hypothesis of a favorable tolerability profile for RP-3500.</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RP-3500 Exhibits Tumor Growth Suppression Without Significant Anemia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Measured as Hematocrit in Mantle Cell Lymphoma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160020</wp:posOffset>
            </wp:positionV>
            <wp:extent cx="4963160" cy="17056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96316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320" w:top="459" w:right="3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Data: Combination Therapy with PARP</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Of our 19 STEP</w:t>
      </w:r>
      <w:r>
        <w:rPr>
          <w:rFonts w:ascii="Arial" w:cs="Arial" w:eastAsia="Arial" w:hAnsi="Arial"/>
          <w:sz w:val="15"/>
          <w:szCs w:val="15"/>
          <w:color w:val="auto"/>
        </w:rPr>
        <w:t>2</w:t>
      </w:r>
      <w:r>
        <w:rPr>
          <w:rFonts w:ascii="Arial" w:cs="Arial" w:eastAsia="Arial" w:hAnsi="Arial"/>
          <w:sz w:val="18"/>
          <w:szCs w:val="18"/>
          <w:color w:val="auto"/>
        </w:rPr>
        <w:t>-identified genes for RP-3500 as a monotherapy, we have identified a subset of genes that are particularly sensitive to the combination of RP-3500 and PARP inhibitors. The graphs below illustrate two examples of this subset of genes where synergy was demonstrated between RP-3500 and PARP inhibitors.</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Significant Synergy Demonstrated by Combination of RP-3500 and PARP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374640" cy="26320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74640" cy="263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Wild Type</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Genomically altered</w:t>
      </w:r>
    </w:p>
    <w:p>
      <w:pPr>
        <w:spacing w:after="0" w:line="21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 xml:space="preserve">We observed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killing of cells carrying this subset of genomic alterations at low concentrations of both compounds, whereas only a minimal effect was seen on control wild-type cells. Based on this finding, we believe that the combination of RP-3500 with lower doses of PARP inhibitors could lead to efficient anti-tumor activity while potentially addressing the tolerability issues observed with PARP inhibitors, where a majority of patients in clinical trials of niraparib and talazoparib required a dose reduction or interruption in dosing. We are currently exploring the ATR-PARP inhibitor synergy in additional ongoing studies in xenograft models.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Validation of STEP</w:t>
      </w:r>
      <w:r>
        <w:rPr>
          <w:rFonts w:ascii="Arial" w:cs="Arial" w:eastAsia="Arial" w:hAnsi="Arial"/>
          <w:sz w:val="15"/>
          <w:szCs w:val="15"/>
          <w:b w:val="1"/>
          <w:bCs w:val="1"/>
          <w:i w:val="1"/>
          <w:iCs w:val="1"/>
          <w:color w:val="auto"/>
        </w:rPr>
        <w:t>2</w:t>
      </w:r>
      <w:r>
        <w:rPr>
          <w:rFonts w:ascii="Arial" w:cs="Arial" w:eastAsia="Arial" w:hAnsi="Arial"/>
          <w:sz w:val="18"/>
          <w:szCs w:val="18"/>
          <w:b w:val="1"/>
          <w:bCs w:val="1"/>
          <w:i w:val="1"/>
          <w:iCs w:val="1"/>
          <w:color w:val="auto"/>
        </w:rPr>
        <w:t xml:space="preserve"> Screens</w:t>
      </w:r>
    </w:p>
    <w:p>
      <w:pPr>
        <w:spacing w:after="0" w:line="117" w:lineRule="exact"/>
        <w:rPr>
          <w:sz w:val="20"/>
          <w:szCs w:val="20"/>
          <w:color w:val="auto"/>
        </w:rPr>
      </w:pPr>
    </w:p>
    <w:p>
      <w:pPr>
        <w:jc w:val="both"/>
        <w:ind w:right="180" w:firstLine="449"/>
        <w:spacing w:after="0" w:line="255" w:lineRule="auto"/>
        <w:rPr>
          <w:sz w:val="20"/>
          <w:szCs w:val="20"/>
          <w:color w:val="auto"/>
        </w:rPr>
      </w:pPr>
      <w:r>
        <w:rPr>
          <w:rFonts w:ascii="Arial" w:cs="Arial" w:eastAsia="Arial" w:hAnsi="Arial"/>
          <w:sz w:val="18"/>
          <w:szCs w:val="18"/>
          <w:color w:val="auto"/>
        </w:rPr>
        <w:t>Through our STEP</w:t>
      </w:r>
      <w:r>
        <w:rPr>
          <w:rFonts w:ascii="Arial" w:cs="Arial" w:eastAsia="Arial" w:hAnsi="Arial"/>
          <w:sz w:val="15"/>
          <w:szCs w:val="15"/>
          <w:color w:val="auto"/>
        </w:rPr>
        <w:t>2</w:t>
      </w:r>
      <w:r>
        <w:rPr>
          <w:rFonts w:ascii="Arial" w:cs="Arial" w:eastAsia="Arial" w:hAnsi="Arial"/>
          <w:sz w:val="18"/>
          <w:szCs w:val="18"/>
          <w:color w:val="auto"/>
        </w:rPr>
        <w:t xml:space="preserve"> screens of ATR inhibitors, we confirmed the SL relationship between ATR and ATM and identified an additional 19 genomic alterations that confer sensitivity to RP-3500. In follow-up studies with cancer cell line pairs, in which the only difference is the inactivation of the target genes, we are confirming the sensitivity of these genomic alterations to RP-3500, and this extensive validation effort is still being expanded. We are also creating xenograft models using both the parent cell lines and the inactivated cell line. In such a model using one of the STEP</w:t>
      </w:r>
      <w:r>
        <w:rPr>
          <w:rFonts w:ascii="Arial" w:cs="Arial" w:eastAsia="Arial" w:hAnsi="Arial"/>
          <w:sz w:val="15"/>
          <w:szCs w:val="15"/>
          <w:color w:val="auto"/>
        </w:rPr>
        <w:t>2</w:t>
      </w:r>
      <w:r>
        <w:rPr>
          <w:rFonts w:ascii="Arial" w:cs="Arial" w:eastAsia="Arial" w:hAnsi="Arial"/>
          <w:sz w:val="18"/>
          <w:szCs w:val="18"/>
          <w:color w:val="auto"/>
        </w:rPr>
        <w:t>-identified genes, RP-3500 led to statistically significant suppression of tumor growth, whereas it had no anti-tumor effect in tumors created with wild-type parent cells, as shown in the model below.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Tumor Growth Suppression in a STEP</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Gene Deficient (-/-) Xenograft Model vs.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 Effect in Tumor with Wild-Type (+/+) STEP</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160655</wp:posOffset>
            </wp:positionV>
            <wp:extent cx="5186045" cy="16459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8604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Planned Phase 1/2 Trial</w:t>
      </w:r>
    </w:p>
    <w:p>
      <w:pPr>
        <w:spacing w:after="0" w:line="117"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Our open-label Phase 1/2 clinical trial is designed to evaluate the oral administration of RP-3500 in patients with advanced recurrent tumors of different histologies with ATM loss-of-function or any of the 19 STEP</w:t>
      </w:r>
      <w:r>
        <w:rPr>
          <w:rFonts w:ascii="Arial" w:cs="Arial" w:eastAsia="Arial" w:hAnsi="Arial"/>
          <w:sz w:val="15"/>
          <w:szCs w:val="15"/>
          <w:color w:val="auto"/>
        </w:rPr>
        <w:t>2</w:t>
      </w:r>
      <w:r>
        <w:rPr>
          <w:rFonts w:ascii="Arial" w:cs="Arial" w:eastAsia="Arial" w:hAnsi="Arial"/>
          <w:sz w:val="18"/>
          <w:szCs w:val="18"/>
          <w:color w:val="auto"/>
        </w:rPr>
        <w:t>-identified genomic alterations.</w:t>
      </w:r>
    </w:p>
    <w:p>
      <w:pPr>
        <w:spacing w:after="0" w:line="170"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In the initial monotherapy dose escalation phase of our trial, we plan to evaluate the dosing regimen and safety of RP-3500 to establish the recommended dose for the expansion phase of the trial. In three expansion cohorts, each of which will enroll patients based on ATM loss-of-function or different STEP</w:t>
      </w:r>
      <w:r>
        <w:rPr>
          <w:rFonts w:ascii="Arial" w:cs="Arial" w:eastAsia="Arial" w:hAnsi="Arial"/>
          <w:sz w:val="13"/>
          <w:szCs w:val="13"/>
          <w:color w:val="auto"/>
        </w:rPr>
        <w:t>2</w:t>
      </w:r>
      <w:r>
        <w:rPr>
          <w:rFonts w:ascii="Arial" w:cs="Arial" w:eastAsia="Arial" w:hAnsi="Arial"/>
          <w:sz w:val="16"/>
          <w:szCs w:val="16"/>
          <w:color w:val="auto"/>
        </w:rPr>
        <w:t>-identified genomic alterations, we will assess the preliminary efficacy of RP-3500 at the recommended dose. In parallel with the monotherapy dose escalation phase, we will enroll a separate arm to evaluate RP-3500 in combination with an approved PARP inhibitor. An efficacy evaluation will be performed every six weeks for the first five months and every nine weeks thereafter. We anticipate filing an IND application in the second quarter of 2020 and initiating an open-label Phase 1/2 clinical trial of RP-3500 as both a monotherapy and in combination with an approved PARP inhibitor in the third quarter of 2020. We expect to report preliminary safety and efficacy data for the monotherapy and combination therapy dose escalation phase of the trial in the second half of 2021, which may inform the design, including the targeted patient population, of a future pivotal trial.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459" w:right="3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design of our Phase 1/2 clinical trial is summarized in the diagram below.</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Proposed Design of Phase 1/2 Clinical Trial of RP-3500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171450</wp:posOffset>
            </wp:positionV>
            <wp:extent cx="5057775" cy="20916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05777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Preclinical Programs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CCNE1-SL Inhibitor Program</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Our CCNE1-SL inhibitor program is a proprietary drug discovery program for tumors with amplification of CCNE1. We have identified an undisclosed gene and corresponding protein which we have found to be SL with amplifications in the gene for CCNE1. Amplification of CCNE1 is found in many tumor types, including gynecological and upper gastrointestinal malignancies, and these CCNE1-amplified tumors typically do not respond well to platinum or PARP inhibitor treatment. Through our SNIPRx screen campaign for targets that are SL with CCNE1 amplification, we have identified and validated a SL target that we believe has the characteristics of a therapeutic target. We have developed novel and selective inhibitors against the target that have repeatedly demonstrated compelling anti-tumor activity. We anticipate advancing our advancing a clinical candidate for this potential first-in-class program into IND-enabling studies in the fourth quarter of 2020.</w:t>
      </w:r>
    </w:p>
    <w:p>
      <w:pPr>
        <w:spacing w:after="0" w:line="195"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The gene targeted by our CCNE1-SL inhibitor program has not previously been published as a SL gene pair with CCNE1, and we are not aware of any advanced drug discovery efforts against this target. In preclinical studies, we observed that the deletion of this gene was well tolerated in wild-type cells, but it caused lethality in isogenic cancer cells that overexpressed CCNE1.</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320" w:top="459" w:right="3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High levels of CCNE1 protein, an activating subunit of cyclin dependent kinase 2, or CDK2, are often observed in patients across multiple tumor types. Deregulation of cell cycle control is thought to be a prerequisite for tumor development, and several studies have demonstrated accelerated entry of cells into the S phase, or DNA synthesis phase, of the cell cycle, due to constitutive, or “always-on,” expression of CCNE1. Such an accelerated entry of cells into the S phase is a common sign of unregulated, cancerous growth. CCNE1 can induce chromosome instability, another sign of cancer, by contributing to inappropriate initiation of DNA replication. Several studies have demonstrated that CCNE1 amplification or constitutive expression is associated with disease progression in various malignancies as well as poor clinical prognosis in patients across multiple cancers, including ovarian, breast, bladder and colorectal cancer. For example, clinical data from patients with ovarian cancer indicate that those with CCNE1-amplified tumors have significantly shorter overall survival than those with tumors without CCNE1 amplification, as shown below.</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CCNE1 Amplification is Associated with Significantly Shorter Overall Survival</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Patients with Ovarian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160020</wp:posOffset>
            </wp:positionV>
            <wp:extent cx="2082800" cy="14916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08280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CCNE1 amplification is found in 4% of tumors in the pan-cancer TCGA studies. Over 40% of uterine carcinosarcoma cancers and 10% to 20% of ovarian and stomach cancers harbor CCNE1 amplification. Together, these cancers lead to over 40,000 deaths each year in the United States. Additional cancer types also harbor CCNE1 amplification at a lower frequency, including up to 3% to 8% of esophagus, bladder, lung and pancreatic cancers, as shown below.</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Top 10 Tumor Types with Highest Frequency of CCNE1 Amplification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171450</wp:posOffset>
            </wp:positionV>
            <wp:extent cx="5014595" cy="23399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01459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80"/>
          </w:cols>
          <w:pgMar w:left="320" w:top="459" w:right="3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 xml:space="preserve">In preclinical studies, our CCNE1-SL inhibitor candidates demonstrated early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anti-tumor activity in two patient-derived xenograft, or PDX, models with CCNE1 amplification. In the colorectal PDX model, we observed statistically significant tumor growth suppression with an unoptimized version of our CCNE1-SL inhibitor, as shown on the left below. In the pancreatic PDX model, which has a higher level of CCNE1 over-expression, tumor regression was observed with the same compound, as shown on the right below.</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CCNE1-SL Inhibitor Demonstrates Tumor Growth Suppression in Patient-Derived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171450</wp:posOffset>
            </wp:positionV>
            <wp:extent cx="4869180" cy="15087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86918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Future Development Activities</w:t>
      </w:r>
    </w:p>
    <w:p>
      <w:pPr>
        <w:spacing w:after="0" w:line="117"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We are currently evaluating additional genes identified through our STEP</w:t>
      </w:r>
      <w:r>
        <w:rPr>
          <w:rFonts w:ascii="Arial" w:cs="Arial" w:eastAsia="Arial" w:hAnsi="Arial"/>
          <w:sz w:val="14"/>
          <w:szCs w:val="14"/>
          <w:color w:val="auto"/>
        </w:rPr>
        <w:t>2</w:t>
      </w:r>
      <w:r>
        <w:rPr>
          <w:rFonts w:ascii="Arial" w:cs="Arial" w:eastAsia="Arial" w:hAnsi="Arial"/>
          <w:sz w:val="17"/>
          <w:szCs w:val="17"/>
          <w:color w:val="auto"/>
        </w:rPr>
        <w:t xml:space="preserve"> screens for our CCNE1-SL inhibitor candidates that we believe may be SL with our target. Some of the STEP</w:t>
      </w:r>
      <w:r>
        <w:rPr>
          <w:rFonts w:ascii="Arial" w:cs="Arial" w:eastAsia="Arial" w:hAnsi="Arial"/>
          <w:sz w:val="14"/>
          <w:szCs w:val="14"/>
          <w:color w:val="auto"/>
        </w:rPr>
        <w:t>2</w:t>
      </w:r>
      <w:r>
        <w:rPr>
          <w:rFonts w:ascii="Arial" w:cs="Arial" w:eastAsia="Arial" w:hAnsi="Arial"/>
          <w:sz w:val="17"/>
          <w:szCs w:val="17"/>
          <w:color w:val="auto"/>
        </w:rPr>
        <w:t>-identified genes are altered in 5% to 20% of certain cancers, including lung and prostate cancers, which we believe is indicative of a potential opportunity to address large patient populations with our CCNE1-SL inhibitor. We anticipate advancing a clinical candidate for this potential first-in-class program into IND-enabling studies program in the fourth quarter of 2020.</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Polymerase Theta (Pol</w:t>
      </w:r>
      <w:r>
        <w:rPr>
          <w:rFonts w:ascii="Arial" w:cs="Arial" w:eastAsia="Arial" w:hAnsi="Arial"/>
          <w:sz w:val="18"/>
          <w:szCs w:val="18"/>
          <w:i w:val="1"/>
          <w:iCs w:val="1"/>
          <w:color w:val="auto"/>
        </w:rPr>
        <w:t>q</w:t>
      </w:r>
      <w:r>
        <w:rPr>
          <w:rFonts w:ascii="Arial" w:cs="Arial" w:eastAsia="Arial" w:hAnsi="Arial"/>
          <w:sz w:val="18"/>
          <w:szCs w:val="18"/>
          <w:b w:val="1"/>
          <w:bCs w:val="1"/>
          <w:i w:val="1"/>
          <w:iCs w:val="1"/>
          <w:color w:val="auto"/>
        </w:rPr>
        <w:t>) Program</w:t>
      </w:r>
    </w:p>
    <w:p>
      <w:pPr>
        <w:spacing w:after="0" w:line="117"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We are developing a small molecule inhibitor of polymerase theta, or Polq, a SL target associated with BRCA mutations as well as other genomic alterations. This program was initially added to our portfolio through a collaboration with our co-founder, Dr. Agnel Sfeir at NYU-Langone Medical Center, who initially published her early observations on the SL between BRCA and Polq in Nature in 2016.</w:t>
      </w:r>
    </w:p>
    <w:p>
      <w:pPr>
        <w:spacing w:after="0" w:line="184"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Polymerase theta enzyme, or POLQ, is a DNA polymerase enzyme that participates in the repair of double-strand breaks in DNA. Mutations in genes such as BRCA1 and BRCA2 increase the frequency of these breaks, resulting in SL with Polq. Preclinical studies have shown that inactivation of Polq both on its own and in combination with PARP inhibitors reduces survival in BRCA-mutated cells, but not in BRCA wild-type cells. BRCA1 and BRCA2 mutations are routinely identified in multiple genetic profiling tests and observed in approximately 1% to 7% of patients with breast and ovarian cancer. However, the frequency of mutations in one of these BRCA genes increases in women with a family history of disease and in certain subpopulations. For example, up to 37% of patients with breast cancer with low estrogen and progesterone receptor expression have BRCA mutations.</w:t>
      </w:r>
    </w:p>
    <w:p>
      <w:pPr>
        <w:spacing w:after="0" w:line="164"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BRCA1 and BRCA2 mutations have also been shown in clinical trials to be SL with PARP inhibitors in multiple tumors, such as breast and ovarian cancer. While PARP inhibitors have proven effective in BRCA-mutant tumors, no statistically significant survival benefit has been reported in breast or pancreatic cancer to date, highlighting the potential for other SL targets, such as Polq, to demonstrate meaningful efficacy as a monotherapy or in combination with PARP inhibitors. We anticipate advancing a clinical candidate and initiating IND-enabling studies for this program in the second half of 2021.</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320" w:top="459" w:right="3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188"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As of May 29, 2020, our patent portfolio included four pending U.S. provisional patent applications, consisting of one application covering RP-3500 and its uses, one application covering uses of RP-3500, one application covering CCNE1-SL inhibitors and their use and one application covering uses of CCNE1-SL inhibitors. In addition, our patent portfolio included one pending international application under the Patent Cooperation Treaty of 1970, or the PCT, covering RP-3500 and its uses.</w:t>
      </w:r>
    </w:p>
    <w:p>
      <w:pPr>
        <w:spacing w:after="0" w:line="187" w:lineRule="exact"/>
        <w:rPr>
          <w:sz w:val="20"/>
          <w:szCs w:val="20"/>
          <w:color w:val="auto"/>
        </w:rPr>
      </w:pPr>
    </w:p>
    <w:p>
      <w:pPr>
        <w:ind w:right="880" w:firstLine="449"/>
        <w:spacing w:after="0" w:line="342" w:lineRule="auto"/>
        <w:rPr>
          <w:sz w:val="20"/>
          <w:szCs w:val="20"/>
          <w:color w:val="auto"/>
        </w:rPr>
      </w:pPr>
      <w:r>
        <w:rPr>
          <w:rFonts w:ascii="Arial" w:cs="Arial" w:eastAsia="Arial" w:hAnsi="Arial"/>
          <w:sz w:val="16"/>
          <w:szCs w:val="16"/>
          <w:color w:val="auto"/>
        </w:rPr>
        <w:t>Our solely owned PCT application has composition of matter and method of treatment and use claims covering RP-3500 and its use. Any application, if issued, claiming priority to this PCT application is expected to expire in 2039, not including any patent term adjustment.</w:t>
      </w:r>
    </w:p>
    <w:p>
      <w:pPr>
        <w:spacing w:after="0" w:line="124"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66"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The PCT is an international patent law treaty that provides a unified procedure for filing patent applications to protect inventions in each of its contracting states. Thus, a single PCT application can be converted into a patent application in any of the PCT-contracting states, and is considered a simple, cost-effective means for seeking patent protection in numerous regions or countries. This nationalization (converting into an application in any of the contracting states) typically occurs 18 months after the PCT application filing date. An applicant must undertake prosecution within the allotted time in each of the contracting states or on a regional basis if it determines to undertake patent issuance in protection in such country or territory. Pursuant to its PCT application, the Company expects to pursue patent protection in the United States</w:t>
      </w:r>
    </w:p>
    <w:p>
      <w:pPr>
        <w:spacing w:after="0" w:line="178"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In addition, we rely upon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459" w:right="3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20" w:firstLine="449"/>
        <w:spacing w:after="0" w:line="301" w:lineRule="auto"/>
        <w:rPr>
          <w:sz w:val="20"/>
          <w:szCs w:val="20"/>
          <w:color w:val="auto"/>
        </w:rPr>
      </w:pPr>
      <w:r>
        <w:rPr>
          <w:rFonts w:ascii="Arial" w:cs="Arial" w:eastAsia="Arial" w:hAnsi="Arial"/>
          <w:sz w:val="16"/>
          <w:szCs w:val="16"/>
          <w:color w:val="auto"/>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future product candidates may have an adverse impact on us. For more information, please see “Risk Factors—Risks Related to Intellectual Property.”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License Agreements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Collaboration and License Agreement with Bristol-Myers Squibb Company</w:t>
      </w:r>
    </w:p>
    <w:p>
      <w:pPr>
        <w:spacing w:after="0" w:line="11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In May 2020, we entered into a collaboration and license agreement, or the agreement, with Bristol-Myers Squibb Company, or Bristol Myers Squibb, pursuant to which we and Bristol Myers Squibb have agreed to collaborate in the research and development of potential new product candidates for the treatment of cancer. We are providing Bristol Myers Squibb access to a selected number of our existing early SNIPRx screening campaigns and novel campaigns. We are responsible for carrying out early stage research activities directed to identifying potential targets for potential licensing by Bristol Myers Squibb, in accordance with a mutually agreed upon research plan. The collaboration consists of programs directed to both druggable targets and to targets commonly considered undruggable by traditional small molecule approaches. In the event that Bristol Myers Squibb elects to obtain an exclusive license on for the subsequent development, manufacture and commercialization of a program, Bristol Myers Squibb will then be solely responsible for all such worldwide activities. The research collaboration will be overseen by a joint steering committee through completion of all research activities.</w:t>
      </w:r>
    </w:p>
    <w:p>
      <w:pPr>
        <w:spacing w:after="0" w:line="165" w:lineRule="exact"/>
        <w:rPr>
          <w:sz w:val="20"/>
          <w:szCs w:val="20"/>
          <w:color w:val="auto"/>
        </w:rPr>
      </w:pPr>
    </w:p>
    <w:p>
      <w:pPr>
        <w:ind w:right="80" w:firstLine="449"/>
        <w:spacing w:after="0" w:line="285" w:lineRule="auto"/>
        <w:rPr>
          <w:sz w:val="20"/>
          <w:szCs w:val="20"/>
          <w:color w:val="auto"/>
        </w:rPr>
      </w:pPr>
      <w:r>
        <w:rPr>
          <w:rFonts w:ascii="Arial" w:cs="Arial" w:eastAsia="Arial" w:hAnsi="Arial"/>
          <w:sz w:val="16"/>
          <w:szCs w:val="16"/>
          <w:color w:val="auto"/>
        </w:rPr>
        <w:t>Under the terms of the agreement, Bristol Myers Squibb has agreed to pay us an initial upfront fee payment of $50 million. In connection with entering into the agreement, we entered into a warrant agreement with an affiliate of Bristol Myers Squibb which will be automatically exercised into our common shares at the subscription price of $15 million divided by the initial public offering price of our common shares in this offering; provided that, in the event that either the offering is not consummated by December 31, 2020 or we deliver to Bristol Myers Squibb a written notice to the effect that we are no longer pursuing this proposed offering, the warrant will be automatically exercised for a number of preferred shares. Based on an assumed initial public</w:t>
      </w:r>
    </w:p>
    <w:p>
      <w:pPr>
        <w:spacing w:after="0" w:line="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offering price of $ per share, the midpoint of the range set forth on the cover page of this prospectus, it is anticipated that Bristol Myers Squibb will acquire of our common shares upon the automatic exercise in connection with the consummation of this offering.</w:t>
      </w:r>
    </w:p>
    <w:p>
      <w:pPr>
        <w:spacing w:after="0" w:line="18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For each of the targets in the collaboration, we are entitled to receive, on a program-by-program basis, option exercise fees ranging in the low six figures depending on the nature of the applicable program. Bristol Myers Squibb has the right to retain rights to certain back-up programs in exchange for a one-time payment in the low eight figures per program. Additionally, we are entitled to receive additional fees ranging in the low to mid seven figures upon the selection of certain programs beyond a specified limit.</w:t>
      </w:r>
    </w:p>
    <w:p>
      <w:pPr>
        <w:spacing w:after="0" w:line="187"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Under the agreement, we are entitled to receive up to $3.0 billion in total milestones across all potential programs. Such milestones consist of $301 million in total milestones per program, including $176 million in the aggregate for certain specified research, development and regulatory milestones and $125 million in the aggregate for certain specified commercial milestones. We are also entitled to a tiered percentage royalty on annual net sales ranging from high-single digits to low-double digits, subject to certain specified reductions. Royalties are payable by Bristol Myers Squibb on a licensed product-by-licensed product and country-by-country basis until the later of the expiration of the last valid claim covering the licensed product in such country, expiration of all applicable regulatory exclusivities in such country for such licensed product and the tenth anniversary of the first commercial sale of such licensed product in such country.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459"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On a program-by-program basis, prior to the earlier of such program ceasing to be included under our agreement with Bristol Myers Squibb and expiration of the last to expire royalty term for such program, we, alone and with third parties, are prohibited from researching, developing, manufacturing and commercializing products that are directed to the applicable target for such program.</w:t>
      </w:r>
    </w:p>
    <w:p>
      <w:pPr>
        <w:spacing w:after="0" w:line="18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also have provided Bristol Myers Squibb with certain, limited rights to first negotiate with us if we determine to divest, license or collaborate with others regarding certain existing programs, including in the event that we received an unsolicited offer to do so. The right to first negotiation expressly excludes any potential Change of Control transaction (as such term is contractually defined in the agreement).</w:t>
      </w:r>
    </w:p>
    <w:p>
      <w:pPr>
        <w:spacing w:after="0" w:line="184" w:lineRule="exact"/>
        <w:rPr>
          <w:sz w:val="20"/>
          <w:szCs w:val="20"/>
          <w:color w:val="auto"/>
        </w:rPr>
      </w:pPr>
    </w:p>
    <w:p>
      <w:pPr>
        <w:jc w:val="both"/>
        <w:ind w:right="200" w:firstLine="449"/>
        <w:spacing w:after="0" w:line="287" w:lineRule="auto"/>
        <w:rPr>
          <w:sz w:val="20"/>
          <w:szCs w:val="20"/>
          <w:color w:val="auto"/>
        </w:rPr>
      </w:pPr>
      <w:r>
        <w:rPr>
          <w:rFonts w:ascii="Arial" w:cs="Arial" w:eastAsia="Arial" w:hAnsi="Arial"/>
          <w:sz w:val="16"/>
          <w:szCs w:val="16"/>
          <w:color w:val="auto"/>
        </w:rPr>
        <w:t>The agreement will expire, assuming that Bristol Myers Squibb has exercised at least one option for a program, on a licensed product-by-licensed product and country-by-country basis on expiration of the applicable royalty term and in its entirety upon expiration of the last royalty term. Either party may terminate the agreement earlier upon an uncured material breach of the agreement by the other party, or the insolvency of the other party.</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Additionally, Bristol Myers Squibb may terminate the agreement for any or no reason on a program-by-program basis upon specified written notice.</w:t>
      </w:r>
    </w:p>
    <w:p>
      <w:pPr>
        <w:spacing w:after="0" w:line="3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Services, License and Collaboration Agreement with Ono Pharmaceutical Co.</w:t>
      </w:r>
    </w:p>
    <w:p>
      <w:pPr>
        <w:spacing w:after="0" w:line="117"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i w:val="1"/>
          <w:iCs w:val="1"/>
          <w:color w:val="auto"/>
        </w:rPr>
        <w:t>All payments by Ono to us are presented in U.S. dollars. Future payments as disclosed in this summary have been converted to U.S. dollars at the December 31, 2019 exchange rate of $1.00 = 109.05 Japanese yen.</w:t>
      </w:r>
    </w:p>
    <w:p>
      <w:pPr>
        <w:spacing w:after="0" w:line="62"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In January 2019, we entered into a research services, license and collaboration agreement, or the Ono Agreement, with Ono Pharmaceutical Co., Ltd., or Ono, pursuant to which we and Ono have agreed to collaborate in the research of potential product candidates targeting Polq and the development of our small molecule Polq inhibitor program. We are primarily responsible for carrying out research activities to identify a product candidate for the program, to be licensed to Ono, in accordance with a mutually agreed upon research plan until the first submission of an IND in the United States or Japan. In the event that Ono elects to collaborate on the subsequent development and commercialization of a proposed product candidate, Ono will then be responsible for such activities in Japan, South Korea, Taiwan, Hong Kong, Macau and certain other Southeast Asian countries, and we will be responsible for such activities in the rest of the world. The collaboration will be overseen by a joint research committee through development candidate selection and a joint steering committee thereafter. Except as set forth below, each party will bear its own expenses in connection with research, development and commercialization activities under the Ono Agreement.</w:t>
      </w:r>
    </w:p>
    <w:p>
      <w:pPr>
        <w:spacing w:after="0" w:line="181" w:lineRule="exact"/>
        <w:rPr>
          <w:sz w:val="20"/>
          <w:szCs w:val="20"/>
          <w:color w:val="auto"/>
        </w:rPr>
      </w:pPr>
    </w:p>
    <w:p>
      <w:pPr>
        <w:ind w:right="220" w:firstLine="449"/>
        <w:spacing w:after="0" w:line="273" w:lineRule="auto"/>
        <w:rPr>
          <w:sz w:val="20"/>
          <w:szCs w:val="20"/>
          <w:color w:val="auto"/>
        </w:rPr>
      </w:pPr>
      <w:r>
        <w:rPr>
          <w:rFonts w:ascii="Arial" w:cs="Arial" w:eastAsia="Arial" w:hAnsi="Arial"/>
          <w:sz w:val="17"/>
          <w:szCs w:val="17"/>
          <w:color w:val="auto"/>
        </w:rPr>
        <w:t>Under the terms of the Ono Agreement, Ono paid us an initial upfront fee payment of ¥110 million (approximately $1.0 million). Additionally, in connection with the research activities to be conducted by us pursuant to the Ono Agreement, Ono paid us an initial upfront research service payment of ¥790 million (approximately $7.1 million) and has agreed to make research service payments up to an aggregate of ¥750 million (approximately $6.9 million) upon (i) certain specified research triggers and (ii) the election by Ono to collaborate on the development and commercialization of a proposed product candidate. Upon election by Ono to collaborate on a proposed product candidate, Ono shall be responsible for a specified percentage of research and development costs for the IND-enabling studies of the selected product candidate.</w:t>
      </w:r>
    </w:p>
    <w:p>
      <w:pPr>
        <w:spacing w:after="0" w:line="178"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Under the Ono Agreement, we are also entitled to receive up to ¥5.11 billion (approximately $46.9 million) in the aggregate for certain specified development and regulatory milestones, ¥12.1 billion (approximately $111.0 million) in the aggregate for certain specified commercial milestones and a tiered percentage royalty on annual net sales in Ono’s territory ranging from high-single digits to low teens, subject to certain specified reductions. Royalties are payable by Ono on a licensed product-by-licensed product and country-by-country basis until the later of the expiration of the last valid claim covering the licensed product in such country and the tenth anniversary of the first commercial sale of such licensed product in such country.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00"/>
          </w:cols>
          <w:pgMar w:left="320" w:top="459" w:right="3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During the term of the Ono Agreement, we, alone and with third parties, are prohibited from researching, developing, manufacturing and commercializing products that inhibit or modulate Polq as a mechanism of action in Ono’s territory (as such term is defined in the Ono Agreement). During the term of the Ono Agreement, Ono, alone and with third parties, is prohibited from researching, developing, manufacturing and commercializing products, other than licensed products, that inhibit or modulate Polq as a mechanism of action in Ono’s territory.</w:t>
      </w:r>
    </w:p>
    <w:p>
      <w:pPr>
        <w:spacing w:after="0" w:line="171"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The collaboration and research obligations of the Ono Agreement may be terminated upon the mutual written consent of both parties on or before the two-year anniversary of the Ono Agreement. The Ono Agreement expires on the date of expiration of all royalty obligations. Either party may terminate the Ono Agreement earlier upon an uncured material breach of the agreement by the other party, the insolvency of the other party, or the initiation of an action challenging the validity or enforceability of a party’s patents. Additionally, Ono may terminate the Ono Agreement for any or no reason on a product-by-product and country-by-country basis upon specified written notice, as well as on a product-by-product basis for safety or efficacy reasons upon abbreviated written notice. Moreover, in the event that we are acquired by a third party and after any such acquisition the acquirer initiates a competing program in Ono’s territory, Ono will have the right to treat such initiation as a material breach.</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License Agreement with New York University</w:t>
      </w:r>
    </w:p>
    <w:p>
      <w:pPr>
        <w:spacing w:after="0" w:line="11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December 2016, we entered into a license agreement with New York University pursuant to which we obtained a worldwide, royalty-bearing, exclusive license under certain current and/or future patents and know-how of New York University to research, develop and commercialize products that are covered by such licensed patents or otherwise modulate Polq. Upon initial entry into the license agreement, we issued New York University 365,000 common shares in December 2016 as consideration for the license.</w:t>
      </w:r>
    </w:p>
    <w:p>
      <w:pPr>
        <w:spacing w:after="0" w:line="18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In July 2018, we subsequently amended and restated our license agreement with NYU, which we refer to, as amended and restated, as the NYU Agreement. Pursuant to the terms of the NYU Agreement, we are obligated to use reasonable diligence in connection with the research, development and commercialization of the licensed products (as such term is defined in the NYU Agreement), including specified minimum annual spends on research and development.</w:t>
      </w:r>
    </w:p>
    <w:p>
      <w:pPr>
        <w:spacing w:after="0" w:line="18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Under the terms of the NYU Agreement, we are obligated to pay New York University annual license maintenance fees in the low five figures that are creditable against any milestone payments payable in such year. Additionally, in connection with development, regulatory and commercial activities, we have agreed to make milestone payments of (i) $2.6 million in the aggregate for a product covered by a licensed patent that achieves specified development and sales milestones for the first indication, (ii) $1.3 million in the aggregate for a product covered by a licensed patent that achieves specified development and sales milestones for a second indication, (iii) $575,000 in the aggregate for a product covered by a licensed patent that achieves specified development and sales milestones for each of a third and fourth indication, (iv) $1.3 million in the aggregate for a product that is not covered by a licensed patent that achieves specified development and sales milestones for the first indication, (v) $650,000 in the aggregate for a product that is not covered by a licensed patent that achieves specified development and sales milestones for a second indication, (vi) $287,500 in the aggregate for a product that is not covered by a licensed patent that achieves specified development and sales milestones for each of a third and fourth indication. We have the right to reduce these milestone payments by a specified amount of any milestones payable to a third party for a license required for the commercialization of a product candidate.</w:t>
      </w:r>
    </w:p>
    <w:p>
      <w:pPr>
        <w:spacing w:after="0" w:line="182"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We are also obligated to pay New York University a low single digit royalty on net sales of any product covered by a licensed patent and a lower single digit royalty on net sales of any product that is not covered by a licensed patent, in each case subject to reduction by a specified amount of any royalties payable to a third party for a license to unblocking intellectual property. Moreover, we are obligated to pay New York University a percentage of any non-royalty consideration received by us from a sublicensee ranging in the low double digits.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459"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Ono is considered a sublicensee under the terms of the NYU Agreement. Accordingly, we have paid New York University a specified percentage of the approximately $1.0 million initial upfront fee payment we received from Ono and we will be required to pay New York University a percentage between the high teens and low twenties of any future payments received under the Ono Agreement from Ono for development, regulatory and commercial milestones, as well as low single digit royalties on annual net sales in Ono’s territory.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Payments in respect of net sales or sublicense in a country shall remain in force on a product-by-product, country-by-country basis, with respect to</w:t>
      </w:r>
    </w:p>
    <w:p>
      <w:pPr>
        <w:spacing w:after="0" w:line="46" w:lineRule="exact"/>
        <w:rPr>
          <w:sz w:val="20"/>
          <w:szCs w:val="20"/>
          <w:color w:val="auto"/>
        </w:rPr>
      </w:pPr>
    </w:p>
    <w:p>
      <w:pPr>
        <w:ind w:right="120" w:firstLine="8"/>
        <w:spacing w:after="0" w:line="255" w:lineRule="auto"/>
        <w:tabs>
          <w:tab w:leader="none" w:pos="215"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products that are not covered by a licensed patent, for ten years from the date of first commercial sale in such country and (ii) products that are covered by a licensed patent, until the expiration date of the last to expire of the licensed patents covering such product or its manufacture or use in the applicable country.</w:t>
      </w:r>
    </w:p>
    <w:p>
      <w:pPr>
        <w:spacing w:after="0" w:line="190"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NYU Agreement expires on the date of expiration of all royalty obligations. Either party may terminate the NYU Agreement earlier upon an uncured material breach of NYU Agreement by the other party or the insolvency of the other party.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have established a wholly-owned U.S. subsidiary, Repare Therapeutics USA Inc., a Delaware corporation with operations in Cambridge, Massachusetts, to support our clinical development program and our potential commercialization efforts in the United States.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We currently rely, and expect to continue to rely for the foreseeable future, on third-party contract manufacturing organizations, or CMOs, to produce our product candidates for preclinical and clinical testing, as well as for future commercial manufacture of any products that we may commercialize.</w:t>
      </w:r>
    </w:p>
    <w:p>
      <w:pPr>
        <w:spacing w:after="0" w:line="124"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require all of our CMOs to conduct manufacturing activities in compliance with current good manufacturing practice, or cGMP, requirements. We have assembled a team of experienced employees and consultants to provide the necessary technical, quality and regulatory oversight over our CMOs. Currently, we have manufacturing and supply agreements with our CMOs for the manufacture of RP-3500 and our preclinical candidates, including the synthesis of the active pharmaceutical ingredient, or API, as well as drug product.</w:t>
      </w:r>
    </w:p>
    <w:p>
      <w:pPr>
        <w:spacing w:after="0" w:line="187"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All of our product candidates are small molecules and are manufactured in synthetic processes from available starting materials. The chemistry underlying our product candidates appears amenable to scale up and does not currently require unusual equipment in the manufacturing process. We expect to continue to develop product candidates that can be produced cost-effectively at contract manufacturing facilities.</w:t>
      </w:r>
    </w:p>
    <w:p>
      <w:pPr>
        <w:spacing w:after="0" w:line="16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plan to continue to rely on third-party manufacturers for any future trials and commercialization of RP-3500 and any future product candidates, if approved. We anticipate that these CMOs will have capacity to support commercial scale production, but we do not have any formal agreements in place at this time given our early stages of development. If needed, we believe we can identify and establish additional CMOs to provide API and finished drug product without significant disruption to our business or clinical development timelines.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However, we expect substantial competition from multiple sources, including major pharmaceutical,</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320" w:top="459" w:right="3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specialty pharmaceutical, and existing or emerging biotechnology companies, academic research institutions and governmental agencies and public and private research institutions worldwide. Many of our competitors, either alone or with their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w:t>
      </w:r>
    </w:p>
    <w:p>
      <w:pPr>
        <w:spacing w:after="0" w:line="166"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We face competition from segments of the pharmaceutical, biotechnology and other related markets that pursue the development of precision oncology therapies for patients with genetically-defined cancers. Several biopharmaceutical companies, including Loxo Oncology, Inc. (recently acquired by Eli Lilly and Company), Blueprint Medicines Corporation, Agios Pharmaceuticals, Inc., SpringWorks Therapeutics, Inc., Black Diamond Therapeutics, Inc., Deciphera Pharmaceuticals, Inc. and Turning Point Therapeutics, Inc., are developing precision oncology medicines. In addition, we may face competition from companies developing product candidates that are based on SL, including AstraZeneca, GlaxoSmithKline, Pfizer, Bayer, Merck Serono, Artios Pharma Ltd. and IDEAYA Biosciences, Inc.</w:t>
      </w:r>
    </w:p>
    <w:p>
      <w:pPr>
        <w:spacing w:after="0" w:line="192"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Furthermore, we also face competition more broadly across the oncology market for cost-effective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68"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With respect to our lead product candidate, RP-3500, several companies are developing ATR inhibitors with multiple monotherapy and/or combination trials ongoing, including AstraZeneca (AZD6738), Bayer (BAY1895344) and Merck Serono (M4344). In addition, companies such as Artios Pharma and Atrin Pharmaceuticals have ATR inhibitors in preclinical development.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our CCNE1-SL inhibitor program, we are not aware of any companies or institutions with programs in development for this target.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our preclinical Polq program, both Artios Pharma and IDEAYA Biosciences have Polq programs in the preclinical stages of development.</w:t>
      </w:r>
    </w:p>
    <w:p>
      <w:pPr>
        <w:spacing w:after="0" w:line="237"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We could see a reduction or elimination in our commercial opportunity if our competitors develop and commercialize drugs that are safer, more effective, have fewer or less severe side effects, are more convenient to administer, are less expensive or with a more favorable label than our product candidates.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459" w:right="3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 be their efficacy, safety, convenience, price, the level of generic competition and the availability of reimbursement from government and other third-party payors.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Government Regulation of Drug Products</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a pending New Drug Application, or NDA,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131" w:lineRule="exact"/>
        <w:rPr>
          <w:sz w:val="20"/>
          <w:szCs w:val="20"/>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nonclinical laboratory and animal tests that must be conducted in accordance with good laboratory practices, or GLPs;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application, or IND, which must become effective before clinical trials may begin;</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for each clinical site or centrally before each trial may be initiated;</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proposed product candidate for its intended use, performed in accordance with good clinical practices, or GCPs;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submission to the FDA of an NDA and payment of user fees;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30"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pre-approval inspection of manufacturing facilities and selected clinical investigators for their compliance with cGMP and good clinical practices, or GCPs;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FDA review and approval of an NDA to permit commercial marketing for particular indications for use; and</w:t>
      </w:r>
    </w:p>
    <w:p>
      <w:pPr>
        <w:spacing w:after="0" w:line="130" w:lineRule="exact"/>
        <w:rPr>
          <w:rFonts w:ascii="Arial" w:cs="Arial" w:eastAsia="Arial" w:hAnsi="Arial"/>
          <w:sz w:val="18"/>
          <w:szCs w:val="18"/>
          <w:color w:val="auto"/>
        </w:rPr>
      </w:pPr>
    </w:p>
    <w:p>
      <w:pPr>
        <w:ind w:left="1000" w:right="600" w:hanging="547"/>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testing and approval process requires substantial time, effort and financial resources.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80"/>
          </w:cols>
          <w:pgMar w:left="320" w:top="459" w:right="3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Preclinical studies include laboratory evaluation of drug substance chemistry, pharmacology, toxicity and drug product formulation, as well as animal studies to assess potential safety and efficacy. Prior to commencing the first clinical trial with a product candidate, a sponsor must submit the results of the preclinical tests and preclinical literature, together with manufacturing information, analytical data and any available clinical data or literature, among other required information, to the FDA as part of an IND. Some preclinical studies may continue even after the IND is submitted. The IND automatically becomes effective 30 days after receipt by the FDA, unless the FDA, within the 30-day time period, raises safety concerns or questions about the conduct of the clinical trial and imposes a clinical hold. In such a case, the IND sponsor and the FDA must resolve any outstanding concerns before the clinical trial can begin. As a result, submission of an IND may not result in FDA authorization to commence a clinical trial.</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ind w:right="160" w:firstLine="449"/>
        <w:spacing w:after="0" w:line="296" w:lineRule="auto"/>
        <w:rPr>
          <w:sz w:val="20"/>
          <w:szCs w:val="20"/>
          <w:color w:val="auto"/>
        </w:rPr>
      </w:pPr>
      <w:r>
        <w:rPr>
          <w:rFonts w:ascii="Arial" w:cs="Arial" w:eastAsia="Arial" w:hAnsi="Arial"/>
          <w:sz w:val="16"/>
          <w:szCs w:val="16"/>
          <w:color w:val="auto"/>
        </w:rPr>
        <w:t>Clinical trials involve the administration of the investigational new drug to human subjects under the supervision of qualified investigators in accordance with GCP requirements. A separate submission to the existing IND must be made for each successive clinical trial conducted during product development, as well as amendments to previously submitted clinical trials. Further, an independent IRB for each institution participating in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w:t>
      </w:r>
    </w:p>
    <w:p>
      <w:pPr>
        <w:spacing w:after="0" w:line="161"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or if the drug has been associated with unexpected serious harm to subjects. Some studies also include a data safety monitoring board, which receives special access to unblinded data during the clinical trial and may advise the sponsor to halt the clinical trial if it determines that there is an unacceptable safety risk for subjects or other grounds, such as no demonstration of efficacy.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for purposes of NDA approval, human clinical trials are typically conducted in three sequential phases that may overlap.</w:t>
      </w:r>
    </w:p>
    <w:p>
      <w:pPr>
        <w:spacing w:after="0" w:line="131" w:lineRule="exact"/>
        <w:rPr>
          <w:sz w:val="20"/>
          <w:szCs w:val="20"/>
          <w:color w:val="auto"/>
        </w:rPr>
      </w:pPr>
    </w:p>
    <w:p>
      <w:pPr>
        <w:jc w:val="both"/>
        <w:ind w:left="1000" w:right="40" w:hanging="547"/>
        <w:spacing w:after="0" w:line="286" w:lineRule="auto"/>
        <w:tabs>
          <w:tab w:leader="none" w:pos="10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Phase 1—Studies are initially conducted to test the product candidate for safety, dosage tolerance, structure-activity relationships, mechanism of action, absorption, metabolism, distribution and excretion in healthy volunteers or subjects with the target disease or condition. If possible, Phase 1 clinical trials may also be used to gain an initial indication of product effectiveness.</w:t>
      </w:r>
    </w:p>
    <w:p>
      <w:pPr>
        <w:spacing w:after="0" w:line="70" w:lineRule="exact"/>
        <w:rPr>
          <w:rFonts w:ascii="Arial" w:cs="Arial" w:eastAsia="Arial" w:hAnsi="Arial"/>
          <w:sz w:val="17"/>
          <w:szCs w:val="17"/>
          <w:color w:val="auto"/>
        </w:rPr>
      </w:pPr>
    </w:p>
    <w:p>
      <w:pPr>
        <w:ind w:left="1000" w:right="220" w:hanging="547"/>
        <w:spacing w:after="0" w:line="286" w:lineRule="auto"/>
        <w:tabs>
          <w:tab w:leader="none" w:pos="10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Phase 2—Controlled studies are conducted with groups of subjects with a specified disease or condition to provide enough data to evaluate the preliminary efficacy, optimal dosages and dosing schedule and expanded evidence of safety. Multiple Phase 2 clinical trials may be conducted to obtain information prior to beginning larger and more expansive Phase 3 clinical trials.</w:t>
      </w:r>
    </w:p>
    <w:p>
      <w:pPr>
        <w:spacing w:after="0" w:line="70" w:lineRule="exact"/>
        <w:rPr>
          <w:rFonts w:ascii="Arial" w:cs="Arial" w:eastAsia="Arial" w:hAnsi="Arial"/>
          <w:sz w:val="17"/>
          <w:szCs w:val="17"/>
          <w:color w:val="auto"/>
        </w:rPr>
      </w:pPr>
    </w:p>
    <w:p>
      <w:pPr>
        <w:ind w:left="1000" w:right="180" w:hanging="547"/>
        <w:spacing w:after="0" w:line="275" w:lineRule="auto"/>
        <w:tabs>
          <w:tab w:leader="none" w:pos="10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Phase 3—These clinical trials are generally undertaken in larger subject populations to provide statistically significant evidence of clinical efficacy and to further test for safety in an expanded subject population at multiple clinical trial sites. These clinical trials are intended to establish the overall risk/benefit ratio of the product and provide an adequate basis for product labeling. These clinical trials may be done at trial sites outside the United States as long as the global sites are also representative of the U.S. population and the conduct of the study at global sites comports with FDA regulations and guidance, such as compliance with GCPs.</w:t>
      </w:r>
    </w:p>
    <w:p>
      <w:pPr>
        <w:spacing w:after="0" w:line="176"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The FDA may require, or companies may pursue, additional clinical trials after a product is approved. These so-called Phase 4 studies may be made a condition to be satisfied after approval. The results of Phase 4 studies can confirm the effectiveness of a product candidate and can provide important safety information.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459" w:right="3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Clinical trials must be conducted under the supervision of qualified investigators in accordance with GCP requirements, which include the requirements that all research subjects provide their informed consent in writing for their participation in any clinical trial, and the review and approval of the study by an IRB. Investigators must also provide information to the clinical trial sponsors to allow the sponsors to make specified financial disclosures to the FDA. Clinical trials are conducted under protocols detailing, among other things, the objectives of the trial, the trial procedures, the parameters to be used in monitoring safety and the efficacy criteria to be evaluated and a statistical analysis plan. Information about some clinical trials, including a description of the trial and trial results, must be submitted within specific timeframes to the National Institutes of Health for public dissemination on their ClinicalTrials.gov website. Progress reports detailing the results of the clinical trials must be submitted at least annually to the FDA and more frequently if serious adverse events occur.</w:t>
      </w:r>
    </w:p>
    <w:p>
      <w:pPr>
        <w:spacing w:after="0" w:line="192"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 Progress reports detailing the results of the clinical trials must be submitted at least annually to the FDA and the IRB and more frequently if serious adverse effects occur.</w:t>
      </w:r>
    </w:p>
    <w:p>
      <w:pPr>
        <w:spacing w:after="0" w:line="188"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FDA Expedited Review and Approval Programs</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The FDA has various programs, including fast track designation, breakthrough therapy designation, accelerated approval, and priority review, which are intended to expedite or simplify the process for the development and FDA review of drugs that are intended for the treatment of serious or life threatening diseases or conditions and demonstrate the potential to address unmet medical needs. The purpose of these programs is to provide important new drugs to patients earlier than under standard FDA review procedures.</w:t>
      </w:r>
    </w:p>
    <w:p>
      <w:pPr>
        <w:spacing w:after="0" w:line="187"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Under the fast track program, the sponsor of a new drug candidate may request that FDA designate the drug candidate for a specific indication as a fast track drug concurrent with, or after, the filing of the IND for the drug candidate. To be eligible for a fast track designation, the FDA must determine, based on the request of a sponsor, that a product is intended to treat a serious or life 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Fast track designation provides additional opportunities for interaction with the FDA’s review team and may allow for rolling review of NDA components before the completed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However, the FDA’s time period goal for reviewing an application does not begin until the last section of the NDA is submitted. The FDA may decide to rescind the fast track designation if it determines that the qualifying criteria no longer apply.</w:t>
      </w:r>
    </w:p>
    <w:p>
      <w:pPr>
        <w:spacing w:after="0" w:line="185"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 addition, a sponsor can request breakthrough therapy designation for a drug if it is intended, alone or in combination with one or more other drugs, to treat a serious or life-threatening disease or condition,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320" w:top="459" w:right="3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intensive guidance from the FDA on an efficient drug development program, organizational commitment to the development and review of the product including involvement of senior managers, and, like fast track products, are also eligible for rolling review of the NDA. Both fast track and breakthrough therapy products may be eligible for accelerated approval and/or priority review, if relevant criteria are met.</w:t>
      </w:r>
    </w:p>
    <w:p>
      <w:pPr>
        <w:spacing w:after="0" w:line="176"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color w:val="auto"/>
        </w:rPr>
        <w:t>Under the FDA’s accelerated approval regulations, the FDA may approve a drug for a serious or life 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 drug candidate approved on this basis is subject to rigorous post marketing compliance requirements, including the completion of Phase 4 or post approval clinical trials to confirm the effect on the clinical endpoint. Failure to conduct required post approval studies, or confirm a clinical benefit during post marketing studies, will allow the FDA to withdraw the drug from the market on an expedited basis. All promotional materials for drug candidates approved under accelerated approval regulations are subject to prior review by the FDA.</w:t>
      </w:r>
    </w:p>
    <w:p>
      <w:pPr>
        <w:spacing w:after="0" w:line="178"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Once an NDA is submitted for a product intended to treat a serious condition, the FDA may assign a priority review designation if FDA determines that the product, if approved, would provide a significant improvement in safety or effectiveness. A priority review means that the goal for the FDA to review an application is six months, rather than the standard review of ten months under the Prescription Drug User Fee Act, or PDUFA, guidelines. Under the current PDUFA performance goals, these six and ten month review periods are measured from the 60-day filing date rather than the receipt date for NDAs for new molecular entities, which typically adds approximately two months to the timeline for review from the date of submission.</w:t>
      </w:r>
    </w:p>
    <w:p>
      <w:pPr>
        <w:spacing w:after="0" w:line="161"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In addition, the manufacturer of an investigational drug for a serious or life threatening disease is required to make available, such as by posting on its website, its policy on responding to requests for expanded access. Furthermore, fast track designation, breakthrough therapy designation, accelerated approval and priority review do not change the standards for approval and may not ultimately expedite the development or approval process.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NDA Submission and Review by the FDA</w:t>
      </w:r>
    </w:p>
    <w:p>
      <w:pPr>
        <w:spacing w:after="0" w:line="117"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The submission of an NDA requires payment of a substantial user fee to the FDA. These user fees must be filed at the time of the first submission of the application, even if the application is being submitted on a rolling basis. Fee waivers or reductions are available in some circumstances. One basis for a waiver of the application user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w:t>
      </w:r>
    </w:p>
    <w:p>
      <w:pPr>
        <w:spacing w:after="0" w:line="195"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In addition, under the Pediatric Research Equity Act,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459" w:right="3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70"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The FDA must refer applications for drugs that contain active ingredients, including any ester or salt of the active ingredients, that have not previously been approved by the FDA to an advisory committee or provide in an action letter a summary of the reasons for not referring it to an advisory committee. The FDA may also refer drugs which present difficult questions of safety, purity or potency to an advisory committee. An advisory committee is typically a panel that includes clinicians and other experts who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92"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192"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Under the goals and policies agreed to by the FDA under PDUFA, the FDA has set the review goal of 10 months from the 60-day filing date to complete its initial review of a standard NDA for a new molecular entity, or NME, and make a decision on the application. For priority review applications, the FDA has set the review goal of reviewing NME NDAs within six months of the 60-day filing date. Such deadlines are referred to as the PDUFA date. The PDUFA date is only a goal and the FDA does not always meet its PDUFA dates. The review process and the PDUFA date may also be extended if the FDA requests or the NDA sponsor otherwise provides additional information or clarification regarding the submission during the review period that amends the original application.</w:t>
      </w:r>
    </w:p>
    <w:p>
      <w:pPr>
        <w:spacing w:after="0" w:line="16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Once the FDA’s review of the application is complete, the FDA will issue either a Complete Response Letter, or CRL, or approval letter. A CRL indicates that the review cycle of the application is complete and the application is not ready for approval. A CRL generally contains a statement of specific conditions that must be met in order to secure final approval of the NDA and may require additional clinical or preclinical testing, or other information or analyses in order for the FDA to reconsider the application in the future.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195"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The FDA may delay or refuse approval of an NDA if applicable regulatory criteria are not satisfied, require additional testing or information and/or require post-marketing testing and surveillance to monitor safety or efficacy of a product, or impose other conditions, including distribution restrictions or other risk management mechanisms. For example, the FDA may require a REMS as a condition of approval or following approval to mitigate any identified or suspected serious risks and ensure safe use of the drug. The FDA may prevent or limit further marketing of a product, or impose additional post-marketing requirements, based on the results of post-marketing studies or surveillance programs. After approval, some types of changes to the approved product, such as adding new indications, manufacturing changes and additional labeling claims, are subject to further testing requirements, FDA notification and FDA review and approval. Further, should new safety information arise, additional testing, product labeling or FDA notification may be required.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459" w:right="3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If regulatory approval of a product is granted, such approval may entail limitations on the indicated uses for which such product may be marketed or may include contraindications, warnings or precautions in the product labeling, which has resulted in a boxed warning. A boxed warning is the strictest warning put in the labeling of prescription drugs or drug products by the FDA when there is reasonable evidence of an association of a serious hazard with the drug. The FDA also may not approve the inclusion of all labeling claims sought by an applicant. Once approved, the FDA may withdraw the product approval if compliance with pre- and post-marketing regulatory standards is not maintained or if problems occur after the product reaches the marketplace. In addition, the FDA may require Phase 4 post-marketing studies to monitor the effect of approved products, and may limit further marketing of the product based on the results of these post-marketing studies.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Post-Approval Requirements</w:t>
      </w:r>
    </w:p>
    <w:p>
      <w:pPr>
        <w:spacing w:after="0" w:line="117"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Any products manufactured or distributed by us pursuant to FDA approvals are subject to continuing regulation by the FDA, including periodic reporting, product sampling and distribution, advertising, promotion, drug shortage reporting, compliance with any post-approval requirements imposed as a conditional of approval such as Phase 4 clinical trials, REMS and surveillance, recordkeeping and reporting requirements, including adverse experiences.</w:t>
      </w:r>
    </w:p>
    <w:p>
      <w:pPr>
        <w:spacing w:after="0" w:line="149"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After approval, most changes to the approved product, such as adding new indications or other labeling claims are subject to prior FDA review and approval. There also are continuing, annual program fee requirements for approved products, as well as new application fees for supplemental applications with clinical data.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w:t>
      </w:r>
    </w:p>
    <w:p>
      <w:pPr>
        <w:spacing w:after="0" w:line="176"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Changes to the manufacturing process are strictly regulated and often require prior FDA approval before being implemented, or FDA notification.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1" w:lineRule="exact"/>
        <w:rPr>
          <w:sz w:val="20"/>
          <w:szCs w:val="20"/>
          <w:color w:val="auto"/>
        </w:rPr>
      </w:pPr>
    </w:p>
    <w:p>
      <w:pPr>
        <w:ind w:right="260" w:firstLine="449"/>
        <w:spacing w:after="0" w:line="279" w:lineRule="auto"/>
        <w:rPr>
          <w:sz w:val="20"/>
          <w:szCs w:val="20"/>
          <w:color w:val="auto"/>
        </w:rPr>
      </w:pPr>
      <w:r>
        <w:rPr>
          <w:rFonts w:ascii="Arial" w:cs="Arial" w:eastAsia="Arial" w:hAnsi="Arial"/>
          <w:sz w:val="17"/>
          <w:szCs w:val="17"/>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71"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The FDA closely regulates the marketing and promotion of drugs. A company can make only those claims relating to safety and efficacy that are consistent with the FDA approved labeling. Physicians, in their independent professional medical judgement, may prescribe legally available products for uses that are not described in the product’s labeling and that differ from those tested by us and approved by the FDA. However, manufacturers and third parties acting on their behalf are prohibited from marketing or promoting drugs in a manner inconsistent with the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92" w:lineRule="exact"/>
        <w:rPr>
          <w:sz w:val="20"/>
          <w:szCs w:val="20"/>
          <w:color w:val="auto"/>
        </w:rPr>
      </w:pPr>
    </w:p>
    <w:p>
      <w:pPr>
        <w:ind w:right="760" w:firstLine="449"/>
        <w:spacing w:after="0" w:line="311" w:lineRule="auto"/>
        <w:rPr>
          <w:sz w:val="20"/>
          <w:szCs w:val="20"/>
          <w:color w:val="auto"/>
        </w:rPr>
      </w:pPr>
      <w:r>
        <w:rPr>
          <w:rFonts w:ascii="Arial" w:cs="Arial" w:eastAsia="Arial" w:hAnsi="Arial"/>
          <w:sz w:val="16"/>
          <w:szCs w:val="16"/>
          <w:color w:val="auto"/>
        </w:rPr>
        <w:t>Failure to comply with any of the FDA’s requirements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modification of promotional materials or labeling,</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459"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It is also possible that failure to comply with the FDA’s requirements relating to the promotion of prescription drugs may lead to investigations alleging violations of federal and state healthcare fraud and abuse and other laws, as well as state consumer protection laws. Any of these sanctions could result in adverse publicity, among other adverse consequences.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Marketing Exclusivity</w:t>
      </w:r>
    </w:p>
    <w:p>
      <w:pPr>
        <w:spacing w:after="0" w:line="11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The FDA provides periods of non-patent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or not involving the sharing of electron pairs between atoms, derivatives, such as a complex (i.e., formed by the chemical interaction of two compounds), chelate (i.e., a chemical compound), or clathrate (i.e., a polymer framework that traps molecules), of the molecule, responsible for the therapeutic activity of the drug substance. During the exclusivity period, the FDA may not accept for review or approve an Abbreviated New Drug Application, or ANDA, or a 505(b)(2) NDA submitted by another company that contains the previously approved active moiety. An ANDA or 505(b)(2) application, however, may be submitted one year before NCE exclusivity expires if a Paragraph IV certification is filed.</w:t>
      </w:r>
    </w:p>
    <w:p>
      <w:pPr>
        <w:spacing w:after="0" w:line="3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Regulation outside the United States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will be subject to similar foreign laws and regulations concerning the development of our product candidates outside of the United States.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Healthcare Laws and Regulations</w:t>
      </w:r>
    </w:p>
    <w:p>
      <w:pPr>
        <w:spacing w:after="0" w:line="117" w:lineRule="exact"/>
        <w:rPr>
          <w:sz w:val="20"/>
          <w:szCs w:val="20"/>
          <w:color w:val="auto"/>
        </w:rPr>
      </w:pPr>
    </w:p>
    <w:p>
      <w:pPr>
        <w:ind w:right="280" w:firstLine="449"/>
        <w:spacing w:after="0" w:line="296" w:lineRule="auto"/>
        <w:rPr>
          <w:sz w:val="20"/>
          <w:szCs w:val="20"/>
          <w:color w:val="auto"/>
        </w:rPr>
      </w:pPr>
      <w:r>
        <w:rPr>
          <w:rFonts w:ascii="Arial" w:cs="Arial" w:eastAsia="Arial" w:hAnsi="Arial"/>
          <w:sz w:val="16"/>
          <w:szCs w:val="16"/>
          <w:color w:val="auto"/>
        </w:rPr>
        <w:t>Our business activities, including but not limited to, research, sales, promotion, distribution, medical education and other activities are subject to regulation by numerous regulatory and law enforcement authorities in the United States in addition to the FDA, including the Department of Justice, the Department of Health and Human Services, or HHS, and its various divisions, including Centers for Medicare &amp; Medicaid Services, or CMS, and the Health Resources and Services Administration, the Department of Veterans Affairs, the Department of Defense and state and local governments. Our business activities must comply with numerous healthcare laws and regulations, including those described below.</w:t>
      </w:r>
    </w:p>
    <w:p>
      <w:pPr>
        <w:spacing w:after="0" w:line="161"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or receiving any remuneration, directly or indirectly, overtly or covertly, in cash or in kind, to induce or reward, or in return for, the referral of an individual for, or purchasing, leasing, ordering, or arranging for the purchase, lease or order of, any good, facility, item or service reimbursable under Medicare, Medicaid or other federal healthcare programs. The Anti-Kickback Statute has been interpreted to apply to arrangements between pharmaceutical manufacturers on the one hand and prescribers, purchasers, and formulary managers on the other hand. The term remuneration has been interpreted broadly to include anything of value. There are a number of statutory exceptions and regulatory safe harbors protecting some common activities from prosecution. The exceptions and safe harbors are drawn narrowly and require strict compliance in order to offer protection.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459" w:right="3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safe harbor does not make the conduct per se illegal under the federal Anti-Kickback Statute. Instead, the legality of the arrangement will be evaluated on a case-by-case basis based on a cumulative review of all of its facts and circumstances. Additionally, the Patient Protection and Affordable Care Act of 2010, as amended by the Health Care and Education Reconciliation Act of 2010, or collectively the ACA, amended the intent requirement of the federal Anti-Kickback Statute, and other healthcare criminal fraud statutes, so that a person or entity no longer needs to have actual knowledge of the federal Anti-Kickback Statute, or the specific intent to violate it, to have violated the statute. The ACA also provided that a violation of the federal Anti-Kickback Statute is grounds for the government or a whistleblower to assert that a claim for payment of items or services resulting from such violation constitutes a false or fraudulent claim for purposes of the federal civil False Claims Act, or FCA.</w:t>
      </w:r>
    </w:p>
    <w:p>
      <w:pPr>
        <w:spacing w:after="0" w:line="177"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The federal civil and criminal false claims laws, including the FCA, prohibit, among other things, any person or entity from knowingly presenting, or causing to be presented, a false claim for payment to, or approval by, the U.S. federal government, including the Medicare and Medicaid programs, or knowingly making, using, or causing to be made or used a false record or statement material to a false or fraudulent claim or to avoid, decrease or conceal an obligation to pay money to the federal government.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FCA liability is potentially significant in the healthcare industry because the statute provides for treble damages and mandatory penalties. Government enforcement agencies and private whistleblowers have investigated pharmaceutical companies for or asserted liability under the FCA for a variety of alleged promotional and marketing activities, such as providing free products to customers with the expectation that the customers would bill federal programs for the products; providing consulting fees and other benefits to physicians to induce them to prescribe products; engaging in promotion for “off-label” uses; and submitting inflated best price information to the Medicaid Rebate Program.</w:t>
      </w:r>
    </w:p>
    <w:p>
      <w:pPr>
        <w:spacing w:after="0" w:line="168"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The federal Health Insurance Portability and Accountability Act of 1996, or HIPAA, created additional federal criminal statutes that prohibits,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scheme or device a material fact or making any materially false, fictitious or fraudulent statements in connection with the delivery of, or payment for, healthcare benefits, items or services relating to healthcare matters. Additionally, the ACA amended the intent requirement of some of these criminal statutes under HIPAA so that a person or entity no longer needs to have actual knowledge of the statute, or the specific intent to violate it, to have committed a violation.</w:t>
      </w:r>
    </w:p>
    <w:p>
      <w:pPr>
        <w:spacing w:after="0" w:line="16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Additionally, the federal Open Payments program pursuant to the Physician Payments Sunshine Act, created under Section 6002 of the ACA and its implementing regulations, requires certain manufacturers of drugs, devices, biologicals and medical supplies for which payment is available under Medicare, Medicaid or the Children’s Health Insurance Program (with specified exceptions) to report annually information related to specified payments or other transfers of value provided to physicians, as defined by such law, and teaching hospitals, or to entities or individuals at the request of, or designated on behalf of, the physicians and teaching hospitals and to report annually specified ownership and investment interests held by physicians and their immediate family members. Failure to submit timely, accurately and completely the required information for all payments, transfers of value and ownership or investment interests may result in civil monetary penalties.</w:t>
      </w:r>
    </w:p>
    <w:p>
      <w:pPr>
        <w:spacing w:after="0" w:line="195"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In addition, we may be subject to data privacy and security regulation by both the federal government and the states in which we conduct our business. HIPAA, as amended by the Health Information Technology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Economic and Clinical Health Act, or HITECH, and their implementing regulations, impose requirements relating to the privacy, security and transmission of individually identifiable health information held by covered entities and their business associates. Among other things, HITECH makes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9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Many states have also adopted laws similar to each of the above federal laws, which may be broader in scope and apply to items or services reimbursed by any third-party payor, including commercial insurers. We may also be subject to state laws that require pharmaceutical companies to comply with the pharmaceutical industry’s voluntary compliance guidelines and the relevant compliance guidance promulgated by the federal government, and/or state laws that require drug manufacturers to report information related to payments and other transfers of value to physicians and other healthcare providers or marketing expenditures and pricing information, state and local laws that require the registration of pharmaceutical sales representatives, and state laws governing the privacy and security of health information in certain circumstances, many of which differ from each other in significant ways and may not have the same effect, thus complicating compliance efforts.</w:t>
      </w:r>
    </w:p>
    <w:p>
      <w:pPr>
        <w:spacing w:after="0" w:line="177"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Ensuring that our internal operations and business arrangements with third parties comply with applicable healthcare laws and regulations will likely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disgorgement, imprisonment, possible exclusion from government funded healthcare programs, contractual damages, reputational harm, diminished profits and future earnings, additional reporting obligations and oversight if we become subject to a corporate integrity agreement or other agreement to resolve allegations of non-compliance with these laws, and curtailment of our operations, any of which could substantially disrupt our operations. If the physicians or other providers or entities with whom we expect to do business are found not to be in compliance with applicable laws, they may be subject to significant criminal, civil or administrative sanctions, including exclusions from government funded healthcare programs.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Our ability to commercialize any products successfully will also depend in part on the extent to which coverage and adequate reimbursement for the procedures utilizing our product candidates, performed by health care providers, once approved, will be available from government health administration authorities, private health insurers and other organizations. Government authorities and other third-party payors, such as private health insurers and health maintenance organizations, determine which procedures, and the products utilized in such procedures, they will cover and establish reimbursement levels. Assuming coverage is obtained for procedures utilizing a given product by a third-party payor, the resulting reimbursement payment rates may not be adequate or may require co-payments that patients find unacceptably high. Patients who undergo procedures for the treatment of their conditions, and their treating physicians, generally rely on third-party payors to reimburse all or part of the costs associated with the procedures which utilize our products. Treating physicians are unlikely to use and order our products unless coverage is provided and the reimbursement is adequate to cover all or a significant portion of the cost of the procedures which utilize our products. Therefore, coverage and adequate reimbursement for procedures which utilize new products is critical to the acceptance of such new products. Coverage decisions may depend upon clinical and economic standards that disfavor new products when more established or lower cost therapeutic alternatives are already available or subsequently become available.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00"/>
          </w:cols>
          <w:pgMar w:left="320" w:top="459" w:right="3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Government authorities and other third-party payors are developing increasingly sophisticated methods of cost containment, such as including price controls, restrictions on coverage and reimbursement and requirements for substitution of less expensive products and procedures. Government and other third-party payors are increasingly challenging the prices charged for health care products and procedures, examining the cost effectiveness of procedures, and the products used in such procedures, in addition to their safety and efficacy, and limiting or attempting to limit both coverage and the level of reimbursement. Further, no uniform policy requirement for coverage and reimbursement exists among third-party payors in the United States, which causes significant uncertainty related to the insurance coverage and reimbursement of newly approved products, and the procedures which may utilize such newly approved products. Therefore, coverage and reimbursement can differ significantly from payor to payor and health care provider to health care provider. As a result, the coverage determination process is often a time-consuming and costly process that requires the provision of scientific and clinical support for the use of new products to each payor separately, with no assurance that coverage and adequate reimbursement will be applied consistently or obtained in the first instance.</w:t>
      </w:r>
    </w:p>
    <w:p>
      <w:pPr>
        <w:spacing w:after="0" w:line="185"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There may be significant delays in obtaining coverage and reimbursement for newly approved products, and coverage may be more limited than the purposes for which the product is approved by the FDA. Moreover, eligibility for coverage and reimbursement does not imply that a product, or the procedures which utilize such product, will be paid for in all cases or at a rate which the health care providers who purchase those products will find cost effective. Additionally, we expect pricing pressures in connection with the sale of any of our product candidates due to the trend toward managed healthcare, the increasing influence of health maintenance organizations, and additional legislative changes.</w:t>
      </w:r>
    </w:p>
    <w:p>
      <w:pPr>
        <w:spacing w:after="0" w:line="176"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We cannot be sure that coverage and reimbursement will be available for any product that we commercialize, or the procedures which utilize such product, and, if reimbursement is available, what the level of reimbursement will be.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Healthcare Reform Measures</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The United States and some foreign jurisdictions are considering or have enacted a number of legislative and regulatory proposals designed to change the healthcare system. Among policy-makers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71"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For example, the pharmaceutical industry in the United States has been affected by the passage of ACA, which, among other things: imposed new fees on entities that manufacture or import certain branded prescription drugs; expanded pharmaceutical manufacturer obligations to provide discounts and rebates to certain government programs; implemented a licensure framework for follow-on biologic products; expanded health care fraud and abuse laws; revised the methodology by which rebates owed by manufacturers to the state and federal government under the Medicaid Drug Rebate Program are calculated for certain drugs and biologics, including products that are inhaled, infused, instilled, implanted or injected; imposed an additional rebate similar to an inflation penalty on new formulations of drugs; extended the Medicaid Drug Rebate Program to utilization of prescriptions of individuals enrolled in Medicaid managed care organizations; expanded the 340B program which caps the price at which manufacturers can sell covered outpatient pharmaceuticals to specified hospitals, clinics and community health centers; and provided incentives to programs that increase the federal government’s comparative effectiveness research.</w:t>
      </w:r>
    </w:p>
    <w:p>
      <w:pPr>
        <w:spacing w:after="0" w:line="18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There remain judicial and Congressional challenges to certain aspects of the ACA, as well as efforts by the Trump administration to repeal or replace certain aspects of the ACA. Since January 2017, President Trump has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320" w:top="459" w:right="3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signed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been signed into law. The Tax Cuts and Jobs Act of 2017, or Tax Act, included a provision repealing,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or the BBA,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On December 14, 2018, a Texas U.S. District Court Judge ruled that the ACA is unconstitutional in its entirety because the “individual mandate” was repealed by Congress as part of the Tax Act.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It is unclear how such litigation and other efforts to repeal and replace the ACA will impact the ACA.</w:t>
      </w:r>
    </w:p>
    <w:p>
      <w:pPr>
        <w:spacing w:after="0" w:line="167"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 August 2011, the Budget Control Act of 2011, among other things, included aggregate reductions of Medicare payments to providers of 2.0% per fiscal year, which went into effect in April 2013, and due to subsequent legislative amendments, including the BBA, will remain in effect through 2030, unless additional U.S. Congressional action is taken. These Medicare sequester reductions will be suspended from May 1, 2020 through December 31, 2020 due to the COVID-19 pandemic. In addition,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 Additionally, the Medicare Access and CHIP Reauthorization Act of 2015, or MACRA, ended the use of the statutory formula for clinician payment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168"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addition, there has been particular and increasing legislative and enforcement interest in the United States with respect to drug pricing practices in recent years, particularly with respect to drugs that have been subject to relatively large price increases over relatively short time periods. Specifically, there have been several recent U.S. Congressional inquiries and proposed and enacted federal and state legislation designed to, among other things, bring more transparency to product pricing, review the relationship between pricing and manufacturer patient programs, reduce the cost of prescription drugs under Medicare and reform government program reimbursement methodologies for pharmaceutical products.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320" w:top="459" w:right="3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place limits on pharmaceutical price increases. Further, the Trump administration previously released a “Blueprint” to lower drug prices and reduce out of pocket costs of drugs that contained proposals to increase drug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 For example, in, in May 2019, CMS issued a final rule to allow Medicare Advantage plans the option to use step therapy for Part B drugs beginning January 1, 2020. This final rule codified CMS’s policy change that was effective January 1, 2019. Although a number of these and other measures may require additional authorization to become effective, Congress and the Trump administration have each indicated that it will continue to seek new legislative and/or administrative measures to control drug costs. In addition, individual states in the United States have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the future, there will likely continue to be proposals relating to the reform of the U.S. healthcare system, some of which could further limit coverage and reimbursement of products.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As of March 31, 2020, we had 64 full-time employees, including 29 who hold an M.D. or Ph.D. degree. Of these full-time employees, 53 were primarily engaged in research and development activities and 11 were primarily engaged in management or general and administrative activities. None of our employees is represented by a labor union and we consider our employee relations to be good.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Our headquarters is currently located in Montréal, Québec, Canada and consists of 9,045 square feet of leased laboratory and office space under a lease that expires in July 2021. We also have a U.S. subsidiary in Cambridge, Massachusetts. In November 2019, we entered into a new five-year lease agreement for 17,123 square feet of office and laboratory space in Montréal, Québec, Canada. Such lease has not yet commenced and we intend to move into the space prior to the end of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459" w:right="3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executive officers and directors, including their ages as of May 15,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5420" w:type="dxa"/>
            <w:vAlign w:val="bottom"/>
            <w:gridSpan w:val="3"/>
          </w:tcPr>
          <w:p>
            <w:pPr>
              <w:ind w:left="280"/>
              <w:spacing w:after="0"/>
              <w:rPr>
                <w:sz w:val="20"/>
                <w:szCs w:val="20"/>
                <w:color w:val="auto"/>
              </w:rPr>
            </w:pPr>
            <w:r>
              <w:rPr>
                <w:rFonts w:ascii="Arial" w:cs="Arial" w:eastAsia="Arial" w:hAnsi="Arial"/>
                <w:sz w:val="14"/>
                <w:szCs w:val="14"/>
                <w:b w:val="1"/>
                <w:bCs w:val="1"/>
                <w:color w:val="auto"/>
              </w:rPr>
              <w:t>Position(s)</w:t>
            </w:r>
          </w:p>
        </w:tc>
      </w:tr>
      <w:tr>
        <w:trPr>
          <w:trHeight w:val="61"/>
        </w:trPr>
        <w:tc>
          <w:tcPr>
            <w:tcW w:w="380" w:type="dxa"/>
            <w:vAlign w:val="bottom"/>
            <w:tcBorders>
              <w:top w:val="single" w:sz="8" w:color="auto"/>
            </w:tcBorders>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r>
      <w:tr>
        <w:trPr>
          <w:trHeight w:val="284"/>
        </w:trPr>
        <w:tc>
          <w:tcPr>
            <w:tcW w:w="3800" w:type="dxa"/>
            <w:vAlign w:val="bottom"/>
            <w:gridSpan w:val="2"/>
          </w:tcPr>
          <w:p>
            <w:pPr>
              <w:spacing w:after="0"/>
              <w:rPr>
                <w:sz w:val="20"/>
                <w:szCs w:val="20"/>
                <w:color w:val="auto"/>
              </w:rPr>
            </w:pPr>
            <w:r>
              <w:rPr>
                <w:rFonts w:ascii="Arial" w:cs="Arial" w:eastAsia="Arial" w:hAnsi="Arial"/>
                <w:sz w:val="18"/>
                <w:szCs w:val="18"/>
                <w:color w:val="auto"/>
              </w:rPr>
              <w:t>Lloyd M. Segal</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President, Chief Executive Officer and Director</w:t>
            </w:r>
          </w:p>
        </w:tc>
      </w:tr>
      <w:tr>
        <w:trPr>
          <w:trHeight w:val="67"/>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Forte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Executive Vice President, Chief Financial Officer</w:t>
            </w:r>
          </w:p>
        </w:tc>
      </w:tr>
      <w:tr>
        <w:trPr>
          <w:trHeight w:val="284"/>
        </w:trPr>
        <w:tc>
          <w:tcPr>
            <w:tcW w:w="3800" w:type="dxa"/>
            <w:vAlign w:val="bottom"/>
            <w:gridSpan w:val="2"/>
          </w:tcPr>
          <w:p>
            <w:pPr>
              <w:spacing w:after="0"/>
              <w:rPr>
                <w:sz w:val="20"/>
                <w:szCs w:val="20"/>
                <w:color w:val="auto"/>
              </w:rPr>
            </w:pPr>
            <w:r>
              <w:rPr>
                <w:rFonts w:ascii="Arial" w:cs="Arial" w:eastAsia="Arial" w:hAnsi="Arial"/>
                <w:sz w:val="18"/>
                <w:szCs w:val="18"/>
                <w:color w:val="auto"/>
              </w:rPr>
              <w:t>Maria Koehler, M.D., Ph.D.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Executive Vice President, Chief Medical Officer</w:t>
            </w: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Zinda, Ph.D.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Executive Vice President, Chief Scientific Officer</w:t>
            </w:r>
          </w:p>
        </w:tc>
      </w:tr>
      <w:tr>
        <w:trPr>
          <w:trHeight w:val="283"/>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Jerel Davis, Ph.D.</w:t>
            </w:r>
            <w:r>
              <w:rPr>
                <w:rFonts w:ascii="Arial" w:cs="Arial" w:eastAsia="Arial" w:hAnsi="Arial"/>
                <w:sz w:val="15"/>
                <w:szCs w:val="15"/>
                <w:color w:val="auto"/>
              </w:rPr>
              <w:t>(2)(3)</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Chairman of the Board of Directors</w:t>
            </w:r>
          </w:p>
        </w:tc>
      </w:tr>
      <w:tr>
        <w:trPr>
          <w:trHeight w:val="284"/>
        </w:trPr>
        <w:tc>
          <w:tcPr>
            <w:tcW w:w="3800" w:type="dxa"/>
            <w:vAlign w:val="bottom"/>
            <w:gridSpan w:val="2"/>
          </w:tcPr>
          <w:p>
            <w:pPr>
              <w:spacing w:after="0"/>
              <w:rPr>
                <w:sz w:val="20"/>
                <w:szCs w:val="20"/>
                <w:color w:val="auto"/>
              </w:rPr>
            </w:pPr>
            <w:r>
              <w:rPr>
                <w:rFonts w:ascii="Arial" w:cs="Arial" w:eastAsia="Arial" w:hAnsi="Arial"/>
                <w:sz w:val="18"/>
                <w:szCs w:val="18"/>
                <w:color w:val="auto"/>
              </w:rPr>
              <w:t>David Bonita, M.D.</w:t>
            </w:r>
            <w:r>
              <w:rPr>
                <w:rFonts w:ascii="Arial" w:cs="Arial" w:eastAsia="Arial" w:hAnsi="Arial"/>
                <w:sz w:val="15"/>
                <w:szCs w:val="15"/>
                <w:color w:val="auto"/>
              </w:rPr>
              <w:t>(1)(3)</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67"/>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Foley</w:t>
            </w:r>
            <w:r>
              <w:rPr>
                <w:rFonts w:ascii="Arial" w:cs="Arial" w:eastAsia="Arial" w:hAnsi="Arial"/>
                <w:sz w:val="15"/>
                <w:szCs w:val="15"/>
                <w:color w:val="auto"/>
              </w:rPr>
              <w:t>(1)</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83"/>
        </w:trPr>
        <w:tc>
          <w:tcPr>
            <w:tcW w:w="3800" w:type="dxa"/>
            <w:vAlign w:val="bottom"/>
            <w:gridSpan w:val="2"/>
          </w:tcPr>
          <w:p>
            <w:pPr>
              <w:spacing w:after="0"/>
              <w:rPr>
                <w:sz w:val="20"/>
                <w:szCs w:val="20"/>
                <w:color w:val="auto"/>
              </w:rPr>
            </w:pPr>
            <w:r>
              <w:rPr>
                <w:rFonts w:ascii="Arial" w:cs="Arial" w:eastAsia="Arial" w:hAnsi="Arial"/>
                <w:sz w:val="18"/>
                <w:szCs w:val="18"/>
                <w:color w:val="auto"/>
              </w:rPr>
              <w:t>Samarth Kulkarni, Ph.D.</w:t>
            </w:r>
            <w:r>
              <w:rPr>
                <w:rFonts w:ascii="Arial" w:cs="Arial" w:eastAsia="Arial" w:hAnsi="Arial"/>
                <w:sz w:val="15"/>
                <w:szCs w:val="15"/>
                <w:color w:val="auto"/>
              </w:rPr>
              <w:t>(2)</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Briggs Morrison, M.D.</w:t>
            </w:r>
            <w:r>
              <w:rPr>
                <w:rFonts w:ascii="Arial" w:cs="Arial" w:eastAsia="Arial" w:hAnsi="Arial"/>
                <w:sz w:val="15"/>
                <w:szCs w:val="15"/>
                <w:color w:val="auto"/>
              </w:rPr>
              <w:t>(2)</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83"/>
        </w:trPr>
        <w:tc>
          <w:tcPr>
            <w:tcW w:w="3800" w:type="dxa"/>
            <w:vAlign w:val="bottom"/>
            <w:gridSpan w:val="2"/>
          </w:tcPr>
          <w:p>
            <w:pPr>
              <w:spacing w:after="0"/>
              <w:rPr>
                <w:sz w:val="20"/>
                <w:szCs w:val="20"/>
                <w:color w:val="auto"/>
              </w:rPr>
            </w:pPr>
            <w:r>
              <w:rPr>
                <w:rFonts w:ascii="Arial" w:cs="Arial" w:eastAsia="Arial" w:hAnsi="Arial"/>
                <w:sz w:val="18"/>
                <w:szCs w:val="18"/>
                <w:color w:val="auto"/>
              </w:rPr>
              <w:t>Kevin J. Raidy</w:t>
            </w:r>
            <w:r>
              <w:rPr>
                <w:rFonts w:ascii="Arial" w:cs="Arial" w:eastAsia="Arial" w:hAnsi="Arial"/>
                <w:sz w:val="15"/>
                <w:szCs w:val="15"/>
                <w:color w:val="auto"/>
              </w:rPr>
              <w:t>(4)</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A. Schafer</w:t>
            </w:r>
            <w:r>
              <w:rPr>
                <w:rFonts w:ascii="Arial" w:cs="Arial" w:eastAsia="Arial" w:hAnsi="Arial"/>
                <w:sz w:val="15"/>
                <w:szCs w:val="15"/>
                <w:color w:val="auto"/>
              </w:rPr>
              <w:t>(1)(3)</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5"/>
          <w:szCs w:val="15"/>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91"/>
        </w:numPr>
        <w:rPr>
          <w:rFonts w:ascii="Arial" w:cs="Arial" w:eastAsia="Arial" w:hAnsi="Arial"/>
          <w:sz w:val="15"/>
          <w:szCs w:val="15"/>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91"/>
        </w:numPr>
        <w:rPr>
          <w:rFonts w:ascii="Arial" w:cs="Arial" w:eastAsia="Arial" w:hAnsi="Arial"/>
          <w:sz w:val="15"/>
          <w:szCs w:val="15"/>
          <w:color w:val="auto"/>
        </w:rPr>
      </w:pPr>
      <w:r>
        <w:rPr>
          <w:rFonts w:ascii="Arial" w:cs="Arial" w:eastAsia="Arial" w:hAnsi="Arial"/>
          <w:sz w:val="18"/>
          <w:szCs w:val="18"/>
          <w:color w:val="auto"/>
        </w:rPr>
        <w:t>Member of nominating and corporate governance committee.</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91"/>
        </w:numPr>
        <w:rPr>
          <w:rFonts w:ascii="Arial" w:cs="Arial" w:eastAsia="Arial" w:hAnsi="Arial"/>
          <w:sz w:val="13"/>
          <w:szCs w:val="13"/>
          <w:color w:val="auto"/>
        </w:rPr>
      </w:pPr>
      <w:r>
        <w:rPr>
          <w:rFonts w:ascii="Arial" w:cs="Arial" w:eastAsia="Arial" w:hAnsi="Arial"/>
          <w:sz w:val="16"/>
          <w:szCs w:val="16"/>
          <w:color w:val="auto"/>
        </w:rPr>
        <w:t>Mr. Raidy intends to resign from our board of directors prior to the effectiveness of the registration statement of which this prospectus forms a part.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i w:val="1"/>
          <w:iCs w:val="1"/>
          <w:color w:val="auto"/>
        </w:rPr>
        <w:t xml:space="preserve">Lloyd M. Segal </w:t>
      </w:r>
      <w:r>
        <w:rPr>
          <w:rFonts w:ascii="Arial" w:cs="Arial" w:eastAsia="Arial" w:hAnsi="Arial"/>
          <w:sz w:val="16"/>
          <w:szCs w:val="16"/>
          <w:color w:val="auto"/>
        </w:rPr>
        <w:t>has served as our President and Chief Executive Officer and as a member of our board of directors since our incorporation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September 2016. From February 2010 to January 2016, he was a Managing Partner with Persistence Capital Partners, a Canadian-based healthcare private equity investor. Previously, Mr. Segal was a consultant with McKinsey &amp; Company, and served as chief executive officer of several emerging biotechnology companies including Advanced Bioconcept Inc., Caprion Pharmaceuticals Inc. (now Caprion Biosciences), which he co-founded, and Thallion Pharmaceuticals Inc. He serves as a member of the board of directors of GBC American Fund, a U.S. growth-focused mutual fund. Mr. Segal also previously served as Chairman of LMC Diabetes &amp; Endocrinology, Canada’s leading national endocrinology practice. From June 2016 to March 2020, Mr. Segal served as Entrepreneur-in-Residence with Versant Ventures. He was honored in 2013 by the </w:t>
      </w:r>
      <w:r>
        <w:rPr>
          <w:rFonts w:ascii="Arial" w:cs="Arial" w:eastAsia="Arial" w:hAnsi="Arial"/>
          <w:sz w:val="16"/>
          <w:szCs w:val="16"/>
          <w:i w:val="1"/>
          <w:iCs w:val="1"/>
          <w:color w:val="auto"/>
        </w:rPr>
        <w:t>Financial Times</w:t>
      </w:r>
      <w:r>
        <w:rPr>
          <w:rFonts w:ascii="Arial" w:cs="Arial" w:eastAsia="Arial" w:hAnsi="Arial"/>
          <w:sz w:val="16"/>
          <w:szCs w:val="16"/>
          <w:color w:val="auto"/>
        </w:rPr>
        <w:t xml:space="preserve"> as Outstanding Director of the Year for public companies and also previously served on the boards of directors of several public and private U.S. and Canadian companies, including Valeant Pharmaceuticals International and its predecessor company, Biovail Corporation. He holds a B.A. in politics from Brandeis University and an M.B.A. from Harvard Business School. Our board of directors believes that Mr. Segal’s extensive experience in the biotechnology industry in addition to his corporate governance and executive leadership experience qualify him to serve on our board of directors.</w:t>
      </w:r>
    </w:p>
    <w:p>
      <w:pPr>
        <w:spacing w:after="0" w:line="172"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i w:val="1"/>
          <w:iCs w:val="1"/>
          <w:color w:val="auto"/>
        </w:rPr>
        <w:t xml:space="preserve">Steve Forte </w:t>
      </w:r>
      <w:r>
        <w:rPr>
          <w:rFonts w:ascii="Arial" w:cs="Arial" w:eastAsia="Arial" w:hAnsi="Arial"/>
          <w:sz w:val="17"/>
          <w:szCs w:val="17"/>
          <w:color w:val="auto"/>
        </w:rPr>
        <w:t>has served as our Executive Vice President, Chief Financial Officer since October 2019. Prior to joining us, he served as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Clementia Pharmaceuticals Inc. from August 2018 through June 2019, during which time Clementia was acquired by Ipsen S.A. From September 2015 to August 2018, Mr. Forte served as Chief Financial Officer of Thinking Capital Financial Corporation, a Canadian financial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459" w:right="3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technology firm, where he ultimately led the firm through a sale to Purpose Investments. From September 2014 to September 2015, he served as Executive Director of Finance of CST Canada Co. From 2005 to 2014, Mr. Forte held positions of increasing responsibility at Aptalis Pharma Inc., including most recently holding the position of Vice President, Financial Reporting where he was responsible for the overall corporate controllership function of the company. He currently serves on the board of directors of Profound Medical Corp., where he is also a member of the audit committee. Mr. Forte received his Bachelor of Commerce in accountancy from Concordia University and is a Certified Professional Accountant in the Province of Québec and a Certified Information Systems Auditor (non-practicing) with ISACA.</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Maria Koehler, M.D., Ph.D. </w:t>
      </w:r>
      <w:r>
        <w:rPr>
          <w:rFonts w:ascii="Arial" w:cs="Arial" w:eastAsia="Arial" w:hAnsi="Arial"/>
          <w:sz w:val="16"/>
          <w:szCs w:val="16"/>
          <w:color w:val="auto"/>
        </w:rPr>
        <w:t>has served as our Executive Vice President, Chief Medical Officer since May 2019. Prior to joining us, from September</w:t>
      </w:r>
    </w:p>
    <w:p>
      <w:pPr>
        <w:spacing w:after="0" w:line="4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2017 to April 2019, Dr. Koehler served as the Chief Medical Officer of Bicycle Therapeutics Limited. From March 2009 to September 2017, Dr. Koehler served as Vice President of Strategy, Innovation and Collaborations for the Oncology Business Unit at Pfizer Inc. Prior to joining Pfizer, Dr. Koehler was the group leader for the Medicine Development Center of GlaxoSmithKline Oncology. Prior to that, Dr. Koehler was a Senior Medical Director for oncology research and development at AstraZeneca plc. Dr. Koehler has also served as the clinical director of Bone Marrow Transplantation at University Hospital in Pittsburgh as well as the director of the Bone Marrow Transplant Program and associate professor at St. Christopher’s Hospital in Philadelphia. Dr. Koehler is a board-certified hematology/oncology physician. Dr. Koehler received her M.D. and Ph.D. from Silesian School of Medicine in Katowice, Poland.</w:t>
      </w:r>
    </w:p>
    <w:p>
      <w:pPr>
        <w:spacing w:after="0" w:line="192"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i w:val="1"/>
          <w:iCs w:val="1"/>
          <w:color w:val="auto"/>
        </w:rPr>
        <w:t xml:space="preserve">Michael Zinda, Ph.D. </w:t>
      </w:r>
      <w:r>
        <w:rPr>
          <w:rFonts w:ascii="Arial" w:cs="Arial" w:eastAsia="Arial" w:hAnsi="Arial"/>
          <w:sz w:val="18"/>
          <w:szCs w:val="18"/>
          <w:color w:val="auto"/>
        </w:rPr>
        <w:t>has served as our Executive Vice President, Chief Scientific Officer since May 2019 and previously served as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Head of Research and Development of our U.S. subsidiary, Repare Therapeutics USA Inc., from June 2017 to May 2019. Prior to joining us, he spent 16 years at AstraZeneca from 2001 to May 2017, where he obtained the position of Executive Director, Head of Cancer Bioscience. In this role, Dr. Zinda served on the global science leadership team, oncology research board and the Acerta research and early development teams accountable for strategy, key collaborations/partnerships and delivery of an innovative portfolio of patient-centric drug discovery programs. Dr. Zinda holds a B.Sc. in biology from Minnesota State University Moorhead and a Ph.D. in molecular biology from Vanderbilt University. He received his post-doctoral training at Princeton University and Eli Lilly &amp; Company.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i w:val="1"/>
          <w:iCs w:val="1"/>
          <w:color w:val="auto"/>
        </w:rPr>
        <w:t xml:space="preserve">Jerel Davis, Ph.D. </w:t>
      </w:r>
      <w:r>
        <w:rPr>
          <w:rFonts w:ascii="Arial" w:cs="Arial" w:eastAsia="Arial" w:hAnsi="Arial"/>
          <w:sz w:val="18"/>
          <w:szCs w:val="18"/>
          <w:color w:val="auto"/>
        </w:rPr>
        <w:t>has served as chairman of our board of directors since our incorporation in September 2016. Since June 2011, Dr. Davis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at Versant Venture Management, LLC, a healthcare investment firm, where he has held the position of managing director since 2015. He has played a critical role in Versant’s company creation strategies and has served on the boards of directors of many public and private biotech companies including BlueRock Therapeutics, Turnstone Biologics, Chinook Therapeutics, Inception 5 and Northern Biologics. Prior to joining Versant, Dr. Davis was an associate principal at McKinsey &amp; Company in various healthcare markets including the United States, Canada, Europe and China. He received a B.S. in mathematics and biology from Pepperdine University and a Ph.D. in population genetics from Stanford University. Our board of directors believes that Dr. Davis’s broad and extensive experience in the life sciences industry as both an investor of and launching numerous life sciences companies qualifies him to serve on our board of directors.</w:t>
      </w:r>
    </w:p>
    <w:p>
      <w:pPr>
        <w:spacing w:after="0" w:line="19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i w:val="1"/>
          <w:iCs w:val="1"/>
          <w:color w:val="auto"/>
        </w:rPr>
        <w:t xml:space="preserve">David Bonita, M.D. </w:t>
      </w:r>
      <w:r>
        <w:rPr>
          <w:rFonts w:ascii="Arial" w:cs="Arial" w:eastAsia="Arial" w:hAnsi="Arial"/>
          <w:sz w:val="17"/>
          <w:szCs w:val="17"/>
          <w:color w:val="auto"/>
        </w:rPr>
        <w:t>has served as a member of our board of directors since September 2019. Dr. Bonita is a member of OrbiMed Advisors LLC, 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firm, where he has held various positions since joining in June 2004. He currently serves on the boards of directors of Tricida, Inc. and Imara Inc. Dr. Bonita previously served on the boards of directors of several other public and private companies, including Ambit Biosciences Corporation, Clementia Pharmaceuticals Inc., Loxo Oncology, Inc., SI-BONE, Inc. and ViewRay Inc. Prior to joining OrbiMed, he worked as a corporate finance analyst in the healthcare investment banking groups of Morgan Stanley and UBS. Dr. Bonita has published scientific articles in peer-reviewed journals based on signal transduction research performed at Harvard Medical School. He received his B.A. in biology from Harvard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459" w:right="3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University and his joint M.D./M.B.A. from Columbia University. Our board of directors believes that Dr. Bonita’s extensive investment experience in the healthcare industry and his experience on the boards of directors of several public and private companies qualify him to serve on our board of directors.</w:t>
      </w:r>
    </w:p>
    <w:p>
      <w:pPr>
        <w:spacing w:after="0" w:line="124"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i w:val="1"/>
          <w:iCs w:val="1"/>
          <w:color w:val="auto"/>
        </w:rPr>
        <w:t xml:space="preserve">Todd Foley </w:t>
      </w:r>
      <w:r>
        <w:rPr>
          <w:rFonts w:ascii="Arial" w:cs="Arial" w:eastAsia="Arial" w:hAnsi="Arial"/>
          <w:sz w:val="17"/>
          <w:szCs w:val="17"/>
          <w:color w:val="auto"/>
        </w:rPr>
        <w:t>has served as a member of our board of directors since June 2017. Since 1999, Mr. Foley has worked at MPM Capital LLC, a healthcare-focused venture capital firm, where he currently serves as a Managing Director focusing on investments in biotech companies. He currently serves on the board of directors of Chiasma, Inc. and Rhythm Pharmaceuticals, Inc. and also serves as on the boards of directors of several other privately-held life sciences and pharmaceutical companies. Mr. Foley received a B.S. in chemistry from the Massachusetts Institute of Technology and an M.B.A from Harvard Business School. Our board of directors believes that Mr. Foley’s financial expertise and experience as both an investor of and a member of the board of directors of numerous life sciences companies qualify him to serve on our board of directors.</w:t>
      </w:r>
    </w:p>
    <w:p>
      <w:pPr>
        <w:spacing w:after="0" w:line="178" w:lineRule="exact"/>
        <w:rPr>
          <w:sz w:val="20"/>
          <w:szCs w:val="20"/>
          <w:color w:val="auto"/>
        </w:rPr>
      </w:pPr>
    </w:p>
    <w:p>
      <w:pPr>
        <w:ind w:right="340" w:firstLine="449"/>
        <w:spacing w:after="0" w:line="291" w:lineRule="auto"/>
        <w:rPr>
          <w:sz w:val="20"/>
          <w:szCs w:val="20"/>
          <w:color w:val="auto"/>
        </w:rPr>
      </w:pPr>
      <w:r>
        <w:rPr>
          <w:rFonts w:ascii="Arial" w:cs="Arial" w:eastAsia="Arial" w:hAnsi="Arial"/>
          <w:sz w:val="16"/>
          <w:szCs w:val="16"/>
          <w:i w:val="1"/>
          <w:iCs w:val="1"/>
          <w:color w:val="auto"/>
        </w:rPr>
        <w:t xml:space="preserve">Samarth Kulkarni, Ph.D. </w:t>
      </w:r>
      <w:r>
        <w:rPr>
          <w:rFonts w:ascii="Arial" w:cs="Arial" w:eastAsia="Arial" w:hAnsi="Arial"/>
          <w:sz w:val="16"/>
          <w:szCs w:val="16"/>
          <w:color w:val="auto"/>
        </w:rPr>
        <w:t>has served as a member of our board of directors since November 2019. Dr. Kulkarni is the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CRISPR Therapeutics AG, a position he has held since 2017. He initially joined CRISPR in August 2015 as Chief Business Officer, and then served as CRISPR’s President and Chief Business Officer from May 2017 to November 2017. Prior to joining CRISPR, Dr. Kulkarni was a partner within the pharmaceuticals and biotechnology practice at McKinsey &amp; Company, a global consulting firm, where he held various positions of increasing responsibility after joining in 2006. He also serves on the board of directors of Black Diamond Therapeutics, Inc. Dr. Kulkarni received a Ph.D. in bioengineering and nanotechnology from the University of Washington and a B. Tech. from the Indian Institute of Technology. Our board of directors believes that Dr. Kulkarni’s extensive management and industry experience qualify him to serve on our board of directors.</w:t>
      </w:r>
    </w:p>
    <w:p>
      <w:pPr>
        <w:spacing w:after="0" w:line="166"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i w:val="1"/>
          <w:iCs w:val="1"/>
          <w:color w:val="auto"/>
        </w:rPr>
        <w:t xml:space="preserve">Briggs Morrison, M.D. </w:t>
      </w:r>
      <w:r>
        <w:rPr>
          <w:rFonts w:ascii="Arial" w:cs="Arial" w:eastAsia="Arial" w:hAnsi="Arial"/>
          <w:sz w:val="16"/>
          <w:szCs w:val="16"/>
          <w:color w:val="auto"/>
        </w:rPr>
        <w:t>has served as a member of our board of directors since June 2017. Dr. Morrison currently serves as the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Syndax Pharmaceuticals, Inc., a position he has held since June 2015, and as a member of its board of directors since July 2015. Prior to joining Syndax, Dr. Morrison served as Executive Vice President, Global Medicines Development and Chief Medical Officer at AstraZeneca plc from January 2012 to June 2015, leading the company’s global, late-stage development organization and serving as a member of the AstraZeneca senior executive team. From October 2007 to December 2011, Dr. Morrison held a number of positions of increasing responsibility at Pfizer Inc., culminating in his appointment as Head, Medical Affairs, Safety and Regulatory Affairs for Pfizer’s human health business. Dr. Morrison served as chairman of the board of TransCelerate BioPharma Inc. from 2014 to 2015, a member of the executive committee of the Clinical Trials Transformation Initiative sponsored by FDA, and is on the board of the Alliance for Clinical Research Excellence and Safety. In addition to Syndax, Dr. Morrison currently serves on the boards of directors of two other public companies, Arvinas, Inc. and NextCure, Inc. as well as on the boards of directors of several private companies. He is also currently an executive partner at MPM Capital LLC, a healthcare-focused venture capital firm, a position he has held since June 2015. Dr. Morrison received a B.S. in biology from Georgetown University and an M.D. from the University of Connecticut Medical School. He completed residency training in internal medicine at Massachusetts General Hospital and a fellowship in medical oncology at the Dana-Farber Cancer Institute. Our board of directors believes that Dr. Morrison’s extensive executive leadership experience, his medical background and training and his service on the boards of other public and private biopharmaceutical and biotechnology companies qualify him to serve on our board of directors.</w:t>
      </w:r>
    </w:p>
    <w:p>
      <w:pPr>
        <w:spacing w:after="0" w:line="17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i w:val="1"/>
          <w:iCs w:val="1"/>
          <w:color w:val="auto"/>
        </w:rPr>
        <w:t xml:space="preserve">Kevin J. Raidy </w:t>
      </w:r>
      <w:r>
        <w:rPr>
          <w:rFonts w:ascii="Arial" w:cs="Arial" w:eastAsia="Arial" w:hAnsi="Arial"/>
          <w:sz w:val="16"/>
          <w:szCs w:val="16"/>
          <w:color w:val="auto"/>
        </w:rPr>
        <w:t>has served as a member of our board of directors since September 2019. Since November 2017, Mr. Raidy has served as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and Portfolio Manager of Cowen Healthcare Investments. Previously, from 2012 to 2017, he served as Head of Investment Banking at Cowen and Company, and from 2010 to 2012, he served as the co-head of Cowen’s equity capital markets group, which is responsible for the origination and execution of all equity capital-raising transactions. Prior joining Cowen, Mr. Raidy was a managing director at Ramius LLC, where he was portfolio manager for direct investments and convertible bonds, managing a portfolio in excess of $1 billion. Mr. Raidy also was the founder of H4 Capital Management LLC. His sell-side experience includes ten years at Shipley Raidy Capital Partners LP, a boutique investment banking</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320" w:top="459" w:right="3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firm that he co-founded, where he was responsible for sourcing, evaluating and structuring numerous debt and equity financings and also performed M&amp;A advisory services. Mr. Raidy holds a B.S. in economics with a concentration in finance from the Wharton School of the University of Pennsylvania. Our board of directors believes that Mr. Raidy’s extensive financial and investment expertise qualify him to serve on our board of directors. Mr. Raidy intends to resign from our board of directors prior to the effectiveness of the registration statement of which this prospectus forms a part.</w:t>
      </w:r>
    </w:p>
    <w:p>
      <w:pPr>
        <w:spacing w:after="0" w:line="157" w:lineRule="exact"/>
        <w:rPr>
          <w:sz w:val="20"/>
          <w:szCs w:val="20"/>
          <w:color w:val="auto"/>
        </w:rPr>
      </w:pPr>
    </w:p>
    <w:p>
      <w:pPr>
        <w:ind w:right="80" w:firstLine="449"/>
        <w:spacing w:after="0" w:line="270" w:lineRule="auto"/>
        <w:rPr>
          <w:sz w:val="20"/>
          <w:szCs w:val="20"/>
          <w:color w:val="auto"/>
        </w:rPr>
      </w:pPr>
      <w:r>
        <w:rPr>
          <w:rFonts w:ascii="Arial" w:cs="Arial" w:eastAsia="Arial" w:hAnsi="Arial"/>
          <w:sz w:val="17"/>
          <w:szCs w:val="17"/>
          <w:i w:val="1"/>
          <w:iCs w:val="1"/>
          <w:color w:val="auto"/>
        </w:rPr>
        <w:t xml:space="preserve">Carol A. Schafer </w:t>
      </w:r>
      <w:r>
        <w:rPr>
          <w:rFonts w:ascii="Arial" w:cs="Arial" w:eastAsia="Arial" w:hAnsi="Arial"/>
          <w:sz w:val="17"/>
          <w:szCs w:val="17"/>
          <w:color w:val="auto"/>
        </w:rPr>
        <w:t>has served as a member of our board of directors since March 2019. Ms. Schafer is currently a consultant in the biotech industry</w:t>
      </w:r>
      <w:r>
        <w:rPr>
          <w:rFonts w:ascii="Arial" w:cs="Arial" w:eastAsia="Arial" w:hAnsi="Arial"/>
          <w:sz w:val="17"/>
          <w:szCs w:val="17"/>
          <w:i w:val="1"/>
          <w:iCs w:val="1"/>
          <w:color w:val="auto"/>
        </w:rPr>
        <w:t xml:space="preserve"> </w:t>
      </w:r>
      <w:r>
        <w:rPr>
          <w:rFonts w:ascii="Arial" w:cs="Arial" w:eastAsia="Arial" w:hAnsi="Arial"/>
          <w:sz w:val="17"/>
          <w:szCs w:val="17"/>
          <w:color w:val="auto"/>
        </w:rPr>
        <w:t>and has more than 25 years of experience in investment banking, equity capital markets, corporate finance and business development in the biopharmaceutical sector. From April 2007 to September 2018, she held various positions of increasing responsibility at Wells Fargo Securities, most recently serving as Vice Chair, Equity Capital Markets. From December 2003 to February 2007, Ms. Schafer served as Vice President of Finance and Business Development at Lexicon Pharmaceuticals. Prior to that, Ms. Schafer worked at J.P. Morgan, where she held positions of increasing responsibility, most recently serving as a managing director in equity capital markets. Ms. Schafer currently serves on the boards of directors of Idera Pharmaceuticals, Inc. and Five Prime Therapeutics, Inc. Ms. Schafer received a B.A. from Boston College and an M.B.A from New York University. Our board of directors believes that Ms. Schafer’s extensive financial background and experience providing investment banking, equity capital markets and strategic support to companies within the healthcare sector qualify her to serve on our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Our board of directors will be composed of seven members upon the closing of this offering. All of our directors currently serve on the board of directors pursuant to the provisions of our second amended and restated unanimous shareholders’ agreement, or the shareholders’ agreement, dated September 3, 2019, between us and all of our shareholders. The shareholders’ agreement will terminate upon the closing of this offering, after which there will be no further contractual obligations regarding the election of our directors.</w:t>
      </w:r>
    </w:p>
    <w:p>
      <w:pPr>
        <w:spacing w:after="0" w:line="18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Our board of directors will be divided into three classes, Class I, Class II and Class III, with members of each class serving staggered terms. Effective upon the closing of this offering, our board of directors will be divided into the following classes:</w:t>
      </w:r>
    </w:p>
    <w:p>
      <w:pPr>
        <w:spacing w:after="0" w:line="76" w:lineRule="exact"/>
        <w:rPr>
          <w:sz w:val="20"/>
          <w:szCs w:val="20"/>
          <w:color w:val="auto"/>
        </w:rPr>
      </w:pPr>
    </w:p>
    <w:p>
      <w:pPr>
        <w:ind w:left="1000" w:right="180" w:hanging="547"/>
        <w:spacing w:after="0" w:line="277"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Class I, which will consist of Dr. Davis and Mr. Foley, whose terms will expire at the close of our first annual meeting of shareholders to be held after the closing of this offering;</w:t>
      </w:r>
    </w:p>
    <w:p>
      <w:pPr>
        <w:spacing w:after="0" w:line="75" w:lineRule="exact"/>
        <w:rPr>
          <w:rFonts w:ascii="Arial" w:cs="Arial" w:eastAsia="Arial" w:hAnsi="Arial"/>
          <w:sz w:val="18"/>
          <w:szCs w:val="18"/>
          <w:color w:val="auto"/>
        </w:rPr>
      </w:pPr>
    </w:p>
    <w:p>
      <w:pPr>
        <w:ind w:left="1000" w:right="200" w:hanging="547"/>
        <w:spacing w:after="0" w:line="277"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Class II, which will consist of Dr. Bonita and Ms. Schafer, whose terms will expire at our second annual meeting of shareholders to be held after the closing of this offering; and</w:t>
      </w:r>
    </w:p>
    <w:p>
      <w:pPr>
        <w:spacing w:after="0" w:line="75"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Class III, which will consist of Dr. Kulkarni, Dr. Morrison and Mr. Segal, whose terms will expire at our third annual meeting of shareholders to be held after the closing of this offering.</w:t>
      </w:r>
    </w:p>
    <w:p>
      <w:pPr>
        <w:spacing w:after="0" w:line="170"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articles of continuance that will become effective immediately prior to the closing of this offering will provide that our board of directors is to consist of a minimum of three and a maximum of fifteen directors as determined from time to time by the directors. Under the QBCA, between annual general meetings of our shareholders, the directors may appoint one or more additional directors, but the number of additional directors may not at any time exceed one third of the number of directors elected at the previous annual meeting of shareholders.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459" w:right="3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Under listing rules of the Nasdaq Stock Market LLC, or the Nasdaq Listing Rules, independent directors must comprise a majority of our board of directors within one year of listing as a public company.</w:t>
      </w:r>
    </w:p>
    <w:p>
      <w:pPr>
        <w:spacing w:after="0" w:line="170"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all of our directors except Mr. Segal, representing six of our seven directors to hold office upon the closing of this offering, do not have any relationships that would interfere with the exercise of independent judgment in carrying out the responsibilities of a director and that each of these directors is “independent” as that term is defined under the applicable rules and regulations of the SEC and the Nasdaq Listing Rules.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 capital by each non-employee director.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our directors and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Our board of directors has established an audit committee and a compensation committee, each of which will be reconstituted prior to the completion of this offering. We will also establish a nominating and corporate governance committee prior to the completion of this offering. The composition and functions of each committee are described below. Members serve on these committees until their resignation or until otherwise determined by our board of directors.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Upon the completion of this offering, our audit committee will consist of Dr. Bonita, Mr. Foley and Ms. Schafer. The chair of our audit committee is Mr. Foley. Our board of directors has determined that all members are independent under the Nasdaq Listing Rules and Rule 10A-3(b)(1) of the Securities Exchange Act of 1934, as amended, or the Exchange Act. Our board of directors has determined that each member of our audit committee meets the financial literacy requirements as set forth in the Nasdaq Listing Rules. Our board of directors has also determined that Ms. Schafer is an “audit committee financial expert” as such term is currently defined in Item 407(d)(5) of Regulations S-K. In arriving at these determinations, the board of directors has examined each audit committee member’s scope of experience and the nature of their employment in the corporate finance sector.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459"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audit committee is responsible for assisting our board of directors in its oversight of the integrity of our consolidated financial statements, the qualifications and independence of our independent auditors and our internal financial and accounting controls. The principal duties and responsibilities of our audit committee include, among other things:</w:t>
      </w:r>
    </w:p>
    <w:p>
      <w:pPr>
        <w:spacing w:after="0" w:line="89" w:lineRule="exact"/>
        <w:rPr>
          <w:sz w:val="20"/>
          <w:szCs w:val="20"/>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 and</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services, other than de minimis non-audit services, to be performed by the independent registered public accounting firm.</w:t>
      </w:r>
    </w:p>
    <w:p>
      <w:pPr>
        <w:spacing w:after="0" w:line="170" w:lineRule="exact"/>
        <w:rPr>
          <w:sz w:val="20"/>
          <w:szCs w:val="20"/>
          <w:color w:val="auto"/>
        </w:rPr>
      </w:pPr>
    </w:p>
    <w:p>
      <w:pPr>
        <w:ind w:right="700" w:firstLine="449"/>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immediately prior to the closing of this offering, which satisfies the applicable rules and regulations of the SEC and the Nasdaq Listing Rules.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Upon the completion of this offering, our compensation committee will consist of Dr. Bonita, Dr. Kulkarni and Dr. Morrison. The chair of our compensation committee is Dr. Morrison. Our board of directors has determined that all members are independent under the Nasdaq Listing Rules and are “non-employee directors” as defined in Rule 16b-3 promulgated under the Exchange Act.</w:t>
      </w:r>
    </w:p>
    <w:p>
      <w:pPr>
        <w:spacing w:after="0" w:line="184"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compensation committee oversees the compensation objectives for the company and the compensation of the chief executive officer and other executives. The principal duties and responsibilities of our compensation committee include, among other things:</w:t>
      </w:r>
    </w:p>
    <w:p>
      <w:pPr>
        <w:spacing w:after="0" w:line="76" w:lineRule="exact"/>
        <w:rPr>
          <w:sz w:val="20"/>
          <w:szCs w:val="20"/>
          <w:color w:val="auto"/>
        </w:rPr>
      </w:pPr>
    </w:p>
    <w:p>
      <w:pPr>
        <w:ind w:left="1000" w:right="180" w:hanging="547"/>
        <w:spacing w:after="0" w:line="277"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executive officers, including evaluating the performance of our chief executive officer and, with his assistance, that of our other executive officers;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terms of compensatory arrangements with our executive officers;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administering our equity and non-equity incentive plans;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incentive compensation and equity plans; and</w:t>
      </w:r>
    </w:p>
    <w:p>
      <w:pPr>
        <w:spacing w:after="0" w:line="130"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 reviewing our overall compensation philosophy.</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320" w:top="459" w:right="3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immediately prior to the closing of this offering, which satisfies the applicable rules and regulations of the SEC and Nasdaq Listing Rules.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Upon the completion of this offering, our nominating and corporate governance committee will consist of Dr. Davis, Mr. Foley and Ms. Schafer. The chair of our nominating and corporate governance committee is Ms. Schafer. Each member of the nominating and corporate governance committee is a non-employee director within the meaning of Rule 16b-3 of the rules promulgated under the Exchange Act, an independent director as defined by the Nasdaq Listing Rules and is free from any relationship that would interfere with the exercise of his or her independent judgment, as determined by the board of directors in accordance with the applicable Nasdaq Listing Rules.</w:t>
      </w:r>
    </w:p>
    <w:p>
      <w:pPr>
        <w:spacing w:after="0" w:line="188" w:lineRule="exact"/>
        <w:rPr>
          <w:sz w:val="20"/>
          <w:szCs w:val="20"/>
          <w:color w:val="auto"/>
        </w:rPr>
      </w:pPr>
    </w:p>
    <w:p>
      <w:pPr>
        <w:ind w:right="440" w:firstLine="449"/>
        <w:spacing w:after="0" w:line="342" w:lineRule="auto"/>
        <w:rPr>
          <w:sz w:val="20"/>
          <w:szCs w:val="20"/>
          <w:color w:val="auto"/>
        </w:rPr>
      </w:pPr>
      <w:r>
        <w:rPr>
          <w:rFonts w:ascii="Arial" w:cs="Arial" w:eastAsia="Arial" w:hAnsi="Arial"/>
          <w:sz w:val="16"/>
          <w:szCs w:val="16"/>
          <w:color w:val="auto"/>
        </w:rPr>
        <w:t>The nominating and corporate governance committee oversees our corporate governance policies and evaluates the composition of our board of directors and candidates for director. The nominating and corporate governance committee’s responsibilities include, among other things:</w:t>
      </w:r>
    </w:p>
    <w:p>
      <w:pPr>
        <w:spacing w:after="0" w:line="29" w:lineRule="exact"/>
        <w:rPr>
          <w:sz w:val="20"/>
          <w:szCs w:val="20"/>
          <w:color w:val="auto"/>
        </w:rPr>
      </w:pPr>
    </w:p>
    <w:p>
      <w:pPr>
        <w:ind w:left="1000" w:right="260" w:hanging="547"/>
        <w:spacing w:after="0" w:line="277"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identifying, evaluating and selecting, or recommending that our board of directors approve, nominees for election to our board of directors and its committees;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overseeing an annual evaluation of the board’s performance.</w:t>
      </w:r>
    </w:p>
    <w:p>
      <w:pPr>
        <w:spacing w:after="0" w:line="225"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Our nominating and governance committee will operate under a written charter, to be effective immediately prior to the closing of this offering, which satisfies the applicable rules and regulations of the SEC and the Nasdaq Listing Rules.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 xml:space="preserve">In connection with this offering, we intend to adopt a Code of Business Conduct and Ethics, or the Code of Ethics, applicable to all of our employees, executive officers and directors. Following the closing of this offering, the Code of Ethics will be available on our website at </w:t>
      </w:r>
      <w:r>
        <w:rPr>
          <w:rFonts w:ascii="Arial" w:cs="Arial" w:eastAsia="Arial" w:hAnsi="Arial"/>
          <w:sz w:val="18"/>
          <w:szCs w:val="18"/>
          <w:i w:val="1"/>
          <w:iCs w:val="1"/>
          <w:color w:val="auto"/>
        </w:rPr>
        <w:t>www.reparerx.com</w:t>
      </w:r>
      <w:r>
        <w:rPr>
          <w:rFonts w:ascii="Arial" w:cs="Arial" w:eastAsia="Arial" w:hAnsi="Arial"/>
          <w:sz w:val="18"/>
          <w:szCs w:val="18"/>
          <w:color w:val="auto"/>
        </w:rPr>
        <w:t>. The nominating and corporate governance committee will be responsible for overseeing the Code of Ethics and must approve any waivers of the Code of Ethics for our employees, executive officers and directors. We expect that any amendments to the Code of Ethics, or any waivers of its requirements, will be disclosed on our website. Information contained in, or accessible through, our website does not constitute a part of, and is not incorporated into, this prospectus.</w:t>
      </w:r>
    </w:p>
    <w:p>
      <w:pPr>
        <w:spacing w:after="0" w:line="192" w:lineRule="exact"/>
        <w:rPr>
          <w:sz w:val="20"/>
          <w:szCs w:val="20"/>
          <w:color w:val="auto"/>
        </w:rPr>
      </w:pPr>
    </w:p>
    <w:p>
      <w:pPr>
        <w:ind w:right="180" w:firstLine="449"/>
        <w:spacing w:after="0" w:line="254" w:lineRule="auto"/>
        <w:rPr>
          <w:sz w:val="20"/>
          <w:szCs w:val="20"/>
          <w:color w:val="auto"/>
        </w:rPr>
      </w:pPr>
      <w:r>
        <w:rPr>
          <w:rFonts w:ascii="Arial" w:cs="Arial" w:eastAsia="Arial" w:hAnsi="Arial"/>
          <w:sz w:val="18"/>
          <w:szCs w:val="18"/>
          <w:color w:val="auto"/>
        </w:rPr>
        <w:t>In accordance with the QBCA, directors and officers must disclose the nature and value of any interest he or she has in a contract or transaction, whether made or proposed (including related negotiations), to which we are a party. Such “interest” means any financial stake in a contract or transaction that may reasonably be considered likely to influence decision-making. Such disclosure is also required for any contract of transaction to which we are a party and (i) an associate of the director or officer; (ii) a group of which the director or officer is a director or officer; or (iii) a group in which the director or officer or an associate of the director or officer has an interest, whether or not such contract or transaction requires approval by our board of directors. Subject to certain limited exceptions under the QBCA, no director may vote on, any resolution to approve, amend or terminate a contract or transaction which is subject to such disclosure requirement.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459"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right="200" w:firstLine="449"/>
        <w:spacing w:after="0" w:line="286" w:lineRule="auto"/>
        <w:rPr>
          <w:sz w:val="20"/>
          <w:szCs w:val="20"/>
          <w:color w:val="auto"/>
        </w:rPr>
      </w:pPr>
      <w:r>
        <w:rPr>
          <w:rFonts w:ascii="Arial" w:cs="Arial" w:eastAsia="Arial" w:hAnsi="Arial"/>
          <w:sz w:val="17"/>
          <w:szCs w:val="17"/>
          <w:color w:val="auto"/>
        </w:rPr>
        <w:t>None of the members of the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Historically, we have not had a formal compensation policy with respect to service on our board of directors. We have reimbursed and will continue to reimburse our non-employee directors for their reasonable out-of-pocket expenses incurred in attending board and committee meetings, and occasionally granted share options as compensation for service. Our board of directors will adopt a formal director compensation policy for non-employee directors to be effective following the completion of this offering.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following table sets forth information regarding the compensation earned for service on our board of directors by our non-employee directors and for their service as a consultant to us, if applicable, during the year ended December 31, 2019. Mr. Segal is also member of our board of directors, but did not receive any additional compensation for his service as a director and therefore is not included in the table below. The compensation for Mr. Segal is set forth under “Executive Compensation—Summary Compensation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560" w:type="dxa"/>
            <w:vAlign w:val="bottom"/>
            <w:gridSpan w:val="3"/>
          </w:tcPr>
          <w:p>
            <w:pPr>
              <w:jc w:val="center"/>
              <w:ind w:left="3355"/>
              <w:spacing w:after="0"/>
              <w:rPr>
                <w:sz w:val="20"/>
                <w:szCs w:val="20"/>
                <w:color w:val="auto"/>
              </w:rPr>
            </w:pPr>
            <w:r>
              <w:rPr>
                <w:rFonts w:ascii="Arial" w:cs="Arial" w:eastAsia="Arial" w:hAnsi="Arial"/>
                <w:sz w:val="14"/>
                <w:szCs w:val="14"/>
                <w:b w:val="1"/>
                <w:bCs w:val="1"/>
                <w:color w:val="auto"/>
                <w:w w:val="91"/>
              </w:rPr>
              <w:t>Fees Earned</w:t>
            </w:r>
          </w:p>
        </w:tc>
        <w:tc>
          <w:tcPr>
            <w:tcW w:w="200" w:type="dxa"/>
            <w:vAlign w:val="bottom"/>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or Paid in</w:t>
            </w: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vMerge w:val="restart"/>
          </w:tcPr>
          <w:p>
            <w:pPr>
              <w:spacing w:after="0"/>
              <w:rPr>
                <w:sz w:val="12"/>
                <w:szCs w:val="12"/>
                <w:color w:val="auto"/>
              </w:rPr>
            </w:pPr>
          </w:p>
        </w:tc>
        <w:tc>
          <w:tcPr>
            <w:tcW w:w="36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Cash</w:t>
            </w:r>
          </w:p>
        </w:tc>
        <w:tc>
          <w:tcPr>
            <w:tcW w:w="92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Awards</w:t>
            </w:r>
          </w:p>
        </w:tc>
        <w:tc>
          <w:tcPr>
            <w:tcW w:w="2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36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660" w:type="dxa"/>
            <w:vAlign w:val="bottom"/>
            <w:gridSpan w:val="2"/>
          </w:tcPr>
          <w:p>
            <w:pPr>
              <w:ind w:left="200"/>
              <w:spacing w:after="0"/>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(1)(2)</w:t>
            </w:r>
          </w:p>
        </w:tc>
        <w:tc>
          <w:tcPr>
            <w:tcW w:w="2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Bonita</w:t>
            </w:r>
          </w:p>
        </w:tc>
        <w:tc>
          <w:tcPr>
            <w:tcW w:w="3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Jerel Davis</w:t>
            </w:r>
          </w:p>
        </w:tc>
        <w:tc>
          <w:tcPr>
            <w:tcW w:w="36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Foley</w:t>
            </w:r>
          </w:p>
        </w:tc>
        <w:tc>
          <w:tcPr>
            <w:tcW w:w="3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Samarth Kulkarni</w:t>
            </w:r>
          </w:p>
        </w:tc>
        <w:tc>
          <w:tcPr>
            <w:tcW w:w="4560" w:type="dxa"/>
            <w:vAlign w:val="bottom"/>
            <w:gridSpan w:val="3"/>
          </w:tcPr>
          <w:p>
            <w:pPr>
              <w:jc w:val="right"/>
              <w:ind w:right="180"/>
              <w:spacing w:after="0"/>
              <w:rPr>
                <w:sz w:val="20"/>
                <w:szCs w:val="20"/>
                <w:color w:val="auto"/>
              </w:rPr>
            </w:pPr>
            <w:r>
              <w:rPr>
                <w:rFonts w:ascii="Arial" w:cs="Arial" w:eastAsia="Arial" w:hAnsi="Arial"/>
                <w:sz w:val="18"/>
                <w:szCs w:val="18"/>
                <w:color w:val="auto"/>
              </w:rPr>
              <w:t>7,500</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111,800</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119,300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Briggs Morrison</w:t>
            </w:r>
          </w:p>
        </w:tc>
        <w:tc>
          <w:tcPr>
            <w:tcW w:w="4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71,200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121,200</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Kevin J. Raidy</w:t>
            </w:r>
          </w:p>
        </w:tc>
        <w:tc>
          <w:tcPr>
            <w:tcW w:w="36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A. Schafer</w:t>
            </w:r>
          </w:p>
        </w:tc>
        <w:tc>
          <w:tcPr>
            <w:tcW w:w="4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88,800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right="80" w:hanging="452"/>
        <w:spacing w:after="0" w:line="286"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 accordance with SEC rules, this column reflects the aggregate grant date fair value of the option awards granted during fiscal year 2019 computed in accordance with ASC 718. Assumptions used in the calculation of these amounts are included in the notes to our audited consolidated financial statements included elsewhere in this prospectus. These amounts do not reflect the actual economic value that will be realized by our non-employee directors upon the vesting of the share options, the exercise of the share options or the sale of the common shares underlying such share options.</w:t>
      </w:r>
    </w:p>
    <w:p>
      <w:pPr>
        <w:spacing w:after="0" w:line="1" w:lineRule="exact"/>
        <w:rPr>
          <w:rFonts w:ascii="Arial" w:cs="Arial" w:eastAsia="Arial" w:hAnsi="Arial"/>
          <w:sz w:val="16"/>
          <w:szCs w:val="16"/>
          <w:color w:val="auto"/>
        </w:rPr>
      </w:pPr>
    </w:p>
    <w:p>
      <w:pPr>
        <w:ind w:left="460" w:right="220" w:hanging="452"/>
        <w:spacing w:after="0" w:line="260"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following table provides information regarding the number of common shares underlying share options granted to our non-employee directors that were outstanding as of December 31, 2019:</w:t>
      </w:r>
    </w:p>
    <w:p>
      <w:pPr>
        <w:spacing w:after="0" w:line="191"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Option Awards</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320" w:type="dxa"/>
            <w:vAlign w:val="bottom"/>
            <w:vMerge w:val="restart"/>
          </w:tcPr>
          <w:p>
            <w:pPr>
              <w:spacing w:after="0"/>
              <w:rPr>
                <w:sz w:val="12"/>
                <w:szCs w:val="12"/>
                <w:color w:val="auto"/>
              </w:rPr>
            </w:pPr>
          </w:p>
        </w:tc>
        <w:tc>
          <w:tcPr>
            <w:tcW w:w="4700" w:type="dxa"/>
            <w:vAlign w:val="bottom"/>
          </w:tcPr>
          <w:p>
            <w:pPr>
              <w:spacing w:after="0"/>
              <w:rPr>
                <w:sz w:val="12"/>
                <w:szCs w:val="12"/>
                <w:color w:val="auto"/>
              </w:rPr>
            </w:pP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Outstanding at</w:t>
            </w: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47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Year-End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Bonita</w:t>
            </w:r>
          </w:p>
        </w:tc>
        <w:tc>
          <w:tcPr>
            <w:tcW w:w="47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Jerel Davis</w:t>
            </w:r>
          </w:p>
        </w:tc>
        <w:tc>
          <w:tcPr>
            <w:tcW w:w="47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Foley</w:t>
            </w:r>
          </w:p>
        </w:tc>
        <w:tc>
          <w:tcPr>
            <w:tcW w:w="47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Samarth Kulkarni</w:t>
            </w:r>
          </w:p>
        </w:tc>
        <w:tc>
          <w:tcPr>
            <w:tcW w:w="5740" w:type="dxa"/>
            <w:vAlign w:val="bottom"/>
            <w:gridSpan w:val="3"/>
          </w:tcPr>
          <w:p>
            <w:pPr>
              <w:jc w:val="right"/>
              <w:ind w:right="60"/>
              <w:spacing w:after="0"/>
              <w:rPr>
                <w:sz w:val="20"/>
                <w:szCs w:val="20"/>
                <w:color w:val="auto"/>
              </w:rPr>
            </w:pPr>
            <w:r>
              <w:rPr>
                <w:rFonts w:ascii="Arial" w:cs="Arial" w:eastAsia="Arial" w:hAnsi="Arial"/>
                <w:sz w:val="18"/>
                <w:szCs w:val="18"/>
                <w:color w:val="auto"/>
              </w:rPr>
              <w:t>430,000</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Briggs Morrison</w:t>
            </w:r>
          </w:p>
        </w:tc>
        <w:tc>
          <w:tcPr>
            <w:tcW w:w="5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Kevin J. Raidy</w:t>
            </w:r>
          </w:p>
        </w:tc>
        <w:tc>
          <w:tcPr>
            <w:tcW w:w="47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A. Schafer</w:t>
            </w:r>
          </w:p>
        </w:tc>
        <w:tc>
          <w:tcPr>
            <w:tcW w:w="5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430,000</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700" w:type="dxa"/>
            <w:vAlign w:val="bottom"/>
          </w:tcPr>
          <w:p>
            <w:pPr>
              <w:jc w:val="right"/>
              <w:ind w:right="2950"/>
              <w:spacing w:after="0"/>
              <w:rPr>
                <w:sz w:val="20"/>
                <w:szCs w:val="20"/>
                <w:color w:val="auto"/>
              </w:rPr>
            </w:pPr>
            <w:r>
              <w:rPr>
                <w:rFonts w:ascii="Arial" w:cs="Arial" w:eastAsia="Arial" w:hAnsi="Arial"/>
                <w:sz w:val="18"/>
                <w:szCs w:val="18"/>
                <w:color w:val="auto"/>
              </w:rPr>
              <w:t>157</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Overview</w:t>
      </w:r>
    </w:p>
    <w:p>
      <w:pPr>
        <w:spacing w:after="0" w:line="121"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The following table shows the total compensation awarded to, earned by, or paid to during the year ended December 31, 2019 to (1) our principal executive officer, (2) our two next most highly compensated executive officers who earned more than $100,000 during the fiscal year ended December 31, 2019 and were serving as executive officers as of such date, and (3) any individual who would otherwise be included in (2) above but for the fact that such individual was not serving as an executive officer of ours as of December 31, 2019. We refer to these individuals in this prospectus as our named executive officers.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named executive officers for 2019 who appear in the Summary Compensation Table are:</w:t>
      </w:r>
    </w:p>
    <w:p>
      <w:pPr>
        <w:spacing w:after="0" w:line="131" w:lineRule="exact"/>
        <w:rPr>
          <w:sz w:val="20"/>
          <w:szCs w:val="20"/>
          <w:color w:val="auto"/>
        </w:rPr>
      </w:pPr>
    </w:p>
    <w:p>
      <w:pPr>
        <w:ind w:left="1000" w:hanging="547"/>
        <w:spacing w:after="0"/>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Lloyd M. Segal, our President and Chief Executive Officer;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Michael Zinda, Ph.D., our Executive Vice President, Chief Scientific Officer;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Maria Koehler, M.D., Ph.D., our Executive Vice President, Chief Medical Officer;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Katina Dorton, our former Executive Vice President, Chief Financial Officer.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Non-Equity</w:t>
            </w:r>
          </w:p>
        </w:tc>
        <w:tc>
          <w:tcPr>
            <w:tcW w:w="1400" w:type="dxa"/>
            <w:vAlign w:val="bottom"/>
            <w:gridSpan w:val="2"/>
            <w:vMerge w:val="restart"/>
          </w:tcPr>
          <w:p>
            <w:pPr>
              <w:jc w:val="center"/>
              <w:ind w:right="424"/>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106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and Principal Position</w:t>
            </w:r>
          </w:p>
        </w:tc>
        <w:tc>
          <w:tcPr>
            <w:tcW w:w="3400" w:type="dxa"/>
            <w:vAlign w:val="bottom"/>
            <w:vMerge w:val="restart"/>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00" w:type="dxa"/>
            <w:vAlign w:val="bottom"/>
            <w:gridSpan w:val="2"/>
          </w:tcPr>
          <w:p>
            <w:pPr>
              <w:jc w:val="center"/>
              <w:ind w:right="444"/>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80" w:type="dxa"/>
            <w:vAlign w:val="bottom"/>
            <w:tcBorders>
              <w:bottom w:val="single" w:sz="8" w:color="auto"/>
            </w:tcBorders>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tcPr>
          <w:p>
            <w:pPr>
              <w:jc w:val="right"/>
              <w:ind w:right="76"/>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(1)</w:t>
            </w:r>
          </w:p>
        </w:tc>
        <w:tc>
          <w:tcPr>
            <w:tcW w:w="26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(2)</w:t>
            </w:r>
          </w:p>
        </w:tc>
        <w:tc>
          <w:tcPr>
            <w:tcW w:w="28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780" w:type="dxa"/>
            <w:vAlign w:val="bottom"/>
          </w:tcPr>
          <w:p>
            <w:pPr>
              <w:jc w:val="right"/>
              <w:ind w:right="216"/>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Lloyd M. Segal </w:t>
            </w:r>
            <w:r>
              <w:rPr>
                <w:rFonts w:ascii="Arial" w:cs="Arial" w:eastAsia="Arial" w:hAnsi="Arial"/>
                <w:sz w:val="15"/>
                <w:szCs w:val="15"/>
                <w:color w:val="auto"/>
              </w:rPr>
              <w:t>(4)</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2019</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430,000</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1,031,000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122,550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1,362</w:t>
            </w:r>
          </w:p>
        </w:tc>
        <w:tc>
          <w:tcPr>
            <w:tcW w:w="520" w:type="dxa"/>
            <w:vAlign w:val="bottom"/>
            <w:tcBorders>
              <w:top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87"/>
              </w:rPr>
              <w:t>(5)</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1,584,912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i w:val="1"/>
                <w:iCs w:val="1"/>
                <w:color w:val="auto"/>
              </w:rPr>
              <w:t>President and Chief Executive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Michael Zinda, Ph.D. </w:t>
            </w:r>
            <w:r>
              <w:rPr>
                <w:rFonts w:ascii="Arial" w:cs="Arial" w:eastAsia="Arial" w:hAnsi="Arial"/>
                <w:sz w:val="15"/>
                <w:szCs w:val="15"/>
                <w:color w:val="auto"/>
              </w:rPr>
              <w:t>(6)</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324,077</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403,200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70,000</w:t>
            </w:r>
          </w:p>
        </w:tc>
        <w:tc>
          <w:tcPr>
            <w:tcW w:w="140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34,355</w:t>
            </w:r>
            <w:r>
              <w:rPr>
                <w:rFonts w:ascii="Arial" w:cs="Arial" w:eastAsia="Arial" w:hAnsi="Arial"/>
                <w:sz w:val="15"/>
                <w:szCs w:val="15"/>
                <w:color w:val="auto"/>
              </w:rPr>
              <w:t>(7)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831,632</w:t>
            </w: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i w:val="1"/>
                <w:iCs w:val="1"/>
                <w:color w:val="auto"/>
              </w:rPr>
              <w:t>Executive Vice President, Chief Scientific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Maria Koehler, M.D., Ph.D. </w:t>
            </w:r>
            <w:r>
              <w:rPr>
                <w:rFonts w:ascii="Arial" w:cs="Arial" w:eastAsia="Arial" w:hAnsi="Arial"/>
                <w:sz w:val="15"/>
                <w:szCs w:val="15"/>
                <w:color w:val="auto"/>
              </w:rPr>
              <w:t>(8)</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272,596</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363,500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76,146</w:t>
            </w:r>
          </w:p>
        </w:tc>
        <w:tc>
          <w:tcPr>
            <w:tcW w:w="140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15,466</w:t>
            </w:r>
            <w:r>
              <w:rPr>
                <w:rFonts w:ascii="Arial" w:cs="Arial" w:eastAsia="Arial" w:hAnsi="Arial"/>
                <w:sz w:val="15"/>
                <w:szCs w:val="15"/>
                <w:color w:val="auto"/>
              </w:rPr>
              <w:t>(9)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727,708</w:t>
            </w: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i w:val="1"/>
                <w:iCs w:val="1"/>
                <w:color w:val="auto"/>
              </w:rPr>
              <w:t>Executive Vice President, Chief Medical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Katina Dorton </w:t>
            </w:r>
            <w:r>
              <w:rPr>
                <w:rFonts w:ascii="Arial" w:cs="Arial" w:eastAsia="Arial" w:hAnsi="Arial"/>
                <w:sz w:val="15"/>
                <w:szCs w:val="15"/>
                <w:color w:val="auto"/>
              </w:rPr>
              <w:t>(10)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175,000</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216,000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388,452</w:t>
            </w:r>
            <w:r>
              <w:rPr>
                <w:rFonts w:ascii="Arial" w:cs="Arial" w:eastAsia="Arial" w:hAnsi="Arial"/>
                <w:sz w:val="15"/>
                <w:szCs w:val="15"/>
                <w:color w:val="auto"/>
              </w:rPr>
              <w:t>(11)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779,452</w:t>
            </w:r>
          </w:p>
        </w:tc>
        <w:tc>
          <w:tcPr>
            <w:tcW w:w="0" w:type="dxa"/>
            <w:vAlign w:val="bottom"/>
          </w:tcPr>
          <w:p>
            <w:pPr>
              <w:spacing w:after="0"/>
              <w:rPr>
                <w:sz w:val="1"/>
                <w:szCs w:val="1"/>
                <w:color w:val="auto"/>
              </w:rPr>
            </w:pPr>
          </w:p>
        </w:tc>
      </w:tr>
      <w:tr>
        <w:trPr>
          <w:trHeight w:val="230"/>
        </w:trPr>
        <w:tc>
          <w:tcPr>
            <w:tcW w:w="5180" w:type="dxa"/>
            <w:vAlign w:val="bottom"/>
            <w:gridSpan w:val="2"/>
          </w:tcPr>
          <w:p>
            <w:pPr>
              <w:ind w:left="360"/>
              <w:spacing w:after="0"/>
              <w:rPr>
                <w:sz w:val="20"/>
                <w:szCs w:val="20"/>
                <w:color w:val="auto"/>
              </w:rPr>
            </w:pPr>
            <w:r>
              <w:rPr>
                <w:rFonts w:ascii="Arial" w:cs="Arial" w:eastAsia="Arial" w:hAnsi="Arial"/>
                <w:sz w:val="18"/>
                <w:szCs w:val="18"/>
                <w:i w:val="1"/>
                <w:iCs w:val="1"/>
                <w:color w:val="auto"/>
              </w:rPr>
              <w:t>Former Executive Vice President, Chief Financial Officer</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78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Salary amounts represent actual amounts paid during 2019. See “—Narrative to the Summary Compensation Table—Annual Base Salary” below.</w:t>
      </w:r>
    </w:p>
    <w:p>
      <w:pPr>
        <w:spacing w:after="0" w:line="153" w:lineRule="exact"/>
        <w:rPr>
          <w:rFonts w:ascii="Arial" w:cs="Arial" w:eastAsia="Arial" w:hAnsi="Arial"/>
          <w:sz w:val="16"/>
          <w:szCs w:val="16"/>
          <w:color w:val="auto"/>
        </w:rPr>
      </w:pPr>
    </w:p>
    <w:p>
      <w:pPr>
        <w:ind w:left="460" w:right="80" w:hanging="452"/>
        <w:spacing w:after="0" w:line="257"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accordance with SEC rules, this column reflects the aggregate grant date fair value of the option awards granted during fiscal year 2019 computed in accordance with ASC 718 for share-based compensation transactions. Assumptions used in the calculation of these amounts are included in Note 11 to our audited consolidated financial statements included elsewhere in this prospectus. These amounts do not reflect the actual economic value that will be realized by the named executive officer upon the vesting of the share options, the exercise of the share options or the sale of the common shares underlying such share options.</w:t>
      </w:r>
    </w:p>
    <w:p>
      <w:pPr>
        <w:spacing w:after="0" w:line="93"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Reflects performance-based cash bonuses awarded to our named executive officers. See “—Non-Equity Incentive Plan Compensation” below for a description of the material terms of the program pursuant to which this compensation was awarded.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Mr. Segal also serves as a member of our board of directors but does not receive any additional compensation for his service as a director.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459"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Includes life insurance premiums in the amount of $51 paid by us on behalf of Mr. Segal.</w:t>
      </w:r>
    </w:p>
    <w:p>
      <w:pPr>
        <w:spacing w:after="0" w:line="130"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Dr. Zinda was appointed as our Executive Vice President, Chief Scientific Officer in May 2019. His salary was increased from $285,000 to $325,000 in connection with his promotion.</w:t>
      </w:r>
    </w:p>
    <w:p>
      <w:pPr>
        <w:spacing w:after="0" w:line="75" w:lineRule="exact"/>
        <w:rPr>
          <w:rFonts w:ascii="Arial" w:cs="Arial" w:eastAsia="Arial" w:hAnsi="Arial"/>
          <w:sz w:val="18"/>
          <w:szCs w:val="18"/>
          <w:color w:val="auto"/>
        </w:rPr>
      </w:pPr>
    </w:p>
    <w:p>
      <w:pPr>
        <w:ind w:left="460" w:right="660" w:hanging="452"/>
        <w:spacing w:after="0" w:line="277"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Represents (i) contributions to a retirement account in the amount of $24,375 and (ii) reimbursements paid with respect to medical insurance premiums for Dr. Zinda in the aggregate amount of $9,980.</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Dr. Koehler commenced employment with us on May 1, 2019.</w:t>
      </w:r>
    </w:p>
    <w:p>
      <w:pPr>
        <w:spacing w:after="0" w:line="130"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Represents (i) a travel allowance in the amount of $12,800 and (ii) the employee portion of Dr. Koehler’s medical and dental insurance premiums that we pay on her behalf in the amount of $2,666.</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Ms. Dorton commenced employment with us on April 15, 2019. Ms. Dorton’s employment was terminated effective October 10, 2019.</w:t>
      </w:r>
    </w:p>
    <w:p>
      <w:pPr>
        <w:spacing w:after="0" w:line="130" w:lineRule="exact"/>
        <w:rPr>
          <w:rFonts w:ascii="Arial" w:cs="Arial" w:eastAsia="Arial" w:hAnsi="Arial"/>
          <w:sz w:val="18"/>
          <w:szCs w:val="18"/>
          <w:color w:val="auto"/>
        </w:rPr>
      </w:pPr>
    </w:p>
    <w:p>
      <w:pPr>
        <w:ind w:left="460" w:right="560" w:hanging="452"/>
        <w:spacing w:after="0" w:line="259"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Represents (i) a housing allowance in the amount of $26,000, (ii) severance payments totaling $345,375 (of which $86,344 was paid as of December 31, 2019 and the remainder will be paid in equal monthly payments through June 2020, pursuant to the terms of her separation agreement), (iii) consulting fees in the amount of $9,000 pursuant to the terms of her severance agreement and (iv) a cash payment for unused accrued vacation through her separation date in the amount of $8,077.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121"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Our board of directors reviews compensation annually for all employees, including our named executive officers.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shareholders and a long-term commitment to our company.</w:t>
      </w:r>
    </w:p>
    <w:p>
      <w:pPr>
        <w:spacing w:after="0" w:line="17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 board of directors has historically determined the compensation of our executives, upon recommendation of the compensation committee. The compensation committee has reviewed and recommended to the board for approval the compensation and other terms of employment of our chief executive officer, and evaluates the chief executive officer’s performance in light of relevant corporate goals and objectives. Our chief executive officer has typically discussed his recommendations for all other executives (other than himself) with the compensation committee and the board. Based on those discussions and its discretion, the compensation committee has recommended the compensation of each executive officer to the board, and the board of directors has then approved.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117" w:lineRule="exact"/>
        <w:rPr>
          <w:sz w:val="20"/>
          <w:szCs w:val="20"/>
          <w:color w:val="auto"/>
        </w:rPr>
      </w:pPr>
    </w:p>
    <w:p>
      <w:pPr>
        <w:ind w:right="280" w:firstLine="449"/>
        <w:spacing w:after="0" w:line="301" w:lineRule="auto"/>
        <w:rPr>
          <w:sz w:val="20"/>
          <w:szCs w:val="20"/>
          <w:color w:val="auto"/>
        </w:rPr>
      </w:pPr>
      <w:r>
        <w:rPr>
          <w:rFonts w:ascii="Arial" w:cs="Arial" w:eastAsia="Arial" w:hAnsi="Arial"/>
          <w:sz w:val="16"/>
          <w:szCs w:val="16"/>
          <w:color w:val="auto"/>
        </w:rPr>
        <w:t>The annual base salaries of our named executive officers are generally determined, approved and reviewed periodically by our compensation committee in order to compensate our named executive officers for the satisfactory performance of duties to our company. Annual base salaries are intended to provide a fixed component of compensation to our named executive officers, reflecting their skill sets, experience, roles and responsibilities. Base salaries for our named executive officers have generally been set at levels deemed necessary to attract and retain individuals with superior talent.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459"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annual base salaries for each of our named executive officers for 2019 and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862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vMerge w:val="restart"/>
          </w:tcPr>
          <w:p>
            <w:pPr>
              <w:spacing w:after="0"/>
              <w:rPr>
                <w:sz w:val="20"/>
                <w:szCs w:val="20"/>
                <w:color w:val="auto"/>
              </w:rPr>
            </w:pPr>
            <w:r>
              <w:rPr>
                <w:rFonts w:ascii="Arial" w:cs="Arial" w:eastAsia="Arial" w:hAnsi="Arial"/>
                <w:sz w:val="16"/>
                <w:szCs w:val="16"/>
                <w:b w:val="1"/>
                <w:bCs w:val="1"/>
                <w:color w:val="auto"/>
                <w:w w:val="91"/>
              </w:rPr>
              <w:t>Name</w:t>
            </w:r>
          </w:p>
        </w:tc>
        <w:tc>
          <w:tcPr>
            <w:tcW w:w="8620" w:type="dxa"/>
            <w:vAlign w:val="bottom"/>
            <w:vMerge w:val="restart"/>
          </w:tcPr>
          <w:p>
            <w:pPr>
              <w:spacing w:after="0"/>
              <w:rPr>
                <w:sz w:val="17"/>
                <w:szCs w:val="17"/>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88"/>
              </w:rPr>
              <w:t>Base Salary</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8"/>
              </w:rPr>
              <w:t>Base Salary</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vMerge w:val="continue"/>
          </w:tcPr>
          <w:p>
            <w:pPr>
              <w:spacing w:after="0"/>
              <w:rPr>
                <w:sz w:val="19"/>
                <w:szCs w:val="19"/>
                <w:color w:val="auto"/>
              </w:rPr>
            </w:pPr>
          </w:p>
        </w:tc>
        <w:tc>
          <w:tcPr>
            <w:tcW w:w="8620" w:type="dxa"/>
            <w:vAlign w:val="bottom"/>
            <w:vMerge w:val="continue"/>
          </w:tcPr>
          <w:p>
            <w:pPr>
              <w:spacing w:after="0"/>
              <w:rPr>
                <w:sz w:val="19"/>
                <w:szCs w:val="19"/>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Lloyd M. Segal</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430,000</w:t>
            </w:r>
          </w:p>
        </w:tc>
        <w:tc>
          <w:tcPr>
            <w:tcW w:w="5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Michael Zinda, Ph.D</w:t>
            </w:r>
            <w:r>
              <w:rPr>
                <w:rFonts w:ascii="Arial" w:cs="Arial" w:eastAsia="Arial" w:hAnsi="Arial"/>
                <w:sz w:val="15"/>
                <w:szCs w:val="15"/>
                <w:color w:val="auto"/>
              </w:rPr>
              <w:t>(1)</w:t>
            </w: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325,000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Maria Koehler, M.D. Ph.D.</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405,000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410,960</w:t>
            </w:r>
          </w:p>
        </w:tc>
        <w:tc>
          <w:tcPr>
            <w:tcW w:w="0" w:type="dxa"/>
            <w:vAlign w:val="bottom"/>
          </w:tcPr>
          <w:p>
            <w:pPr>
              <w:spacing w:after="0"/>
              <w:rPr>
                <w:sz w:val="1"/>
                <w:szCs w:val="1"/>
                <w:color w:val="auto"/>
              </w:rPr>
            </w:pPr>
          </w:p>
        </w:tc>
      </w:tr>
      <w:tr>
        <w:trPr>
          <w:trHeight w:val="230"/>
        </w:trPr>
        <w:tc>
          <w:tcPr>
            <w:tcW w:w="9040" w:type="dxa"/>
            <w:vAlign w:val="bottom"/>
            <w:gridSpan w:val="2"/>
          </w:tcPr>
          <w:p>
            <w:pPr>
              <w:spacing w:after="0"/>
              <w:rPr>
                <w:sz w:val="20"/>
                <w:szCs w:val="20"/>
                <w:color w:val="auto"/>
              </w:rPr>
            </w:pPr>
            <w:r>
              <w:rPr>
                <w:rFonts w:ascii="Arial" w:cs="Arial" w:eastAsia="Arial" w:hAnsi="Arial"/>
                <w:sz w:val="18"/>
                <w:szCs w:val="18"/>
                <w:color w:val="auto"/>
              </w:rPr>
              <w:t xml:space="preserve">Katina Dorton </w:t>
            </w:r>
            <w:r>
              <w:rPr>
                <w:rFonts w:ascii="Arial" w:cs="Arial" w:eastAsia="Arial" w:hAnsi="Arial"/>
                <w:sz w:val="15"/>
                <w:szCs w:val="15"/>
                <w:color w:val="auto"/>
              </w:rPr>
              <w:t>(2)</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350,000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9" w:lineRule="exact"/>
        <w:rPr>
          <w:sz w:val="20"/>
          <w:szCs w:val="20"/>
          <w:color w:val="auto"/>
        </w:rPr>
      </w:pPr>
    </w:p>
    <w:p>
      <w:pPr>
        <w:ind w:left="460" w:right="60" w:hanging="452"/>
        <w:spacing w:after="0" w:line="277"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Dr. Zinda was appointed as our Executive Vice President, Chief Scientific Officer in May 2019. His salary was increased from $285,000 to $325,000 in connection with his promotion.</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Ms. Dorton’s employment was terminated effective October 10,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17" w:lineRule="exact"/>
        <w:rPr>
          <w:sz w:val="20"/>
          <w:szCs w:val="20"/>
          <w:color w:val="auto"/>
        </w:rPr>
      </w:pPr>
    </w:p>
    <w:p>
      <w:pPr>
        <w:jc w:val="both"/>
        <w:ind w:right="260" w:firstLine="449"/>
        <w:spacing w:after="0" w:line="263" w:lineRule="auto"/>
        <w:rPr>
          <w:sz w:val="20"/>
          <w:szCs w:val="20"/>
          <w:color w:val="auto"/>
        </w:rPr>
      </w:pPr>
      <w:r>
        <w:rPr>
          <w:rFonts w:ascii="Arial" w:cs="Arial" w:eastAsia="Arial" w:hAnsi="Arial"/>
          <w:sz w:val="18"/>
          <w:szCs w:val="18"/>
          <w:color w:val="auto"/>
        </w:rPr>
        <w:t>In accordance with the terms of their respective employment agreements, our named executive officers are eligible to receive discretionary annual bonuses of up to a percentage of each executive’s gross base salary based on individual performance, company performance or as otherwise determined appropriate, as determined by the compensation committee of our board of directors.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93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934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Bonus</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8"/>
              </w:rPr>
              <w:t>Bonus</w:t>
            </w:r>
          </w:p>
        </w:tc>
        <w:tc>
          <w:tcPr>
            <w:tcW w:w="0" w:type="dxa"/>
            <w:vAlign w:val="bottom"/>
          </w:tcPr>
          <w:p>
            <w:pPr>
              <w:spacing w:after="0"/>
              <w:rPr>
                <w:sz w:val="1"/>
                <w:szCs w:val="1"/>
                <w:color w:val="auto"/>
              </w:rPr>
            </w:pPr>
          </w:p>
        </w:tc>
      </w:tr>
      <w:tr>
        <w:trPr>
          <w:trHeight w:val="203"/>
        </w:trPr>
        <w:tc>
          <w:tcPr>
            <w:tcW w:w="420" w:type="dxa"/>
            <w:vAlign w:val="bottom"/>
            <w:vMerge w:val="restart"/>
          </w:tcPr>
          <w:p>
            <w:pPr>
              <w:spacing w:after="0"/>
              <w:rPr>
                <w:sz w:val="20"/>
                <w:szCs w:val="20"/>
                <w:color w:val="auto"/>
              </w:rPr>
            </w:pPr>
            <w:r>
              <w:rPr>
                <w:rFonts w:ascii="Arial" w:cs="Arial" w:eastAsia="Arial" w:hAnsi="Arial"/>
                <w:sz w:val="16"/>
                <w:szCs w:val="16"/>
                <w:b w:val="1"/>
                <w:bCs w:val="1"/>
                <w:color w:val="auto"/>
                <w:w w:val="91"/>
              </w:rPr>
              <w:t>Name</w:t>
            </w:r>
          </w:p>
        </w:tc>
        <w:tc>
          <w:tcPr>
            <w:tcW w:w="9340" w:type="dxa"/>
            <w:vAlign w:val="bottom"/>
            <w:vMerge w:val="restart"/>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Target</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9"/>
              </w:rPr>
              <w:t>Target</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vMerge w:val="continue"/>
          </w:tcPr>
          <w:p>
            <w:pPr>
              <w:spacing w:after="0"/>
              <w:rPr>
                <w:sz w:val="19"/>
                <w:szCs w:val="19"/>
                <w:color w:val="auto"/>
              </w:rPr>
            </w:pPr>
          </w:p>
        </w:tc>
        <w:tc>
          <w:tcPr>
            <w:tcW w:w="934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Lloyd M. Segal</w:t>
            </w:r>
          </w:p>
        </w:tc>
        <w:tc>
          <w:tcPr>
            <w:tcW w:w="46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w w:val="79"/>
              </w:rPr>
              <w:t>30</w:t>
            </w: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60" w:type="dxa"/>
            <w:vAlign w:val="bottom"/>
            <w:gridSpan w:val="2"/>
          </w:tcPr>
          <w:p>
            <w:pPr>
              <w:spacing w:after="0"/>
              <w:rPr>
                <w:sz w:val="20"/>
                <w:szCs w:val="20"/>
                <w:color w:val="auto"/>
              </w:rPr>
            </w:pPr>
            <w:r>
              <w:rPr>
                <w:rFonts w:ascii="Arial" w:cs="Arial" w:eastAsia="Arial" w:hAnsi="Arial"/>
                <w:sz w:val="18"/>
                <w:szCs w:val="18"/>
                <w:color w:val="auto"/>
              </w:rPr>
              <w:t>Michael Zinda, Ph.D.</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20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Maria Koehler, M.D., Ph.D.</w:t>
            </w: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9760" w:type="dxa"/>
            <w:vAlign w:val="bottom"/>
            <w:gridSpan w:val="2"/>
          </w:tcPr>
          <w:p>
            <w:pPr>
              <w:spacing w:after="0"/>
              <w:rPr>
                <w:sz w:val="20"/>
                <w:szCs w:val="20"/>
                <w:color w:val="auto"/>
              </w:rPr>
            </w:pPr>
            <w:r>
              <w:rPr>
                <w:rFonts w:ascii="Arial" w:cs="Arial" w:eastAsia="Arial" w:hAnsi="Arial"/>
                <w:sz w:val="18"/>
                <w:szCs w:val="18"/>
                <w:color w:val="auto"/>
              </w:rPr>
              <w:t xml:space="preserve">Katina Dorton </w:t>
            </w:r>
            <w:r>
              <w:rPr>
                <w:rFonts w:ascii="Arial" w:cs="Arial" w:eastAsia="Arial" w:hAnsi="Arial"/>
                <w:sz w:val="15"/>
                <w:szCs w:val="15"/>
                <w:color w:val="auto"/>
              </w:rPr>
              <w:t>(1)</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35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1"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Ms. Dorton’s employment was terminated effective October 10, 2019.</w:t>
      </w:r>
    </w:p>
    <w:p>
      <w:pPr>
        <w:spacing w:after="0" w:line="225"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During fiscal year 2019, Mr. Segal and Drs. Zinda and Koehler earned bonuses as set forth in the 2019 Summary Compensation Table above based on specified company and individual performance metrics which were approved by the board of directors.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117" w:lineRule="exact"/>
        <w:rPr>
          <w:sz w:val="20"/>
          <w:szCs w:val="20"/>
          <w:color w:val="auto"/>
        </w:rPr>
      </w:pPr>
    </w:p>
    <w:p>
      <w:pPr>
        <w:jc w:val="both"/>
        <w:ind w:right="380" w:firstLine="449"/>
        <w:spacing w:after="0" w:line="263" w:lineRule="auto"/>
        <w:rPr>
          <w:sz w:val="20"/>
          <w:szCs w:val="20"/>
          <w:color w:val="auto"/>
        </w:rPr>
      </w:pPr>
      <w:r>
        <w:rPr>
          <w:rFonts w:ascii="Arial" w:cs="Arial" w:eastAsia="Arial" w:hAnsi="Arial"/>
          <w:sz w:val="18"/>
          <w:szCs w:val="18"/>
          <w:color w:val="auto"/>
        </w:rPr>
        <w:t>Our equity-based incentive awards granted to our named executive officers are designed to align our interests and those of our shareholders with those of our employees and consultants, including our executive officers. As of the date of this prospectus, share option awards were the only form of equity awards we have granted to any of our executive officers.</w:t>
      </w:r>
    </w:p>
    <w:p>
      <w:pPr>
        <w:spacing w:after="0" w:line="184" w:lineRule="exact"/>
        <w:rPr>
          <w:sz w:val="20"/>
          <w:szCs w:val="20"/>
          <w:color w:val="auto"/>
        </w:rPr>
      </w:pPr>
    </w:p>
    <w:p>
      <w:pPr>
        <w:ind w:right="360" w:firstLine="449"/>
        <w:spacing w:after="0" w:line="272" w:lineRule="auto"/>
        <w:rPr>
          <w:sz w:val="20"/>
          <w:szCs w:val="20"/>
          <w:color w:val="auto"/>
        </w:rPr>
      </w:pPr>
      <w:r>
        <w:rPr>
          <w:rFonts w:ascii="Arial" w:cs="Arial" w:eastAsia="Arial" w:hAnsi="Arial"/>
          <w:sz w:val="17"/>
          <w:szCs w:val="17"/>
          <w:color w:val="auto"/>
        </w:rPr>
        <w:t>We have historically used share options as an incentive for long-term compensation to our executive officers because the share options allow our executive officers to profit from this form of equity compensation only if our share price increases relative to the share option’s exercise price, which exercise price is set at the fair market value of our common shares on the date of grant. Vesting of equity awards is generally tied to each officer’s continuous service with us and serves as an additional retention measure. We may grant equity awards at such times as our board of directors or compensation committee determines appropriate. Our executives generally are awarded an initial grant in the form of a share option in connection with their commencement of employment with us. Additional grants may occur periodically in order to specifically incentivize executives with respect to achieving certain corporate goals or to reward executives for exceptional performance.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459"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Prior to this offering, we have granted all share options pursuant to our Repare Therapeutics Inc. Amended and Restated Option Plan, or the Existing Plan. Following this offering, we will grant equity incentive awards under the terms of the 2020 Equity Incentive Plan, or the 2020 Plan. The terms of our equity plans are described below under “— Equity Incentive Plans.”</w:t>
      </w:r>
    </w:p>
    <w:p>
      <w:pPr>
        <w:spacing w:after="0" w:line="184"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All options are granted with an exercise price per share that is no less than the fair market value of our common shares on the date of grant of such award. Our share option awards generally vest over a four-year period and may be subject to acceleration of vesting and exercisability under certain termination and change in control events. See “— Outstanding Equity Awards at Fiscal Year-End.”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right="360" w:firstLine="449"/>
        <w:spacing w:after="0" w:line="263" w:lineRule="auto"/>
        <w:rPr>
          <w:sz w:val="20"/>
          <w:szCs w:val="20"/>
          <w:color w:val="auto"/>
        </w:rPr>
      </w:pPr>
      <w:r>
        <w:rPr>
          <w:rFonts w:ascii="Arial" w:cs="Arial" w:eastAsia="Arial" w:hAnsi="Arial"/>
          <w:sz w:val="18"/>
          <w:szCs w:val="18"/>
          <w:color w:val="auto"/>
        </w:rPr>
        <w:t>The following table provides certain information regarding the outstanding equity awards granted to our named executive officers that remain outstanding as of December 31, 2019. All awards were granted pursuant to the Existing Plan. See “—Equity Incentive Plans– Existing Plan” below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ind w:left="400"/>
              <w:spacing w:after="0"/>
              <w:rPr>
                <w:sz w:val="20"/>
                <w:szCs w:val="20"/>
                <w:color w:val="auto"/>
              </w:rPr>
            </w:pPr>
            <w:r>
              <w:rPr>
                <w:rFonts w:ascii="Arial" w:cs="Arial" w:eastAsia="Arial" w:hAnsi="Arial"/>
                <w:sz w:val="13"/>
                <w:szCs w:val="13"/>
                <w:b w:val="1"/>
                <w:bCs w:val="1"/>
                <w:color w:val="auto"/>
              </w:rPr>
              <w:t xml:space="preserve">Option Awards </w:t>
            </w:r>
            <w:r>
              <w:rPr>
                <w:rFonts w:ascii="Arial" w:cs="Arial" w:eastAsia="Arial" w:hAnsi="Arial"/>
                <w:sz w:val="10"/>
                <w:szCs w:val="10"/>
                <w:b w:val="1"/>
                <w:bCs w:val="1"/>
                <w:color w:val="auto"/>
              </w:rPr>
              <w:t>(1)</w:t>
            </w:r>
          </w:p>
        </w:tc>
        <w:tc>
          <w:tcPr>
            <w:tcW w:w="8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46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6"/>
              </w:rPr>
              <w:t>Number of</w:t>
            </w:r>
          </w:p>
        </w:tc>
        <w:tc>
          <w:tcPr>
            <w:tcW w:w="1200" w:type="dxa"/>
            <w:vAlign w:val="bottom"/>
            <w:gridSpan w:val="2"/>
          </w:tcPr>
          <w:p>
            <w:pPr>
              <w:jc w:val="center"/>
              <w:ind w:right="231"/>
              <w:spacing w:after="0" w:line="110" w:lineRule="exact"/>
              <w:rPr>
                <w:sz w:val="20"/>
                <w:szCs w:val="20"/>
                <w:color w:val="auto"/>
              </w:rPr>
            </w:pPr>
            <w:r>
              <w:rPr>
                <w:rFonts w:ascii="Arial" w:cs="Arial" w:eastAsia="Arial" w:hAnsi="Arial"/>
                <w:sz w:val="12"/>
                <w:szCs w:val="12"/>
                <w:b w:val="1"/>
                <w:bCs w:val="1"/>
                <w:color w:val="auto"/>
                <w:w w:val="96"/>
              </w:rPr>
              <w:t>Number of</w:t>
            </w: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200" w:type="dxa"/>
            <w:vAlign w:val="bottom"/>
            <w:gridSpan w:val="2"/>
          </w:tcPr>
          <w:p>
            <w:pPr>
              <w:jc w:val="center"/>
              <w:ind w:right="251"/>
              <w:spacing w:after="0" w:line="135" w:lineRule="exact"/>
              <w:rPr>
                <w:sz w:val="20"/>
                <w:szCs w:val="20"/>
                <w:color w:val="auto"/>
              </w:rPr>
            </w:pPr>
            <w:r>
              <w:rPr>
                <w:rFonts w:ascii="Arial" w:cs="Arial" w:eastAsia="Arial" w:hAnsi="Arial"/>
                <w:sz w:val="13"/>
                <w:szCs w:val="13"/>
                <w:b w:val="1"/>
                <w:bCs w:val="1"/>
                <w:color w:val="auto"/>
                <w:w w:val="83"/>
              </w:rPr>
              <w:t>Securities</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Underlying</w:t>
            </w:r>
          </w:p>
        </w:tc>
        <w:tc>
          <w:tcPr>
            <w:tcW w:w="1200" w:type="dxa"/>
            <w:vAlign w:val="bottom"/>
            <w:gridSpan w:val="2"/>
          </w:tcPr>
          <w:p>
            <w:pPr>
              <w:jc w:val="center"/>
              <w:ind w:right="251"/>
              <w:spacing w:after="0" w:line="135" w:lineRule="exact"/>
              <w:rPr>
                <w:sz w:val="20"/>
                <w:szCs w:val="20"/>
                <w:color w:val="auto"/>
              </w:rPr>
            </w:pPr>
            <w:r>
              <w:rPr>
                <w:rFonts w:ascii="Arial" w:cs="Arial" w:eastAsia="Arial" w:hAnsi="Arial"/>
                <w:sz w:val="13"/>
                <w:szCs w:val="13"/>
                <w:b w:val="1"/>
                <w:bCs w:val="1"/>
                <w:color w:val="auto"/>
                <w:w w:val="88"/>
              </w:rPr>
              <w:t>Underlying</w:t>
            </w:r>
          </w:p>
        </w:tc>
        <w:tc>
          <w:tcPr>
            <w:tcW w:w="6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Option</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Principal</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0"/>
              </w:rPr>
              <w:t>Vesting</w:t>
            </w: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200" w:type="dxa"/>
            <w:vAlign w:val="bottom"/>
            <w:gridSpan w:val="2"/>
          </w:tcPr>
          <w:p>
            <w:pPr>
              <w:jc w:val="center"/>
              <w:ind w:right="231"/>
              <w:spacing w:after="0" w:line="135" w:lineRule="exact"/>
              <w:rPr>
                <w:sz w:val="20"/>
                <w:szCs w:val="20"/>
                <w:color w:val="auto"/>
              </w:rPr>
            </w:pPr>
            <w:r>
              <w:rPr>
                <w:rFonts w:ascii="Arial" w:cs="Arial" w:eastAsia="Arial" w:hAnsi="Arial"/>
                <w:sz w:val="13"/>
                <w:szCs w:val="13"/>
                <w:b w:val="1"/>
                <w:bCs w:val="1"/>
                <w:color w:val="auto"/>
                <w:w w:val="85"/>
              </w:rPr>
              <w:t>Unexercised</w:t>
            </w: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Exercise</w:t>
            </w:r>
          </w:p>
        </w:tc>
        <w:tc>
          <w:tcPr>
            <w:tcW w:w="9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126"/>
        </w:trPr>
        <w:tc>
          <w:tcPr>
            <w:tcW w:w="55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4"/>
              </w:rPr>
              <w:t>Commencement</w:t>
            </w:r>
          </w:p>
        </w:tc>
        <w:tc>
          <w:tcPr>
            <w:tcW w:w="880" w:type="dxa"/>
            <w:vAlign w:val="bottom"/>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87"/>
              </w:rPr>
              <w:t>Options (#)</w:t>
            </w:r>
          </w:p>
        </w:tc>
        <w:tc>
          <w:tcPr>
            <w:tcW w:w="1200" w:type="dxa"/>
            <w:vAlign w:val="bottom"/>
            <w:gridSpan w:val="2"/>
          </w:tcPr>
          <w:p>
            <w:pPr>
              <w:jc w:val="center"/>
              <w:ind w:right="251"/>
              <w:spacing w:after="0" w:line="126" w:lineRule="exact"/>
              <w:rPr>
                <w:sz w:val="20"/>
                <w:szCs w:val="20"/>
                <w:color w:val="auto"/>
              </w:rPr>
            </w:pPr>
            <w:r>
              <w:rPr>
                <w:rFonts w:ascii="Arial" w:cs="Arial" w:eastAsia="Arial" w:hAnsi="Arial"/>
                <w:sz w:val="13"/>
                <w:szCs w:val="13"/>
                <w:b w:val="1"/>
                <w:bCs w:val="1"/>
                <w:color w:val="auto"/>
                <w:w w:val="87"/>
              </w:rPr>
              <w:t>Options (#)</w:t>
            </w:r>
          </w:p>
        </w:tc>
        <w:tc>
          <w:tcPr>
            <w:tcW w:w="62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7"/>
              </w:rPr>
              <w:t>Price</w:t>
            </w:r>
          </w:p>
        </w:tc>
        <w:tc>
          <w:tcPr>
            <w:tcW w:w="900" w:type="dxa"/>
            <w:vAlign w:val="bottom"/>
            <w:gridSpan w:val="2"/>
          </w:tcPr>
          <w:p>
            <w:pPr>
              <w:jc w:val="center"/>
              <w:ind w:right="40"/>
              <w:spacing w:after="0" w:line="126" w:lineRule="exact"/>
              <w:rPr>
                <w:sz w:val="20"/>
                <w:szCs w:val="20"/>
                <w:color w:val="auto"/>
              </w:rPr>
            </w:pPr>
            <w:r>
              <w:rPr>
                <w:rFonts w:ascii="Arial" w:cs="Arial" w:eastAsia="Arial" w:hAnsi="Arial"/>
                <w:sz w:val="13"/>
                <w:szCs w:val="13"/>
                <w:b w:val="1"/>
                <w:bCs w:val="1"/>
                <w:color w:val="auto"/>
                <w:w w:val="91"/>
              </w:rPr>
              <w:t>Expiration</w:t>
            </w:r>
          </w:p>
        </w:tc>
        <w:tc>
          <w:tcPr>
            <w:tcW w:w="0" w:type="dxa"/>
            <w:vAlign w:val="bottom"/>
          </w:tcPr>
          <w:p>
            <w:pPr>
              <w:spacing w:after="0"/>
              <w:rPr>
                <w:sz w:val="1"/>
                <w:szCs w:val="1"/>
                <w:color w:val="auto"/>
              </w:rPr>
            </w:pPr>
          </w:p>
        </w:tc>
      </w:tr>
      <w:tr>
        <w:trPr>
          <w:trHeight w:val="168"/>
        </w:trPr>
        <w:tc>
          <w:tcPr>
            <w:tcW w:w="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5"/>
              </w:rPr>
              <w:t>Position</w:t>
            </w:r>
          </w:p>
        </w:tc>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Grant Date</w:t>
            </w: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(Exercisable)</w:t>
            </w:r>
          </w:p>
        </w:tc>
        <w:tc>
          <w:tcPr>
            <w:tcW w:w="1200" w:type="dxa"/>
            <w:vAlign w:val="bottom"/>
            <w:gridSpan w:val="2"/>
          </w:tcPr>
          <w:p>
            <w:pPr>
              <w:jc w:val="center"/>
              <w:ind w:right="251"/>
              <w:spacing w:after="0"/>
              <w:rPr>
                <w:sz w:val="20"/>
                <w:szCs w:val="20"/>
                <w:color w:val="auto"/>
              </w:rPr>
            </w:pPr>
            <w:r>
              <w:rPr>
                <w:rFonts w:ascii="Arial" w:cs="Arial" w:eastAsia="Arial" w:hAnsi="Arial"/>
                <w:sz w:val="13"/>
                <w:szCs w:val="13"/>
                <w:b w:val="1"/>
                <w:bCs w:val="1"/>
                <w:color w:val="auto"/>
                <w:w w:val="86"/>
              </w:rPr>
              <w:t>(Unexercisable)</w:t>
            </w: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(2)</w:t>
            </w:r>
          </w:p>
        </w:tc>
        <w:tc>
          <w:tcPr>
            <w:tcW w:w="14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189"/>
        </w:trPr>
        <w:tc>
          <w:tcPr>
            <w:tcW w:w="5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Lloyd M. Segal</w:t>
            </w: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12/1/2017</w:t>
            </w:r>
          </w:p>
        </w:tc>
        <w:tc>
          <w:tcPr>
            <w:tcW w:w="1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6/22/2017</w:t>
            </w: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1,093,750</w:t>
            </w:r>
          </w:p>
        </w:tc>
        <w:tc>
          <w:tcPr>
            <w:tcW w:w="1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656,250</w:t>
            </w:r>
          </w:p>
        </w:tc>
        <w:tc>
          <w:tcPr>
            <w:tcW w:w="320" w:type="dxa"/>
            <w:vAlign w:val="bottom"/>
            <w:tcBorders>
              <w:top w:val="single" w:sz="8" w:color="CCEEFF"/>
            </w:tcBorders>
            <w:shd w:val="clear" w:color="auto" w:fill="CCEEFF"/>
          </w:tcPr>
          <w:p>
            <w:pPr>
              <w:jc w:val="right"/>
              <w:ind w:right="91"/>
              <w:spacing w:after="0" w:line="155" w:lineRule="exact"/>
              <w:rPr>
                <w:sz w:val="20"/>
                <w:szCs w:val="20"/>
                <w:color w:val="auto"/>
              </w:rPr>
            </w:pPr>
            <w:r>
              <w:rPr>
                <w:rFonts w:ascii="Arial" w:cs="Arial" w:eastAsia="Arial" w:hAnsi="Arial"/>
                <w:sz w:val="14"/>
                <w:szCs w:val="14"/>
                <w:color w:val="auto"/>
                <w:w w:val="81"/>
              </w:rPr>
              <w:t>(3)</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6/22/2027</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gridSpan w:val="2"/>
          </w:tcPr>
          <w:p>
            <w:pPr>
              <w:ind w:left="340"/>
              <w:spacing w:after="0"/>
              <w:rPr>
                <w:sz w:val="20"/>
                <w:szCs w:val="20"/>
                <w:color w:val="auto"/>
              </w:rPr>
            </w:pPr>
            <w:r>
              <w:rPr>
                <w:rFonts w:ascii="Arial" w:cs="Arial" w:eastAsia="Arial" w:hAnsi="Arial"/>
                <w:sz w:val="16"/>
                <w:szCs w:val="16"/>
                <w:i w:val="1"/>
                <w:iCs w:val="1"/>
                <w:color w:val="auto"/>
              </w:rPr>
              <w:t>President and Chief Executive Officer</w:t>
            </w:r>
          </w:p>
        </w:tc>
        <w:tc>
          <w:tcPr>
            <w:tcW w:w="1060" w:type="dxa"/>
            <w:vAlign w:val="bottom"/>
            <w:gridSpan w:val="3"/>
          </w:tcPr>
          <w:p>
            <w:pPr>
              <w:jc w:val="right"/>
              <w:ind w:right="140"/>
              <w:spacing w:after="0"/>
              <w:rPr>
                <w:sz w:val="20"/>
                <w:szCs w:val="20"/>
                <w:color w:val="auto"/>
              </w:rPr>
            </w:pPr>
            <w:r>
              <w:rPr>
                <w:rFonts w:ascii="Arial" w:cs="Arial" w:eastAsia="Arial" w:hAnsi="Arial"/>
                <w:sz w:val="16"/>
                <w:szCs w:val="16"/>
                <w:color w:val="auto"/>
              </w:rPr>
              <w:t>3/29/2019</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3/29/2019</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91"/>
              <w:spacing w:after="0" w:line="202" w:lineRule="exact"/>
              <w:rPr>
                <w:sz w:val="20"/>
                <w:szCs w:val="20"/>
                <w:color w:val="auto"/>
              </w:rPr>
            </w:pPr>
            <w:r>
              <w:rPr>
                <w:rFonts w:ascii="Arial" w:cs="Arial" w:eastAsia="Arial" w:hAnsi="Arial"/>
                <w:sz w:val="14"/>
                <w:szCs w:val="14"/>
                <w:color w:val="auto"/>
              </w:rPr>
              <w:t>1,650,000</w:t>
            </w:r>
            <w:r>
              <w:rPr>
                <w:rFonts w:ascii="Arial" w:cs="Arial" w:eastAsia="Arial" w:hAnsi="Arial"/>
                <w:sz w:val="23"/>
                <w:szCs w:val="23"/>
                <w:color w:val="auto"/>
                <w:vertAlign w:val="superscript"/>
              </w:rPr>
              <w:t>(3)</w:t>
            </w:r>
          </w:p>
        </w:tc>
        <w:tc>
          <w:tcPr>
            <w:tcW w:w="480" w:type="dxa"/>
            <w:vAlign w:val="bottom"/>
          </w:tcPr>
          <w:p>
            <w:pPr>
              <w:jc w:val="right"/>
              <w:spacing w:after="0"/>
              <w:rPr>
                <w:sz w:val="20"/>
                <w:szCs w:val="20"/>
                <w:color w:val="auto"/>
              </w:rPr>
            </w:pPr>
            <w:r>
              <w:rPr>
                <w:rFonts w:ascii="Arial" w:cs="Arial" w:eastAsia="Arial" w:hAnsi="Arial"/>
                <w:sz w:val="16"/>
                <w:szCs w:val="16"/>
                <w:color w:val="auto"/>
              </w:rPr>
              <w:t>0.34</w:t>
            </w:r>
          </w:p>
        </w:tc>
        <w:tc>
          <w:tcPr>
            <w:tcW w:w="14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3/29/2029</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12/16/2019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12/16/2019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91"/>
              <w:spacing w:after="0" w:line="202" w:lineRule="exact"/>
              <w:rPr>
                <w:sz w:val="20"/>
                <w:szCs w:val="20"/>
                <w:color w:val="auto"/>
              </w:rPr>
            </w:pPr>
            <w:r>
              <w:rPr>
                <w:rFonts w:ascii="Arial" w:cs="Arial" w:eastAsia="Arial" w:hAnsi="Arial"/>
                <w:sz w:val="14"/>
                <w:szCs w:val="14"/>
                <w:color w:val="auto"/>
              </w:rPr>
              <w:t>2,950,000</w:t>
            </w:r>
            <w:r>
              <w:rPr>
                <w:rFonts w:ascii="Arial" w:cs="Arial" w:eastAsia="Arial" w:hAnsi="Arial"/>
                <w:sz w:val="23"/>
                <w:szCs w:val="23"/>
                <w:color w:val="auto"/>
                <w:vertAlign w:val="superscript"/>
              </w:rPr>
              <w:t>(4)</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12/16/2029</w:t>
            </w:r>
          </w:p>
        </w:tc>
        <w:tc>
          <w:tcPr>
            <w:tcW w:w="0" w:type="dxa"/>
            <w:vAlign w:val="bottom"/>
          </w:tcPr>
          <w:p>
            <w:pPr>
              <w:spacing w:after="0"/>
              <w:rPr>
                <w:sz w:val="1"/>
                <w:szCs w:val="1"/>
                <w:color w:val="auto"/>
              </w:rPr>
            </w:pPr>
          </w:p>
        </w:tc>
      </w:tr>
      <w:tr>
        <w:trPr>
          <w:trHeight w:val="311"/>
        </w:trPr>
        <w:tc>
          <w:tcPr>
            <w:tcW w:w="5500" w:type="dxa"/>
            <w:vAlign w:val="bottom"/>
            <w:gridSpan w:val="2"/>
          </w:tcPr>
          <w:p>
            <w:pPr>
              <w:spacing w:after="0"/>
              <w:rPr>
                <w:sz w:val="20"/>
                <w:szCs w:val="20"/>
                <w:color w:val="auto"/>
              </w:rPr>
            </w:pPr>
            <w:r>
              <w:rPr>
                <w:rFonts w:ascii="Arial" w:cs="Arial" w:eastAsia="Arial" w:hAnsi="Arial"/>
                <w:sz w:val="16"/>
                <w:szCs w:val="16"/>
                <w:color w:val="auto"/>
              </w:rPr>
              <w:t>Michael Zinda, Ph.D.</w:t>
            </w:r>
          </w:p>
        </w:tc>
        <w:tc>
          <w:tcPr>
            <w:tcW w:w="1060" w:type="dxa"/>
            <w:vAlign w:val="bottom"/>
            <w:gridSpan w:val="3"/>
          </w:tcPr>
          <w:p>
            <w:pPr>
              <w:jc w:val="right"/>
              <w:ind w:right="140"/>
              <w:spacing w:after="0"/>
              <w:rPr>
                <w:sz w:val="20"/>
                <w:szCs w:val="20"/>
                <w:color w:val="auto"/>
              </w:rPr>
            </w:pPr>
            <w:r>
              <w:rPr>
                <w:rFonts w:ascii="Arial" w:cs="Arial" w:eastAsia="Arial" w:hAnsi="Arial"/>
                <w:sz w:val="16"/>
                <w:szCs w:val="16"/>
                <w:color w:val="auto"/>
              </w:rPr>
              <w:t>12/1/2017</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6/14/2017</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125,000</w:t>
            </w:r>
          </w:p>
        </w:tc>
        <w:tc>
          <w:tcPr>
            <w:tcW w:w="1200" w:type="dxa"/>
            <w:vAlign w:val="bottom"/>
            <w:gridSpan w:val="2"/>
          </w:tcPr>
          <w:p>
            <w:pPr>
              <w:jc w:val="right"/>
              <w:ind w:right="91"/>
              <w:spacing w:after="0"/>
              <w:rPr>
                <w:sz w:val="20"/>
                <w:szCs w:val="20"/>
                <w:color w:val="auto"/>
              </w:rPr>
            </w:pPr>
            <w:r>
              <w:rPr>
                <w:rFonts w:ascii="Arial" w:cs="Arial" w:eastAsia="Arial" w:hAnsi="Arial"/>
                <w:sz w:val="16"/>
                <w:szCs w:val="16"/>
                <w:color w:val="auto"/>
              </w:rPr>
              <w:t>75,000</w:t>
            </w:r>
            <w:r>
              <w:rPr>
                <w:rFonts w:ascii="Arial" w:cs="Arial" w:eastAsia="Arial" w:hAnsi="Arial"/>
                <w:sz w:val="27"/>
                <w:szCs w:val="27"/>
                <w:color w:val="auto"/>
                <w:vertAlign w:val="superscript"/>
              </w:rPr>
              <w:t>(3)</w:t>
            </w:r>
          </w:p>
        </w:tc>
        <w:tc>
          <w:tcPr>
            <w:tcW w:w="480" w:type="dxa"/>
            <w:vAlign w:val="bottom"/>
          </w:tcPr>
          <w:p>
            <w:pPr>
              <w:jc w:val="right"/>
              <w:spacing w:after="0"/>
              <w:rPr>
                <w:sz w:val="20"/>
                <w:szCs w:val="20"/>
                <w:color w:val="auto"/>
              </w:rPr>
            </w:pPr>
            <w:r>
              <w:rPr>
                <w:rFonts w:ascii="Arial" w:cs="Arial" w:eastAsia="Arial" w:hAnsi="Arial"/>
                <w:sz w:val="16"/>
                <w:szCs w:val="16"/>
                <w:color w:val="auto"/>
              </w:rPr>
              <w:t>0.27</w:t>
            </w:r>
          </w:p>
        </w:tc>
        <w:tc>
          <w:tcPr>
            <w:tcW w:w="14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6/14/2027</w:t>
            </w: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CEEFF"/>
          </w:tcPr>
          <w:p>
            <w:pPr>
              <w:ind w:left="340"/>
              <w:spacing w:after="0"/>
              <w:rPr>
                <w:sz w:val="20"/>
                <w:szCs w:val="20"/>
                <w:color w:val="auto"/>
              </w:rPr>
            </w:pPr>
            <w:r>
              <w:rPr>
                <w:rFonts w:ascii="Arial" w:cs="Arial" w:eastAsia="Arial" w:hAnsi="Arial"/>
                <w:sz w:val="16"/>
                <w:szCs w:val="16"/>
                <w:i w:val="1"/>
                <w:iCs w:val="1"/>
                <w:color w:val="auto"/>
              </w:rPr>
              <w:t>Executive Vice President, Chief Scientific Officer</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12/1/2017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6/22/2017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359,375</w:t>
            </w:r>
          </w:p>
        </w:tc>
        <w:tc>
          <w:tcPr>
            <w:tcW w:w="1200" w:type="dxa"/>
            <w:vAlign w:val="bottom"/>
            <w:gridSpan w:val="2"/>
            <w:shd w:val="clear" w:color="auto" w:fill="CCEEFF"/>
          </w:tcPr>
          <w:p>
            <w:pPr>
              <w:jc w:val="right"/>
              <w:ind w:right="91"/>
              <w:spacing w:after="0" w:line="202" w:lineRule="exact"/>
              <w:rPr>
                <w:sz w:val="20"/>
                <w:szCs w:val="20"/>
                <w:color w:val="auto"/>
              </w:rPr>
            </w:pPr>
            <w:r>
              <w:rPr>
                <w:rFonts w:ascii="Arial" w:cs="Arial" w:eastAsia="Arial" w:hAnsi="Arial"/>
                <w:sz w:val="14"/>
                <w:szCs w:val="14"/>
                <w:color w:val="auto"/>
              </w:rPr>
              <w:t>215,625</w:t>
            </w:r>
            <w:r>
              <w:rPr>
                <w:rFonts w:ascii="Arial" w:cs="Arial" w:eastAsia="Arial" w:hAnsi="Arial"/>
                <w:sz w:val="23"/>
                <w:szCs w:val="23"/>
                <w:color w:val="auto"/>
                <w:vertAlign w:val="superscript"/>
              </w:rPr>
              <w:t>(3)</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6/22/2027</w:t>
            </w:r>
          </w:p>
        </w:tc>
        <w:tc>
          <w:tcPr>
            <w:tcW w:w="0" w:type="dxa"/>
            <w:vAlign w:val="bottom"/>
          </w:tcPr>
          <w:p>
            <w:pPr>
              <w:spacing w:after="0"/>
              <w:rPr>
                <w:sz w:val="1"/>
                <w:szCs w:val="1"/>
                <w:color w:val="auto"/>
              </w:rPr>
            </w:pPr>
          </w:p>
        </w:tc>
      </w:tr>
      <w:tr>
        <w:trPr>
          <w:trHeight w:val="203"/>
        </w:trPr>
        <w:tc>
          <w:tcPr>
            <w:tcW w:w="460" w:type="dxa"/>
            <w:vAlign w:val="bottom"/>
            <w:shd w:val="clear" w:color="auto" w:fill="CCEEFF"/>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6"/>
                <w:szCs w:val="16"/>
                <w:color w:val="auto"/>
              </w:rPr>
              <w:t>3/29/2019</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3/29/2019</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91"/>
              <w:spacing w:after="0" w:line="202" w:lineRule="exact"/>
              <w:rPr>
                <w:sz w:val="20"/>
                <w:szCs w:val="20"/>
                <w:color w:val="auto"/>
              </w:rPr>
            </w:pPr>
            <w:r>
              <w:rPr>
                <w:rFonts w:ascii="Arial" w:cs="Arial" w:eastAsia="Arial" w:hAnsi="Arial"/>
                <w:sz w:val="14"/>
                <w:szCs w:val="14"/>
                <w:color w:val="auto"/>
              </w:rPr>
              <w:t>570,000</w:t>
            </w:r>
            <w:r>
              <w:rPr>
                <w:rFonts w:ascii="Arial" w:cs="Arial" w:eastAsia="Arial" w:hAnsi="Arial"/>
                <w:sz w:val="23"/>
                <w:szCs w:val="23"/>
                <w:color w:val="auto"/>
                <w:vertAlign w:val="superscript"/>
              </w:rPr>
              <w:t>(3)</w:t>
            </w:r>
          </w:p>
        </w:tc>
        <w:tc>
          <w:tcPr>
            <w:tcW w:w="480" w:type="dxa"/>
            <w:vAlign w:val="bottom"/>
          </w:tcPr>
          <w:p>
            <w:pPr>
              <w:jc w:val="right"/>
              <w:spacing w:after="0"/>
              <w:rPr>
                <w:sz w:val="20"/>
                <w:szCs w:val="20"/>
                <w:color w:val="auto"/>
              </w:rPr>
            </w:pPr>
            <w:r>
              <w:rPr>
                <w:rFonts w:ascii="Arial" w:cs="Arial" w:eastAsia="Arial" w:hAnsi="Arial"/>
                <w:sz w:val="16"/>
                <w:szCs w:val="16"/>
                <w:color w:val="auto"/>
              </w:rPr>
              <w:t>0.34</w:t>
            </w:r>
          </w:p>
        </w:tc>
        <w:tc>
          <w:tcPr>
            <w:tcW w:w="14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3/29/2029</w:t>
            </w: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12/16/2019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12/16/2019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91"/>
              <w:spacing w:after="0" w:line="202" w:lineRule="exact"/>
              <w:rPr>
                <w:sz w:val="20"/>
                <w:szCs w:val="20"/>
                <w:color w:val="auto"/>
              </w:rPr>
            </w:pPr>
            <w:r>
              <w:rPr>
                <w:rFonts w:ascii="Arial" w:cs="Arial" w:eastAsia="Arial" w:hAnsi="Arial"/>
                <w:sz w:val="14"/>
                <w:szCs w:val="14"/>
                <w:color w:val="auto"/>
              </w:rPr>
              <w:t>1,200,000</w:t>
            </w:r>
            <w:r>
              <w:rPr>
                <w:rFonts w:ascii="Arial" w:cs="Arial" w:eastAsia="Arial" w:hAnsi="Arial"/>
                <w:sz w:val="23"/>
                <w:szCs w:val="23"/>
                <w:color w:val="auto"/>
                <w:vertAlign w:val="superscript"/>
              </w:rPr>
              <w:t>(4)</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12/16/2029</w:t>
            </w:r>
          </w:p>
        </w:tc>
        <w:tc>
          <w:tcPr>
            <w:tcW w:w="0" w:type="dxa"/>
            <w:vAlign w:val="bottom"/>
          </w:tcPr>
          <w:p>
            <w:pPr>
              <w:spacing w:after="0"/>
              <w:rPr>
                <w:sz w:val="1"/>
                <w:szCs w:val="1"/>
                <w:color w:val="auto"/>
              </w:rPr>
            </w:pPr>
          </w:p>
        </w:tc>
      </w:tr>
      <w:tr>
        <w:trPr>
          <w:trHeight w:val="311"/>
        </w:trPr>
        <w:tc>
          <w:tcPr>
            <w:tcW w:w="5500" w:type="dxa"/>
            <w:vAlign w:val="bottom"/>
            <w:gridSpan w:val="2"/>
          </w:tcPr>
          <w:p>
            <w:pPr>
              <w:spacing w:after="0"/>
              <w:rPr>
                <w:sz w:val="20"/>
                <w:szCs w:val="20"/>
                <w:color w:val="auto"/>
              </w:rPr>
            </w:pPr>
            <w:r>
              <w:rPr>
                <w:rFonts w:ascii="Arial" w:cs="Arial" w:eastAsia="Arial" w:hAnsi="Arial"/>
                <w:sz w:val="16"/>
                <w:szCs w:val="16"/>
                <w:color w:val="auto"/>
              </w:rPr>
              <w:t>Maria Koehler, M.D., Ph.D.</w:t>
            </w:r>
          </w:p>
        </w:tc>
        <w:tc>
          <w:tcPr>
            <w:tcW w:w="1060" w:type="dxa"/>
            <w:vAlign w:val="bottom"/>
            <w:gridSpan w:val="3"/>
          </w:tcPr>
          <w:p>
            <w:pPr>
              <w:jc w:val="right"/>
              <w:ind w:right="140"/>
              <w:spacing w:after="0"/>
              <w:rPr>
                <w:sz w:val="20"/>
                <w:szCs w:val="20"/>
                <w:color w:val="auto"/>
              </w:rPr>
            </w:pPr>
            <w:r>
              <w:rPr>
                <w:rFonts w:ascii="Arial" w:cs="Arial" w:eastAsia="Arial" w:hAnsi="Arial"/>
                <w:sz w:val="16"/>
                <w:szCs w:val="16"/>
                <w:color w:val="auto"/>
              </w:rPr>
              <w:t>3/29/2019</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5/1/2019</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91"/>
              <w:spacing w:after="0"/>
              <w:rPr>
                <w:sz w:val="20"/>
                <w:szCs w:val="20"/>
                <w:color w:val="auto"/>
              </w:rPr>
            </w:pPr>
            <w:r>
              <w:rPr>
                <w:rFonts w:ascii="Arial" w:cs="Arial" w:eastAsia="Arial" w:hAnsi="Arial"/>
                <w:sz w:val="16"/>
                <w:szCs w:val="16"/>
                <w:color w:val="auto"/>
              </w:rPr>
              <w:t>1,175,000</w:t>
            </w:r>
            <w:r>
              <w:rPr>
                <w:rFonts w:ascii="Arial" w:cs="Arial" w:eastAsia="Arial" w:hAnsi="Arial"/>
                <w:sz w:val="27"/>
                <w:szCs w:val="27"/>
                <w:color w:val="auto"/>
                <w:vertAlign w:val="superscript"/>
              </w:rPr>
              <w:t>(3)</w:t>
            </w:r>
          </w:p>
        </w:tc>
        <w:tc>
          <w:tcPr>
            <w:tcW w:w="480" w:type="dxa"/>
            <w:vAlign w:val="bottom"/>
          </w:tcPr>
          <w:p>
            <w:pPr>
              <w:jc w:val="right"/>
              <w:spacing w:after="0"/>
              <w:rPr>
                <w:sz w:val="20"/>
                <w:szCs w:val="20"/>
                <w:color w:val="auto"/>
              </w:rPr>
            </w:pPr>
            <w:r>
              <w:rPr>
                <w:rFonts w:ascii="Arial" w:cs="Arial" w:eastAsia="Arial" w:hAnsi="Arial"/>
                <w:sz w:val="16"/>
                <w:szCs w:val="16"/>
                <w:color w:val="auto"/>
              </w:rPr>
              <w:t>0.34</w:t>
            </w:r>
          </w:p>
        </w:tc>
        <w:tc>
          <w:tcPr>
            <w:tcW w:w="14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5/1/2029</w:t>
            </w: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CEEFF"/>
          </w:tcPr>
          <w:p>
            <w:pPr>
              <w:ind w:left="340"/>
              <w:spacing w:after="0"/>
              <w:rPr>
                <w:sz w:val="20"/>
                <w:szCs w:val="20"/>
                <w:color w:val="auto"/>
              </w:rPr>
            </w:pPr>
            <w:r>
              <w:rPr>
                <w:rFonts w:ascii="Arial" w:cs="Arial" w:eastAsia="Arial" w:hAnsi="Arial"/>
                <w:sz w:val="16"/>
                <w:szCs w:val="16"/>
                <w:i w:val="1"/>
                <w:iCs w:val="1"/>
                <w:color w:val="auto"/>
              </w:rPr>
              <w:t>Executive Vice President, Chief Medical Officer</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12/16/2019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12/16/2019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91"/>
              <w:spacing w:after="0" w:line="202" w:lineRule="exact"/>
              <w:rPr>
                <w:sz w:val="20"/>
                <w:szCs w:val="20"/>
                <w:color w:val="auto"/>
              </w:rPr>
            </w:pPr>
            <w:r>
              <w:rPr>
                <w:rFonts w:ascii="Arial" w:cs="Arial" w:eastAsia="Arial" w:hAnsi="Arial"/>
                <w:sz w:val="14"/>
                <w:szCs w:val="14"/>
                <w:color w:val="auto"/>
              </w:rPr>
              <w:t>675,000</w:t>
            </w:r>
            <w:r>
              <w:rPr>
                <w:rFonts w:ascii="Arial" w:cs="Arial" w:eastAsia="Arial" w:hAnsi="Arial"/>
                <w:sz w:val="23"/>
                <w:szCs w:val="23"/>
                <w:color w:val="auto"/>
                <w:vertAlign w:val="superscript"/>
              </w:rPr>
              <w:t>(5)</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12/16/2029</w:t>
            </w:r>
          </w:p>
        </w:tc>
        <w:tc>
          <w:tcPr>
            <w:tcW w:w="0" w:type="dxa"/>
            <w:vAlign w:val="bottom"/>
          </w:tcPr>
          <w:p>
            <w:pPr>
              <w:spacing w:after="0"/>
              <w:rPr>
                <w:sz w:val="1"/>
                <w:szCs w:val="1"/>
                <w:color w:val="auto"/>
              </w:rPr>
            </w:pPr>
          </w:p>
        </w:tc>
      </w:tr>
      <w:tr>
        <w:trPr>
          <w:trHeight w:val="307"/>
        </w:trPr>
        <w:tc>
          <w:tcPr>
            <w:tcW w:w="5500" w:type="dxa"/>
            <w:vAlign w:val="bottom"/>
            <w:gridSpan w:val="2"/>
          </w:tcPr>
          <w:p>
            <w:pPr>
              <w:spacing w:after="0"/>
              <w:rPr>
                <w:sz w:val="20"/>
                <w:szCs w:val="20"/>
                <w:color w:val="auto"/>
              </w:rPr>
            </w:pPr>
            <w:r>
              <w:rPr>
                <w:rFonts w:ascii="Arial" w:cs="Arial" w:eastAsia="Arial" w:hAnsi="Arial"/>
                <w:sz w:val="16"/>
                <w:szCs w:val="16"/>
                <w:color w:val="auto"/>
              </w:rPr>
              <w:t>Katina Dorton</w:t>
            </w:r>
          </w:p>
        </w:tc>
        <w:tc>
          <w:tcPr>
            <w:tcW w:w="1060" w:type="dxa"/>
            <w:vAlign w:val="bottom"/>
            <w:gridSpan w:val="3"/>
          </w:tcPr>
          <w:p>
            <w:pPr>
              <w:jc w:val="right"/>
              <w:ind w:right="140"/>
              <w:spacing w:after="0"/>
              <w:rPr>
                <w:sz w:val="20"/>
                <w:szCs w:val="20"/>
                <w:color w:val="auto"/>
              </w:rPr>
            </w:pPr>
            <w:r>
              <w:rPr>
                <w:rFonts w:ascii="Arial" w:cs="Arial" w:eastAsia="Arial" w:hAnsi="Arial"/>
                <w:sz w:val="16"/>
                <w:szCs w:val="16"/>
                <w:color w:val="auto"/>
              </w:rPr>
              <w:t>3/29/2019</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4/15/2019</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393,750</w:t>
            </w:r>
          </w:p>
        </w:tc>
        <w:tc>
          <w:tcPr>
            <w:tcW w:w="1200" w:type="dxa"/>
            <w:vAlign w:val="bottom"/>
            <w:gridSpan w:val="2"/>
          </w:tcPr>
          <w:p>
            <w:pPr>
              <w:jc w:val="right"/>
              <w:ind w:right="25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0.34</w:t>
            </w:r>
          </w:p>
        </w:tc>
        <w:tc>
          <w:tcPr>
            <w:tcW w:w="14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4/10/2020</w:t>
            </w:r>
          </w:p>
        </w:tc>
        <w:tc>
          <w:tcPr>
            <w:tcW w:w="0" w:type="dxa"/>
            <w:vAlign w:val="bottom"/>
          </w:tcPr>
          <w:p>
            <w:pPr>
              <w:spacing w:after="0"/>
              <w:rPr>
                <w:sz w:val="1"/>
                <w:szCs w:val="1"/>
                <w:color w:val="auto"/>
              </w:rPr>
            </w:pPr>
          </w:p>
        </w:tc>
      </w:tr>
      <w:tr>
        <w:trPr>
          <w:trHeight w:val="206"/>
        </w:trPr>
        <w:tc>
          <w:tcPr>
            <w:tcW w:w="5500" w:type="dxa"/>
            <w:vAlign w:val="bottom"/>
            <w:gridSpan w:val="2"/>
            <w:shd w:val="clear" w:color="auto" w:fill="CCEEFF"/>
          </w:tcPr>
          <w:p>
            <w:pPr>
              <w:ind w:left="340"/>
              <w:spacing w:after="0"/>
              <w:rPr>
                <w:sz w:val="20"/>
                <w:szCs w:val="20"/>
                <w:color w:val="auto"/>
              </w:rPr>
            </w:pPr>
            <w:r>
              <w:rPr>
                <w:rFonts w:ascii="Arial" w:cs="Arial" w:eastAsia="Arial" w:hAnsi="Arial"/>
                <w:sz w:val="16"/>
                <w:szCs w:val="16"/>
                <w:i w:val="1"/>
                <w:iCs w:val="1"/>
                <w:color w:val="auto"/>
              </w:rPr>
              <w:t>Former Executive Vice President, Chief Financial Officer</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60" w:type="dxa"/>
            <w:vAlign w:val="bottom"/>
            <w:tcBorders>
              <w:bottom w:val="single" w:sz="8" w:color="auto"/>
            </w:tcBorders>
          </w:tcPr>
          <w:p>
            <w:pPr>
              <w:spacing w:after="0"/>
              <w:rPr>
                <w:sz w:val="4"/>
                <w:szCs w:val="4"/>
                <w:color w:val="auto"/>
              </w:rPr>
            </w:pPr>
          </w:p>
        </w:tc>
        <w:tc>
          <w:tcPr>
            <w:tcW w:w="5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All of the awards in this table were granted under the Existing Plan, the terms of which are described below under “—Equity Incentive Plans – Existing Plan.”</w:t>
      </w:r>
    </w:p>
    <w:p>
      <w:pPr>
        <w:spacing w:after="0" w:line="33" w:lineRule="exact"/>
        <w:rPr>
          <w:rFonts w:ascii="Arial" w:cs="Arial" w:eastAsia="Arial" w:hAnsi="Arial"/>
          <w:sz w:val="15"/>
          <w:szCs w:val="15"/>
          <w:color w:val="auto"/>
        </w:rPr>
      </w:pPr>
    </w:p>
    <w:p>
      <w:pPr>
        <w:ind w:left="460" w:right="60" w:hanging="452"/>
        <w:spacing w:after="0" w:line="264"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All of the option awards listed in the table were granted with an exercise price per share that is no less than the fair market value of our common shares on the date of grant of such award, as determined in good faith by our board of directors.</w:t>
      </w:r>
    </w:p>
    <w:p>
      <w:pPr>
        <w:ind w:left="460" w:right="20" w:hanging="452"/>
        <w:spacing w:after="0" w:line="264"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Twenty-five percent of the common shares subject to this award vested on the first anniversary of the vesting commencement date, and the remaining shares vested in 36 equal monthly installments thereafter, subject to the officer’s continued service through each vesting date.</w:t>
      </w:r>
    </w:p>
    <w:p>
      <w:pPr>
        <w:ind w:left="460" w:right="20" w:hanging="452"/>
        <w:spacing w:after="0" w:line="264"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Twenty-five percent of the common shares subject to this award vested on the first anniversary of the vesting commencement date, and the remaining shares vested in 39 equal monthly installments thereafter, subject to the officer’s continued service through each vesting date.</w:t>
      </w:r>
    </w:p>
    <w:p>
      <w:pPr>
        <w:ind w:left="460" w:right="520" w:hanging="452"/>
        <w:spacing w:after="0" w:line="288"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vesting of Ms. Dorton’s option award accelerated upon her termination of employment effective October 10, 2019, pursuant to the terms of her separation agreement with us.</w:t>
      </w:r>
    </w:p>
    <w:p>
      <w:pPr>
        <w:spacing w:after="0" w:line="171" w:lineRule="exact"/>
        <w:rPr>
          <w:sz w:val="20"/>
          <w:szCs w:val="20"/>
          <w:color w:val="auto"/>
        </w:rPr>
      </w:pPr>
    </w:p>
    <w:p>
      <w:pPr>
        <w:ind w:right="360" w:firstLine="449"/>
        <w:spacing w:after="0" w:line="308" w:lineRule="auto"/>
        <w:rPr>
          <w:sz w:val="20"/>
          <w:szCs w:val="20"/>
          <w:color w:val="auto"/>
        </w:rPr>
      </w:pPr>
      <w:r>
        <w:rPr>
          <w:rFonts w:ascii="Arial" w:cs="Arial" w:eastAsia="Arial" w:hAnsi="Arial"/>
          <w:sz w:val="17"/>
          <w:szCs w:val="17"/>
          <w:color w:val="auto"/>
        </w:rPr>
        <w:t>On and after this offering, we may, on an annual basis or otherwise, grant additional equity awards to our executive officers pursuant to our 2020 Equity Incentive Plan, or the 2020 Plan, the terms of which are described below under “—Equity Incentive Plans—2020 Plan.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459" w:right="3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12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have entered into employment agreements with each of our named executive officers. The agreements set forth the initial terms and conditions of the executive’s employment with us, including initial base salary, bonus opportunity, eligibility for employee benefits and severance benefits upon a qualifying termination of employment, subject to certain non-solicitation and non-competition provisions. Any potential payments and benefits due upon a qualifying termination of employment or a change in control are further described below under “— Potential Payments and Benefits upon Termination or Change in Control.”</w:t>
      </w:r>
    </w:p>
    <w:p>
      <w:pPr>
        <w:spacing w:after="0" w:line="188"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The employment of each of our named executive officers is “at will” and may be terminated at any time. In addition, each of our named executive officers has executed a form of our standard proprietary information and inventions agreement. The material terms of each agreement are described below.</w:t>
      </w:r>
    </w:p>
    <w:p>
      <w:pPr>
        <w:spacing w:after="0" w:line="124"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In connection with this offering, we intend to enter new employment agreements with each of our named executive officers that will replace and supersede the agreements described below.</w:t>
      </w:r>
    </w:p>
    <w:p>
      <w:pPr>
        <w:spacing w:after="0" w:line="170"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b w:val="1"/>
          <w:bCs w:val="1"/>
          <w:i w:val="1"/>
          <w:iCs w:val="1"/>
          <w:color w:val="auto"/>
        </w:rPr>
        <w:t xml:space="preserve">Lloyd M. Segal. </w:t>
      </w:r>
      <w:r>
        <w:rPr>
          <w:rFonts w:ascii="Arial" w:cs="Arial" w:eastAsia="Arial" w:hAnsi="Arial"/>
          <w:sz w:val="17"/>
          <w:szCs w:val="17"/>
          <w:color w:val="auto"/>
        </w:rPr>
        <w:t>We entered into an employment agreement with Mr. Segal in January 2018, effective July 1, 2017, in connection with 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appointment as our President and Chief Executive Officer. The employment agreement provides for a base salary and target bonus opportunity, which shall be reviewed and may be adjusted by the Compensation Committee of our board of directors on an annual basis. Mr. Segal’s compensation has been subsequently increased to the amounts described above. To qualify for the annual target bonus set at a percentage of his adjusted base salary, in respect of any calendar year, Mr. Segal must remain continuously employed with us through the date that such bonus is paid, which will be before the end of February of the following year. Under the employment agreement, we agreed to grant Mr. Segal an option to acquire 1,750,000 shares of our common shares pursuant to the terms of the Existing Plan, at an exercise price of $0.27 per share; 25% of the shares vested on the one-year anniversary of the grant date, with the remainder vesting monthly in equal installments over the following 36 months such that the share options vested in full on the four-year anniversary of the grant date, subject to Mr. Segal’s continuous employment through such vesting dates. Mr. Segal is also eligible for additional equity awards under our equity compensation plans, as may be granted from time to time.</w:t>
      </w:r>
    </w:p>
    <w:p>
      <w:pPr>
        <w:spacing w:after="0" w:line="185"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b w:val="1"/>
          <w:bCs w:val="1"/>
          <w:i w:val="1"/>
          <w:iCs w:val="1"/>
          <w:color w:val="auto"/>
        </w:rPr>
        <w:t xml:space="preserve">Michael Zinda, Ph.D. </w:t>
      </w:r>
      <w:r>
        <w:rPr>
          <w:rFonts w:ascii="Arial" w:cs="Arial" w:eastAsia="Arial" w:hAnsi="Arial"/>
          <w:sz w:val="16"/>
          <w:szCs w:val="16"/>
          <w:color w:val="auto"/>
        </w:rPr>
        <w:t>We entered into an employment agreement with Dr. Zinda in August 2017, effective June 14, 2017, in connection with 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appointment as our Executive Vice President, Head of Research and Development from June 2017 to May 2019. He subsequently was promoted to the role of our Executive Vice President, Chief Scientific Officer in May 2019. The employment agreement provides for a base salary and target bonus opportunity, which shall be reviewed and may be adjusted by the Compensation Committee of our board of directors on an annual basis. Dr. Zinda’s compensation has been subsequently increased to the amounts described above, including in connection with his promotion. To qualify for the annual target bonus set at a percentage of his adjusted base salary in respect of any calendar year, Dr. Zinda must remain continuously employed with us through the end of the applicable calendar year. Under the employment agreement, we granted Dr. Zinda an initial option to acquire 200,000 shares of our common shares. In addition, under the employment agreement, we granted Dr. Zinda an option to acquire 575,000 shares of our common shares upon the initial closing of our Series A preferred share financing. Each grant is pursuant to the terms of the Existing Plan, has an exercise price of $0.27 per share; 25% of the shares vested on the one-year anniversary of the grant date, with the remainder vesting monthly in equal installments over the following 36 months such that share options will be vested in full on the four-year anniversary of the grant date, subject to Dr. Zinda’s continuous employment through such vesting dates.</w:t>
      </w:r>
    </w:p>
    <w:p>
      <w:pPr>
        <w:spacing w:after="0" w:line="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Dr. Zinda is also eligible for additional equity awards under our equity compensation plans, as may be granted from time to time. Under the agreement, we agreed to annually contribute 7.5% of Dr. Zinda’s base salary as in effect to an individual retirement account maintained for the benefit of Dr. Zinda or a similar pension program, to be selected at his direction. The employment agreement provided that until we provided standardized, group medical, dental, and vision insurance, Dr. Zinda could submit reimbursements for personal and dental insurance coverage, up to $2,500 per month. Such obligation to provide reimbursement ended June 30, 2019 when we began to provide these health and welfare benefits for U.S. employees, as discussed further under “-Health and Welfare and Retirement Benefits; Perquisites.”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320" w:top="459" w:right="3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84" w:lineRule="auto"/>
        <w:rPr>
          <w:sz w:val="20"/>
          <w:szCs w:val="20"/>
          <w:color w:val="auto"/>
        </w:rPr>
      </w:pPr>
      <w:r>
        <w:rPr>
          <w:rFonts w:ascii="Arial" w:cs="Arial" w:eastAsia="Arial" w:hAnsi="Arial"/>
          <w:sz w:val="16"/>
          <w:szCs w:val="16"/>
          <w:b w:val="1"/>
          <w:bCs w:val="1"/>
          <w:i w:val="1"/>
          <w:iCs w:val="1"/>
          <w:color w:val="auto"/>
        </w:rPr>
        <w:t xml:space="preserve">Maria Koehler, M.D., Ph.D. </w:t>
      </w:r>
      <w:r>
        <w:rPr>
          <w:rFonts w:ascii="Arial" w:cs="Arial" w:eastAsia="Arial" w:hAnsi="Arial"/>
          <w:sz w:val="16"/>
          <w:szCs w:val="16"/>
          <w:color w:val="auto"/>
        </w:rPr>
        <w:t>We entered into an employment agreement with Dr. Koehler in April 2019, effective May 1, 2019, in connection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 appointment as our Executive Vice President, Chief Medical Officer. The employment agreement provides for a base salary and target bonus opportunity, which shall be reviewed and may be adjusted by the Compensation Committee of our board of directors on an annual basis. Dr. Koehler’s compensation has been subsequently increased to the amounts described above. To qualify for the annual target bonus set at a percentage of his adjusted base salary in respect of any calendar year, Dr. Koehler must remain continuously employed with us through the date that the annual target bonus is approved by the Compensation Committee, which will be prior to March 15 of the following year. Under the employment agreement, we granted</w:t>
      </w:r>
    </w:p>
    <w:p>
      <w:pPr>
        <w:spacing w:after="0" w:line="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Dr. Koehler an option to acquire 1,175,000 shares of our common shares pursuant to the Existing Plan, at an exercise price of $0.34 per share; 25% of the shares vested on the one-year anniversary of the grant date, with the remainder vesting monthly in equal installments over the following 36 months such that it will be vested in full on the four-year anniversary of the grant date, subject to Dr. Koehler’s continuous employment through such vesting dates. The employment agreement provided that until we provided standardized, group medical, dental, and vision insurance, Dr. Koehler could submit reimbursements for personal and dental insurance coverage, up to $2,500 per month. Such obligation to provide reimbursement ended June 30, 2019 when we began to provide these health and welfare benefits for U.S. employees, as discussed further under “- Health and Welfare and Retirement Benefits; Perquisites.” As of July 1, 2019, we now pay the employee portion of her medical and dental insurance premiums.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 with Katina Dorton</w:t>
      </w:r>
    </w:p>
    <w:p>
      <w:pPr>
        <w:spacing w:after="0" w:line="229" w:lineRule="exact"/>
        <w:rPr>
          <w:sz w:val="20"/>
          <w:szCs w:val="20"/>
          <w:color w:val="auto"/>
        </w:rPr>
      </w:pPr>
    </w:p>
    <w:p>
      <w:pPr>
        <w:ind w:right="120" w:firstLine="449"/>
        <w:spacing w:after="0" w:line="283" w:lineRule="auto"/>
        <w:rPr>
          <w:sz w:val="20"/>
          <w:szCs w:val="20"/>
          <w:color w:val="auto"/>
        </w:rPr>
      </w:pPr>
      <w:r>
        <w:rPr>
          <w:rFonts w:ascii="Arial" w:cs="Arial" w:eastAsia="Arial" w:hAnsi="Arial"/>
          <w:sz w:val="16"/>
          <w:szCs w:val="16"/>
          <w:color w:val="auto"/>
        </w:rPr>
        <w:t>Ms. Dorton’s employment as our Executive Vice President, Chief Financial Officer was terminated effective October 10, 2019. In connection with her termination, we entered into a separation agreement with Ms. Dorton and an independent contractor agreement with Ms. Dorton, pursuant to which Ms. Dorton agreed to provide us with certain consulting services following her termination and through December 31, 2019. In connection with the separation agreement, she entered into a full and final release of any claims relating to her employment with us or termination therefrom. Pursuant to her separation agreement, Ms. Dorton received the following severance benefits: (i) her fully earned but unpaid base salary through the date of termination at the rate then in effect, plus accrued vacation and any other reimbursements or expenses to which she was entitled; (ii) a cash payment, payable in nine equal monthly installments, in the amount of $354,375, reduced dollar-for-dollar by the $9,000 in consulting fees paid to Ms. Dorton pursuant to her independent contractor agreement; (iii) continuation of health benefits for a period of nine months following her termination date; and (iv) the automatic acceleration of the vesting and exercisability of 393,750 outstanding but unvested stock options. The remaining 956,250 stock options then held by</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Ms. Dorton were immediately forfeited on her termination date. Ms. Dorton may exercise her vested options within six months following her termination.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She subsequently exercised all of her vested options on January 8,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and Benefits upon Termination or Change in Control</w:t>
      </w:r>
    </w:p>
    <w:p>
      <w:pPr>
        <w:spacing w:after="0" w:line="121"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Prior to the completion of this offering, we intend to enter into change in control and severance agreements with each of Mr. Segal, Dr. Zinda and Dr. Koehler, respectively, which will supersede all previous severance and change in control arrangements we had entered into with these executive officers.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and Retirement Benefits; Perquisites</w:t>
      </w:r>
    </w:p>
    <w:p>
      <w:pPr>
        <w:spacing w:after="0" w:line="121"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These payments and benefits discussed above are in addition to eligibility to participate in benefits available generally to salaried employees, including accrued benefits under our health and welfare plans and arrangements and vacation pay or other accrued benefits under our medical and dental insurance plans, that are not generally described. Since 2017, we have offered medical, dental, vision, life and accidental death and dismemberment insurance to our Canadian employees. Prior to July 1, 2019, we did not provide any health or welfare benefits to our U.S. employees. We also did provide reimbursements to employees to cover COBRA monthly payments.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60"/>
          </w:cols>
          <w:pgMar w:left="320" w:top="459" w:right="4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Now, we offer medical, dental, vision, life and accidental death and dismemberment insurance to our U.S. employees. We only provide limited perquisites or personal benefits to our named executive officers. Our board of directors may elect to adopt qualified or nonqualified benefit plans in the future, if it determines that doing so is in our best interests.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intends to adopt the 2020 Plan in connection with this offering, which will be subsequently approved by our shareholders. Our</w:t>
      </w:r>
    </w:p>
    <w:p>
      <w:pPr>
        <w:spacing w:after="0" w:line="46"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2020 Plan will be a successor to and continuation of our Existing Plan. The 2020 Plan will become effective upon, and no share awards may be granted under the 2020 Plan until, the date of the underwriting agreement related to this offering. Once the 2020 Plan is effective, no further grants will be made under the Existing Plan.</w:t>
      </w:r>
    </w:p>
    <w:p>
      <w:pPr>
        <w:spacing w:after="0" w:line="190" w:lineRule="exact"/>
        <w:rPr>
          <w:sz w:val="20"/>
          <w:szCs w:val="20"/>
          <w:color w:val="auto"/>
        </w:rPr>
      </w:pPr>
    </w:p>
    <w:p>
      <w:pPr>
        <w:ind w:right="380" w:firstLine="449"/>
        <w:spacing w:after="0" w:line="259"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Our 2020 Plan provides for the grant of incentive share options, or ISOs, within the meaning of Section 422 of the Code, to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employees of any parent or subsidiary, and for the grant of nonstatutory share options, or NSOs, share appreciation rights, restricted share awards, restricted share unit awards, performance share awards, performance cash awards and other forms of share awards to employees, directors and consultants, including employees and consultants of our affiliates.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Authorized Shares. </w:t>
      </w:r>
      <w:r>
        <w:rPr>
          <w:rFonts w:ascii="Arial" w:cs="Arial" w:eastAsia="Arial" w:hAnsi="Arial"/>
          <w:sz w:val="16"/>
          <w:szCs w:val="16"/>
          <w:color w:val="auto"/>
        </w:rPr>
        <w:t>Initially, the maximum number of our common shares that may be issued under our 2020 Plan after it becomes effective will be</w:t>
      </w:r>
    </w:p>
    <w:p>
      <w:pPr>
        <w:spacing w:after="0" w:line="46" w:lineRule="exact"/>
        <w:rPr>
          <w:sz w:val="20"/>
          <w:szCs w:val="20"/>
          <w:color w:val="auto"/>
        </w:rPr>
      </w:pPr>
    </w:p>
    <w:p>
      <w:pPr>
        <w:ind w:firstLine="765"/>
        <w:spacing w:after="0" w:line="281" w:lineRule="auto"/>
        <w:rPr>
          <w:sz w:val="20"/>
          <w:szCs w:val="20"/>
          <w:color w:val="auto"/>
        </w:rPr>
      </w:pPr>
      <w:r>
        <w:rPr>
          <w:rFonts w:ascii="Arial" w:cs="Arial" w:eastAsia="Arial" w:hAnsi="Arial"/>
          <w:sz w:val="16"/>
          <w:szCs w:val="16"/>
          <w:color w:val="auto"/>
        </w:rPr>
        <w:t>shares, which is the sum of (1) new shares, plus (2) the number of shares (not to exceed shares) (i) that remain available for the issuance of awards under our Existing Plan at the time our 2020 Plan becomes effective, and (ii) any shares subject to outstanding options or other share awards that were granted under our Existing Plan that terminate or expire prior to exercise or settlement; are forfeited because of the failure to vest; or are reacquired or withheld (or not issued) to satisfy a tax withholding obligation or the purchase or exercise price. In addition, the number of our common shares reserved for issuance under our 2020 Plan will automatically increase on January 1 of each calendar year, starting on January 1, 2021 (assuming the 2020 Plan becomes effective in 2020) through January 1, 2030, in an amount equal to 5.0% of the total number of our capital shares outstanding on the last day of the calendar month before the date of each automatic increase, or a lesser number of shares determined by our board of directors. The maximum</w:t>
      </w:r>
    </w:p>
    <w:p>
      <w:pPr>
        <w:spacing w:after="0" w:line="4" w:lineRule="exact"/>
        <w:rPr>
          <w:sz w:val="20"/>
          <w:szCs w:val="20"/>
          <w:color w:val="auto"/>
        </w:rPr>
      </w:pPr>
    </w:p>
    <w:p>
      <w:pPr>
        <w:spacing w:after="0"/>
        <w:tabs>
          <w:tab w:leader="none" w:pos="7780" w:val="left"/>
        </w:tabs>
        <w:rPr>
          <w:sz w:val="20"/>
          <w:szCs w:val="20"/>
          <w:color w:val="auto"/>
        </w:rPr>
      </w:pPr>
      <w:r>
        <w:rPr>
          <w:rFonts w:ascii="Arial" w:cs="Arial" w:eastAsia="Arial" w:hAnsi="Arial"/>
          <w:sz w:val="18"/>
          <w:szCs w:val="18"/>
          <w:color w:val="auto"/>
        </w:rPr>
        <w:t>number of our common shares that may be issued on the exercise of ISOs under our 2020 Plan is</w:t>
      </w:r>
      <w:r>
        <w:rPr>
          <w:sz w:val="20"/>
          <w:szCs w:val="20"/>
          <w:color w:val="auto"/>
        </w:rPr>
        <w:tab/>
      </w:r>
      <w:r>
        <w:rPr>
          <w:rFonts w:ascii="Arial" w:cs="Arial" w:eastAsia="Arial" w:hAnsi="Arial"/>
          <w:sz w:val="13"/>
          <w:szCs w:val="13"/>
          <w:color w:val="auto"/>
        </w:rPr>
        <w:t>shares.</w:t>
      </w:r>
    </w:p>
    <w:p>
      <w:pPr>
        <w:spacing w:after="0" w:line="21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Shares subject to share awards granted under our 2020 Plan that expire or terminate without being exercised in full or that are paid out in cash rather than in shares do not reduce the number of shares available for issuance under our 2020 Plan. If any common shares issued pursuant to a share award are forfeited back to or repurchased or reacquired by us for any reason, the shares that are forfeited or repurchased or reacquired will revert to and again become available for issuance under the 2020 Plan. Any shares reacquired in satisfaction of tax withholding obligations or as consideration for the exercise or purchase price of a share award will again become available for issuance under the 2020 Plan.</w:t>
      </w:r>
    </w:p>
    <w:p>
      <w:pPr>
        <w:spacing w:after="0" w:line="176"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 maximum number of common shares subject to share awards granted under the 2020 Plan or otherwise during any one calendar year to any non-employee director, taken together with any cash fees paid by us to such non-employee director during such calendar year for service on the board of directors, will not exceed $1.0 million in total value (calculating the value of any such share awards based on the grant date fair value of such share awards for financial reporting purposes), or, with respect to the calendar year in which a non-employee director is first appointed or elected to our board of directors, $1.0 million.</w:t>
      </w:r>
    </w:p>
    <w:p>
      <w:pPr>
        <w:spacing w:after="0" w:line="188"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duly authorized committee of our board of directors, will administer our 2020 Plan and is 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to as the “plan administrator” herein. Our board of directors may also delegate to one or more of our officers the authority to (1) designate employees (other than officers) to receive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459" w:right="3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specified share awards and (2) determine the number of shares subject to such share awards. Under our 2020 Plan, our board of directors has the authority to determine award recipients, grant dates, the numbers and types of share awards to be granted, the applicable fair market value, and the provisions of each share award, including the period of exercisability and the vesting schedule applicable to a share award.</w:t>
      </w:r>
    </w:p>
    <w:p>
      <w:pPr>
        <w:spacing w:after="0" w:line="165"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Under the 2020 Plan, the board of directors also generally has the authority to effect, with the consent of any adversely affected participant, (A) the reduction of the exercise, purchase, or strike price of any outstanding award; (B) the cancellation of any outstanding award and the grant in substitution therefore of other awards, cash, or other consideration; or (C) any other action that is treated as a repricing under generally accepted accounting principles.</w:t>
      </w:r>
    </w:p>
    <w:p>
      <w:pPr>
        <w:spacing w:after="0" w:line="149"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ISOs and NSOs are granted under option agreements adopted by the plan administrator. The plan administrator determines the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for options, within the terms and conditions of the 2020 Plan, provided that the exercise price of an option generally cannot be less than 100% of the fair market value of our common shares on the date of grant. Options granted under the 2020 Plan vest at the rate specified in the option agreement as determined by the plan administrator.</w:t>
      </w:r>
    </w:p>
    <w:p>
      <w:pPr>
        <w:spacing w:after="0" w:line="187"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The plan administrator determines the term of options granted under the 2020 Plan, up to a maximum of 10 years. Unless the terms of an optionholder’s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or our insider trading policy.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81"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Acceptable consideration for the purchase of common shares issued upon the exercise of an option will be determined by the plan administrator and may include (1) cash, check, bank draft or money order, (2) a broker-assisted cashless exercise, (3) the tender of our common shares previously owned by the optionholder, (4) a net exercise of the option if it is an NSO, or (5) other legal consideration approved by the plan administrator.</w:t>
      </w:r>
    </w:p>
    <w:p>
      <w:pPr>
        <w:spacing w:after="0" w:line="14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or the laws of descent and distribution. Subject to approval of the plan administrator or a duly authorized officer in each case, (i) an option may be transferred pursuant to a domestic relations order, official marital settlement agreement, or other divorce or separation instrument and (ii) an optionholder may designate a beneficiary who may exercise the option following the optionholder’s death.</w:t>
      </w:r>
    </w:p>
    <w:p>
      <w:pPr>
        <w:spacing w:after="0" w:line="18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i w:val="1"/>
          <w:iCs w:val="1"/>
          <w:color w:val="auto"/>
        </w:rPr>
        <w:t xml:space="preserve">Tax Limitations on ISOs. </w:t>
      </w:r>
      <w:r>
        <w:rPr>
          <w:rFonts w:ascii="Arial" w:cs="Arial" w:eastAsia="Arial" w:hAnsi="Arial"/>
          <w:sz w:val="18"/>
          <w:szCs w:val="18"/>
          <w:color w:val="auto"/>
        </w:rPr>
        <w:t>The aggregate fair market value, determined at the time of grant, of our common shares with respect to ISOs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for the first time by an award holder during any calendar year under all of our equity benefit plans may not exceed $100,000. Options or portions thereof that exceed such limit will generally be treated as NSOs. No ISO may be granted to any person who, at the time of the grant, owns or is deemed to own shares possessing more than 10% of our total combined voting power or that of any of our affiliates unless (1) the option exercise price is at least 110% of the fair market value of the shares subject to the option on the date of grant, and (2) the term of the ISO does not exceed five years from the date of grant.</w:t>
      </w:r>
    </w:p>
    <w:p>
      <w:pPr>
        <w:spacing w:after="0" w:line="192" w:lineRule="exact"/>
        <w:rPr>
          <w:sz w:val="20"/>
          <w:szCs w:val="20"/>
          <w:color w:val="auto"/>
        </w:rPr>
      </w:pPr>
    </w:p>
    <w:p>
      <w:pPr>
        <w:ind w:right="440" w:firstLine="449"/>
        <w:spacing w:after="0" w:line="263" w:lineRule="auto"/>
        <w:rPr>
          <w:sz w:val="20"/>
          <w:szCs w:val="20"/>
          <w:color w:val="auto"/>
        </w:rPr>
      </w:pPr>
      <w:r>
        <w:rPr>
          <w:rFonts w:ascii="Arial" w:cs="Arial" w:eastAsia="Arial" w:hAnsi="Arial"/>
          <w:sz w:val="18"/>
          <w:szCs w:val="18"/>
          <w:i w:val="1"/>
          <w:iCs w:val="1"/>
          <w:color w:val="auto"/>
        </w:rPr>
        <w:t xml:space="preserve">Restricted Share Unit Awards. </w:t>
      </w:r>
      <w:r>
        <w:rPr>
          <w:rFonts w:ascii="Arial" w:cs="Arial" w:eastAsia="Arial" w:hAnsi="Arial"/>
          <w:sz w:val="18"/>
          <w:szCs w:val="18"/>
          <w:color w:val="auto"/>
        </w:rPr>
        <w:t>Restricted share unit awards are granted under restricted share unit award agreements adopted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Restricted share unit awards may be granted in consideration for any form of legal consideration that may be acceptable to our board of directors and permissible under applicable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459" w:right="3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law. A restricted share unit award may be settled by cash, delivery of shares, a combination of cash and shares as deemed appropriate by the plan administrator, or in any other form of consideration set forth in the restricted share unit award agreement. Additionally, dividend equivalents may be credited in respect of shares covered by a restricted share unit award. Except as otherwise provided in the applicable award agreement, restricted share unit awards that have not vested will be forfeited once the participant’s continuous service ends for any reason.</w:t>
      </w:r>
    </w:p>
    <w:p>
      <w:pPr>
        <w:spacing w:after="0" w:line="171"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i w:val="1"/>
          <w:iCs w:val="1"/>
          <w:color w:val="auto"/>
        </w:rPr>
        <w:t xml:space="preserve">Restricted Share Awards. </w:t>
      </w:r>
      <w:r>
        <w:rPr>
          <w:rFonts w:ascii="Arial" w:cs="Arial" w:eastAsia="Arial" w:hAnsi="Arial"/>
          <w:sz w:val="18"/>
          <w:szCs w:val="18"/>
          <w:color w:val="auto"/>
        </w:rPr>
        <w:t>Restricted share awards are granted under restricted share award agreements adopted by the plan administrator. A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 award may be awarded in consideration for cash, check, bank draft or money order, past or future services to us, or any other form of legal consideration that may be acceptable to our board of directors and permissible under applicable law. The plan administrator determines the terms and conditions of restricted share awards, including vesting and forfeiture terms. If a participant’s service relationship with us ends for any reason, we may receive any or all of the common shares held by the participant that have not vested as of the date the participant terminates service with us through a forfeiture condition or a repurchase right.</w:t>
      </w:r>
    </w:p>
    <w:p>
      <w:pPr>
        <w:spacing w:after="0" w:line="192"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i w:val="1"/>
          <w:iCs w:val="1"/>
          <w:color w:val="auto"/>
        </w:rPr>
        <w:t xml:space="preserve">Share Appreciation Rights. </w:t>
      </w:r>
      <w:r>
        <w:rPr>
          <w:rFonts w:ascii="Arial" w:cs="Arial" w:eastAsia="Arial" w:hAnsi="Arial"/>
          <w:sz w:val="18"/>
          <w:szCs w:val="18"/>
          <w:color w:val="auto"/>
        </w:rPr>
        <w:t>Share appreciation rights are granted under share appreciation right agreements adopted by the plan administrator.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determines the purchase price or strike price for a share appreciation right, which generally cannot be less than 100% of the fair market value of our common shares on the date of grant. A share appreciation right granted under the 2020 Plan vests at the rate specified in the share appreciation right agreement as determined by the plan administrator.</w:t>
      </w:r>
    </w:p>
    <w:p>
      <w:pPr>
        <w:spacing w:after="0" w:line="187" w:lineRule="exact"/>
        <w:rPr>
          <w:sz w:val="20"/>
          <w:szCs w:val="20"/>
          <w:color w:val="auto"/>
        </w:rPr>
      </w:pPr>
    </w:p>
    <w:p>
      <w:pPr>
        <w:ind w:right="100" w:firstLine="449"/>
        <w:spacing w:after="0" w:line="253" w:lineRule="auto"/>
        <w:rPr>
          <w:sz w:val="20"/>
          <w:szCs w:val="20"/>
          <w:color w:val="auto"/>
        </w:rPr>
      </w:pPr>
      <w:r>
        <w:rPr>
          <w:rFonts w:ascii="Arial" w:cs="Arial" w:eastAsia="Arial" w:hAnsi="Arial"/>
          <w:sz w:val="18"/>
          <w:szCs w:val="18"/>
          <w:color w:val="auto"/>
        </w:rPr>
        <w:t>The plan administrator determines the term of share appreciation rights granted under the 2020 Plan, up to a maximum of 10 years. If a participant’s service relationship with us or any of our affiliates ceases for any reason other than cause, disability, or death, the participant may generally exercise any vested share appreciation right for a period of three months following the cessation of service. This period may be further extended in the event that exercise of the share appreciation right following such a termination of service is prohibited by applicable securities laws or our insider trading policy. If a participant’s service relationship with us, or any of our affiliates, ceases due to disability or death, or a participant dies within a certain period following cessation of service, the participant or a beneficiary may generally exercise any vested share appreciation right for a period of 12 months in the event of disability and 18 months in the event of death. In the event of a termination for cause, share appreciation rights generally terminate immediately upon the occurrence of the event giving rise to the termination of the individual for cause. In no event may a share appreciation right be exercised beyond the expiration of its term.</w:t>
      </w:r>
    </w:p>
    <w:p>
      <w:pPr>
        <w:spacing w:after="0" w:line="196" w:lineRule="exact"/>
        <w:rPr>
          <w:sz w:val="20"/>
          <w:szCs w:val="20"/>
          <w:color w:val="auto"/>
        </w:rPr>
      </w:pPr>
    </w:p>
    <w:p>
      <w:pPr>
        <w:jc w:val="both"/>
        <w:ind w:right="320" w:firstLine="449"/>
        <w:spacing w:after="0" w:line="263"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The 2020 Plan permits the grant of performance-based share and cash awards. Our compensation committee may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so that the share or cash will be issued or paid only following the achievement of certain pre-established performance goals during a designated performance period.</w:t>
      </w:r>
    </w:p>
    <w:p>
      <w:pPr>
        <w:spacing w:after="0" w:line="184" w:lineRule="exact"/>
        <w:rPr>
          <w:sz w:val="20"/>
          <w:szCs w:val="20"/>
          <w:color w:val="auto"/>
        </w:rPr>
      </w:pPr>
    </w:p>
    <w:p>
      <w:pPr>
        <w:jc w:val="both"/>
        <w:ind w:right="520" w:firstLine="449"/>
        <w:spacing w:after="0" w:line="287" w:lineRule="auto"/>
        <w:rPr>
          <w:sz w:val="20"/>
          <w:szCs w:val="20"/>
          <w:color w:val="auto"/>
        </w:rPr>
      </w:pPr>
      <w:r>
        <w:rPr>
          <w:rFonts w:ascii="Arial" w:cs="Arial" w:eastAsia="Arial" w:hAnsi="Arial"/>
          <w:sz w:val="16"/>
          <w:szCs w:val="16"/>
          <w:color w:val="auto"/>
        </w:rPr>
        <w:t>The performance goals that may be selected include one or more of the following: (i) sales; (ii) revenues; (iii) assets; (iv) expenses; (v) market penetration or expansion; (vi) earnings from operations; (vii) earnings before or after deduction for all or any portion of interest, taxes, depreciation, amortization, incentives, service fees or extraordinary or special items, whether or not on a continuing operations or an aggregate or per share basis;</w:t>
      </w:r>
    </w:p>
    <w:p>
      <w:pPr>
        <w:spacing w:after="0" w:line="2" w:lineRule="exact"/>
        <w:rPr>
          <w:sz w:val="20"/>
          <w:szCs w:val="20"/>
          <w:color w:val="auto"/>
        </w:rPr>
      </w:pPr>
    </w:p>
    <w:p>
      <w:pPr>
        <w:ind w:left="420" w:hanging="412"/>
        <w:spacing w:after="0"/>
        <w:tabs>
          <w:tab w:leader="none" w:pos="4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net income or net income per common share (basic or diluted); (ix) return on equity, investment, capital or assets; (x) one or more operating ratios;</w:t>
      </w:r>
    </w:p>
    <w:p>
      <w:pPr>
        <w:spacing w:after="0" w:line="32" w:lineRule="exact"/>
        <w:rPr>
          <w:rFonts w:ascii="Arial" w:cs="Arial" w:eastAsia="Arial" w:hAnsi="Arial"/>
          <w:sz w:val="16"/>
          <w:szCs w:val="16"/>
          <w:color w:val="auto"/>
        </w:rPr>
      </w:pPr>
    </w:p>
    <w:p>
      <w:pPr>
        <w:ind w:right="100" w:firstLine="8"/>
        <w:spacing w:after="0" w:line="281" w:lineRule="auto"/>
        <w:tabs>
          <w:tab w:leader="none" w:pos="30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borrowing levels, leverage ratios or credit rating; (xii) market share; (xiii) capital expenditures; (xiv) cash flow, free cash flow, cash flow return on investment, or net cash provided by operations; (xv) share price, dividends or total shareholder return; (xvi) development of new technologies or products;</w:t>
      </w:r>
    </w:p>
    <w:p>
      <w:pPr>
        <w:spacing w:after="0" w:line="1" w:lineRule="exact"/>
        <w:rPr>
          <w:rFonts w:ascii="Arial" w:cs="Arial" w:eastAsia="Arial" w:hAnsi="Arial"/>
          <w:sz w:val="16"/>
          <w:szCs w:val="16"/>
          <w:color w:val="auto"/>
        </w:rPr>
      </w:pPr>
    </w:p>
    <w:p>
      <w:pPr>
        <w:ind w:firstLine="8"/>
        <w:spacing w:after="0" w:line="253" w:lineRule="auto"/>
        <w:tabs>
          <w:tab w:leader="none" w:pos="44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sales of particular products or services; (xviii) economic value created or added; (xix) operating margin or profit margin; (xx) customer acquisition or retention; (xxi) raising or refinancing of capital; (xxii) successful hiring of key individuals; (xxiii) resolution of significant litigation; (xxiv) acquisitions and divestitures (in whole or in part); (xxv) joint ventures and strategic alliances; (xxvi) spin-offs, split-ups and the like; (xxvii) reorganizations; (xxviii) recapitalizations, restructurings, financings (issuance of debt or equity) or refinancings; (xxix) or strategic business criteria, consisting of one or more objectives based on the following</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320" w:top="459" w:right="3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goals: achievement of timely development, design management or enrollment, meeting specified market penetration or value added, payor acceptance, patient adherence, peer reviewed publications, issuance of new patents, establishment of or securing of licenses to intellectual property, product development or introduction (including, without limitation, any clinical trial accomplishments, regulatory or other filings, approvals or milestones, discovery of novel products, maintenance of multiple products in pipeline, product launch or other product development milestones), geographic business expansion, cost targets, cost reductions or savings, customer satisfaction, operating efficiency, acquisition or retention, employee satisfaction, information technology, corporate development (including, without limitation, licenses, innovation, research or establishment of third-party collaborations), manufacturing or process development, legal compliance or risk reduction, patent application or issuance goals, or goals relating to acquisitions, divestitures or other business combinations (in whole or in part), joint ventures or strategic alliances; and (xxx) other measures of performance selected by the board of directors.</w:t>
      </w:r>
    </w:p>
    <w:p>
      <w:pPr>
        <w:spacing w:after="0" w:line="196" w:lineRule="exact"/>
        <w:rPr>
          <w:sz w:val="20"/>
          <w:szCs w:val="20"/>
          <w:color w:val="auto"/>
        </w:rPr>
      </w:pPr>
    </w:p>
    <w:p>
      <w:pPr>
        <w:ind w:right="20" w:firstLine="449"/>
        <w:spacing w:after="0" w:line="283" w:lineRule="auto"/>
        <w:rPr>
          <w:sz w:val="20"/>
          <w:szCs w:val="20"/>
          <w:color w:val="auto"/>
        </w:rPr>
      </w:pPr>
      <w:r>
        <w:rPr>
          <w:rFonts w:ascii="Arial" w:cs="Arial" w:eastAsia="Arial" w:hAnsi="Arial"/>
          <w:sz w:val="16"/>
          <w:szCs w:val="16"/>
          <w:color w:val="auto"/>
        </w:rPr>
        <w:t>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Our board of directors is authorized at any time in its sole discretion, to adjust or modify the calculation of a performance goal for such performance period in order to prevent the dilution or enlargement of the rights of participants, (a) in the event of, or in anticipation of, any unusual or extraordinary corporate item, transaction, event or development; (b) in recognition of, or in anticipation of, any other unusual or nonrecurring events affecting us, or our financial statements in response to, or in anticipation of, changes in applicable laws, regulations, accounting principles, or business conditions; or (c) in view of the board of director’s assessment of our business strategy, performance of comparable organizations, economic and business conditions, and any other circumstances deemed relevant. Specifically, the board of directors is authorized to make adjustment in the method of calculating attainment of performance goals and objectives for a performance period as follows: (i) to exclude the dilutive effects of acquisitions or joint ventures;</w:t>
      </w:r>
    </w:p>
    <w:p>
      <w:pPr>
        <w:spacing w:after="0" w:line="6" w:lineRule="exact"/>
        <w:rPr>
          <w:sz w:val="20"/>
          <w:szCs w:val="20"/>
          <w:color w:val="auto"/>
        </w:rPr>
      </w:pPr>
    </w:p>
    <w:p>
      <w:pPr>
        <w:ind w:firstLine="8"/>
        <w:spacing w:after="0" w:line="286" w:lineRule="auto"/>
        <w:tabs>
          <w:tab w:leader="none" w:pos="26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assume that any business divested by us achieved performance objectives at targeted levels during the balance of a performance period following such divestiture; and (iii) to exclude the effect of any change in our outstanding common share by reason of any share dividend or split, share repurchase, reorganization, recapitalization, merger, consolidation, spin-off, combination or exchange of shares or other similar corporate change, or any distributions to common shareholders other than regular cash dividends. In addition, the board of directors is authorized to make adjustment in the method of calculating attainment of performance goals and objectives for a performance period as follows: (i) to exclude restructuring and/or other nonrecurring charges; (ii) to exclude exchange rate effects, as applicable, for non-U.S. dollar denominated net sales and operating earnings; to exclude the effects of changes to generally accepted accounting standards required by the Financial Accounting Standards Board; (iv) to exclude the effects of any items that are “unusual” in nature or occur “infrequently” as determined under generally accepted accounting principles; (v) to exclude the effects to any statutory adjustments to corporate tax rates; and (vi) to make other appropriate adjustments selected by the board of directors.</w:t>
      </w:r>
    </w:p>
    <w:p>
      <w:pPr>
        <w:spacing w:after="0" w:line="172" w:lineRule="exact"/>
        <w:rPr>
          <w:sz w:val="20"/>
          <w:szCs w:val="20"/>
          <w:color w:val="auto"/>
        </w:rPr>
      </w:pPr>
    </w:p>
    <w:p>
      <w:pPr>
        <w:ind w:right="700" w:firstLine="449"/>
        <w:spacing w:after="0" w:line="308" w:lineRule="auto"/>
        <w:rPr>
          <w:sz w:val="20"/>
          <w:szCs w:val="20"/>
          <w:color w:val="auto"/>
        </w:rPr>
      </w:pPr>
      <w:r>
        <w:rPr>
          <w:rFonts w:ascii="Arial" w:cs="Arial" w:eastAsia="Arial" w:hAnsi="Arial"/>
          <w:sz w:val="17"/>
          <w:szCs w:val="17"/>
          <w:i w:val="1"/>
          <w:iCs w:val="1"/>
          <w:color w:val="auto"/>
        </w:rPr>
        <w:t>Other Share Awards</w:t>
      </w:r>
      <w:r>
        <w:rPr>
          <w:rFonts w:ascii="Arial" w:cs="Arial" w:eastAsia="Arial" w:hAnsi="Arial"/>
          <w:sz w:val="17"/>
          <w:szCs w:val="17"/>
          <w:color w:val="auto"/>
        </w:rPr>
        <w:t>. The plan administrator may grant other awards based in whole or in part by reference to our common shares.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set the number of shares under the share award and all other terms and conditions of such awards.</w:t>
      </w:r>
    </w:p>
    <w:p>
      <w:pPr>
        <w:spacing w:after="0" w:line="146"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 share split, reverse share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(1) the class and maximum number of shares reserved for issuance under the 2020 Plan, (2) the class and maximum number of shares by which the share reserve may increase automatically each year, (3) the class and maximum number of shares that may be issued on the exercise of ISOs and (4) the class and number of shares and exercise price, strike price, or purchase price, if applicable, of all outstanding share awards.</w:t>
      </w:r>
    </w:p>
    <w:p>
      <w:pPr>
        <w:spacing w:after="0" w:line="188"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Our 2020 Plan provides that in the event of certain specified significant corporate transactions (or a change in control,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below), unless otherwise provided in an award agreement or other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320" w:top="459" w:right="3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written agreement between us and the award holder, the plan administrator may take one or more of the following actions with respect to such share awards:</w:t>
      </w:r>
    </w:p>
    <w:p>
      <w:pPr>
        <w:spacing w:after="0" w:line="76" w:lineRule="exact"/>
        <w:rPr>
          <w:sz w:val="20"/>
          <w:szCs w:val="20"/>
          <w:color w:val="auto"/>
        </w:rPr>
      </w:pPr>
    </w:p>
    <w:p>
      <w:pPr>
        <w:ind w:left="1000" w:hanging="547"/>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share award by a successor corporation;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us to a successor corporation;</w:t>
      </w:r>
    </w:p>
    <w:p>
      <w:pPr>
        <w:spacing w:after="0" w:line="130" w:lineRule="exact"/>
        <w:rPr>
          <w:rFonts w:ascii="Arial" w:cs="Arial" w:eastAsia="Arial" w:hAnsi="Arial"/>
          <w:sz w:val="18"/>
          <w:szCs w:val="18"/>
          <w:color w:val="auto"/>
        </w:rPr>
      </w:pPr>
    </w:p>
    <w:p>
      <w:pPr>
        <w:ind w:left="1000" w:right="260" w:hanging="547"/>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accelerate the vesting, in whole or in part, of the share award and provide for its termination if not exercised (if applicable) at or before the effective time of the transaction;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us;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cancel or arrange for the cancellation of the share award, to the extent not vested or not exercised before the effective time of the transaction, in exchange for a cash payment, if any; or</w:t>
      </w:r>
    </w:p>
    <w:p>
      <w:pPr>
        <w:spacing w:after="0" w:line="75" w:lineRule="exact"/>
        <w:rPr>
          <w:rFonts w:ascii="Arial" w:cs="Arial" w:eastAsia="Arial" w:hAnsi="Arial"/>
          <w:sz w:val="18"/>
          <w:szCs w:val="18"/>
          <w:color w:val="auto"/>
        </w:rPr>
      </w:pPr>
    </w:p>
    <w:p>
      <w:pPr>
        <w:ind w:left="1000" w:right="400" w:hanging="547"/>
        <w:spacing w:after="0" w:line="263"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make a payment equal to the excess, if any, of (A) the value of the property the participant would have received on exercise of the award immediately before the effective time of the transaction, over (B) any exercise price payable by the participant in connection with the exercise.</w:t>
      </w:r>
    </w:p>
    <w:p>
      <w:pPr>
        <w:spacing w:after="0" w:line="18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plan administrator is not obligated to treat all share awards or portions of share awards in the same manner and is not obligated to take the same actions with respect to all participants.</w:t>
      </w:r>
    </w:p>
    <w:p>
      <w:pPr>
        <w:spacing w:after="0" w:line="170"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Under the 2020 Plan, a corporate transaction is generally the consummation of: (1) a sale of all or substantially all of our assets, (2) the sale or disposition of more than 50% of our outstanding securities, (3) a merger or consolidation where we do not survive the transaction, or (4) a merger or consolidation where we do survive the transaction but our common shares outstanding immediately before such transaction are converted or exchanged into other property by virtue of the transaction.</w:t>
      </w:r>
    </w:p>
    <w:p>
      <w:pPr>
        <w:spacing w:after="0" w:line="187"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In the event of a change in control, the plan administrator may take any of the above-mentioned actions. Awards granted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2020 Plan may be subject to additional acceleration of vesting and exercisability upon or after a change in control as may be provided in the applicable share award agreement or in any other written agreement between us or any affiliate and the participant, but in the absence of such provision, no such acceleration will automatically occur. Under the 2020 Plan, a change in control is generally (1) the acquisition by any person or company of more than 50% of the combined voting power of our then outstanding shares, (2) a merger, consolidation or similar transaction in which our shareholders immediately before the transaction do not own, directly or indirectly, more than 50% of the combined voting power of the surviving entity (or the parent of the surviving entity) in substantially the same proportions as their ownership immediately prior to such transaction, (3) a sale, lease, exclusive license or other disposition of all or substantially all of our assets other than to an entity more than 50% of the combined voting power of which is owned by our shareholders in substantially the same proportions as their ownership of our outstanding voting securities immediately prior to such transaction, (4) a complete dissolution or liquidation of the company or (5) when a majority of our board of directors becomes comprised of individuals who were not serving on our board of directors on the date of the underwriting agreement related to this offering, or the incumbent board, or whose nomination, appointment, or election was not approved by a majority of the incumbent board still in office.</w:t>
      </w:r>
    </w:p>
    <w:p>
      <w:pPr>
        <w:spacing w:after="0" w:line="179"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has the authority to amend, suspend, or terminate our 2020 Plan, provided that such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materially impair the existing rights of any participant without such participant’s written consent. Certain material amendments also require the approval of our shareholders. No ISOs may be granted after the tenth anniversary of the date our board of directors adopts our 2020 Plan. No share awards may be granted under our 2020 Plan while it is suspended or after it is terminated.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Existing Plan</w:t>
      </w:r>
    </w:p>
    <w:p>
      <w:pPr>
        <w:spacing w:after="0" w:line="117" w:lineRule="exact"/>
        <w:rPr>
          <w:sz w:val="20"/>
          <w:szCs w:val="20"/>
          <w:color w:val="auto"/>
        </w:rPr>
      </w:pPr>
    </w:p>
    <w:p>
      <w:pPr>
        <w:ind w:right="900" w:firstLine="449"/>
        <w:spacing w:after="0" w:line="277" w:lineRule="auto"/>
        <w:rPr>
          <w:sz w:val="20"/>
          <w:szCs w:val="20"/>
          <w:color w:val="auto"/>
        </w:rPr>
      </w:pPr>
      <w:r>
        <w:rPr>
          <w:rFonts w:ascii="Arial" w:cs="Arial" w:eastAsia="Arial" w:hAnsi="Arial"/>
          <w:sz w:val="18"/>
          <w:szCs w:val="18"/>
          <w:i w:val="1"/>
          <w:iCs w:val="1"/>
          <w:color w:val="auto"/>
        </w:rPr>
        <w:t>Genera</w:t>
      </w:r>
      <w:r>
        <w:rPr>
          <w:rFonts w:ascii="Arial" w:cs="Arial" w:eastAsia="Arial" w:hAnsi="Arial"/>
          <w:sz w:val="18"/>
          <w:szCs w:val="18"/>
          <w:color w:val="auto"/>
        </w:rPr>
        <w:t>l. Our board of directors originally adopted and our shareholders initially approved our Existing Plan in December 2016.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amended and restated our Existing Plan, most recently in September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459" w:right="3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2019, the purpose of which was to increase the number of shares available for issuance under our Existing Plan. Our shareholders approved this recent amendment and restatement in August 2019. Following the closing of this offering and upon the adoption of our 2020 Plan, no further awards will be granted under the Existing Plan; however, awards outstanding under our Existing Plan will continue in full effect in accordance with their existing terms. Our Existing Plan provides for the grant of incentive share options and nonstatutory share options to purchase common shares of our share capital to employees, members of our board of directors and consultants. Incentive share options may be granted only to employees.</w:t>
      </w:r>
    </w:p>
    <w:p>
      <w:pPr>
        <w:spacing w:after="0" w:line="161"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No common shares will be available for future issuance under the Existing Plan following the effectiveness of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which this prospectus forms a part. The maximum number of common shares reserved for issuance under our Existing Plan is 24,697,408. As of December 31, 2019, options to purchase 21,248,158 common shares, at exercise prices ranging from $0.27 to $0.40 per share, or a weighted-average exercise price of $0.34 per share, were outstanding under our Existing Plan.</w:t>
      </w:r>
    </w:p>
    <w:p>
      <w:pPr>
        <w:spacing w:after="0" w:line="18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administers our Existing Plan. Our board of directors has full authority and discretion to take any actions it</w:t>
      </w:r>
      <w:r>
        <w:rPr>
          <w:rFonts w:ascii="Arial" w:cs="Arial" w:eastAsia="Arial" w:hAnsi="Arial"/>
          <w:sz w:val="18"/>
          <w:szCs w:val="18"/>
          <w:i w:val="1"/>
          <w:iCs w:val="1"/>
          <w:color w:val="auto"/>
        </w:rPr>
        <w:t xml:space="preserve"> </w:t>
      </w:r>
      <w:r>
        <w:rPr>
          <w:rFonts w:ascii="Arial" w:cs="Arial" w:eastAsia="Arial" w:hAnsi="Arial"/>
          <w:sz w:val="18"/>
          <w:szCs w:val="18"/>
          <w:color w:val="auto"/>
        </w:rPr>
        <w:t>deems necessary or advisable for the administration of our Existing Plan. Our board of directors may generally cancel, amend, adjust or otherwise change any outstanding options under such circumstances as it may consider appropriate in accordance with the provisions of the Existing Plan, unless the optionholder would be adversely affected.</w:t>
      </w:r>
    </w:p>
    <w:p>
      <w:pPr>
        <w:spacing w:after="0" w:line="18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exercise price of options granted under our Existing Plan will be equal to or exceed the fair market value of a common share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 capital on the grant date. Options expire at the time determined by the administrator, but in no event more than ten years after they are granted, and generally expire earlier if the optionholder’s service terminates.</w:t>
      </w:r>
    </w:p>
    <w:p>
      <w:pPr>
        <w:spacing w:after="0" w:line="184"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i w:val="1"/>
          <w:iCs w:val="1"/>
          <w:color w:val="auto"/>
        </w:rPr>
        <w:t>Capital Reorganization</w:t>
      </w:r>
      <w:r>
        <w:rPr>
          <w:rFonts w:ascii="Arial" w:cs="Arial" w:eastAsia="Arial" w:hAnsi="Arial"/>
          <w:sz w:val="17"/>
          <w:szCs w:val="17"/>
          <w:color w:val="auto"/>
        </w:rPr>
        <w:t>. If we effect a subdivision, consolidation, or similar reorganization, or any other change in capitalization that, in the option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administrator, warrants the replacement or amendment of any existing options, the administrator may adjust: (i) the number of common shares that may be acquired on the exercise of any options; and/or (ii) the exercise price of any outstanding options, as necessary.</w:t>
      </w:r>
    </w:p>
    <w:p>
      <w:pPr>
        <w:spacing w:after="0" w:line="165"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i w:val="1"/>
          <w:iCs w:val="1"/>
          <w:color w:val="auto"/>
        </w:rPr>
        <w:t>Liquidity Event</w:t>
      </w:r>
      <w:r>
        <w:rPr>
          <w:rFonts w:ascii="Arial" w:cs="Arial" w:eastAsia="Arial" w:hAnsi="Arial"/>
          <w:sz w:val="18"/>
          <w:szCs w:val="18"/>
          <w:color w:val="auto"/>
        </w:rPr>
        <w:t>. Upon a liquidity event, our board of directors shall have the power to accelerate the vesting of any unvested options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such liquidity event in its sole discretion and/or to make such changes to the terms of the options as it considers fair and appropriate in the circumstances, acting reasonably.</w:t>
      </w:r>
    </w:p>
    <w:p>
      <w:pPr>
        <w:spacing w:after="0" w:line="184"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In general, a “liquidity event” means the acquisition of the company by another entity by means of any transaction or series of related transactions, which results in one person, together with any related entities of such person, acquiring beneficial ownership, or exercising direction or control, over more than 50% of the combined voting power attached to all of our outstanding securities; a sale, lease, transfer, exclusive license or disposition of all or substantially all of our assets; our adoption of a plan of liquidation providing for the distribution of all or substantially all of our assets; or any other event so specified by our board of directors, subject to certain exceptions.</w:t>
      </w:r>
    </w:p>
    <w:p>
      <w:pPr>
        <w:spacing w:after="0" w:line="188" w:lineRule="exact"/>
        <w:rPr>
          <w:sz w:val="20"/>
          <w:szCs w:val="20"/>
          <w:color w:val="auto"/>
        </w:rPr>
      </w:pPr>
    </w:p>
    <w:p>
      <w:pPr>
        <w:ind w:right="700" w:firstLine="449"/>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options under our Existing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Existing Plan.</w:t>
      </w:r>
    </w:p>
    <w:p>
      <w:pPr>
        <w:spacing w:after="0" w:line="170" w:lineRule="exact"/>
        <w:rPr>
          <w:sz w:val="20"/>
          <w:szCs w:val="20"/>
          <w:color w:val="auto"/>
        </w:rPr>
      </w:pPr>
    </w:p>
    <w:p>
      <w:pPr>
        <w:jc w:val="both"/>
        <w:ind w:right="40" w:firstLine="449"/>
        <w:spacing w:after="0" w:line="311" w:lineRule="auto"/>
        <w:rPr>
          <w:sz w:val="20"/>
          <w:szCs w:val="20"/>
          <w:color w:val="auto"/>
        </w:rPr>
      </w:pPr>
      <w:r>
        <w:rPr>
          <w:rFonts w:ascii="Arial" w:cs="Arial" w:eastAsia="Arial" w:hAnsi="Arial"/>
          <w:sz w:val="16"/>
          <w:szCs w:val="16"/>
          <w:i w:val="1"/>
          <w:iCs w:val="1"/>
          <w:color w:val="auto"/>
        </w:rPr>
        <w:t>Plan Amendment or Termination</w:t>
      </w:r>
      <w:r>
        <w:rPr>
          <w:rFonts w:ascii="Arial" w:cs="Arial" w:eastAsia="Arial" w:hAnsi="Arial"/>
          <w:sz w:val="16"/>
          <w:szCs w:val="16"/>
          <w:color w:val="auto"/>
        </w:rPr>
        <w:t>. Subject to any shareholders agreement, our board of directors may terminate the Existing Plan at any time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approval. Our board of directors has the authority to amend our Existing Plan, provided that such action is approved by our shareholders to the extent shareholder approval is necessary. As described above, our Existing Plan will terminate upon the effective date of our 2020 Plan.</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320" w:top="459" w:right="3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Share Purchase Plan</w:t>
      </w:r>
    </w:p>
    <w:p>
      <w:pPr>
        <w:spacing w:after="0" w:line="117"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Our board of directors intends to adopt the 2020 Employee Share Purchase Plan, or the ESPP, in connection with this offering. The ESPP will become effective immediately prior to and contingent upon the date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 for U.S. employees. In addition, the ESPP authorizes grants of purchase rights that do not comply with Section 423 of the Code under a separate non-423 component. In particular, where such purchase rights are granted to employees who are employed or located outside the United States, our board of directors may adopt rules that are beyond the scope of Section 423 of the Code.</w:t>
      </w:r>
    </w:p>
    <w:p>
      <w:pPr>
        <w:spacing w:after="0" w:line="177" w:lineRule="exact"/>
        <w:rPr>
          <w:sz w:val="20"/>
          <w:szCs w:val="20"/>
          <w:color w:val="auto"/>
        </w:rPr>
      </w:pPr>
    </w:p>
    <w:p>
      <w:pPr>
        <w:ind w:right="300" w:firstLine="449"/>
        <w:spacing w:after="0" w:line="286"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Following this offering, the ESPP authorizes the issuance of common shares of our share capital under purchase rights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to our employees or to employees of any of our designated affiliates. The number of shares of our share capital reserved for issuance will automatically increase on January 1 of each calendar year, beginning on January 1, 2021 (assuming the ESPP becomes effective in 2020) through January 1, 2030, by the lesser of (1) 1.0% of the total number of shares of our share capital outstanding on the last day of the calendar month before the</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date of the automatic increase and (2) shares; provided that before the date of any such increase, our board of directors may determine that such increase will be less than the amount set forth in clauses (1) and (2). As of the date hereof, no shares of our share capital have been purchased under the ESPP.</w:t>
      </w:r>
    </w:p>
    <w:p>
      <w:pPr>
        <w:spacing w:after="0" w:line="190"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board of directors administers the ESPP and may delegate its authority to administer the ESPP to our compensation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The ESPP is implemented through a series of offerings under which eligible employees are granted purchase rights to purchase shares of our share capital on specified dates during such offerings. Under the ESPP, we may specify offerings with durations of not more than 27 months, and may specify shorter purchase periods within each offering. Each offering will have one or more purchase dates on which shares of our share capital will be purchased for employees participating in the offering. An offering under the ESPP may be terminated under certain circumstances.</w:t>
      </w:r>
    </w:p>
    <w:p>
      <w:pPr>
        <w:spacing w:after="0" w:line="176"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i w:val="1"/>
          <w:iCs w:val="1"/>
          <w:color w:val="auto"/>
        </w:rPr>
        <w:t>Payroll Deductions</w:t>
      </w:r>
      <w:r>
        <w:rPr>
          <w:rFonts w:ascii="Arial" w:cs="Arial" w:eastAsia="Arial" w:hAnsi="Arial"/>
          <w:sz w:val="17"/>
          <w:szCs w:val="17"/>
          <w:color w:val="auto"/>
        </w:rPr>
        <w:t>. Generally, all regular employees, including executive officers, employed by us or by any of our designated affiliates, may</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the ESPP and may contribute, normally through payroll deductions, up to 15% of their earnings (as defined in the ESPP) for the purchase of our share capital under the ESPP. Unless otherwise determined by our board of directors, common shares will be purchased for the accounts of employees participating in the ESPP at a price per share that is at least the lesser of (1) 85% of the fair market value of a share of our share capital on the first date of an offering or (2) 85% of the fair market value of a share of our share capital on the date of purchase.</w:t>
      </w:r>
    </w:p>
    <w:p>
      <w:pPr>
        <w:spacing w:after="0" w:line="176"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 Employees may have to satisfy one or more of the following service requirements before participating in the ESPP, as determined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including: (1) being customarily employed for more than 20 hours per week, (2) being customarily employed for more than five months per calendar year or (3) continuous employment with us or one of our affiliates for a period of time (not to exceed two years). No employee may purchase shares under the ESPP at a rate in excess of $25,000 worth of our common shares based on the fair market value per share of our common shares at the beginning of an offering for each calendar year such a purchase right is outstanding. Finally, no employee will be eligible for the grant of any purchase rights under the ESPP if immediately after such rights are granted, such employee has voting power over 5% or more of our outstanding capital shares measured by vote or value under Section 424(d) of the Code.</w:t>
      </w:r>
    </w:p>
    <w:p>
      <w:pPr>
        <w:spacing w:after="0" w:line="177" w:lineRule="exact"/>
        <w:rPr>
          <w:sz w:val="20"/>
          <w:szCs w:val="20"/>
          <w:color w:val="auto"/>
        </w:rPr>
      </w:pPr>
    </w:p>
    <w:p>
      <w:pPr>
        <w:ind w:right="380" w:firstLine="449"/>
        <w:spacing w:after="0" w:line="311" w:lineRule="auto"/>
        <w:rPr>
          <w:sz w:val="20"/>
          <w:szCs w:val="20"/>
          <w:color w:val="auto"/>
        </w:rPr>
      </w:pPr>
      <w:r>
        <w:rPr>
          <w:rFonts w:ascii="Arial" w:cs="Arial" w:eastAsia="Arial" w:hAnsi="Arial"/>
          <w:sz w:val="16"/>
          <w:szCs w:val="16"/>
          <w:i w:val="1"/>
          <w:iCs w:val="1"/>
          <w:color w:val="auto"/>
        </w:rPr>
        <w:t>Changes to Capital Structure</w:t>
      </w:r>
      <w:r>
        <w:rPr>
          <w:rFonts w:ascii="Arial" w:cs="Arial" w:eastAsia="Arial" w:hAnsi="Arial"/>
          <w:sz w:val="16"/>
          <w:szCs w:val="16"/>
          <w:color w:val="auto"/>
        </w:rPr>
        <w:t>. In the event that there occurs a change in our capital structure through such actions as a share split, merger,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reorganization, recapitalization, reincorporation, share dividend, dividend in property other than cash, large nonrecurring cash dividend, liquidating dividend, combination of shares, exchange of shares, change in corporate structure, or similar transaction, the board of directors will make</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320" w:top="459" w:right="3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appropriate adjustments to: (1) the class(es) and maximum number of shares reserved under the ESPP, (2) the class(es) and maximum number of shares by which the share reserve may increase automatically each year, (3) the class(es) and number of shares subject to and purchase price applicable to outstanding offerings and purchase rights and (4) the class(es) and number of shares that are subject to purchase limits under ongoing offerings.</w:t>
      </w:r>
    </w:p>
    <w:p>
      <w:pPr>
        <w:spacing w:after="0" w:line="149"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In the event of certain significant corporate transactions, any then-outstanding rights to purchase our shares under the ESPP</w:t>
      </w:r>
      <w:r>
        <w:rPr>
          <w:rFonts w:ascii="Arial" w:cs="Arial" w:eastAsia="Arial" w:hAnsi="Arial"/>
          <w:sz w:val="16"/>
          <w:szCs w:val="16"/>
          <w:i w:val="1"/>
          <w:iCs w:val="1"/>
          <w:color w:val="auto"/>
        </w:rPr>
        <w:t xml:space="preserve"> </w:t>
      </w:r>
      <w:r>
        <w:rPr>
          <w:rFonts w:ascii="Arial" w:cs="Arial" w:eastAsia="Arial" w:hAnsi="Arial"/>
          <w:sz w:val="16"/>
          <w:szCs w:val="16"/>
          <w:color w:val="auto"/>
        </w:rPr>
        <w:t>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share capital within 10 business days before such corporate transaction, and such purchase rights will terminate immediately.</w:t>
      </w:r>
    </w:p>
    <w:p>
      <w:pPr>
        <w:spacing w:after="0" w:line="15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Under the ESPP, a corporate transaction is generally the consummation of: (1) a sale of all or substantially all of our assets, (2) the sale or disposition of more than 50% of our outstanding securities, (3) a merger or consolidation where we do not survive the transaction and (4) a merger or consolidation where we do survive the transaction but the shares of our share capital outstanding immediately before such transaction are converted or exchanged into other property by virtue of the transaction.</w:t>
      </w:r>
    </w:p>
    <w:p>
      <w:pPr>
        <w:spacing w:after="0" w:line="18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of directors has the authority to amend or terminate our ESPP, provided that except in certain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amendment or termination may not materially impair any outstanding purchase rights without the holder’s consent. We will obtain shareholder approval of any amendment to our ESPP as required by applicable law or listing requirements.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121"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Under the QBCA and our amended and restated bylaws to be in effect upon the completion of this offering, we must indemnify our current or former directors and officers, agents or any other individuals who act or has acted at our request as a director or officer of another group, against all costs, charges and expenses reasonably incurred in the exercise of such individual’s functions, including an amount paid to settle an action or satisfy a judgment, or arising from any investigative or other proceeding in which such individual is involved. The QBCA also provides that we must advance moneys to such individual for costs, charges and expenses incurred in connection with such a proceeding; provided that such individual shall repay such payment if he or she does not fulfill the conditions described below.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Indemnification is prohibited under the QBCA unless the individual:</w:t>
      </w:r>
    </w:p>
    <w:p>
      <w:pPr>
        <w:spacing w:after="0" w:line="131" w:lineRule="exact"/>
        <w:rPr>
          <w:sz w:val="20"/>
          <w:szCs w:val="20"/>
          <w:color w:val="auto"/>
        </w:rPr>
      </w:pPr>
    </w:p>
    <w:p>
      <w:pPr>
        <w:ind w:left="1000" w:right="80" w:hanging="547"/>
        <w:spacing w:after="0" w:line="277" w:lineRule="auto"/>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acted with honesty and loyalty in our interests, or in the interest of the other group for which the individual acted as director or officer or in a similar capacity at our request; and</w:t>
      </w:r>
    </w:p>
    <w:p>
      <w:pPr>
        <w:spacing w:after="0" w:line="75"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the case of a proceeding that is enforced by a monetary penalty, the individual had reasonable grounds for believing that his or her conduct was lawful.</w:t>
      </w:r>
    </w:p>
    <w:p>
      <w:pPr>
        <w:spacing w:after="0" w:line="170" w:lineRule="exact"/>
        <w:rPr>
          <w:sz w:val="20"/>
          <w:szCs w:val="20"/>
          <w:color w:val="auto"/>
        </w:rPr>
      </w:pPr>
    </w:p>
    <w:p>
      <w:pPr>
        <w:ind w:right="120" w:firstLine="449"/>
        <w:spacing w:after="0" w:line="308" w:lineRule="auto"/>
        <w:rPr>
          <w:sz w:val="20"/>
          <w:szCs w:val="20"/>
          <w:color w:val="auto"/>
        </w:rPr>
      </w:pPr>
      <w:r>
        <w:rPr>
          <w:rFonts w:ascii="Arial" w:cs="Arial" w:eastAsia="Arial" w:hAnsi="Arial"/>
          <w:sz w:val="17"/>
          <w:szCs w:val="17"/>
          <w:color w:val="auto"/>
        </w:rPr>
        <w:t>The QBCA and our bylaws authorize us to purchase and maintain insurance for the benefit of each of our current or former directors or officers and each person who acts or acted at our request as a director, officer or an individual acting in a similar capacity, of another entity.</w:t>
      </w:r>
    </w:p>
    <w:p>
      <w:pPr>
        <w:spacing w:after="0" w:line="146"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In addition, we have entered, and intend to continue to enter, into separate indemnity agreements with each of our directors and officers. These indemnity agreements, among other things, require us to indemnify our directors and officers for certain expenses, including attorneys’ fees, judgments, fines and settlement amounts incurred by a director or officer in any action or proceeding arising out of their services as a director or officer, or any other company or enterprise to which the person provides services at our request.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320" w:top="459" w:right="3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that these provisions in our articles of continuance and amended and restated bylaws and these indemnity agreements are necessary to attract and retain qualified persons as directors and officers.</w:t>
      </w:r>
    </w:p>
    <w:p>
      <w:pPr>
        <w:spacing w:after="0" w:line="18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as amended, or the Securities Act, may be permitted to directors, officers or control persons,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20"/>
          </w:cols>
          <w:pgMar w:left="320" w:top="459" w:right="5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following includes a summary of transactions since January 1, 2017 and any currently proposed transactions, to which we were or are to be a participant, in which:</w:t>
      </w:r>
    </w:p>
    <w:p>
      <w:pPr>
        <w:spacing w:after="0" w:line="76" w:lineRule="exact"/>
        <w:rPr>
          <w:sz w:val="20"/>
          <w:szCs w:val="20"/>
          <w:color w:val="auto"/>
        </w:rPr>
      </w:pPr>
    </w:p>
    <w:p>
      <w:pPr>
        <w:ind w:left="1000" w:right="300" w:hanging="547"/>
        <w:spacing w:after="0" w:line="277"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amount involved exceeds the lesser of $120,000 or one percent of the average of our total assets at year end for the last two completed fiscal years, and</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share capital, or any affiliate or member of the immediate family of the foregoing persons, had or will have a direct or indirect material interest.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 Financings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Preferred Share Financing</w:t>
      </w:r>
    </w:p>
    <w:p>
      <w:pPr>
        <w:spacing w:after="0" w:line="117"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In June 2017 and January 2019, we sold an aggregate of 61,728,395 of our Series A preferred shares in multiple closings at a purchase price of $0.81 per share for an aggregate amount of $50.0 million. The following table summarizes purchases of our Series A preferred shares by related parties. Each Series A preferred share in the table below will be converted into one common share immediately prior to the completion of this offering.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220" w:type="dxa"/>
            <w:vAlign w:val="bottom"/>
            <w:gridSpan w:val="3"/>
          </w:tcPr>
          <w:p>
            <w:pPr>
              <w:jc w:val="center"/>
              <w:ind w:left="1798"/>
              <w:spacing w:after="0"/>
              <w:rPr>
                <w:sz w:val="20"/>
                <w:szCs w:val="20"/>
                <w:color w:val="auto"/>
              </w:rPr>
            </w:pPr>
            <w:r>
              <w:rPr>
                <w:rFonts w:ascii="Arial" w:cs="Arial" w:eastAsia="Arial" w:hAnsi="Arial"/>
                <w:sz w:val="14"/>
                <w:szCs w:val="14"/>
                <w:b w:val="1"/>
                <w:bCs w:val="1"/>
                <w:color w:val="auto"/>
                <w:w w:val="89"/>
              </w:rPr>
              <w:t>Series A</w:t>
            </w: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Aggregate Cash</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220" w:type="dxa"/>
            <w:vAlign w:val="bottom"/>
            <w:gridSpan w:val="3"/>
          </w:tcPr>
          <w:p>
            <w:pPr>
              <w:jc w:val="center"/>
              <w:ind w:left="1798"/>
              <w:spacing w:after="0" w:line="149" w:lineRule="exact"/>
              <w:rPr>
                <w:sz w:val="20"/>
                <w:szCs w:val="20"/>
                <w:color w:val="auto"/>
              </w:rPr>
            </w:pPr>
            <w:r>
              <w:rPr>
                <w:rFonts w:ascii="Arial" w:cs="Arial" w:eastAsia="Arial" w:hAnsi="Arial"/>
                <w:sz w:val="14"/>
                <w:szCs w:val="14"/>
                <w:b w:val="1"/>
                <w:bCs w:val="1"/>
                <w:color w:val="auto"/>
                <w:w w:val="93"/>
              </w:rPr>
              <w:t>Preferred</w:t>
            </w: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320" w:type="dxa"/>
            <w:vAlign w:val="bottom"/>
            <w:vMerge w:val="restart"/>
          </w:tcPr>
          <w:p>
            <w:pPr>
              <w:spacing w:after="0"/>
              <w:rPr>
                <w:sz w:val="12"/>
                <w:szCs w:val="12"/>
                <w:color w:val="auto"/>
              </w:rPr>
            </w:pPr>
          </w:p>
        </w:tc>
        <w:tc>
          <w:tcPr>
            <w:tcW w:w="3220" w:type="dxa"/>
            <w:vAlign w:val="bottom"/>
            <w:gridSpan w:val="3"/>
          </w:tcPr>
          <w:p>
            <w:pPr>
              <w:jc w:val="center"/>
              <w:ind w:left="1798"/>
              <w:spacing w:after="0" w:line="149" w:lineRule="exact"/>
              <w:rPr>
                <w:sz w:val="20"/>
                <w:szCs w:val="20"/>
                <w:color w:val="auto"/>
              </w:rPr>
            </w:pPr>
            <w:r>
              <w:rPr>
                <w:rFonts w:ascii="Arial" w:cs="Arial" w:eastAsia="Arial" w:hAnsi="Arial"/>
                <w:sz w:val="14"/>
                <w:szCs w:val="14"/>
                <w:b w:val="1"/>
                <w:bCs w:val="1"/>
                <w:color w:val="auto"/>
                <w:w w:val="89"/>
              </w:rPr>
              <w:t>Shares</w:t>
            </w: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6320" w:type="dxa"/>
            <w:vAlign w:val="bottom"/>
            <w:vMerge w:val="continue"/>
          </w:tcPr>
          <w:p>
            <w:pPr>
              <w:spacing w:after="0"/>
              <w:rPr>
                <w:sz w:val="14"/>
                <w:szCs w:val="14"/>
                <w:color w:val="auto"/>
              </w:rPr>
            </w:pPr>
          </w:p>
        </w:tc>
        <w:tc>
          <w:tcPr>
            <w:tcW w:w="2460" w:type="dxa"/>
            <w:vAlign w:val="bottom"/>
          </w:tcPr>
          <w:p>
            <w:pPr>
              <w:spacing w:after="0"/>
              <w:rPr>
                <w:sz w:val="14"/>
                <w:szCs w:val="14"/>
                <w:color w:val="auto"/>
              </w:rPr>
            </w:pPr>
          </w:p>
        </w:tc>
        <w:tc>
          <w:tcPr>
            <w:tcW w:w="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760" w:type="dxa"/>
            <w:vAlign w:val="bottom"/>
            <w:gridSpan w:val="2"/>
          </w:tcPr>
          <w:p>
            <w:pPr>
              <w:jc w:val="center"/>
              <w:ind w:left="49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Versant</w:t>
            </w:r>
            <w:r>
              <w:rPr>
                <w:rFonts w:ascii="Arial" w:cs="Arial" w:eastAsia="Arial" w:hAnsi="Arial"/>
                <w:sz w:val="15"/>
                <w:szCs w:val="15"/>
                <w:color w:val="auto"/>
              </w:rPr>
              <w:t>(1)</w:t>
            </w:r>
          </w:p>
        </w:tc>
        <w:tc>
          <w:tcPr>
            <w:tcW w:w="3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23,504,274</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19,038,662</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Entities affiliated with MPM</w:t>
            </w:r>
            <w:r>
              <w:rPr>
                <w:rFonts w:ascii="Arial" w:cs="Arial" w:eastAsia="Arial" w:hAnsi="Arial"/>
                <w:sz w:val="15"/>
                <w:szCs w:val="15"/>
                <w:color w:val="auto"/>
              </w:rPr>
              <w:t>(2)</w:t>
            </w:r>
          </w:p>
        </w:tc>
        <w:tc>
          <w:tcPr>
            <w:tcW w:w="3220" w:type="dxa"/>
            <w:vAlign w:val="bottom"/>
            <w:gridSpan w:val="3"/>
          </w:tcPr>
          <w:p>
            <w:pPr>
              <w:jc w:val="right"/>
              <w:ind w:right="180"/>
              <w:spacing w:after="0"/>
              <w:rPr>
                <w:sz w:val="20"/>
                <w:szCs w:val="20"/>
                <w:color w:val="auto"/>
              </w:rPr>
            </w:pPr>
            <w:r>
              <w:rPr>
                <w:rFonts w:ascii="Arial" w:cs="Arial" w:eastAsia="Arial" w:hAnsi="Arial"/>
                <w:sz w:val="18"/>
                <w:szCs w:val="18"/>
                <w:color w:val="auto"/>
              </w:rPr>
              <w:t>10,921,178</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8,846,154</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Oncology Impact Fund, L.P.</w:t>
            </w:r>
            <w:r>
              <w:rPr>
                <w:rFonts w:ascii="Arial" w:cs="Arial" w:eastAsia="Arial" w:hAnsi="Arial"/>
                <w:sz w:val="15"/>
                <w:szCs w:val="15"/>
                <w:color w:val="auto"/>
              </w:rPr>
              <w:t>(3)</w:t>
            </w:r>
          </w:p>
        </w:tc>
        <w:tc>
          <w:tcPr>
            <w:tcW w:w="3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10,921,178</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8,846,154</w:t>
            </w: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Fonds de solidarité des travailleurs et travailleuses du Québec</w:t>
            </w:r>
          </w:p>
        </w:tc>
        <w:tc>
          <w:tcPr>
            <w:tcW w:w="3220" w:type="dxa"/>
            <w:vAlign w:val="bottom"/>
            <w:gridSpan w:val="3"/>
          </w:tcPr>
          <w:p>
            <w:pPr>
              <w:jc w:val="right"/>
              <w:ind w:right="180"/>
              <w:spacing w:after="0"/>
              <w:rPr>
                <w:sz w:val="20"/>
                <w:szCs w:val="20"/>
                <w:color w:val="auto"/>
              </w:rPr>
            </w:pPr>
            <w:r>
              <w:rPr>
                <w:rFonts w:ascii="Arial" w:cs="Arial" w:eastAsia="Arial" w:hAnsi="Arial"/>
                <w:sz w:val="18"/>
                <w:szCs w:val="18"/>
                <w:color w:val="auto"/>
              </w:rPr>
              <w:t>8,309,591</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6,730,769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886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0" w:lineRule="exact"/>
        <w:rPr>
          <w:sz w:val="20"/>
          <w:szCs w:val="20"/>
          <w:color w:val="auto"/>
        </w:rPr>
      </w:pPr>
    </w:p>
    <w:p>
      <w:pPr>
        <w:ind w:left="460" w:hanging="452"/>
        <w:spacing w:after="0" w:line="283" w:lineRule="auto"/>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Represents (i) 7,625,795 Series A preferred shares purchased by Versant Venture Capital V, L.P., or Versant V, (ii) 580,361 Series A preferred shares purchased by Versant Venture Capital V (Canada) LP, or Versant V Canada, (iii) 253,915 Series A preferred shares purchased by Versant Ophthalmic Affiliates Fund I, L.P., or Versant Ophthalmic, (iv) 229,388 Series A preferred shares purchased by Versant Affiliates Fund V, L.P., or Versant Affiliates V, and (v) 14,814,815 Series A preferred shares purchased by Versant Venture Capital VI, L.P., or Versant VI. Versant V, Versant V Canada, Versant Ophthalmic, Versant Affiliates V, Versant VI and Versant Vantage (as defined below) are collectively referred to as the Versant Entities. Versant Ventures V LLC is the general partner of each of Versant V, Versant Ophthalmic and Versant Affiliates V and has voting and dispositive control over the shares held by such Entities. Jerel Davis, Ph.D., a member of our board of directors, is a managing director of Versant Ventures V, and, as a result, may be deemed to share voting and investment power with respect to the shares held by each of Versant V, Versant Ophthalmic and Versant Affiliates V. Versant Ventures V (Canada), L.P. is the general partner of Versant V Canada and Versant Ventures V GP-GP (Canada), Inc. is the sole general partner of Versant Ventures V (Canada), L.P. and has voting and dispositive control over the shares held by Versant V Canada.</w:t>
      </w:r>
    </w:p>
    <w:p>
      <w:pPr>
        <w:spacing w:after="0" w:line="4" w:lineRule="exact"/>
        <w:rPr>
          <w:rFonts w:ascii="Arial" w:cs="Arial" w:eastAsia="Arial" w:hAnsi="Arial"/>
          <w:sz w:val="16"/>
          <w:szCs w:val="16"/>
          <w:color w:val="auto"/>
        </w:rPr>
      </w:pPr>
    </w:p>
    <w:p>
      <w:pPr>
        <w:ind w:left="460" w:right="40"/>
        <w:spacing w:after="0" w:line="281" w:lineRule="auto"/>
        <w:rPr>
          <w:rFonts w:ascii="Arial" w:cs="Arial" w:eastAsia="Arial" w:hAnsi="Arial"/>
          <w:sz w:val="16"/>
          <w:szCs w:val="16"/>
          <w:color w:val="auto"/>
        </w:rPr>
      </w:pPr>
      <w:r>
        <w:rPr>
          <w:rFonts w:ascii="Arial" w:cs="Arial" w:eastAsia="Arial" w:hAnsi="Arial"/>
          <w:sz w:val="16"/>
          <w:szCs w:val="16"/>
          <w:color w:val="auto"/>
        </w:rPr>
        <w:t>Dr. Davis is a director of Versant Ventures V GP-GP (Canada), Inc. and, as a result, may be deemed to share voting and investment power with respect to the shares held by Versant Ventures Canada. Versant Ventures VI GP, L.P. is the sole general partner of Versant VI and Versant Ventures VI GP-GP, LLC is the sole general partner of Versant Ventures VI GP, L.P. and has voting and dispositive control over the shares held by Versant VI. Dr. Davis is a managing director of Versant Ventures VI GP-GP, LLC, and, as a result, may be deemed to share voting and investment power with respect to the shares held by Versant VI. The Versant Entities collectively hold more than 5% of our share capital.</w:t>
      </w:r>
    </w:p>
    <w:p>
      <w:pPr>
        <w:spacing w:after="0" w:line="2" w:lineRule="exact"/>
        <w:rPr>
          <w:rFonts w:ascii="Arial" w:cs="Arial" w:eastAsia="Arial" w:hAnsi="Arial"/>
          <w:sz w:val="16"/>
          <w:szCs w:val="16"/>
          <w:color w:val="auto"/>
        </w:rPr>
      </w:pPr>
    </w:p>
    <w:p>
      <w:pPr>
        <w:jc w:val="both"/>
        <w:ind w:left="460" w:right="100" w:hanging="452"/>
        <w:spacing w:after="0" w:line="277" w:lineRule="auto"/>
        <w:tabs>
          <w:tab w:leader="none" w:pos="4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Represents (i) 9,918,254 Series A preferred shares purchased by MPM Bioventures 2014, L.P., or MPM 2014, (ii) 661,531 Series A preferred shares purchased by MPM Bioventures 2014 (B), L.P., or MPM B 2014 and (iii) 341,393 Series A preferred shares purchased by MPM Asset Management Investors BV2014 LLC, or MPM LLC. MPM 2014, MPM B 2014 and MPM LLC are collectively referred to as the MPM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459"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60"/>
        <w:spacing w:after="0" w:line="269" w:lineRule="auto"/>
        <w:rPr>
          <w:sz w:val="20"/>
          <w:szCs w:val="20"/>
          <w:color w:val="auto"/>
        </w:rPr>
      </w:pPr>
      <w:r>
        <w:rPr>
          <w:rFonts w:ascii="Arial" w:cs="Arial" w:eastAsia="Arial" w:hAnsi="Arial"/>
          <w:sz w:val="17"/>
          <w:szCs w:val="17"/>
          <w:color w:val="auto"/>
        </w:rPr>
        <w:t>Entities. Todd Foley, a member of our board of directors, is a Managing Director of MPM BioVentures 2014 LLC, or BV2014 LLC. BV2014 LLC is the Managing Member of MPM BioVentures 2014 GP LLC, which is the General Partner of MPM 2014 and MPM B 2014. MPM LLC invests alongside MPM 2014 and MPM B 2014. As a result, Todd Foley may be deemed to share voting and investment power with respect to the shares held by each of the MPM Entities. The MPM Entities collectively hold more than 5% of our share capital.</w:t>
      </w:r>
    </w:p>
    <w:p>
      <w:pPr>
        <w:spacing w:after="0" w:line="2"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UBS Oncology Impact Fund L.P. is a holder of more than 5% of our share capital.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connection with and as partial consideration for the Series A preferred share financing described above, an aggregate principal amount of</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$2.75 million of convertible promissory notes held by certain of the Versant Entities were redeemed and converted into 5,500,000 Series A preferred shares at a price of $0.50 per share. Following the issuance of the 5,500,000 Series A preferred shares and the payment of accrued interest of $45,589, the convertible promissory notes were cancelled and are of no further force or effect.</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B Preferred Share Financing</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In September 2019, we sold an aggregate of 63,458,580 of our Series B preferred shares at a purchase price of $1.30 per share for an aggregate amount of $82.5 million. The following table summarizes purchases of our Series B preferred shares by related parties. Each Series B preferred share in the table below will be converted into one common share immediately prior to the completion of this offering.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220" w:type="dxa"/>
            <w:vAlign w:val="bottom"/>
            <w:gridSpan w:val="3"/>
          </w:tcPr>
          <w:p>
            <w:pPr>
              <w:jc w:val="center"/>
              <w:ind w:left="1795"/>
              <w:spacing w:after="0"/>
              <w:rPr>
                <w:sz w:val="20"/>
                <w:szCs w:val="20"/>
                <w:color w:val="auto"/>
              </w:rPr>
            </w:pPr>
            <w:r>
              <w:rPr>
                <w:rFonts w:ascii="Arial" w:cs="Arial" w:eastAsia="Arial" w:hAnsi="Arial"/>
                <w:sz w:val="14"/>
                <w:szCs w:val="14"/>
                <w:b w:val="1"/>
                <w:bCs w:val="1"/>
                <w:color w:val="auto"/>
                <w:w w:val="89"/>
              </w:rPr>
              <w:t>Series B</w:t>
            </w: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Aggregate Cash</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220" w:type="dxa"/>
            <w:vAlign w:val="bottom"/>
            <w:gridSpan w:val="3"/>
          </w:tcPr>
          <w:p>
            <w:pPr>
              <w:jc w:val="center"/>
              <w:ind w:left="1795"/>
              <w:spacing w:after="0" w:line="149" w:lineRule="exact"/>
              <w:rPr>
                <w:sz w:val="20"/>
                <w:szCs w:val="20"/>
                <w:color w:val="auto"/>
              </w:rPr>
            </w:pPr>
            <w:r>
              <w:rPr>
                <w:rFonts w:ascii="Arial" w:cs="Arial" w:eastAsia="Arial" w:hAnsi="Arial"/>
                <w:sz w:val="14"/>
                <w:szCs w:val="14"/>
                <w:b w:val="1"/>
                <w:bCs w:val="1"/>
                <w:color w:val="auto"/>
                <w:w w:val="93"/>
              </w:rPr>
              <w:t>Preferred</w:t>
            </w: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320" w:type="dxa"/>
            <w:vAlign w:val="bottom"/>
            <w:vMerge w:val="restart"/>
          </w:tcPr>
          <w:p>
            <w:pPr>
              <w:spacing w:after="0"/>
              <w:rPr>
                <w:sz w:val="12"/>
                <w:szCs w:val="12"/>
                <w:color w:val="auto"/>
              </w:rPr>
            </w:pPr>
          </w:p>
        </w:tc>
        <w:tc>
          <w:tcPr>
            <w:tcW w:w="3220" w:type="dxa"/>
            <w:vAlign w:val="bottom"/>
            <w:gridSpan w:val="3"/>
          </w:tcPr>
          <w:p>
            <w:pPr>
              <w:jc w:val="center"/>
              <w:ind w:left="1795"/>
              <w:spacing w:after="0" w:line="149" w:lineRule="exact"/>
              <w:rPr>
                <w:sz w:val="20"/>
                <w:szCs w:val="20"/>
                <w:color w:val="auto"/>
              </w:rPr>
            </w:pPr>
            <w:r>
              <w:rPr>
                <w:rFonts w:ascii="Arial" w:cs="Arial" w:eastAsia="Arial" w:hAnsi="Arial"/>
                <w:sz w:val="14"/>
                <w:szCs w:val="14"/>
                <w:b w:val="1"/>
                <w:bCs w:val="1"/>
                <w:color w:val="auto"/>
                <w:w w:val="89"/>
              </w:rPr>
              <w:t>Shares</w:t>
            </w: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6320" w:type="dxa"/>
            <w:vAlign w:val="bottom"/>
            <w:vMerge w:val="continue"/>
          </w:tcPr>
          <w:p>
            <w:pPr>
              <w:spacing w:after="0"/>
              <w:rPr>
                <w:sz w:val="14"/>
                <w:szCs w:val="14"/>
                <w:color w:val="auto"/>
              </w:rPr>
            </w:pPr>
          </w:p>
        </w:tc>
        <w:tc>
          <w:tcPr>
            <w:tcW w:w="2460" w:type="dxa"/>
            <w:vAlign w:val="bottom"/>
          </w:tcPr>
          <w:p>
            <w:pPr>
              <w:spacing w:after="0"/>
              <w:rPr>
                <w:sz w:val="14"/>
                <w:szCs w:val="14"/>
                <w:color w:val="auto"/>
              </w:rPr>
            </w:pPr>
          </w:p>
        </w:tc>
        <w:tc>
          <w:tcPr>
            <w:tcW w:w="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760" w:type="dxa"/>
            <w:vAlign w:val="bottom"/>
            <w:gridSpan w:val="2"/>
          </w:tcPr>
          <w:p>
            <w:pPr>
              <w:jc w:val="center"/>
              <w:ind w:left="495"/>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VII, L.P.</w:t>
            </w:r>
            <w:r>
              <w:rPr>
                <w:rFonts w:ascii="Arial" w:cs="Arial" w:eastAsia="Arial" w:hAnsi="Arial"/>
                <w:sz w:val="15"/>
                <w:szCs w:val="15"/>
                <w:color w:val="auto"/>
              </w:rPr>
              <w:t>(1)</w:t>
            </w:r>
          </w:p>
        </w:tc>
        <w:tc>
          <w:tcPr>
            <w:tcW w:w="3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15,769,231</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20,500,000</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Entities affiliated with Cowen Healthcare Investments</w:t>
            </w:r>
            <w:r>
              <w:rPr>
                <w:rFonts w:ascii="Arial" w:cs="Arial" w:eastAsia="Arial" w:hAnsi="Arial"/>
                <w:sz w:val="15"/>
                <w:szCs w:val="15"/>
                <w:color w:val="auto"/>
              </w:rPr>
              <w:t>(2)</w:t>
            </w:r>
          </w:p>
        </w:tc>
        <w:tc>
          <w:tcPr>
            <w:tcW w:w="3220" w:type="dxa"/>
            <w:vAlign w:val="bottom"/>
            <w:gridSpan w:val="3"/>
          </w:tcPr>
          <w:p>
            <w:pPr>
              <w:jc w:val="right"/>
              <w:ind w:right="180"/>
              <w:spacing w:after="0"/>
              <w:rPr>
                <w:sz w:val="20"/>
                <w:szCs w:val="20"/>
                <w:color w:val="auto"/>
              </w:rPr>
            </w:pPr>
            <w:r>
              <w:rPr>
                <w:rFonts w:ascii="Arial" w:cs="Arial" w:eastAsia="Arial" w:hAnsi="Arial"/>
                <w:sz w:val="18"/>
                <w:szCs w:val="18"/>
                <w:color w:val="auto"/>
              </w:rPr>
              <w:t>11,538,462</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Redmile Biopharma Investments II, L.P.</w:t>
            </w:r>
          </w:p>
        </w:tc>
        <w:tc>
          <w:tcPr>
            <w:tcW w:w="3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9,615,385</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Entities affiliated with Versant</w:t>
            </w:r>
            <w:r>
              <w:rPr>
                <w:rFonts w:ascii="Arial" w:cs="Arial" w:eastAsia="Arial" w:hAnsi="Arial"/>
                <w:sz w:val="15"/>
                <w:szCs w:val="15"/>
                <w:color w:val="auto"/>
              </w:rPr>
              <w:t>(3)</w:t>
            </w:r>
          </w:p>
        </w:tc>
        <w:tc>
          <w:tcPr>
            <w:tcW w:w="3220" w:type="dxa"/>
            <w:vAlign w:val="bottom"/>
            <w:gridSpan w:val="3"/>
          </w:tcPr>
          <w:p>
            <w:pPr>
              <w:jc w:val="right"/>
              <w:ind w:right="180"/>
              <w:spacing w:after="0"/>
              <w:rPr>
                <w:sz w:val="20"/>
                <w:szCs w:val="20"/>
                <w:color w:val="auto"/>
              </w:rPr>
            </w:pPr>
            <w:r>
              <w:rPr>
                <w:rFonts w:ascii="Arial" w:cs="Arial" w:eastAsia="Arial" w:hAnsi="Arial"/>
                <w:sz w:val="18"/>
                <w:szCs w:val="18"/>
                <w:color w:val="auto"/>
              </w:rPr>
              <w:t>8,855,029</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11,511,538</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MPM</w:t>
            </w:r>
            <w:r>
              <w:rPr>
                <w:rFonts w:ascii="Arial" w:cs="Arial" w:eastAsia="Arial" w:hAnsi="Arial"/>
                <w:sz w:val="15"/>
                <w:szCs w:val="15"/>
                <w:color w:val="auto"/>
              </w:rPr>
              <w:t>(4)</w:t>
            </w:r>
          </w:p>
        </w:tc>
        <w:tc>
          <w:tcPr>
            <w:tcW w:w="3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5,772,189</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7,503,846</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Fonds de solidarité des travailleurs et travailleuses du Québec</w:t>
            </w:r>
          </w:p>
        </w:tc>
        <w:tc>
          <w:tcPr>
            <w:tcW w:w="3220" w:type="dxa"/>
            <w:vAlign w:val="bottom"/>
            <w:gridSpan w:val="3"/>
          </w:tcPr>
          <w:p>
            <w:pPr>
              <w:jc w:val="right"/>
              <w:ind w:right="180"/>
              <w:spacing w:after="0"/>
              <w:rPr>
                <w:sz w:val="20"/>
                <w:szCs w:val="20"/>
                <w:color w:val="auto"/>
              </w:rPr>
            </w:pPr>
            <w:r>
              <w:rPr>
                <w:rFonts w:ascii="Arial" w:cs="Arial" w:eastAsia="Arial" w:hAnsi="Arial"/>
                <w:sz w:val="18"/>
                <w:szCs w:val="18"/>
                <w:color w:val="auto"/>
              </w:rPr>
              <w:t>2,322,486</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3,019,232</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Oncology Impact Fund, L.P.</w:t>
            </w:r>
            <w:r>
              <w:rPr>
                <w:rFonts w:ascii="Arial" w:cs="Arial" w:eastAsia="Arial" w:hAnsi="Arial"/>
                <w:sz w:val="15"/>
                <w:szCs w:val="15"/>
                <w:color w:val="auto"/>
              </w:rPr>
              <w:t>(5)</w:t>
            </w:r>
          </w:p>
        </w:tc>
        <w:tc>
          <w:tcPr>
            <w:tcW w:w="3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2,041,420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2,653,846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54"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Represents shares purchase by OrbiMed Private Investments VII, L.P., or OrbiMed. OrbiMed Advisors LLC, or OrbiMed Advisors, is the managing member of OrbiMed Capital GP VII LLC, or OrbiMed GP VII. OrbiMed GP VII is the general partner of OrbiMed. David Bonita, M.D., a member of our board of directors, is a member of OrbiMed Advisors, and, as a result, may be deemed to share voting and investment power with respect to the shares held by OrbiMed. OrbiMed is a holder of more than 5% of our share capital.</w:t>
      </w:r>
    </w:p>
    <w:p>
      <w:pPr>
        <w:spacing w:after="0" w:line="2"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Represents (i) 10,749,200 Series B preferred shares purchased by CHI II and (ii) 789,262 Series B preferred shares purchased by CHI EF. CHI II and CHI EF are collectively referred to as the Cowen Entities. Cowen Healthcare Investments II GP LLC is the sole general partner of CHI II and CHI EF. As managing partner of Cowen Healthcare Investments II GP LLC, Kevin J. Raidy, a member of our board of directors, exercises sole voting and investment power over the securities held by Cowen Entities. The Cowen Entities collectively hold more than 5% of our share capital.</w:t>
      </w:r>
    </w:p>
    <w:p>
      <w:pPr>
        <w:spacing w:after="0" w:line="2" w:lineRule="exact"/>
        <w:rPr>
          <w:rFonts w:ascii="Arial" w:cs="Arial" w:eastAsia="Arial" w:hAnsi="Arial"/>
          <w:sz w:val="16"/>
          <w:szCs w:val="16"/>
          <w:color w:val="auto"/>
        </w:rPr>
      </w:pPr>
    </w:p>
    <w:p>
      <w:pPr>
        <w:ind w:left="460" w:right="160" w:hanging="452"/>
        <w:spacing w:after="0" w:line="290" w:lineRule="auto"/>
        <w:tabs>
          <w:tab w:leader="none" w:pos="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Represents (i) 675,071 Series B preferred shares purchased by Versant V, (ii) 51,376 Series B preferred shares purchased by Versant V Canada, (iii) 22,478 Series B preferred shares purchased by Versant Ophthalmic, (iv) 20,306 Series B preferred shares purchased by Versant Affiliates V, (v) 5,307,692 Series B preferred shares purchased by Versant VI and (vi) 2,778,106 Series B preferred shares purchased by Versant Vantage I, L.P., or Versant Vantage. As described above, Dr. Davis may be deemed to share voting and investment power with respect to the shares held by each of Versant V, Versant V Canada, Versant Ophthalmic, Versant Affiliates V and Versant VI. Versant Vantage I GP, L.P. is the sole general partner of Versant Vantage and Versant Vantage I GP-GP, LLC is the sole general partner of Versant Vantage I GP,</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459" w:right="3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L.P. and has voting and dispositive control over the shares held by Versant Vantage. Dr. Davis is a managing director of Versant Vantage I GP-GP, LLC, and, as a result, may be deemed to share voting and investment power with respect to the shares held by Versant Vantage. The Versant Entities collectively hold more than 5% of our share capital.</w:t>
      </w:r>
    </w:p>
    <w:p>
      <w:pPr>
        <w:spacing w:after="0" w:line="3" w:lineRule="exact"/>
        <w:rPr>
          <w:sz w:val="20"/>
          <w:szCs w:val="20"/>
          <w:color w:val="auto"/>
        </w:rPr>
      </w:pPr>
    </w:p>
    <w:p>
      <w:pPr>
        <w:ind w:left="460" w:hanging="452"/>
        <w:spacing w:after="0" w:line="250"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Represents (i) 5,242,111 Series B preferred shares purchased by MPM 2014, (ii) 349,641 Series B preferred shares purchased by MPM B 2014 and (iii) 180,437 Series B preferred shares purchased by MPM LLC. Mr. Foley, a member of our board of directors, is a Managing Director of MPM BioVentures 2014 LLC, or BV2014 LLC. BV2014 LLC is the Managing Member of MPM BioVentures 2014 GP LLC, which is the General Partner of MPM 2014 and MPM B 2014. MPM LLC invests alongside MPM 2014 and MPM B 2014.As a result, Todd Foley may be deemed to share voting and investment power with respect to the shares held by each of the MPM Funds. The MPM Entities collectively hold more than 5% of our share capital.</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UBS Oncology Impact Fund L.P. is a holder of more than 5% of our share capital.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Services</w:t>
      </w:r>
    </w:p>
    <w:p>
      <w:pPr>
        <w:spacing w:after="0" w:line="121" w:lineRule="exact"/>
        <w:rPr>
          <w:sz w:val="20"/>
          <w:szCs w:val="20"/>
          <w:color w:val="auto"/>
        </w:rPr>
      </w:pPr>
    </w:p>
    <w:p>
      <w:pPr>
        <w:jc w:val="both"/>
        <w:ind w:right="80" w:firstLine="449"/>
        <w:spacing w:after="0" w:line="286" w:lineRule="auto"/>
        <w:rPr>
          <w:sz w:val="20"/>
          <w:szCs w:val="20"/>
          <w:color w:val="auto"/>
        </w:rPr>
      </w:pPr>
      <w:r>
        <w:rPr>
          <w:rFonts w:ascii="Arial" w:cs="Arial" w:eastAsia="Arial" w:hAnsi="Arial"/>
          <w:sz w:val="17"/>
          <w:szCs w:val="17"/>
          <w:color w:val="auto"/>
        </w:rPr>
        <w:t>From September 2018 to February 2020, we engaged Inception Sciences Canada, Inc., an affiliate of Versant, a holder of more than 5% of our share capital, for certain research services. For the years ended December 31, 2018 and 2019 and the three months ended March 31, 2020, we recorded expenses to Inception Sciences Canada of $321,989, $1,180,284 and $11,023 for such research services,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We are party to an amended and restated registration rights agreement, or the registration rights agreement, dated September 3, 2019, with all holders of our preferred shares. The registration rights agreement provides that these holders are entitled to certain registration rights, including the right to demand that we file a registration statement or request that their shares be covered by a registration statement that we otherwise file. The registration rights will terminate upon the earliest of (i) the occurrence of certain mergers, amalgamations, consolidations, reorganizations, arrangements, business combinations or similar transactions that result in a change of control of our company, or a sale of all or substantially all of our assets, or a dissolution, liquidation or winding up of our company, (ii) three years after the completion of this offering or (iii) with respect to any particular holder, at such time that such holder can sell its preferred shares under Rule 144 of the Securities Act during any three-month period. For a description of the registration rights granted under the registration rights agreement, see the section titled “Description of Share Capital—Registration Rights.”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We are party to a second amended and restated unanimous shareholders’ agreement, or the shareholders’ agreement, dated September 3, 2019, with all of our shareholders. The shareholders’ agreement provides, among other things, that these holders will vote in accordance with the terms of the agreement, including in matters related to the composition of our board of directors, as well as for certain transfer restrictions, information rights and preemptive rights in favor of certain holders of our preferred shares with regard to certain issuances of our share capital. The shareholders’ agreement will terminate upon the completion of this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right="420" w:firstLine="449"/>
        <w:spacing w:after="0" w:line="342" w:lineRule="auto"/>
        <w:rPr>
          <w:sz w:val="20"/>
          <w:szCs w:val="20"/>
          <w:color w:val="auto"/>
        </w:rPr>
      </w:pPr>
      <w:r>
        <w:rPr>
          <w:rFonts w:ascii="Arial" w:cs="Arial" w:eastAsia="Arial" w:hAnsi="Arial"/>
          <w:sz w:val="16"/>
          <w:szCs w:val="16"/>
          <w:color w:val="auto"/>
        </w:rPr>
        <w:t>We have entered into employment agreements with certain of our executive officers. For more information regarding these agreements with our named executive officers, see the sections titled “Executive Compensation—Agreements with our Named Executive Officers” and “Management.”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Arrangements</w:t>
      </w:r>
    </w:p>
    <w:p>
      <w:pPr>
        <w:spacing w:after="0" w:line="121"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employment agreements and offer letter agreements we have entered into with certain of our executive officers provide for certain severance arrangements. For more information regarding these arrangements with our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320" w:top="459" w:right="3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 see “Executive Compensation—Potential Payments upon Termination or Change of Control.”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Director Compensation</w:t>
      </w:r>
    </w:p>
    <w:p>
      <w:pPr>
        <w:spacing w:after="0" w:line="121"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We have granted options to certain of our executive officers and directors. See the sections titled “Non-Employee Director Compensation” and “Executive Compensation” for a description of these options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 Agreements</w:t>
      </w:r>
    </w:p>
    <w:p>
      <w:pPr>
        <w:spacing w:after="0" w:line="12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We have entered, and intend to continue to enter, into separate indemnity agreements with each of our directors and officers, in addition to the indemnification provided for in our bylaws. These indemnity agreements provide our directors and executive officers with contractual rights to indemnification and, in some cases, expense advancement in any action or proceeding arising out of their services as one of our directors or executive officers or as a director or executive officer of any other company or enterprise to which the person provides services at our request. For more information regarding these indemnity agreements, see “—Limitation on Liability and Indemnification Matters.”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In connection with this offering, we intend to adopt a written related party transaction policy that sets forth our procedures for the identification, review, consideration and approval or ratification of related party transactions. This policy will become effective upon the effectiveness of the registration statement of which this prospectus is a part. For purposes of this policy only, a “related person transaction” is a transaction, arrangement or relationship (or any series of similar transactions, arrangements or relationships) in which we and any related person are participants involving an amount that exceeds $120,000. Transactions involving compensation for services provided to us as an employee, consultant or director are not considered related-person transactions under this policy. A “related person” is any executive officer, director, nominee to become a director or a holder of more than 5% of our share capital, or any affiliate or member of the immediate family of the foregoing.</w:t>
      </w:r>
    </w:p>
    <w:p>
      <w:pPr>
        <w:spacing w:after="0" w:line="17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Under the policy, where a transaction has been identified as a related-person transaction, management will be required to present information regarding the proposed related-person transaction to our audit committee or, where review by our audit committee would be inappropriate due to a conflict of interest, to another independent body of our board of directors, for review. The presentation will need to include a description of, among other things, all of the parties, the direct and indirect interests of the related persons, the purpose of the transaction, the material facts, the benefits of the transaction to us and whether any alternative transactions are available, an assessment of whether the terms are comparable to the terms available from unrelated third parties and management’s recommendation. To identify related-person transactions in advance, we will rely on information supplied by our executive officers, directors and certain significant shareholders. In considering related-person transactions, our audit committee or another independent body of our board of directors will take into account the relevant available facts and circumstances including, but not limited to:</w:t>
      </w:r>
    </w:p>
    <w:p>
      <w:pPr>
        <w:spacing w:after="0" w:line="71" w:lineRule="exact"/>
        <w:rPr>
          <w:sz w:val="20"/>
          <w:szCs w:val="20"/>
          <w:color w:val="auto"/>
        </w:rPr>
      </w:pPr>
    </w:p>
    <w:p>
      <w:pPr>
        <w:ind w:left="1000" w:hanging="547"/>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30"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under the same or similar circumstances.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80"/>
          </w:cols>
          <w:pgMar w:left="320" w:top="459" w:right="3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in the agreement or transaction were disclosed to our board of directors. Our board of directors took this information into account when evaluating the transaction and in determining whether such transaction was fair to us and in the best interest of all our shareholders.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00"/>
          </w:cols>
          <w:pgMar w:left="320" w:top="459" w:right="3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beneficial ownership of our share capital as of March 31, 2020 by:</w:t>
      </w:r>
    </w:p>
    <w:p>
      <w:pPr>
        <w:spacing w:after="0" w:line="131" w:lineRule="exact"/>
        <w:rPr>
          <w:sz w:val="20"/>
          <w:szCs w:val="20"/>
          <w:color w:val="auto"/>
        </w:rPr>
      </w:pPr>
    </w:p>
    <w:p>
      <w:pPr>
        <w:ind w:left="1000" w:hanging="547"/>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shares;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ind w:right="340" w:firstLine="449"/>
        <w:spacing w:after="0" w:line="271" w:lineRule="auto"/>
        <w:rPr>
          <w:sz w:val="20"/>
          <w:szCs w:val="20"/>
          <w:color w:val="auto"/>
        </w:rPr>
      </w:pPr>
      <w:r>
        <w:rPr>
          <w:rFonts w:ascii="Arial" w:cs="Arial" w:eastAsia="Arial" w:hAnsi="Arial"/>
          <w:sz w:val="17"/>
          <w:szCs w:val="17"/>
          <w:color w:val="auto"/>
        </w:rPr>
        <w:t>The percentage ownership information under the column titled “Before Offering” is based on 141,051,141 common shares outstanding as of March 31, 2020, assuming the conversion of all outstanding preferred shares into an aggregate of 130,686,975 common shares immediately prior to the completion of this offering. The percentage ownership information under the column titled “After Offering” is based on (i) the sale of</w:t>
      </w:r>
    </w:p>
    <w:p>
      <w:pPr>
        <w:spacing w:after="0"/>
        <w:tabs>
          <w:tab w:leader="none" w:pos="6120" w:val="left"/>
        </w:tabs>
        <w:rPr>
          <w:sz w:val="20"/>
          <w:szCs w:val="20"/>
          <w:color w:val="auto"/>
        </w:rPr>
      </w:pPr>
      <w:r>
        <w:rPr>
          <w:rFonts w:ascii="Arial" w:cs="Arial" w:eastAsia="Arial" w:hAnsi="Arial"/>
          <w:sz w:val="18"/>
          <w:szCs w:val="18"/>
          <w:color w:val="auto"/>
        </w:rPr>
        <w:t>common shares in this offering (assuming an initial public offering price of $</w:t>
      </w:r>
      <w:r>
        <w:rPr>
          <w:sz w:val="20"/>
          <w:szCs w:val="20"/>
          <w:color w:val="auto"/>
        </w:rPr>
        <w:tab/>
      </w:r>
      <w:r>
        <w:rPr>
          <w:rFonts w:ascii="Arial" w:cs="Arial" w:eastAsia="Arial" w:hAnsi="Arial"/>
          <w:sz w:val="16"/>
          <w:szCs w:val="16"/>
          <w:color w:val="auto"/>
        </w:rPr>
        <w:t>per share, the midpoint of the price range set forth on the cover page</w:t>
      </w:r>
    </w:p>
    <w:p>
      <w:pPr>
        <w:spacing w:after="0" w:line="9" w:lineRule="exact"/>
        <w:rPr>
          <w:sz w:val="20"/>
          <w:szCs w:val="20"/>
          <w:color w:val="auto"/>
        </w:rPr>
      </w:pPr>
    </w:p>
    <w:p>
      <w:pPr>
        <w:spacing w:after="0"/>
        <w:tabs>
          <w:tab w:leader="none" w:pos="10240" w:val="left"/>
        </w:tabs>
        <w:rPr>
          <w:sz w:val="20"/>
          <w:szCs w:val="20"/>
          <w:color w:val="auto"/>
        </w:rPr>
      </w:pPr>
      <w:r>
        <w:rPr>
          <w:rFonts w:ascii="Arial" w:cs="Arial" w:eastAsia="Arial" w:hAnsi="Arial"/>
          <w:sz w:val="18"/>
          <w:szCs w:val="18"/>
          <w:color w:val="auto"/>
        </w:rPr>
        <w:t>of this prospectus) and (ii) the automatic exercise of the warrant held by an affiliate of Bristol Myers Squibb into an aggregate of</w:t>
      </w:r>
      <w:r>
        <w:rPr>
          <w:sz w:val="20"/>
          <w:szCs w:val="20"/>
          <w:color w:val="auto"/>
        </w:rPr>
        <w:tab/>
      </w:r>
      <w:r>
        <w:rPr>
          <w:rFonts w:ascii="Arial" w:cs="Arial" w:eastAsia="Arial" w:hAnsi="Arial"/>
          <w:sz w:val="16"/>
          <w:szCs w:val="16"/>
          <w:color w:val="auto"/>
        </w:rPr>
        <w:t>common</w:t>
      </w:r>
    </w:p>
    <w:p>
      <w:pPr>
        <w:spacing w:after="0" w:line="9"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shares (assuming an initial public offering price of $</w:t>
      </w:r>
      <w:r>
        <w:rPr>
          <w:sz w:val="20"/>
          <w:szCs w:val="20"/>
          <w:color w:val="auto"/>
        </w:rPr>
        <w:tab/>
      </w:r>
      <w:r>
        <w:rPr>
          <w:rFonts w:ascii="Arial" w:cs="Arial" w:eastAsia="Arial" w:hAnsi="Arial"/>
          <w:sz w:val="16"/>
          <w:szCs w:val="16"/>
          <w:color w:val="auto"/>
        </w:rPr>
        <w:t>per share, the midpoint of the price range set forth on the cover page of this prospectus). The</w:t>
      </w:r>
    </w:p>
    <w:p>
      <w:pPr>
        <w:spacing w:after="0" w:line="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percentage ownership information assumes no exercise of the underwriters’ option to purchase additional shares and no purchases of any common shares in this offering by the beneficial owners identified in the table below.</w:t>
      </w:r>
    </w:p>
    <w:p>
      <w:pPr>
        <w:spacing w:after="0" w:line="185"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Information with respect to beneficial ownership has been furnished by each director, officer or beneficial owner of more than 5% of our common shares. 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common shares issuable pursuant to the exercise of options that are either immediately exercisable or exercisable within 60 days of March 31, 2020.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78"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Except as otherwise noted below, the address for each person or entity listed in the table is c/o Repare Therapeutics Inc., 7210 Frederick-Banting, Suite 100, St-Laurent, Québec, Canada H4S 2A1.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4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rPr>
              <w:t>PERCENTAGE OF</w:t>
            </w:r>
          </w:p>
        </w:tc>
      </w:tr>
      <w:tr>
        <w:trPr>
          <w:trHeight w:val="158"/>
        </w:trPr>
        <w:tc>
          <w:tcPr>
            <w:tcW w:w="50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900" w:type="dxa"/>
            <w:vAlign w:val="bottom"/>
            <w:gridSpan w:val="2"/>
          </w:tcPr>
          <w:p>
            <w:pPr>
              <w:jc w:val="center"/>
              <w:ind w:right="820"/>
              <w:spacing w:after="0" w:line="158" w:lineRule="exact"/>
              <w:rPr>
                <w:sz w:val="20"/>
                <w:szCs w:val="20"/>
                <w:color w:val="auto"/>
              </w:rPr>
            </w:pPr>
            <w:r>
              <w:rPr>
                <w:rFonts w:ascii="Arial" w:cs="Arial" w:eastAsia="Arial" w:hAnsi="Arial"/>
                <w:sz w:val="14"/>
                <w:szCs w:val="14"/>
                <w:b w:val="1"/>
                <w:bCs w:val="1"/>
                <w:color w:val="auto"/>
              </w:rPr>
              <w:t>NUMBER OF</w:t>
            </w:r>
          </w:p>
        </w:tc>
        <w:tc>
          <w:tcPr>
            <w:tcW w:w="2540" w:type="dxa"/>
            <w:vAlign w:val="bottom"/>
            <w:gridSpan w:val="7"/>
          </w:tcPr>
          <w:p>
            <w:pPr>
              <w:jc w:val="center"/>
              <w:ind w:right="40"/>
              <w:spacing w:after="0" w:line="158" w:lineRule="exact"/>
              <w:rPr>
                <w:sz w:val="20"/>
                <w:szCs w:val="20"/>
                <w:color w:val="auto"/>
              </w:rPr>
            </w:pPr>
            <w:r>
              <w:rPr>
                <w:rFonts w:ascii="Arial" w:cs="Arial" w:eastAsia="Arial" w:hAnsi="Arial"/>
                <w:sz w:val="14"/>
                <w:szCs w:val="14"/>
                <w:b w:val="1"/>
                <w:bCs w:val="1"/>
                <w:color w:val="auto"/>
              </w:rPr>
              <w:t>SHARES BENEFICIALLY</w:t>
            </w:r>
          </w:p>
        </w:tc>
      </w:tr>
      <w:tr>
        <w:trPr>
          <w:trHeight w:val="162"/>
        </w:trPr>
        <w:tc>
          <w:tcPr>
            <w:tcW w:w="5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9"/>
              </w:rPr>
              <w:t>SHARES</w:t>
            </w:r>
          </w:p>
        </w:tc>
        <w:tc>
          <w:tcPr>
            <w:tcW w:w="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451"/>
              <w:spacing w:after="0"/>
              <w:rPr>
                <w:sz w:val="20"/>
                <w:szCs w:val="20"/>
                <w:color w:val="auto"/>
              </w:rPr>
            </w:pPr>
            <w:r>
              <w:rPr>
                <w:rFonts w:ascii="Arial" w:cs="Arial" w:eastAsia="Arial" w:hAnsi="Arial"/>
                <w:sz w:val="14"/>
                <w:szCs w:val="14"/>
                <w:b w:val="1"/>
                <w:bCs w:val="1"/>
                <w:color w:val="auto"/>
              </w:rPr>
              <w:t>OWNED</w:t>
            </w:r>
          </w:p>
        </w:tc>
        <w:tc>
          <w:tcPr>
            <w:tcW w:w="440" w:type="dxa"/>
            <w:vAlign w:val="bottom"/>
            <w:gridSpan w:val="2"/>
          </w:tcPr>
          <w:p>
            <w:pPr>
              <w:spacing w:after="0"/>
              <w:rPr>
                <w:sz w:val="14"/>
                <w:szCs w:val="14"/>
                <w:color w:val="auto"/>
              </w:rPr>
            </w:pPr>
          </w:p>
        </w:tc>
      </w:tr>
      <w:tr>
        <w:trPr>
          <w:trHeight w:val="119"/>
        </w:trPr>
        <w:tc>
          <w:tcPr>
            <w:tcW w:w="50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900" w:type="dxa"/>
            <w:vAlign w:val="bottom"/>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rPr>
              <w:t>BENEFICIALLY</w:t>
            </w:r>
          </w:p>
        </w:tc>
        <w:tc>
          <w:tcPr>
            <w:tcW w:w="94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BEFORE</w:t>
            </w:r>
          </w:p>
        </w:tc>
        <w:tc>
          <w:tcPr>
            <w:tcW w:w="780" w:type="dxa"/>
            <w:vAlign w:val="bottom"/>
          </w:tcPr>
          <w:p>
            <w:pPr>
              <w:spacing w:after="0"/>
              <w:rPr>
                <w:sz w:val="10"/>
                <w:szCs w:val="10"/>
                <w:color w:val="auto"/>
              </w:rPr>
            </w:pPr>
          </w:p>
        </w:tc>
        <w:tc>
          <w:tcPr>
            <w:tcW w:w="82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AFTER</w:t>
            </w:r>
          </w:p>
        </w:tc>
      </w:tr>
      <w:tr>
        <w:trPr>
          <w:trHeight w:val="171"/>
        </w:trPr>
        <w:tc>
          <w:tcPr>
            <w:tcW w:w="5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OWNED</w:t>
            </w:r>
          </w:p>
        </w:tc>
        <w:tc>
          <w:tcPr>
            <w:tcW w:w="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OFFERING</w:t>
            </w:r>
          </w:p>
        </w:tc>
        <w:tc>
          <w:tcPr>
            <w:tcW w:w="78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OFFERING</w:t>
            </w: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 Shareholders:</w:t>
            </w:r>
          </w:p>
        </w:tc>
        <w:tc>
          <w:tcPr>
            <w:tcW w:w="17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Entities affiliated with Versant</w:t>
            </w:r>
            <w:r>
              <w:rPr>
                <w:rFonts w:ascii="Arial" w:cs="Arial" w:eastAsia="Arial" w:hAnsi="Arial"/>
                <w:sz w:val="15"/>
                <w:szCs w:val="15"/>
                <w:color w:val="auto"/>
              </w:rPr>
              <w:t>(1)</w:t>
            </w:r>
          </w:p>
        </w:tc>
        <w:tc>
          <w:tcPr>
            <w:tcW w:w="3640" w:type="dxa"/>
            <w:vAlign w:val="bottom"/>
            <w:gridSpan w:val="3"/>
          </w:tcPr>
          <w:p>
            <w:pPr>
              <w:jc w:val="right"/>
              <w:ind w:right="800"/>
              <w:spacing w:after="0"/>
              <w:rPr>
                <w:sz w:val="20"/>
                <w:szCs w:val="20"/>
                <w:color w:val="auto"/>
              </w:rPr>
            </w:pPr>
            <w:r>
              <w:rPr>
                <w:rFonts w:ascii="Arial" w:cs="Arial" w:eastAsia="Arial" w:hAnsi="Arial"/>
                <w:sz w:val="18"/>
                <w:szCs w:val="18"/>
                <w:color w:val="auto"/>
              </w:rPr>
              <w:t>42,459,303</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30.1%</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MPM</w:t>
            </w:r>
            <w:r>
              <w:rPr>
                <w:rFonts w:ascii="Arial" w:cs="Arial" w:eastAsia="Arial" w:hAnsi="Arial"/>
                <w:sz w:val="15"/>
                <w:szCs w:val="15"/>
                <w:color w:val="auto"/>
              </w:rPr>
              <w:t>(2)</w:t>
            </w:r>
          </w:p>
        </w:tc>
        <w:tc>
          <w:tcPr>
            <w:tcW w:w="36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16,693,367</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OrbiMed Private Investments VII, L.P.</w:t>
            </w:r>
            <w:r>
              <w:rPr>
                <w:rFonts w:ascii="Arial" w:cs="Arial" w:eastAsia="Arial" w:hAnsi="Arial"/>
                <w:sz w:val="15"/>
                <w:szCs w:val="15"/>
                <w:color w:val="auto"/>
              </w:rPr>
              <w:t>(3)</w:t>
            </w:r>
          </w:p>
        </w:tc>
        <w:tc>
          <w:tcPr>
            <w:tcW w:w="3640" w:type="dxa"/>
            <w:vAlign w:val="bottom"/>
            <w:gridSpan w:val="3"/>
          </w:tcPr>
          <w:p>
            <w:pPr>
              <w:jc w:val="right"/>
              <w:ind w:right="800"/>
              <w:spacing w:after="0"/>
              <w:rPr>
                <w:sz w:val="20"/>
                <w:szCs w:val="20"/>
                <w:color w:val="auto"/>
              </w:rPr>
            </w:pPr>
            <w:r>
              <w:rPr>
                <w:rFonts w:ascii="Arial" w:cs="Arial" w:eastAsia="Arial" w:hAnsi="Arial"/>
                <w:sz w:val="18"/>
                <w:szCs w:val="18"/>
                <w:color w:val="auto"/>
              </w:rPr>
              <w:t>15,769,231</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11.2</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UBS Oncology Impact Fund, L.P.</w:t>
            </w:r>
            <w:r>
              <w:rPr>
                <w:rFonts w:ascii="Arial" w:cs="Arial" w:eastAsia="Arial" w:hAnsi="Arial"/>
                <w:sz w:val="15"/>
                <w:szCs w:val="15"/>
                <w:color w:val="auto"/>
              </w:rPr>
              <w:t>(4)</w:t>
            </w:r>
          </w:p>
        </w:tc>
        <w:tc>
          <w:tcPr>
            <w:tcW w:w="36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12,962,598</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Entities affiliated with Cowen</w:t>
            </w:r>
            <w:r>
              <w:rPr>
                <w:rFonts w:ascii="Arial" w:cs="Arial" w:eastAsia="Arial" w:hAnsi="Arial"/>
                <w:sz w:val="15"/>
                <w:szCs w:val="15"/>
                <w:color w:val="auto"/>
              </w:rPr>
              <w:t>(5)</w:t>
            </w:r>
          </w:p>
        </w:tc>
        <w:tc>
          <w:tcPr>
            <w:tcW w:w="3640" w:type="dxa"/>
            <w:vAlign w:val="bottom"/>
            <w:gridSpan w:val="3"/>
          </w:tcPr>
          <w:p>
            <w:pPr>
              <w:jc w:val="right"/>
              <w:ind w:right="800"/>
              <w:spacing w:after="0"/>
              <w:rPr>
                <w:sz w:val="20"/>
                <w:szCs w:val="20"/>
                <w:color w:val="auto"/>
              </w:rPr>
            </w:pPr>
            <w:r>
              <w:rPr>
                <w:rFonts w:ascii="Arial" w:cs="Arial" w:eastAsia="Arial" w:hAnsi="Arial"/>
                <w:sz w:val="18"/>
                <w:szCs w:val="18"/>
                <w:color w:val="auto"/>
              </w:rPr>
              <w:t>11,538,462</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8.2</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7"/>
              </w:rPr>
              <w:t>Fonds de solidarité des travailleurs et travailleuses du Québec</w:t>
            </w:r>
            <w:r>
              <w:rPr>
                <w:rFonts w:ascii="Arial" w:cs="Arial" w:eastAsia="Arial" w:hAnsi="Arial"/>
                <w:sz w:val="15"/>
                <w:szCs w:val="15"/>
                <w:color w:val="auto"/>
                <w:w w:val="97"/>
              </w:rPr>
              <w:t>(6)</w:t>
            </w:r>
          </w:p>
        </w:tc>
        <w:tc>
          <w:tcPr>
            <w:tcW w:w="36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10,632,077</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Redmile Biopharma Investments II, L.P.</w:t>
            </w:r>
            <w:r>
              <w:rPr>
                <w:rFonts w:ascii="Arial" w:cs="Arial" w:eastAsia="Arial" w:hAnsi="Arial"/>
                <w:sz w:val="15"/>
                <w:szCs w:val="15"/>
                <w:color w:val="auto"/>
              </w:rPr>
              <w:t>(7)</w:t>
            </w:r>
          </w:p>
        </w:tc>
        <w:tc>
          <w:tcPr>
            <w:tcW w:w="3640" w:type="dxa"/>
            <w:vAlign w:val="bottom"/>
            <w:gridSpan w:val="3"/>
          </w:tcPr>
          <w:p>
            <w:pPr>
              <w:jc w:val="right"/>
              <w:ind w:right="800"/>
              <w:spacing w:after="0"/>
              <w:rPr>
                <w:sz w:val="20"/>
                <w:szCs w:val="20"/>
                <w:color w:val="auto"/>
              </w:rPr>
            </w:pPr>
            <w:r>
              <w:rPr>
                <w:rFonts w:ascii="Arial" w:cs="Arial" w:eastAsia="Arial" w:hAnsi="Arial"/>
                <w:sz w:val="18"/>
                <w:szCs w:val="18"/>
                <w:color w:val="auto"/>
              </w:rPr>
              <w:t>9,615,385</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6.8</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Lloyd M. Segal</w:t>
            </w:r>
            <w:r>
              <w:rPr>
                <w:rFonts w:ascii="Arial" w:cs="Arial" w:eastAsia="Arial" w:hAnsi="Arial"/>
                <w:sz w:val="15"/>
                <w:szCs w:val="15"/>
                <w:color w:val="auto"/>
              </w:rPr>
              <w:t>(8)</w:t>
            </w:r>
          </w:p>
        </w:tc>
        <w:tc>
          <w:tcPr>
            <w:tcW w:w="3640" w:type="dxa"/>
            <w:vAlign w:val="bottom"/>
            <w:gridSpan w:val="3"/>
          </w:tcPr>
          <w:p>
            <w:pPr>
              <w:jc w:val="right"/>
              <w:ind w:right="800"/>
              <w:spacing w:after="0"/>
              <w:rPr>
                <w:sz w:val="20"/>
                <w:szCs w:val="20"/>
                <w:color w:val="auto"/>
              </w:rPr>
            </w:pPr>
            <w:r>
              <w:rPr>
                <w:rFonts w:ascii="Arial" w:cs="Arial" w:eastAsia="Arial" w:hAnsi="Arial"/>
                <w:sz w:val="18"/>
                <w:szCs w:val="18"/>
                <w:color w:val="auto"/>
              </w:rPr>
              <w:t>2,657,288</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Michael Zinda, Ph.D.</w:t>
            </w:r>
            <w:r>
              <w:rPr>
                <w:rFonts w:ascii="Arial" w:cs="Arial" w:eastAsia="Arial" w:hAnsi="Arial"/>
                <w:sz w:val="15"/>
                <w:szCs w:val="15"/>
                <w:color w:val="auto"/>
              </w:rPr>
              <w:t>(9)</w:t>
            </w:r>
          </w:p>
        </w:tc>
        <w:tc>
          <w:tcPr>
            <w:tcW w:w="36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731,356</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Maria Koehler, M.D., Ph.D.</w:t>
            </w:r>
            <w:r>
              <w:rPr>
                <w:rFonts w:ascii="Arial" w:cs="Arial" w:eastAsia="Arial" w:hAnsi="Arial"/>
                <w:sz w:val="15"/>
                <w:szCs w:val="15"/>
                <w:color w:val="auto"/>
              </w:rPr>
              <w:t>(10)</w:t>
            </w:r>
          </w:p>
        </w:tc>
        <w:tc>
          <w:tcPr>
            <w:tcW w:w="3640" w:type="dxa"/>
            <w:vAlign w:val="bottom"/>
            <w:gridSpan w:val="3"/>
          </w:tcPr>
          <w:p>
            <w:pPr>
              <w:jc w:val="right"/>
              <w:ind w:right="800"/>
              <w:spacing w:after="0"/>
              <w:rPr>
                <w:sz w:val="20"/>
                <w:szCs w:val="20"/>
                <w:color w:val="auto"/>
              </w:rPr>
            </w:pPr>
            <w:r>
              <w:rPr>
                <w:rFonts w:ascii="Arial" w:cs="Arial" w:eastAsia="Arial" w:hAnsi="Arial"/>
                <w:sz w:val="18"/>
                <w:szCs w:val="18"/>
                <w:color w:val="auto"/>
              </w:rPr>
              <w:t>293,750</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Katina Dorton</w:t>
            </w:r>
            <w:r>
              <w:rPr>
                <w:rFonts w:ascii="Arial" w:cs="Arial" w:eastAsia="Arial" w:hAnsi="Arial"/>
                <w:sz w:val="15"/>
                <w:szCs w:val="15"/>
                <w:color w:val="auto"/>
              </w:rPr>
              <w:t>(11)</w:t>
            </w:r>
          </w:p>
        </w:tc>
        <w:tc>
          <w:tcPr>
            <w:tcW w:w="36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393,750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365"/>
        </w:trPr>
        <w:tc>
          <w:tcPr>
            <w:tcW w:w="5060" w:type="dxa"/>
            <w:vAlign w:val="bottom"/>
          </w:tcPr>
          <w:p>
            <w:pPr>
              <w:spacing w:after="0"/>
              <w:rPr>
                <w:sz w:val="24"/>
                <w:szCs w:val="24"/>
                <w:color w:val="auto"/>
              </w:rPr>
            </w:pPr>
          </w:p>
        </w:tc>
        <w:tc>
          <w:tcPr>
            <w:tcW w:w="1740" w:type="dxa"/>
            <w:vAlign w:val="bottom"/>
          </w:tcPr>
          <w:p>
            <w:pPr>
              <w:jc w:val="right"/>
              <w:ind w:right="950"/>
              <w:spacing w:after="0"/>
              <w:rPr>
                <w:sz w:val="20"/>
                <w:szCs w:val="20"/>
                <w:color w:val="auto"/>
              </w:rPr>
            </w:pPr>
            <w:r>
              <w:rPr>
                <w:rFonts w:ascii="Arial" w:cs="Arial" w:eastAsia="Arial" w:hAnsi="Arial"/>
                <w:sz w:val="18"/>
                <w:szCs w:val="18"/>
                <w:color w:val="auto"/>
              </w:rPr>
              <w:t>178</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rPr>
              <w:t>PERCENTAGE OF</w:t>
            </w:r>
          </w:p>
        </w:tc>
      </w:tr>
      <w:tr>
        <w:trPr>
          <w:trHeight w:val="158"/>
        </w:trPr>
        <w:tc>
          <w:tcPr>
            <w:tcW w:w="7060" w:type="dxa"/>
            <w:vAlign w:val="bottom"/>
          </w:tcPr>
          <w:p>
            <w:pPr>
              <w:spacing w:after="0"/>
              <w:rPr>
                <w:sz w:val="13"/>
                <w:szCs w:val="13"/>
                <w:color w:val="auto"/>
              </w:rPr>
            </w:pPr>
          </w:p>
        </w:tc>
        <w:tc>
          <w:tcPr>
            <w:tcW w:w="184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3"/>
                <w:szCs w:val="13"/>
                <w:color w:val="auto"/>
              </w:rPr>
            </w:pPr>
          </w:p>
        </w:tc>
        <w:tc>
          <w:tcPr>
            <w:tcW w:w="2040" w:type="dxa"/>
            <w:vAlign w:val="bottom"/>
            <w:gridSpan w:val="6"/>
          </w:tcPr>
          <w:p>
            <w:pPr>
              <w:jc w:val="center"/>
              <w:ind w:right="340"/>
              <w:spacing w:after="0" w:line="158" w:lineRule="exact"/>
              <w:rPr>
                <w:sz w:val="20"/>
                <w:szCs w:val="20"/>
                <w:color w:val="auto"/>
              </w:rPr>
            </w:pPr>
            <w:r>
              <w:rPr>
                <w:rFonts w:ascii="Arial" w:cs="Arial" w:eastAsia="Arial" w:hAnsi="Arial"/>
                <w:sz w:val="14"/>
                <w:szCs w:val="14"/>
                <w:b w:val="1"/>
                <w:bCs w:val="1"/>
                <w:color w:val="auto"/>
              </w:rPr>
              <w:t>SHARES BENEFICIALLY</w:t>
            </w:r>
          </w:p>
        </w:tc>
      </w:tr>
      <w:tr>
        <w:trPr>
          <w:trHeight w:val="162"/>
        </w:trPr>
        <w:tc>
          <w:tcPr>
            <w:tcW w:w="7060" w:type="dxa"/>
            <w:vAlign w:val="bottom"/>
          </w:tcPr>
          <w:p>
            <w:pPr>
              <w:spacing w:after="0"/>
              <w:rPr>
                <w:sz w:val="14"/>
                <w:szCs w:val="14"/>
                <w:color w:val="auto"/>
              </w:rPr>
            </w:pPr>
          </w:p>
        </w:tc>
        <w:tc>
          <w:tcPr>
            <w:tcW w:w="18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9"/>
              </w:rPr>
              <w:t>SHARES</w:t>
            </w:r>
          </w:p>
        </w:tc>
        <w:tc>
          <w:tcPr>
            <w:tcW w:w="3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431"/>
              <w:spacing w:after="0"/>
              <w:rPr>
                <w:sz w:val="20"/>
                <w:szCs w:val="20"/>
                <w:color w:val="auto"/>
              </w:rPr>
            </w:pPr>
            <w:r>
              <w:rPr>
                <w:rFonts w:ascii="Arial" w:cs="Arial" w:eastAsia="Arial" w:hAnsi="Arial"/>
                <w:sz w:val="14"/>
                <w:szCs w:val="14"/>
                <w:b w:val="1"/>
                <w:bCs w:val="1"/>
                <w:color w:val="auto"/>
              </w:rPr>
              <w:t>OWNED</w:t>
            </w:r>
          </w:p>
        </w:tc>
        <w:tc>
          <w:tcPr>
            <w:tcW w:w="340" w:type="dxa"/>
            <w:vAlign w:val="bottom"/>
            <w:gridSpan w:val="2"/>
          </w:tcPr>
          <w:p>
            <w:pPr>
              <w:spacing w:after="0"/>
              <w:rPr>
                <w:sz w:val="14"/>
                <w:szCs w:val="14"/>
                <w:color w:val="auto"/>
              </w:rPr>
            </w:pPr>
          </w:p>
        </w:tc>
      </w:tr>
      <w:tr>
        <w:trPr>
          <w:trHeight w:val="119"/>
        </w:trPr>
        <w:tc>
          <w:tcPr>
            <w:tcW w:w="7060" w:type="dxa"/>
            <w:vAlign w:val="bottom"/>
          </w:tcPr>
          <w:p>
            <w:pPr>
              <w:spacing w:after="0"/>
              <w:rPr>
                <w:sz w:val="10"/>
                <w:szCs w:val="10"/>
                <w:color w:val="auto"/>
              </w:rPr>
            </w:pPr>
          </w:p>
        </w:tc>
        <w:tc>
          <w:tcPr>
            <w:tcW w:w="1840" w:type="dxa"/>
            <w:vAlign w:val="bottom"/>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rPr>
              <w:t>BENEFICIALLY</w:t>
            </w:r>
          </w:p>
        </w:tc>
        <w:tc>
          <w:tcPr>
            <w:tcW w:w="82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BEFORE</w:t>
            </w:r>
          </w:p>
        </w:tc>
        <w:tc>
          <w:tcPr>
            <w:tcW w:w="700" w:type="dxa"/>
            <w:vAlign w:val="bottom"/>
          </w:tcPr>
          <w:p>
            <w:pPr>
              <w:spacing w:after="0"/>
              <w:rPr>
                <w:sz w:val="10"/>
                <w:szCs w:val="10"/>
                <w:color w:val="auto"/>
              </w:rPr>
            </w:pPr>
          </w:p>
        </w:tc>
        <w:tc>
          <w:tcPr>
            <w:tcW w:w="82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rPr>
              <w:t>AFTER</w:t>
            </w:r>
          </w:p>
        </w:tc>
      </w:tr>
      <w:tr>
        <w:trPr>
          <w:trHeight w:val="171"/>
        </w:trPr>
        <w:tc>
          <w:tcPr>
            <w:tcW w:w="70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OWNED</w:t>
            </w:r>
          </w:p>
        </w:tc>
        <w:tc>
          <w:tcPr>
            <w:tcW w:w="74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OFFERING</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rPr>
              <w:t>OFFERING</w:t>
            </w:r>
          </w:p>
        </w:tc>
        <w:tc>
          <w:tcPr>
            <w:tcW w:w="40" w:type="dxa"/>
            <w:vAlign w:val="bottom"/>
          </w:tcPr>
          <w:p>
            <w:pPr>
              <w:spacing w:after="0"/>
              <w:rPr>
                <w:sz w:val="14"/>
                <w:szCs w:val="14"/>
                <w:color w:val="auto"/>
              </w:rPr>
            </w:pPr>
          </w:p>
        </w:tc>
      </w:tr>
      <w:tr>
        <w:trPr>
          <w:trHeight w:val="209"/>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Jerel Davis, Ph.D.</w:t>
            </w:r>
            <w:r>
              <w:rPr>
                <w:rFonts w:ascii="Arial" w:cs="Arial" w:eastAsia="Arial" w:hAnsi="Arial"/>
                <w:sz w:val="15"/>
                <w:szCs w:val="15"/>
                <w:color w:val="auto"/>
              </w:rPr>
              <w:t>(1)</w:t>
            </w:r>
          </w:p>
        </w:tc>
        <w:tc>
          <w:tcPr>
            <w:tcW w:w="18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42,459,303</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David Bonita, M.D.</w:t>
            </w:r>
            <w:r>
              <w:rPr>
                <w:rFonts w:ascii="Arial" w:cs="Arial" w:eastAsia="Arial" w:hAnsi="Arial"/>
                <w:sz w:val="15"/>
                <w:szCs w:val="15"/>
                <w:color w:val="auto"/>
              </w:rPr>
              <w:t>(3)</w:t>
            </w:r>
          </w:p>
        </w:tc>
        <w:tc>
          <w:tcPr>
            <w:tcW w:w="1840" w:type="dxa"/>
            <w:vAlign w:val="bottom"/>
            <w:gridSpan w:val="2"/>
          </w:tcPr>
          <w:p>
            <w:pPr>
              <w:jc w:val="right"/>
              <w:ind w:right="740"/>
              <w:spacing w:after="0"/>
              <w:rPr>
                <w:sz w:val="20"/>
                <w:szCs w:val="20"/>
                <w:color w:val="auto"/>
              </w:rPr>
            </w:pPr>
            <w:r>
              <w:rPr>
                <w:rFonts w:ascii="Arial" w:cs="Arial" w:eastAsia="Arial" w:hAnsi="Arial"/>
                <w:sz w:val="18"/>
                <w:szCs w:val="18"/>
                <w:color w:val="auto"/>
              </w:rPr>
              <w:t>15,769,231</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11.2</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Todd Foley</w:t>
            </w:r>
            <w:r>
              <w:rPr>
                <w:rFonts w:ascii="Arial" w:cs="Arial" w:eastAsia="Arial" w:hAnsi="Arial"/>
                <w:sz w:val="15"/>
                <w:szCs w:val="15"/>
                <w:color w:val="auto"/>
              </w:rPr>
              <w:t>(2)</w:t>
            </w:r>
          </w:p>
        </w:tc>
        <w:tc>
          <w:tcPr>
            <w:tcW w:w="18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16,693,367</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Samarth Kulkarni</w:t>
            </w: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Briggs Morrison, M.D.</w:t>
            </w:r>
            <w:r>
              <w:rPr>
                <w:rFonts w:ascii="Arial" w:cs="Arial" w:eastAsia="Arial" w:hAnsi="Arial"/>
                <w:sz w:val="15"/>
                <w:szCs w:val="15"/>
                <w:color w:val="auto"/>
              </w:rPr>
              <w:t>(12)</w:t>
            </w:r>
          </w:p>
        </w:tc>
        <w:tc>
          <w:tcPr>
            <w:tcW w:w="18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202,712</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Kevin Raidy</w:t>
            </w:r>
            <w:r>
              <w:rPr>
                <w:rFonts w:ascii="Arial" w:cs="Arial" w:eastAsia="Arial" w:hAnsi="Arial"/>
                <w:sz w:val="15"/>
                <w:szCs w:val="15"/>
                <w:color w:val="auto"/>
              </w:rPr>
              <w:t>(5)</w:t>
            </w:r>
          </w:p>
        </w:tc>
        <w:tc>
          <w:tcPr>
            <w:tcW w:w="1840" w:type="dxa"/>
            <w:vAlign w:val="bottom"/>
            <w:gridSpan w:val="2"/>
          </w:tcPr>
          <w:p>
            <w:pPr>
              <w:jc w:val="right"/>
              <w:ind w:right="740"/>
              <w:spacing w:after="0"/>
              <w:rPr>
                <w:sz w:val="20"/>
                <w:szCs w:val="20"/>
                <w:color w:val="auto"/>
              </w:rPr>
            </w:pPr>
            <w:r>
              <w:rPr>
                <w:rFonts w:ascii="Arial" w:cs="Arial" w:eastAsia="Arial" w:hAnsi="Arial"/>
                <w:sz w:val="18"/>
                <w:szCs w:val="18"/>
                <w:color w:val="auto"/>
              </w:rPr>
              <w:t>11,538,462</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8.2</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Carol Schafer</w:t>
            </w:r>
            <w:r>
              <w:rPr>
                <w:rFonts w:ascii="Arial" w:cs="Arial" w:eastAsia="Arial" w:hAnsi="Arial"/>
                <w:sz w:val="15"/>
                <w:szCs w:val="15"/>
                <w:color w:val="auto"/>
              </w:rPr>
              <w:t>(13)</w:t>
            </w:r>
          </w:p>
        </w:tc>
        <w:tc>
          <w:tcPr>
            <w:tcW w:w="18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67,084</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7060" w:type="dxa"/>
            <w:vAlign w:val="bottom"/>
          </w:tcPr>
          <w:p>
            <w:pPr>
              <w:spacing w:after="0"/>
              <w:rPr>
                <w:sz w:val="20"/>
                <w:szCs w:val="20"/>
                <w:color w:val="auto"/>
              </w:rPr>
            </w:pPr>
            <w:r>
              <w:rPr>
                <w:rFonts w:ascii="Arial" w:cs="Arial" w:eastAsia="Arial" w:hAnsi="Arial"/>
                <w:sz w:val="18"/>
                <w:szCs w:val="18"/>
                <w:b w:val="1"/>
                <w:bCs w:val="1"/>
                <w:color w:val="auto"/>
              </w:rPr>
              <w:t>All current executive officers and directors as a group (11 persons)</w:t>
            </w:r>
            <w:r>
              <w:rPr>
                <w:rFonts w:ascii="Arial" w:cs="Arial" w:eastAsia="Arial" w:hAnsi="Arial"/>
                <w:sz w:val="15"/>
                <w:szCs w:val="15"/>
                <w:b w:val="1"/>
                <w:bCs w:val="1"/>
                <w:color w:val="auto"/>
              </w:rPr>
              <w:t>(14)</w:t>
            </w:r>
          </w:p>
        </w:tc>
        <w:tc>
          <w:tcPr>
            <w:tcW w:w="1840" w:type="dxa"/>
            <w:vAlign w:val="bottom"/>
            <w:gridSpan w:val="2"/>
          </w:tcPr>
          <w:p>
            <w:pPr>
              <w:jc w:val="right"/>
              <w:ind w:right="740"/>
              <w:spacing w:after="0"/>
              <w:rPr>
                <w:sz w:val="20"/>
                <w:szCs w:val="20"/>
                <w:color w:val="auto"/>
              </w:rPr>
            </w:pPr>
            <w:r>
              <w:rPr>
                <w:rFonts w:ascii="Arial" w:cs="Arial" w:eastAsia="Arial" w:hAnsi="Arial"/>
                <w:sz w:val="18"/>
                <w:szCs w:val="18"/>
                <w:color w:val="auto"/>
              </w:rPr>
              <w:t>90,412,553</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62.7</w:t>
            </w: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886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3" w:lineRule="exact"/>
        <w:rPr>
          <w:sz w:val="20"/>
          <w:szCs w:val="20"/>
          <w:color w:val="auto"/>
        </w:rPr>
      </w:pPr>
    </w:p>
    <w:p>
      <w:pPr>
        <w:jc w:val="both"/>
        <w:ind w:left="460" w:right="560" w:hanging="452"/>
        <w:spacing w:after="0" w:line="281" w:lineRule="auto"/>
        <w:tabs>
          <w:tab w:leader="none" w:pos="4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Consists of (a)(i) 3,949,161 common shares, (ii) 12,452,548 common shares issuable upon the conversion of Class A preferred shares and (iii) 675,071 common shares issuable upon the conversion of Class B preferred shares held by Versant Venture Capital V, L.P., or Versant V; (b)(i)</w:t>
      </w:r>
    </w:p>
    <w:p>
      <w:pPr>
        <w:spacing w:after="0" w:line="1" w:lineRule="exact"/>
        <w:rPr>
          <w:rFonts w:ascii="Arial" w:cs="Arial" w:eastAsia="Arial" w:hAnsi="Arial"/>
          <w:sz w:val="16"/>
          <w:szCs w:val="16"/>
          <w:color w:val="auto"/>
        </w:rPr>
      </w:pPr>
    </w:p>
    <w:p>
      <w:pPr>
        <w:ind w:left="460"/>
        <w:spacing w:after="0" w:line="283" w:lineRule="auto"/>
        <w:rPr>
          <w:rFonts w:ascii="Arial" w:cs="Arial" w:eastAsia="Arial" w:hAnsi="Arial"/>
          <w:sz w:val="16"/>
          <w:szCs w:val="16"/>
          <w:color w:val="auto"/>
        </w:rPr>
      </w:pPr>
      <w:r>
        <w:rPr>
          <w:rFonts w:ascii="Arial" w:cs="Arial" w:eastAsia="Arial" w:hAnsi="Arial"/>
          <w:sz w:val="16"/>
          <w:szCs w:val="16"/>
          <w:color w:val="auto"/>
        </w:rPr>
        <w:t>300,551 common shares, (ii) 947,702 common shares issuable upon the conversion of Class A preferred shares and (iii) 51,376 common shares issuable upon the conversion of Class B preferred shares held by Versant Venture Capital V (Canada) LP, or Versant V Canada; (c)(i) 131,495 common shares, (ii) 414,630 common shares issuable upon the conversion of Class A preferred shares and (iii) 22,478 common shares issuable upon the conversion of Class B preferred shares held by Versant Ophthalmic Affiliates Fund I, L.P., or Versant Ophthalmic; (d)(i) 118,793 common shares, (ii) 374,579 common shares issuable upon the conversion of Class A preferred shares and (iii) 20,306 common shares issuable upon the conversion of Class B preferred shares held by Versant Affiliates Fund V, L.P., or Versant Affiliates V; (e)(i) 14,814,815 common shares issuable upon the conversion of Class A preferred shares and (ii) 5,307,692 common shares issuable upon the conversion of Class B preferred shares held by Versant Venture Capital VI, L.P., or Versant VI; (f) 2,778,106 common shares issuable upon the conversion of Class B preferred shares held by Versant Vantage I, L.P., or Versant Vantage; and (g) 100,000 common shares held by one individual associated with Versant Venture Management, LLC or VVM. VVM, Versant V, Versant V Canada, Versant Ophthalmic, Versant Affiliates V, Versant VI and Versant Vantage are collectively referred to as the Versant Entities. Versant Ventures V, LLC is the general partner of each of Versant V, Versant Ophthalmic and Versant Affiliates V and has voting and dispositive control over the shares held by such entities. Versant Ventures V (Canada), L.P. is the general partner of Versant V Canada and Versant Ventures V GP-GP (Canada), Inc. is the sole general partner of Versant Ventures V (Canada), L.P. and has voting and dispositive control over the shares held by Versant V Canada. Dr. Davis, Brad Bolzon, Tom Woiwode, William Link, Samuel Colella, Kirk Nielsen and Robin Praeger, the managing directors of Versant Ventures V, LLC and the directors of Versant Ventures V GP-GP (Canada), Inc., may be deemed to possess voting and dispositive control over the shares held by Versant V, Versant V Canada, Versant Ophthalmic and Versant Affiliates V and may be deemed to have indirect beneficial ownership of the shares held by Versant V, Versant V Canada, Versant Ophthalmic and Versant Affiliates V but disclaims beneficial ownership of such securities, except to the extent of their respective pecuniary interest therein, if any. Versant Ventures VI GP, L.P. is the sole general partner of Versant VI and Versant Ventures VI GP-GP, LLC is the sole general partner of Versant Ventures VI GP, L.P. and has voting and dispositive control over the shares held by Versant VI. Dr. Davis, Brad Bolzon, Tom Woiwode, Clare Ozawa, Kirk Nielsen and Robin Praeger, the managing directors of Versant Ventures VI GP-GP, LLC, may be deemed to possess voting and dispositive control over the shares held by Versant VI and may be deemed to have indirect beneficial ownership of the shares held by Versant VI but disclaims beneficial ownership of such securities, except to the extent of their respective pecuniary interest therein, if any. Versant Vantage I GP, L.P. is the sole general partner of Versant Vantage and Versant Vantage I GP-GP, LLC is the sole general partner of Versant Vantage I GP, L.P. and has voting and dispositive control over the shares held by Versant Vantage. Dr. Davis, Brad Bolzon, Tom Woiwode, Clare Ozawa and Robin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459" w:right="3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20"/>
        <w:spacing w:after="0" w:line="254" w:lineRule="auto"/>
        <w:rPr>
          <w:sz w:val="20"/>
          <w:szCs w:val="20"/>
          <w:color w:val="auto"/>
        </w:rPr>
      </w:pPr>
      <w:r>
        <w:rPr>
          <w:rFonts w:ascii="Arial" w:cs="Arial" w:eastAsia="Arial" w:hAnsi="Arial"/>
          <w:sz w:val="18"/>
          <w:szCs w:val="18"/>
          <w:color w:val="auto"/>
        </w:rPr>
        <w:t>Praeger, the managing directors of Versant Vantage I GP-GP, LLC, may be deemed to possess voting and dispositive control over the shares held by Versant Vantage and may be deemed to have indirect beneficial ownership of the shares held by Versant Vantage but disclaims beneficial ownership of such securities, except to the extent of their respective pecuniary interest therein, if any. The address for the Versant Entities is One Sansome Street, Suite 3630, San Francisco, CA 94104.</w:t>
      </w:r>
    </w:p>
    <w:p>
      <w:pPr>
        <w:spacing w:after="0" w:line="2" w:lineRule="exact"/>
        <w:rPr>
          <w:sz w:val="20"/>
          <w:szCs w:val="20"/>
          <w:color w:val="auto"/>
        </w:rPr>
      </w:pPr>
    </w:p>
    <w:p>
      <w:pPr>
        <w:ind w:left="460" w:hanging="452"/>
        <w:spacing w:after="0" w:line="281" w:lineRule="auto"/>
        <w:tabs>
          <w:tab w:leader="none" w:pos="4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Consists of (a)(i) 9,918,254 common shares issuable upon the conversion of Class A preferred shares and (ii) 5,242,111 common shares issuable upon the conversion of Class B preferred shares held by MPM Bioventures 2014, L.P., or MPM 2014; (b)(i) 661,531 common shares issuable upon the conversion of Class A preferred shares and (ii) 349,641 common shares issuable upon the conversion of Class B preferred shares held by MPM Bioventures 2014 (B), L.P., or MPM B 2014; and (c)(i) 341,393 common shares issuable upon the conversion of Class A preferred shares and (ii) 180,437 common shares issuable upon the conversion of Class B preferred shares held by MPM Asset Management Investors BV2014 LLC, or MPM LLC. MPM 2014, MPM B 2014 and MPM LLC are collectively referred to as the MPM Entities. Todd Foley, a member of our board of directors, Luke Evnin and Ansbert Gadicke and are managing directors of MPM BioVentures 2014 LLC, or BV2014 LLC. BV2014 LLC is the Managing Member of MPM BioVentures 2014 GP LLC, which is the General Partner of MPM 2014 and MPM B 2014. MPM LLC invests alongside MPM 2014 and MPM B 2014. Each of Drs. Evnin and Gadicke and Mr. Foley shares power to vote, acquire, hold and dispose of the shares held by each of the MPM Entities. Each of the entities and individuals listed above expressly disclaims beneficial ownership of the securities listed above except to the extent of any pecuniary interest therein. The address of each of the MPM Entities is 450 Kendall Street, Cambridge, MA 02142.</w:t>
      </w:r>
    </w:p>
    <w:p>
      <w:pPr>
        <w:spacing w:after="0" w:line="6"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Consists of 5,242,111 common shares issuable upon the conversion of Class B preferred shares held by OrbiMed Private Investments VII, L.P., or OrbiMed. OrbiMed Advisors LLC, or Advisors, is the managing member of OrbiMed Capital GP VII LLC, or GP VII. GP VII is the general partner of OrbiMed. David Bonita, M.D., a member of our board of directors, is a member of Advisors. By virtue of such relationships, GP VII and Advisors may be deemed to have voting power and investment power over the securities held by OrbiMed and as a result, may be deemed to have beneficial ownership over such securities. Advisors exercises voting and investment power through a management committee comprised of Carl L. Gordon, Sven H. Borho, and Jonathan T. Silverstein, each of whom disclaims beneficial ownership of the shares held by OrbiMed. OrbiMed holds more than 5% of our share capital prior to this offering. The address of OrbiMed is 601 Lexington Avenue, 54th Floor, New York, NY 10022.</w:t>
      </w:r>
    </w:p>
    <w:p>
      <w:pPr>
        <w:spacing w:after="0" w:line="4"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(i) 10,921,178 common shares issuable upon the conversion of Class A preferred shares and (ii) 2,041,420 common shares issuable upon the conversion of Class B preferred shares held by UBS Oncology Impact Fund, L.P. The general partner of UBS Oncology Impact Fund, L.P. is Oncology Impact Fund (Cayman) Management L.P. The general partner of Oncology Impact Fund (Cayman) Management L.P. is MPM Oncology Impact Management LP. The general partner of MPM Oncology Impact Management LP is MPM Oncology Impact Management GP LLC. Ansbert Gadicke is a Managing Member and the Managing Director of MPM Oncology Impact Management GP LLC and has voting and dispositive power over the shares held by UBS Oncology Impact Fund, L.P. The address of UBS Oncology Impact Fund, L.P. is Durell House, 28 New Street, St Helier, Jersey, JE1 4FS.</w:t>
      </w:r>
    </w:p>
    <w:p>
      <w:pPr>
        <w:spacing w:after="0" w:line="2" w:lineRule="exact"/>
        <w:rPr>
          <w:rFonts w:ascii="Arial" w:cs="Arial" w:eastAsia="Arial" w:hAnsi="Arial"/>
          <w:sz w:val="18"/>
          <w:szCs w:val="18"/>
          <w:color w:val="auto"/>
        </w:rPr>
      </w:pPr>
    </w:p>
    <w:p>
      <w:pPr>
        <w:ind w:left="460" w:right="40" w:hanging="452"/>
        <w:spacing w:after="0" w:line="265" w:lineRule="auto"/>
        <w:tabs>
          <w:tab w:leader="none" w:pos="4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Consists of (a) 10,749,200 common shares issuable upon the conversion of Class B preferred shares held by Cowen Healthcare Investments II LP, or CHI II, and (b) 789,262 common shares issuable upon the conversion of Class B preferred shares held by CHI EF II LP, or CHI EF. CHI II and CHI EF are collectively referred to as the Cowen Entities. Cowen Healthcare Investments II GP LLC is the sole general partner of CHI II and CHI EF. As managing partner of Cowen Healthcare Investments II GP LLC, Kevin J. Raidy, a member of our board of directors, exercises sole voting and investment power over the securities held by Cowen Healthcare Investments II GP LLC and CHI EF. Mr. Raidy disclaims beneficial ownership of the shares held by CHI II and CHI EF II LP, except to the extent of any actual pecuniary interest. The address of each of the Cowen Entities is CHI Advisors LLC, 599 Lexington Avenue, 19th Floor, New York, NY 10022.</w:t>
      </w:r>
    </w:p>
    <w:p>
      <w:pPr>
        <w:spacing w:after="0" w:line="1" w:lineRule="exact"/>
        <w:rPr>
          <w:rFonts w:ascii="Arial" w:cs="Arial" w:eastAsia="Arial" w:hAnsi="Arial"/>
          <w:sz w:val="17"/>
          <w:szCs w:val="17"/>
          <w:color w:val="auto"/>
        </w:rPr>
      </w:pPr>
    </w:p>
    <w:p>
      <w:pPr>
        <w:ind w:left="460" w:right="40" w:hanging="452"/>
        <w:spacing w:after="0" w:line="255"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(a) 8,309,591 common shares issuable upon the conversion of Class A preferred shares held by Fonds de solidarité des travailleurs et travailleuses du Québec, or FTQ, and (b) 2,322,486 common shares issuable upon the conversion of Class B preferred shares held by FTQ. The FTQ investment committee,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20"/>
          </w:cols>
          <w:pgMar w:left="320" w:top="459" w:right="3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40"/>
        <w:spacing w:after="0" w:line="254" w:lineRule="auto"/>
        <w:rPr>
          <w:sz w:val="20"/>
          <w:szCs w:val="20"/>
          <w:color w:val="auto"/>
        </w:rPr>
      </w:pPr>
      <w:r>
        <w:rPr>
          <w:rFonts w:ascii="Arial" w:cs="Arial" w:eastAsia="Arial" w:hAnsi="Arial"/>
          <w:sz w:val="18"/>
          <w:szCs w:val="18"/>
          <w:color w:val="auto"/>
        </w:rPr>
        <w:t>consisting of Christine Beaubien, Anouk Collet, Loïc Breton, Chantal Laberge, Hubert Manseau, Roger A. Renaud, Michelle Savoie and Jacques Simard, may be deemed to have voting and dispositive power over the common shares held by FTQ. Investment decisions with respect to the common shares held by FTQ can be made by its investment committee. The address of FTQ is 545 Blvd. Crémazie East, Suite 200, Montréal (QC) Canada, H2M 2W4.</w:t>
      </w:r>
    </w:p>
    <w:p>
      <w:pPr>
        <w:spacing w:after="0" w:line="2" w:lineRule="exact"/>
        <w:rPr>
          <w:sz w:val="20"/>
          <w:szCs w:val="20"/>
          <w:color w:val="auto"/>
        </w:rPr>
      </w:pPr>
    </w:p>
    <w:p>
      <w:pPr>
        <w:ind w:left="460" w:right="80" w:hanging="452"/>
        <w:spacing w:after="0" w:line="250"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9,615,385 common shares issuable upon the conversion of Class B preferred shares held by Redmile Biopharma Investments II, L.P. Redmile Group, LLC is the investment manager/adviser to Redmile Biopharma Investments II, L.P. and, in such capacity, exercises sole voting and investment power over the shares held by Redmile Biopharma Investments II, L.P. and may be deemed to be the beneficial owner of these shares. The reported securities may also be deemed beneficially owned by Jeremy C. Green as the principal of Redmile Group, LLC. Redmile Group, LLC and Mr. Green each disclaim beneficial ownership of these shares, except to the extent of its or his pecuniary interest in such shares, if any. The address of Redmile Biopharma Investments II, L.P. is Letterman Digital Arts Center, One Letterman Drive, Suite D3-300, San Francisco, California 94129.</w:t>
      </w:r>
    </w:p>
    <w:p>
      <w:pPr>
        <w:spacing w:after="0" w:line="2" w:lineRule="exact"/>
        <w:rPr>
          <w:rFonts w:ascii="Arial" w:cs="Arial" w:eastAsia="Arial" w:hAnsi="Arial"/>
          <w:sz w:val="18"/>
          <w:szCs w:val="18"/>
          <w:color w:val="auto"/>
        </w:rPr>
      </w:pPr>
    </w:p>
    <w:p>
      <w:pPr>
        <w:ind w:left="460" w:right="600" w:hanging="452"/>
        <w:spacing w:after="0" w:line="250"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(a) 900,000 common shares held by Mr. Segal and (b) 1,757,288 common shares issuable upon the exercise of options granted to Mr. Segal that are exercisable within 60 days of March 31, 2020.</w:t>
      </w:r>
    </w:p>
    <w:p>
      <w:pPr>
        <w:ind w:left="460" w:hanging="452"/>
        <w:spacing w:after="0" w:line="250"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(a) 516,666 common shares held by Dr. Zinda and (b) 214,690 common shares issuable upon the exercise of options granted to Dr. Zinda that are exercisable within 60 days of March 31, 2020.</w:t>
      </w:r>
    </w:p>
    <w:p>
      <w:pPr>
        <w:ind w:left="460" w:right="240" w:hanging="452"/>
        <w:spacing w:after="0" w:line="250"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293,750 common shares issuable upon the exercise of options granted to Dr. Koehler that are exercisable within 60 days of March 31, 2020.</w:t>
      </w:r>
    </w:p>
    <w:p>
      <w:pPr>
        <w:ind w:left="460" w:hanging="452"/>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393,750 common shares held by Ms. Dorton. Ms. Dorton’s employment was terminated effective October 10, 2019.</w:t>
      </w:r>
    </w:p>
    <w:p>
      <w:pPr>
        <w:spacing w:after="0" w:line="9"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202,712 common shares issuable upon the exercise of options granted to Dr. Morrison that are exercisable within 60 days of March 31, 2020.</w:t>
      </w:r>
    </w:p>
    <w:p>
      <w:pPr>
        <w:ind w:left="460" w:right="320" w:hanging="452"/>
        <w:spacing w:after="0" w:line="250"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67,084 common shares issuable upon the exercise of options granted to Ms. Schafer that are exercisable within 60 days of March 31, 2020.</w:t>
      </w:r>
    </w:p>
    <w:p>
      <w:pPr>
        <w:ind w:left="460" w:right="100" w:hanging="452"/>
        <w:spacing w:after="0" w:line="255"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(i) 6,016,666 common shares, (ii) 39,925,452 common shares issuable upon the conversion of Class A preferred shares, (iii) 41,934,911 common shares issuable upon the conversion of Class B preferred shares and (iv) 2,535,524 common shares issuable upon the exercise of options. The shares held by Ms. Dorton have been excluded as she is not a current executive officer.</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80"/>
          </w:cols>
          <w:pgMar w:left="320" w:top="459" w:right="39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i w:val="1"/>
          <w:iCs w:val="1"/>
          <w:color w:val="auto"/>
        </w:rPr>
        <w:t>The following is a description of the material terms of our common shares and preferred shares will be forth in our articles of continuance, as will be in effect upon the closing of this offering. The following description of our share capital is intended as a summary only. For more detailed information, please see our articles of continuance, which is filed as an exhibit to the registration statement of which this prospectus is a part.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40" w:firstLine="449"/>
        <w:spacing w:after="0" w:line="291" w:lineRule="auto"/>
        <w:rPr>
          <w:sz w:val="20"/>
          <w:szCs w:val="20"/>
          <w:color w:val="auto"/>
        </w:rPr>
      </w:pPr>
      <w:r>
        <w:rPr>
          <w:rFonts w:ascii="Arial" w:cs="Arial" w:eastAsia="Arial" w:hAnsi="Arial"/>
          <w:sz w:val="16"/>
          <w:szCs w:val="16"/>
          <w:color w:val="auto"/>
        </w:rPr>
        <w:t>Following the completion of this offering, based upon shares outstanding as of March 31, 2020 and assuming (i) the conversion of all outstanding preferred shares and (ii) the automatic exercise of the warrant held by an affiliate of Bristol Myers Squibb, in each case effected immediately prior to the</w:t>
      </w:r>
    </w:p>
    <w:p>
      <w:pPr>
        <w:ind w:right="200"/>
        <w:spacing w:after="0" w:line="290" w:lineRule="auto"/>
        <w:rPr>
          <w:sz w:val="20"/>
          <w:szCs w:val="20"/>
          <w:color w:val="auto"/>
        </w:rPr>
      </w:pPr>
      <w:r>
        <w:rPr>
          <w:rFonts w:ascii="Arial" w:cs="Arial" w:eastAsia="Arial" w:hAnsi="Arial"/>
          <w:sz w:val="17"/>
          <w:szCs w:val="17"/>
          <w:color w:val="auto"/>
        </w:rPr>
        <w:t>completion of this offering, our share capital will consist of an unlimited number of common shares, no par value per share, of which shares will be issued and outstanding, and an unlimited number of preferred shares, no par value per share, none of which will be issued and outstanding.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117" w:lineRule="exact"/>
        <w:rPr>
          <w:sz w:val="20"/>
          <w:szCs w:val="20"/>
          <w:color w:val="auto"/>
        </w:rPr>
      </w:pPr>
    </w:p>
    <w:p>
      <w:pPr>
        <w:ind w:left="460"/>
        <w:spacing w:after="0"/>
        <w:tabs>
          <w:tab w:leader="none" w:pos="3620" w:val="left"/>
        </w:tabs>
        <w:rPr>
          <w:sz w:val="20"/>
          <w:szCs w:val="20"/>
          <w:color w:val="auto"/>
        </w:rPr>
      </w:pPr>
      <w:r>
        <w:rPr>
          <w:rFonts w:ascii="Arial" w:cs="Arial" w:eastAsia="Arial" w:hAnsi="Arial"/>
          <w:sz w:val="18"/>
          <w:szCs w:val="18"/>
          <w:color w:val="auto"/>
        </w:rPr>
        <w:t>As of March 31, 2020, we had</w:t>
      </w:r>
      <w:r>
        <w:rPr>
          <w:sz w:val="20"/>
          <w:szCs w:val="20"/>
          <w:color w:val="auto"/>
        </w:rPr>
        <w:tab/>
      </w:r>
      <w:r>
        <w:rPr>
          <w:rFonts w:ascii="Arial" w:cs="Arial" w:eastAsia="Arial" w:hAnsi="Arial"/>
          <w:sz w:val="16"/>
          <w:szCs w:val="16"/>
          <w:color w:val="auto"/>
        </w:rPr>
        <w:t>common shares outstanding, which were held by approximately 35 shareholders of record, assuming (i)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conversion of all outstanding preferred shares into 130,686,975 common shares and (ii) the automatic exercise of the warrant held by an affiliate of</w:t>
      </w:r>
    </w:p>
    <w:p>
      <w:pPr>
        <w:spacing w:after="0" w:line="32" w:lineRule="exact"/>
        <w:rPr>
          <w:sz w:val="20"/>
          <w:szCs w:val="20"/>
          <w:color w:val="auto"/>
        </w:rPr>
      </w:pPr>
    </w:p>
    <w:p>
      <w:pPr>
        <w:jc w:val="both"/>
        <w:ind w:right="620"/>
        <w:spacing w:after="0" w:line="290" w:lineRule="auto"/>
        <w:rPr>
          <w:sz w:val="20"/>
          <w:szCs w:val="20"/>
          <w:color w:val="auto"/>
        </w:rPr>
      </w:pPr>
      <w:r>
        <w:rPr>
          <w:rFonts w:ascii="Arial" w:cs="Arial" w:eastAsia="Arial" w:hAnsi="Arial"/>
          <w:sz w:val="17"/>
          <w:szCs w:val="17"/>
          <w:color w:val="auto"/>
        </w:rPr>
        <w:t>Bristol Myers Squibb into an aggregate of common shares, based on an assumed initial public offering price of $ per share, the midpoint of the price range set forth on the cover page of this prospectus, in each case effected immediately prior to the completion of this offering.</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Under our articles of continuance to be in effect following the completion of this offering, the holders of common shares will be entitled to one vote for each share held at any meeting of the shareholders.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Subject to the prior rights of the holders of our preferred shares, the holders of common shares will be entitled to receive dividends as and when declared by our board of directors. See “Dividend Policy.”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right="160" w:firstLine="449"/>
        <w:spacing w:after="0" w:line="342" w:lineRule="auto"/>
        <w:rPr>
          <w:sz w:val="20"/>
          <w:szCs w:val="20"/>
          <w:color w:val="auto"/>
        </w:rPr>
      </w:pPr>
      <w:r>
        <w:rPr>
          <w:rFonts w:ascii="Arial" w:cs="Arial" w:eastAsia="Arial" w:hAnsi="Arial"/>
          <w:sz w:val="16"/>
          <w:szCs w:val="16"/>
          <w:color w:val="auto"/>
        </w:rPr>
        <w:t xml:space="preserve">Subject to the prior payment to the holders of our preferred shares, in the event of our liquidation, dissolution or winding-up or other distribution of our assets among our shareholders, the holders of common shares will be entitled to share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the distribution of the balance of our assets.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holders of common shares will have no preemptive, conversion rights or other subscription rights. There will be no redemption or sinking fund provisions applicable to our common shares. There will be no provision in our articles of continuance to be in effect following the closing of this offering requiring the holders of common shares to contribute additional capital or permitting or restricting the issuance of additional securities or any other material restrictions. The rights, preferences and privileges of the holders of common shares will be subject to and may be adversely affected by, the rights of the holders of any series of preferred shares that we may designate in the future.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459" w:right="3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Upon the completion of this offering, all outstanding preferred shares will convert into common shares on a one-to-one basis. As of March 31, 2020, we had 130,686,975 preferred shares outstanding, held of record by 22 shareholders. Under our articles of continuance to be in effect following the completion of this offering, we will be authorized to issue, without shareholder approval, an unlimited number of preferred shares, issuable in one or more series, and, subject to the provisions of the QBCA, having such designations, rights, privileges, restrictions and conditions, including dividend and voting rights, as our board of directors may determine, and such rights and privileges, including dividend and voting rights, may be superior to those of the common shares. The issuance of preferred shares, while providing flexibility in connection with possible acquisitions and other corporate purposes, could, among other things, have the effect of delaying, deferring or preventing a change in control of our company and might adversely affect the market price of our common shares and the voting and other rights of the holders of common shares. We have no current plans to issue any preferred shares following the completion of this offering.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As of March 31, 2020, 20,148,992 common shares were issuable upon the exercise of outstanding share options, at a weighted-average exercise price of $0.34 per common share. For additional information regarding terms of our equity incentive plans, see the section titled “Executive and Director Compensation—Equity Incentive Plans.”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w:t>
      </w:r>
    </w:p>
    <w:p>
      <w:pPr>
        <w:spacing w:after="0" w:line="121" w:lineRule="exact"/>
        <w:rPr>
          <w:sz w:val="20"/>
          <w:szCs w:val="20"/>
          <w:color w:val="auto"/>
        </w:rPr>
      </w:pPr>
    </w:p>
    <w:p>
      <w:pPr>
        <w:ind w:right="40" w:firstLine="449"/>
        <w:spacing w:after="0" w:line="284" w:lineRule="auto"/>
        <w:rPr>
          <w:sz w:val="20"/>
          <w:szCs w:val="20"/>
          <w:color w:val="auto"/>
        </w:rPr>
      </w:pPr>
      <w:r>
        <w:rPr>
          <w:rFonts w:ascii="Arial" w:cs="Arial" w:eastAsia="Arial" w:hAnsi="Arial"/>
          <w:sz w:val="16"/>
          <w:szCs w:val="16"/>
          <w:color w:val="auto"/>
        </w:rPr>
        <w:t xml:space="preserve">In May 2020, in connection with our entry into a collaboration and license agreement with Bristol-Myers Squibb Company, or Bristol Myers Squibb, we entered into a warrant agreement with an affiliate of Bristol Myers Squibb. Pursuant to the terms of the warrant agreement, Bristol Myers Squibb paid us $15 million in consideration for our issuance of a warrant. Immediately prior to the completion of this offering, the warrant will be automatically exercised for a number of our common shares equal to the subscription price of $15 million divided by the initial public offering price of our common shares set forth on the cover page of this prospectus; </w:t>
      </w:r>
      <w:r>
        <w:rPr>
          <w:rFonts w:ascii="Arial" w:cs="Arial" w:eastAsia="Arial" w:hAnsi="Arial"/>
          <w:sz w:val="16"/>
          <w:szCs w:val="16"/>
          <w:i w:val="1"/>
          <w:iCs w:val="1"/>
          <w:color w:val="auto"/>
        </w:rPr>
        <w:t>provided that</w:t>
      </w:r>
      <w:r>
        <w:rPr>
          <w:rFonts w:ascii="Arial" w:cs="Arial" w:eastAsia="Arial" w:hAnsi="Arial"/>
          <w:sz w:val="16"/>
          <w:szCs w:val="16"/>
          <w:color w:val="auto"/>
        </w:rPr>
        <w:t>, in the event that either the offering is not consummated by December 31, 2020 or we deliver to Bristol Myers Squibb a written notice to the effect that we are no longer pursuing this proposed offering, the warrant will be automatically</w:t>
      </w:r>
    </w:p>
    <w:p>
      <w:pPr>
        <w:spacing w:after="0" w:line="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exercised for a specified number of preferred shares. Based on an assumed initial public offering price of $ per share, the midpoint of the range set forth on the cover page of this prospectus, it is anticipated that Bristol Myers Squibb will acquire of our common shares upon the automatic exercise in connection with the consummation of this offering.</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Upon the completion of this offering, holders of the common shares issued upon the conversion of our preferred shares, including any accrued dividends thereon, as well as BMS Strategic Portfolio Investments Holdings, Inc., an affiliate of Bristol Myers Squibb, with respect to the common shares issuable to it upon automatic exercise of its warrant, will be entitled to certain rights with respect to registration of such shares under the Securities Act, pursuant to the terms of the registration rights agreement by and among us and certain of our holders. We refer to these shares as registrable securities. The registration of common shares pursuant to the exercise of the registration rights described below would enable the holders to trade these shares without restriction under the Securities Act when the applicable registration statement is declared effective.</w:t>
      </w:r>
    </w:p>
    <w:p>
      <w:pPr>
        <w:spacing w:after="0" w:line="178"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We will pay the registration expenses, other than underwriting fees, selling commissions and share transfer taxes for the shares registered pursuant to the demand, piggyback and short-form registrations described below. Expenses relating to underwriting fees, selling commissions and share transfer taxes for the shares registered will be borne by us and the participating holders in proportion to the number of common shares sold by each, or, as between the participating holders, as such participating holders may otherwise agree.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320" w:top="459" w:right="3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As of March 31, 2020, holders of an aggregate of 135,186,975 registrable securities were entitled to these demand, piggyback and short-form registration rights. Under the terms of the registration rights agreement, holders of registrable securities will have equivalent registration rights with respect to any of our common shares acquired by these holders. Upon completion of this offering, BMS Strategic Portfolio Investments Holdings, Inc., an affiliate</w:t>
      </w:r>
    </w:p>
    <w:p>
      <w:pPr>
        <w:spacing w:after="0" w:line="2"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of Bristol Myers Squibb, will become party to the registration rights agreement, such that an aggregate of registrable securities will be subject to the registration rights set forth in the registration rights agreement, which assumes that the warrant is automatically exercised into an aggregate of</w:t>
      </w:r>
    </w:p>
    <w:p>
      <w:pPr>
        <w:ind w:right="120" w:firstLine="945"/>
        <w:spacing w:after="0" w:line="260" w:lineRule="auto"/>
        <w:rPr>
          <w:sz w:val="20"/>
          <w:szCs w:val="20"/>
          <w:color w:val="auto"/>
        </w:rPr>
      </w:pPr>
      <w:r>
        <w:rPr>
          <w:rFonts w:ascii="Arial" w:cs="Arial" w:eastAsia="Arial" w:hAnsi="Arial"/>
          <w:sz w:val="18"/>
          <w:szCs w:val="18"/>
          <w:color w:val="auto"/>
        </w:rPr>
        <w:t>common shares, based on an assumed initial public offering price of $ per share, the midpoint of the price range set forth on the cover page of this prospectus.</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At any time beginning 180 days following the effective date of the registration statement of which this prospectus forms a part, the holders of at least a majority of the registrable securities then outstanding have the right to make up to two demands that we file a registration statement under the Securities Act, subject to specified conditions and exceptions.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If we register any securities for public sale, the holders of our registrable securities then outstanding will each be entitled to notice of the registration and will have the right to include their shares in the registration statement, subject to specified exceptions. The underwriters of any underwritten offering will have the right to limit the number of shares having registration rights to be included in such registration statement, but not below 30% of the total amount of securities included in such registration.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Short-Form Registration Rights</w:t>
      </w:r>
    </w:p>
    <w:p>
      <w:pPr>
        <w:spacing w:after="0" w:line="11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At any time beginning 180 days following the effective date of the registration statement of which this prospectus forms a part, if we are eligible to file a registration statement on Form S-3 under the Securities Act or Form 44-101F1 under National Instrument 44-101 of the Canadian Securities Administrators, as applicable, the holders of our registrable securities then outstanding will have the right to demand that we file a registration statement on Form S-3 or Form 44-101F1, as applicable, provided that the aggregate amount of securities to be sold under such short-form registration statement is at least $5.0 million. We are not obligated to effect a demand for registration on Form S-3 or Form 44-101 by holders of our registrable securities more than two times during any 12-month period. The right to have such shares registered on Form S-3 or Form 44-101 is further subject to other specified conditions and limitations.</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demand, piggyback and short-form registration rights described below will expire upon the earliest of (i) the occurrence of certain mergers, amalgamations, consolidations, reorganizations, arrangements, business combinations or similar transactions that result in a change of control, or a sale of all or substantially all of our assets, or a dissolution, liquidation or winding up of our company, (ii) three years after the completion this offering or (iii) with respect to any particular holder, at such time that such holder can sell its preferred shares under Rule 144 of the Securities Act during any three-month period.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The registration rights agreement contains customary cross-indemnification provisions, pursuant to which we are obligated to indemnify the selling shareholders in the event of material misstatements or omissions in the registration statement attributable to us, and they are obligated to indemnify us for material misstatements or omissions in the registration statement attributable to them.</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459" w:right="3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transfer agent and registrar for our common shares will be Computershare Investor Services Inc. The transfer agent’s address is 1500 Robert-Bourassa Boulevard, 7th Floor, Montréal, Québec H3A 3S8.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shares on the Nasdaq Global Market under the trading symbol “RPTX.”</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0940"/>
          </w:cols>
          <w:pgMar w:left="320" w:top="459" w:right="6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Prior to this offering, there has been no public market for our common shares, and a liquid trading market for our common shares may not develop or be sustained after this offering. Future sales of our common shares, including shares issued upon the exercise of outstanding options, in the public market after the completion of this offering, or the perception that those sales may occur, could adversely affect the prevailing market price for our common shares from time to time or impair our ability to raise equity capital in the future. As described below, only a limited number of our common shares will be available for sale in the public market for a period of several months after the completion of this offering due to contractual and legal restrictions on resale described below. Future sales of our common shares in the public market either before or after restrictions lapse, or the perception that those sales may occur, could adversely affect the prevailing market price of our common shares at such time and our ability to raise equity capital at a time and price we deem appropriate.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121" w:lineRule="exact"/>
        <w:rPr>
          <w:sz w:val="20"/>
          <w:szCs w:val="20"/>
          <w:color w:val="auto"/>
        </w:rPr>
      </w:pPr>
    </w:p>
    <w:p>
      <w:pPr>
        <w:ind w:right="200" w:firstLine="449"/>
        <w:spacing w:after="0" w:line="291" w:lineRule="auto"/>
        <w:rPr>
          <w:sz w:val="20"/>
          <w:szCs w:val="20"/>
          <w:color w:val="auto"/>
        </w:rPr>
      </w:pPr>
      <w:r>
        <w:rPr>
          <w:rFonts w:ascii="Arial" w:cs="Arial" w:eastAsia="Arial" w:hAnsi="Arial"/>
          <w:sz w:val="16"/>
          <w:szCs w:val="16"/>
          <w:color w:val="auto"/>
        </w:rPr>
        <w:t>Based on the number of common shares outstanding as of March 31, 2020, upon the closing of this offering and assuming (i) the conversion of our outstanding preferred shares into an aggregate of 130,686,975 common shares immediately prior to the completion of this offering, (ii) the automatic</w:t>
      </w:r>
    </w:p>
    <w:p>
      <w:pPr>
        <w:ind w:right="160"/>
        <w:spacing w:after="0" w:line="265" w:lineRule="auto"/>
        <w:rPr>
          <w:sz w:val="20"/>
          <w:szCs w:val="20"/>
          <w:color w:val="auto"/>
        </w:rPr>
      </w:pPr>
      <w:r>
        <w:rPr>
          <w:rFonts w:ascii="Arial" w:cs="Arial" w:eastAsia="Arial" w:hAnsi="Arial"/>
          <w:sz w:val="17"/>
          <w:szCs w:val="17"/>
          <w:color w:val="auto"/>
        </w:rPr>
        <w:t>exercise of the warrant held by an affiliate of Bristol Myers Squibb into an aggregate of common shares immediately prior to the completion of this offering, based on an assumed initial public offering price of $ per share, the midpoint of the price range set forth on the cover page of this</w:t>
      </w:r>
    </w:p>
    <w:p>
      <w:pPr>
        <w:spacing w:after="0"/>
        <w:rPr>
          <w:sz w:val="20"/>
          <w:szCs w:val="20"/>
          <w:color w:val="auto"/>
        </w:rPr>
      </w:pPr>
      <w:r>
        <w:rPr>
          <w:rFonts w:ascii="Arial" w:cs="Arial" w:eastAsia="Arial" w:hAnsi="Arial"/>
          <w:sz w:val="16"/>
          <w:szCs w:val="16"/>
          <w:color w:val="auto"/>
        </w:rPr>
        <w:t>prospectus, (iii) no exercise of the underwriters’ option to purchase additional common shares, and (iv) no exercise of outstanding options, we will have</w:t>
      </w:r>
    </w:p>
    <w:p>
      <w:pPr>
        <w:spacing w:after="0" w:line="32" w:lineRule="exact"/>
        <w:rPr>
          <w:sz w:val="20"/>
          <w:szCs w:val="20"/>
          <w:color w:val="auto"/>
        </w:rPr>
      </w:pPr>
    </w:p>
    <w:p>
      <w:pPr>
        <w:ind w:firstLine="945"/>
        <w:spacing w:after="0" w:line="252" w:lineRule="auto"/>
        <w:rPr>
          <w:sz w:val="20"/>
          <w:szCs w:val="20"/>
          <w:color w:val="auto"/>
        </w:rPr>
      </w:pPr>
      <w:r>
        <w:rPr>
          <w:rFonts w:ascii="Arial" w:cs="Arial" w:eastAsia="Arial" w:hAnsi="Arial"/>
          <w:sz w:val="18"/>
          <w:szCs w:val="18"/>
          <w:color w:val="auto"/>
        </w:rPr>
        <w:t>outstanding common shares as of such date. Of these shares, all of the common shares to be sold in this offering will be freely tradable in the public market without restriction or further registration under the Securities Act, unless the shares are held by any of our “affiliates” as such term is defined in Rule 144 of the Securities Act, or Rule 144 or subject to lock-up agreements. All remaining common shares held by existing shareholders immediately prior to the consummation of this offering will be “restricted securities,” as such term is defined in Rule 144. These restricted securities were issued and sold by us in private transactions and are eligible for public sale only if registered under the Securities Act or if they qualify for an exemption from registration under the Securities Act, including the exemptions provided by Rule 144 or Rule 701 of the Securities Act, or Rule 701, which rules are summarized below.</w:t>
      </w:r>
    </w:p>
    <w:p>
      <w:pPr>
        <w:spacing w:after="0" w:line="192"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As a result of the lock-up agreements referred to below and the provisions of Rule 144 and Rule 701 under the Securities Act, based on the number of our common shares outstanding as of March 31, 2020, the common shares (excluding the shares sold in this offering) that will be available for sale in the public market are as follows:</w:t>
      </w:r>
    </w:p>
    <w:p>
      <w:pPr>
        <w:spacing w:after="0" w:line="202"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Approximate Number of Shares</w:t>
            </w:r>
          </w:p>
        </w:tc>
        <w:tc>
          <w:tcPr>
            <w:tcW w:w="8740" w:type="dxa"/>
            <w:vAlign w:val="bottom"/>
            <w:gridSpan w:val="3"/>
          </w:tcPr>
          <w:p>
            <w:pPr>
              <w:ind w:left="600"/>
              <w:spacing w:after="0"/>
              <w:rPr>
                <w:sz w:val="20"/>
                <w:szCs w:val="20"/>
                <w:color w:val="auto"/>
              </w:rPr>
            </w:pPr>
            <w:r>
              <w:rPr>
                <w:rFonts w:ascii="Arial" w:cs="Arial" w:eastAsia="Arial" w:hAnsi="Arial"/>
                <w:sz w:val="14"/>
                <w:szCs w:val="14"/>
                <w:b w:val="1"/>
                <w:bCs w:val="1"/>
                <w:color w:val="auto"/>
              </w:rPr>
              <w:t>First Date Available for Sale into Public Market</w:t>
            </w:r>
          </w:p>
        </w:tc>
      </w:tr>
      <w:tr>
        <w:trPr>
          <w:trHeight w:val="195"/>
        </w:trPr>
        <w:tc>
          <w:tcPr>
            <w:tcW w:w="1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1"/>
              </w:rPr>
              <w:t>shares</w:t>
            </w:r>
          </w:p>
        </w:tc>
        <w:tc>
          <w:tcPr>
            <w:tcW w:w="600" w:type="dxa"/>
            <w:vAlign w:val="bottom"/>
          </w:tcPr>
          <w:p>
            <w:pPr>
              <w:spacing w:after="0"/>
              <w:rPr>
                <w:sz w:val="16"/>
                <w:szCs w:val="16"/>
                <w:color w:val="auto"/>
              </w:rPr>
            </w:pPr>
          </w:p>
        </w:tc>
        <w:tc>
          <w:tcPr>
            <w:tcW w:w="2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7"/>
              </w:rPr>
              <w:t>181 days after the date of this prospectus,</w:t>
            </w:r>
          </w:p>
        </w:tc>
        <w:tc>
          <w:tcPr>
            <w:tcW w:w="5200" w:type="dxa"/>
            <w:vAlign w:val="bottom"/>
          </w:tcPr>
          <w:p>
            <w:pPr>
              <w:ind w:left="100"/>
              <w:spacing w:after="0" w:line="195" w:lineRule="exact"/>
              <w:rPr>
                <w:sz w:val="20"/>
                <w:szCs w:val="20"/>
                <w:color w:val="auto"/>
              </w:rPr>
            </w:pPr>
            <w:r>
              <w:rPr>
                <w:rFonts w:ascii="Arial" w:cs="Arial" w:eastAsia="Arial" w:hAnsi="Arial"/>
                <w:sz w:val="18"/>
                <w:szCs w:val="18"/>
                <w:color w:val="auto"/>
                <w:w w:val="90"/>
              </w:rPr>
              <w:t>upon expiration of the lock-up agreements referred to below, subject in</w:t>
            </w:r>
          </w:p>
        </w:tc>
      </w:tr>
      <w:tr>
        <w:trPr>
          <w:trHeight w:val="230"/>
        </w:trPr>
        <w:tc>
          <w:tcPr>
            <w:tcW w:w="1960" w:type="dxa"/>
            <w:vAlign w:val="bottom"/>
          </w:tcPr>
          <w:p>
            <w:pPr>
              <w:spacing w:after="0"/>
              <w:rPr>
                <w:sz w:val="20"/>
                <w:szCs w:val="20"/>
                <w:color w:val="auto"/>
              </w:rPr>
            </w:pPr>
          </w:p>
        </w:tc>
        <w:tc>
          <w:tcPr>
            <w:tcW w:w="8740" w:type="dxa"/>
            <w:vAlign w:val="bottom"/>
            <w:gridSpan w:val="3"/>
          </w:tcPr>
          <w:p>
            <w:pPr>
              <w:ind w:left="600"/>
              <w:spacing w:after="0"/>
              <w:rPr>
                <w:sz w:val="20"/>
                <w:szCs w:val="20"/>
                <w:color w:val="auto"/>
              </w:rPr>
            </w:pPr>
            <w:r>
              <w:rPr>
                <w:rFonts w:ascii="Arial" w:cs="Arial" w:eastAsia="Arial" w:hAnsi="Arial"/>
                <w:sz w:val="18"/>
                <w:szCs w:val="18"/>
                <w:color w:val="auto"/>
              </w:rPr>
              <w:t>some cases to applicable volume, manner of sale and other limitations under Rule 144 and Rule 701.</w:t>
            </w:r>
          </w:p>
        </w:tc>
      </w:tr>
    </w:tbl>
    <w:p>
      <w:pPr>
        <w:spacing w:after="0" w:line="202" w:lineRule="exact"/>
        <w:rPr>
          <w:sz w:val="20"/>
          <w:szCs w:val="20"/>
          <w:color w:val="auto"/>
        </w:rPr>
      </w:pPr>
    </w:p>
    <w:p>
      <w:pPr>
        <w:jc w:val="both"/>
        <w:ind w:right="240" w:firstLine="449"/>
        <w:spacing w:after="0" w:line="286" w:lineRule="auto"/>
        <w:rPr>
          <w:sz w:val="20"/>
          <w:szCs w:val="20"/>
          <w:color w:val="auto"/>
        </w:rPr>
      </w:pPr>
      <w:r>
        <w:rPr>
          <w:rFonts w:ascii="Arial" w:cs="Arial" w:eastAsia="Arial" w:hAnsi="Arial"/>
          <w:sz w:val="17"/>
          <w:szCs w:val="17"/>
          <w:color w:val="auto"/>
        </w:rPr>
        <w:t>We may issue common shares from time to time as consideration for future acquisitions, investments or other corporate purposes. In the event that any such acquisition, investment or other transaction is significant, the number of common shares that we may issue may in turn be significant. We may also grant registration rights covering those common shares issued in connection with any such acquisition and investment.</w:t>
      </w:r>
    </w:p>
    <w:p>
      <w:pPr>
        <w:spacing w:after="0" w:line="165"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In addition, the common shares reserved for future issuance under our 2020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540" w:firstLine="449"/>
        <w:spacing w:after="0" w:line="342" w:lineRule="auto"/>
        <w:rPr>
          <w:sz w:val="20"/>
          <w:szCs w:val="20"/>
          <w:color w:val="auto"/>
        </w:rPr>
      </w:pPr>
      <w:r>
        <w:rPr>
          <w:rFonts w:ascii="Arial" w:cs="Arial" w:eastAsia="Arial" w:hAnsi="Arial"/>
          <w:sz w:val="16"/>
          <w:szCs w:val="16"/>
          <w:color w:val="auto"/>
        </w:rPr>
        <w:t>In general, persons who have beneficially owned restricted common shares for at least six months, and any affiliate of the company who owns common shares, are entitled to sell their securities without registration with the SEC under an exemption from registration provided by Rule 144.</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459" w:right="3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below,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w:t>
      </w:r>
    </w:p>
    <w:p>
      <w:pPr>
        <w:spacing w:after="0" w:line="196" w:lineRule="exact"/>
        <w:rPr>
          <w:sz w:val="20"/>
          <w:szCs w:val="20"/>
          <w:color w:val="auto"/>
        </w:rPr>
      </w:pPr>
    </w:p>
    <w:p>
      <w:pPr>
        <w:jc w:val="both"/>
        <w:ind w:right="100" w:firstLine="449"/>
        <w:spacing w:after="0" w:line="259"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common shares that does not exceed the greater of:</w:t>
      </w:r>
    </w:p>
    <w:p>
      <w:pPr>
        <w:spacing w:after="0" w:line="92" w:lineRule="exact"/>
        <w:rPr>
          <w:sz w:val="20"/>
          <w:szCs w:val="20"/>
          <w:color w:val="auto"/>
        </w:rPr>
      </w:pPr>
    </w:p>
    <w:p>
      <w:pPr>
        <w:ind w:left="1000" w:right="20" w:hanging="539"/>
        <w:spacing w:after="0" w:line="263" w:lineRule="auto"/>
        <w:tabs>
          <w:tab w:leader="none" w:pos="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 of the number of common shares then outstanding, which will equal approximately common shares immediately upon the completion of this offering (calculated as of March 31, 2020 on the basis of the assumptions described above and assuming no exercise of the underwriter’s option to purchase additional shares and no exercise of outstanding options); or</w:t>
      </w:r>
    </w:p>
    <w:p>
      <w:pPr>
        <w:spacing w:after="0" w:line="89" w:lineRule="exact"/>
        <w:rPr>
          <w:sz w:val="20"/>
          <w:szCs w:val="20"/>
          <w:color w:val="auto"/>
        </w:rPr>
      </w:pPr>
    </w:p>
    <w:p>
      <w:pPr>
        <w:ind w:left="1000" w:right="40" w:hanging="547"/>
        <w:spacing w:after="0" w:line="277"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Nasdaq during the four calendar weeks preceding the filing of a notice on Form 144 with respect to such sale.</w:t>
      </w:r>
    </w:p>
    <w:p>
      <w:pPr>
        <w:spacing w:after="0" w:line="170"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general, under Rule 701 as currently in effect, any of our employees, directors, officers, consultants or advisors who acquired common shares from us in connection with a written compensatory share or option plan or other written agreement in compliance with Rule 701 before the effective date of the registration statement of which this prospectus is a part (to the extent such common shares are not subject to a lock-up agreement) and who are not our “affiliates” as defined in Rule 144 during the immediately preceding 90 days, is entitled to rely on Rule 701 to resell such shares beginning 90 days after the date of this prospectus in reliance on Rule 144, but without complying with the notice, manner of sale, public information requirements or volume limitation provisions of Rule 144. Persons who are our “affiliates” may resell those shares beginning 90 days after the date of this prospectus without compliance with Rule 144’s minimum holding period requirements (subject to the terms of the lock-up agreement referred to below, if applicable).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In connection with this offering, we, our directors, our executive officers and holders of substantially all of our outstanding common shares or securities convertible into or exchangeable for common shares, have agreed, subject to certain exceptions, with the underwriters not to directly or indirectly offer, sell, contract to sell, pledge, grant any option to purchase, make any short sale or otherwise dispose of or hedge any common shares or any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20"/>
          </w:cols>
          <w:pgMar w:left="320" w:top="459" w:right="3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options to purchase common shares, or any securities convertible into or exchangeable for common shares during the period from the date of the lock-up agreement continuing through the date 180 days after the date of this prospectus, except with the prior written consent of Morgan Stanley &amp; Co. LLC, Goldman Sachs &amp; Co. LLC and Cowen and Company, LLC may waive the restrictions contained in such lock-up agreements at any time in their sole discretion. See the section entitled “Underwriting” appearing elsewhere in this prospectus for more information. These agreements are described in the section titled “Underwriting.”</w:t>
      </w:r>
    </w:p>
    <w:p>
      <w:pPr>
        <w:spacing w:after="0" w:line="188"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Prior to the completion of the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84"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Following the lock-up periods set forth in the agreements described above, and assuming that the representatives of the underwriters do not release any parties from these agreements and that there is no extension of the lock-up period, all of the common shares that are restricted securities or are held by our affiliates as of the date of this prospectus will be eligible for sale in the public market in compliance with Rule 144.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460"/>
        <w:spacing w:after="0"/>
        <w:tabs>
          <w:tab w:leader="none" w:pos="5140" w:val="left"/>
        </w:tabs>
        <w:rPr>
          <w:sz w:val="20"/>
          <w:szCs w:val="20"/>
          <w:color w:val="auto"/>
        </w:rPr>
      </w:pPr>
      <w:r>
        <w:rPr>
          <w:rFonts w:ascii="Arial" w:cs="Arial" w:eastAsia="Arial" w:hAnsi="Arial"/>
          <w:sz w:val="18"/>
          <w:szCs w:val="18"/>
          <w:color w:val="auto"/>
        </w:rPr>
        <w:t>Upon the completion of this offering, the holders of</w:t>
      </w:r>
      <w:r>
        <w:rPr>
          <w:sz w:val="20"/>
          <w:szCs w:val="20"/>
          <w:color w:val="auto"/>
        </w:rPr>
        <w:tab/>
      </w:r>
      <w:r>
        <w:rPr>
          <w:rFonts w:ascii="Arial" w:cs="Arial" w:eastAsia="Arial" w:hAnsi="Arial"/>
          <w:sz w:val="16"/>
          <w:szCs w:val="16"/>
          <w:color w:val="auto"/>
        </w:rPr>
        <w:t>common shares, which gives effect to (i) the conversion of all outstanding preferred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shares into an aggregate of 130,686,975 common shares and (ii) the automatic exercise of the warrant held by an affiliate of Bristol Myers Squibb into an</w:t>
      </w:r>
    </w:p>
    <w:p>
      <w:pPr>
        <w:spacing w:after="0" w:line="3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aggregate of common shares, based on an assumed initial public offering price of $ per share, the midpoint of the price range set forth on the cover page of this prospectus, in each case effected immediately prior to the completion of this offering, will be entitled to rights with respect to the registration of their shares under the Securities Act, subject to the lock-up agreements described under “—Lock-Up Agreements” above. Registration of these shares under the Securities Act would result in the shares becoming freely tradable without restriction under the Securities Act, except for shares purchased by affiliates, immediately upon the effectiveness of the registration statement of which this prospectus is a part. Any sales of securities by these shareholders could have a material adverse effect on the trading price of our common shares. See the section titled “Description of Share Capital— Registration Rights.”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right="400" w:firstLine="449"/>
        <w:spacing w:after="0" w:line="279" w:lineRule="auto"/>
        <w:rPr>
          <w:sz w:val="20"/>
          <w:szCs w:val="20"/>
          <w:color w:val="auto"/>
        </w:rPr>
      </w:pPr>
      <w:r>
        <w:rPr>
          <w:rFonts w:ascii="Arial" w:cs="Arial" w:eastAsia="Arial" w:hAnsi="Arial"/>
          <w:sz w:val="17"/>
          <w:szCs w:val="17"/>
          <w:color w:val="auto"/>
        </w:rPr>
        <w:t>We intend to file with the SEC a registration statement on Form S-8 under the Securities Act covering the common shares reserved for issuance under our equity incentive plans. The registration statement on Form S-8 is expected to be filed and become effective as soon as practicable after the completion of this offering. Accordingly, shares registered under the registration statement will be available for sale in the open market following its effective date, subject to Rule 144 volume limitations and the lock-up agreements described above, if applicable.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00"/>
          </w:cols>
          <w:pgMar w:left="320" w:top="459" w:right="3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40" w:right="460"/>
        <w:spacing w:after="0" w:line="282" w:lineRule="auto"/>
        <w:rPr>
          <w:sz w:val="20"/>
          <w:szCs w:val="20"/>
          <w:color w:val="auto"/>
        </w:rPr>
      </w:pPr>
      <w:r>
        <w:rPr>
          <w:rFonts w:ascii="Arial" w:cs="Arial" w:eastAsia="Arial" w:hAnsi="Arial"/>
          <w:sz w:val="18"/>
          <w:szCs w:val="18"/>
          <w:b w:val="1"/>
          <w:bCs w:val="1"/>
          <w:color w:val="auto"/>
        </w:rPr>
        <w:t>MATERIAL DIFFERENCES BETWEEN THE BUSINESS CORPORATIONS ACT (QUÉBEC) AND THE DELAWARE GENERAL CORPORATION LAW</w:t>
      </w:r>
    </w:p>
    <w:p>
      <w:pPr>
        <w:spacing w:after="0" w:line="16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Immediately prior to the completion of the offering, we will file articles of continuance such that we will be governed by the Business Corporations Act (Québec), or the QBCA, which is generally similar to laws applicable to U.S. corporations. Significant differences between the QBCA and the Delaware General Corporation Law, or DGCL, which governs companies incorporated in the State of Delaware, include the differences summarized below. This summary is not an exhaustive review of the two statutes, and reference should be made to the full text of both statutes for particulars of the differences.</w:t>
      </w:r>
    </w:p>
    <w:p>
      <w:pPr>
        <w:sectPr>
          <w:pgSz w:w="11900" w:h="16838" w:orient="portrait"/>
          <w:cols w:equalWidth="0" w:num="1">
            <w:col w:w="11240"/>
          </w:cols>
          <w:pgMar w:left="320" w:top="459" w:right="339" w:bottom="1440" w:gutter="0" w:footer="0" w:header="0"/>
        </w:sectPr>
      </w:pPr>
    </w:p>
    <w:p>
      <w:pPr>
        <w:spacing w:after="0" w:line="206"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Number and Election of Directors</w:t>
      </w:r>
      <w:r>
        <w:rPr>
          <w:sz w:val="20"/>
          <w:szCs w:val="20"/>
          <w:color w:val="auto"/>
        </w:rPr>
        <w:tab/>
      </w:r>
      <w:r>
        <w:rPr>
          <w:rFonts w:ascii="Arial" w:cs="Arial" w:eastAsia="Arial" w:hAnsi="Arial"/>
          <w:sz w:val="16"/>
          <w:szCs w:val="16"/>
          <w:color w:val="auto"/>
        </w:rPr>
        <w:t>Under the DGCL, the board of directors must consist of</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at least one director. The number of directors shall be</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fixed by the bylaws of the corporation, unless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certificate of incorporation fixes the number of</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directors, in which case a change in the number of</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directors shall only be made by an amendment of the</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certificate of incorporation. Under the DGCL, directors</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are elected at annual stockholder meetings by plurality</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vote of the stockholders, unless a shareholder-adopted</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bylaw prescribes a different required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Constitution and Residency of</w:t>
      </w:r>
      <w:r>
        <w:rPr>
          <w:sz w:val="20"/>
          <w:szCs w:val="20"/>
          <w:color w:val="auto"/>
        </w:rPr>
        <w:tab/>
      </w:r>
      <w:r>
        <w:rPr>
          <w:rFonts w:ascii="Arial" w:cs="Arial" w:eastAsia="Arial" w:hAnsi="Arial"/>
          <w:sz w:val="16"/>
          <w:szCs w:val="16"/>
          <w:color w:val="auto"/>
        </w:rPr>
        <w:t>The DGCL does not have residency requirements, but a</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7"/>
          <w:szCs w:val="17"/>
          <w:b w:val="1"/>
          <w:bCs w:val="1"/>
          <w:i w:val="1"/>
          <w:iCs w:val="1"/>
          <w:color w:val="auto"/>
        </w:rPr>
        <w:t>Directors</w:t>
      </w:r>
      <w:r>
        <w:rPr>
          <w:sz w:val="20"/>
          <w:szCs w:val="20"/>
          <w:color w:val="auto"/>
        </w:rPr>
        <w:tab/>
      </w:r>
      <w:r>
        <w:rPr>
          <w:rFonts w:ascii="Arial" w:cs="Arial" w:eastAsia="Arial" w:hAnsi="Arial"/>
          <w:sz w:val="17"/>
          <w:szCs w:val="17"/>
          <w:color w:val="auto"/>
        </w:rPr>
        <w:t>corporation may prescribe qualifications for directors</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under its certificate of incorporation or bylaws.</w:t>
      </w:r>
    </w:p>
    <w:p>
      <w:pPr>
        <w:spacing w:after="0" w:line="21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Removal of Directors</w:t>
      </w:r>
      <w:r>
        <w:rPr>
          <w:sz w:val="20"/>
          <w:szCs w:val="20"/>
          <w:color w:val="auto"/>
        </w:rPr>
        <w:tab/>
      </w:r>
      <w:r>
        <w:rPr>
          <w:rFonts w:ascii="Arial" w:cs="Arial" w:eastAsia="Arial" w:hAnsi="Arial"/>
          <w:sz w:val="16"/>
          <w:szCs w:val="16"/>
          <w:color w:val="auto"/>
        </w:rPr>
        <w:t>Under the DGCL, any director or the entire board of</w:t>
      </w:r>
    </w:p>
    <w:p>
      <w:pPr>
        <w:spacing w:after="0" w:line="23" w:lineRule="exact"/>
        <w:rPr>
          <w:sz w:val="20"/>
          <w:szCs w:val="20"/>
          <w:color w:val="auto"/>
        </w:rPr>
      </w:pPr>
    </w:p>
    <w:p>
      <w:pPr>
        <w:ind w:left="3060" w:right="40"/>
        <w:spacing w:after="0" w:line="267" w:lineRule="auto"/>
        <w:rPr>
          <w:sz w:val="20"/>
          <w:szCs w:val="20"/>
          <w:color w:val="auto"/>
        </w:rPr>
      </w:pPr>
      <w:r>
        <w:rPr>
          <w:rFonts w:ascii="Arial" w:cs="Arial" w:eastAsia="Arial" w:hAnsi="Arial"/>
          <w:sz w:val="17"/>
          <w:szCs w:val="17"/>
          <w:color w:val="auto"/>
        </w:rPr>
        <w:t>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 (ii) in the case of a corporation having cumulative voting, if less than the entire board of directors is to be removed, no director may be removed without cause if the votes cast against his removal would be sufficient to elect him if then</w:t>
      </w:r>
    </w:p>
    <w:p>
      <w:pPr>
        <w:spacing w:after="0" w:line="11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QBCA, the board of directors of a corporation whose securities are publicly traded must consist of at least three members, at least two of whom must not be officers or employees of the corporation or an affiliate of the corporation, so long as the corporation remains a “reporting issuer” for purposes of the QBCA, which includes a corporation that has made a distribution of securities to the public.</w:t>
      </w:r>
    </w:p>
    <w:p>
      <w:pPr>
        <w:spacing w:after="0" w:line="19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Under the QBCA, directors are elected by the shareholders, in the manner and for the term, not exceeding three years, set out in the corporation’s bylaws.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QBCA does not have residency requirements.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the QBCA, unless the articles of a corporation provide for cumulative voting (which is not the case for us), shareholders of the corporation may, by resolution passed by a majority of the votes cast thereon at a special meeting of shareholders, remove any or all directors from office and may elect any qualified person to fill the resulting vacancy.</w:t>
      </w:r>
    </w:p>
    <w:p>
      <w:pPr>
        <w:sectPr>
          <w:pgSz w:w="11900" w:h="16838" w:orient="portrait"/>
          <w:cols w:equalWidth="0" w:num="2">
            <w:col w:w="7080" w:space="120"/>
            <w:col w:w="4040"/>
          </w:cols>
          <w:pgMar w:left="320" w:top="459" w:right="339" w:bottom="1440" w:gutter="0" w:footer="0" w:header="0"/>
          <w:type w:val="continuous"/>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cumulatively voted at an election of the entire board of</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directors, or, if there are classes of directors, at an</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election of the class of directors of which he is a part.</w:t>
      </w:r>
    </w:p>
    <w:p>
      <w:pPr>
        <w:sectPr>
          <w:pgSz w:w="11900" w:h="16838" w:orient="portrait"/>
          <w:cols w:equalWidth="0" w:num="1">
            <w:col w:w="11240"/>
          </w:cols>
          <w:pgMar w:left="320" w:top="459" w:right="339" w:bottom="1440" w:gutter="0" w:footer="0" w:header="0"/>
        </w:sectPr>
      </w:pPr>
    </w:p>
    <w:p>
      <w:pPr>
        <w:spacing w:after="0" w:line="211" w:lineRule="exact"/>
        <w:rPr>
          <w:sz w:val="20"/>
          <w:szCs w:val="20"/>
          <w:color w:val="auto"/>
        </w:rPr>
      </w:pPr>
    </w:p>
    <w:p>
      <w:pPr>
        <w:jc w:val="both"/>
        <w:ind w:left="3060" w:right="620" w:hanging="3050"/>
        <w:spacing w:after="0" w:line="286" w:lineRule="auto"/>
        <w:tabs>
          <w:tab w:leader="none" w:pos="3040" w:val="left"/>
        </w:tabs>
        <w:rPr>
          <w:sz w:val="20"/>
          <w:szCs w:val="20"/>
          <w:color w:val="auto"/>
        </w:rPr>
      </w:pPr>
      <w:r>
        <w:rPr>
          <w:rFonts w:ascii="Arial" w:cs="Arial" w:eastAsia="Arial" w:hAnsi="Arial"/>
          <w:sz w:val="18"/>
          <w:szCs w:val="18"/>
          <w:b w:val="1"/>
          <w:bCs w:val="1"/>
          <w:i w:val="1"/>
          <w:iCs w:val="1"/>
          <w:color w:val="auto"/>
        </w:rPr>
        <w:t>Vacancies on the Board of Directors</w:t>
      </w:r>
      <w:r>
        <w:rPr>
          <w:sz w:val="20"/>
          <w:szCs w:val="20"/>
          <w:color w:val="auto"/>
        </w:rPr>
        <w:tab/>
      </w:r>
      <w:r>
        <w:rPr>
          <w:rFonts w:ascii="Arial" w:cs="Arial" w:eastAsia="Arial" w:hAnsi="Arial"/>
          <w:sz w:val="16"/>
          <w:szCs w:val="16"/>
          <w:color w:val="auto"/>
        </w:rPr>
        <w:t>Under the DGCL, vacancies and newly created directorships may be filled by a majority of the directors then in office (even though less than a quorum) or by a sole remaining director unless</w:t>
      </w:r>
    </w:p>
    <w:p>
      <w:pPr>
        <w:spacing w:after="0" w:line="1" w:lineRule="exact"/>
        <w:rPr>
          <w:sz w:val="20"/>
          <w:szCs w:val="20"/>
          <w:color w:val="auto"/>
        </w:rPr>
      </w:pPr>
    </w:p>
    <w:p>
      <w:pPr>
        <w:ind w:left="3060" w:hanging="1"/>
        <w:spacing w:after="0" w:line="290" w:lineRule="auto"/>
        <w:tabs>
          <w:tab w:leader="none" w:pos="327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otherwise provided in the certificate of incorporation or bylaws of the corporation or (ii)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Under the QBCA, vacancies that exist on the board of directors may generally be filled by the board if the remaining directors constitute a quorum. In the absence of a quorum, the remaining directors shall call a meeting of shareholders to fill the vacancy.</w:t>
      </w:r>
    </w:p>
    <w:p>
      <w:pPr>
        <w:spacing w:after="0" w:line="1256" w:lineRule="exact"/>
        <w:rPr>
          <w:sz w:val="20"/>
          <w:szCs w:val="20"/>
          <w:color w:val="auto"/>
        </w:rPr>
      </w:pPr>
    </w:p>
    <w:p>
      <w:pPr>
        <w:sectPr>
          <w:pgSz w:w="11900" w:h="16838" w:orient="portrait"/>
          <w:cols w:equalWidth="0" w:num="2">
            <w:col w:w="7100" w:space="100"/>
            <w:col w:w="4040"/>
          </w:cols>
          <w:pgMar w:left="320" w:top="459" w:right="339" w:bottom="1440" w:gutter="0" w:footer="0" w:header="0"/>
          <w:type w:val="continuous"/>
        </w:sect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Board of Director Quorum and Vote</w:t>
      </w:r>
      <w:r>
        <w:rPr>
          <w:sz w:val="20"/>
          <w:szCs w:val="20"/>
          <w:color w:val="auto"/>
        </w:rPr>
        <w:tab/>
      </w:r>
      <w:r>
        <w:rPr>
          <w:rFonts w:ascii="Arial" w:cs="Arial" w:eastAsia="Arial" w:hAnsi="Arial"/>
          <w:sz w:val="16"/>
          <w:szCs w:val="16"/>
          <w:color w:val="auto"/>
        </w:rPr>
        <w:t>Under the DGCL, a majority of the total number of</w:t>
      </w:r>
    </w:p>
    <w:p>
      <w:pPr>
        <w:spacing w:after="0" w:line="23" w:lineRule="exact"/>
        <w:rPr>
          <w:sz w:val="20"/>
          <w:szCs w:val="20"/>
          <w:color w:val="auto"/>
        </w:rPr>
      </w:pPr>
    </w:p>
    <w:p>
      <w:pPr>
        <w:ind w:left="3060" w:right="100" w:hanging="3059"/>
        <w:spacing w:after="0" w:line="292" w:lineRule="auto"/>
        <w:tabs>
          <w:tab w:leader="none" w:pos="3040" w:val="left"/>
        </w:tabs>
        <w:rPr>
          <w:sz w:val="20"/>
          <w:szCs w:val="20"/>
          <w:color w:val="auto"/>
        </w:rPr>
      </w:pPr>
      <w:r>
        <w:rPr>
          <w:rFonts w:ascii="Arial" w:cs="Arial" w:eastAsia="Arial" w:hAnsi="Arial"/>
          <w:sz w:val="16"/>
          <w:szCs w:val="16"/>
          <w:b w:val="1"/>
          <w:bCs w:val="1"/>
          <w:i w:val="1"/>
          <w:iCs w:val="1"/>
          <w:color w:val="auto"/>
        </w:rPr>
        <w:t>Requirements</w:t>
      </w:r>
      <w:r>
        <w:rPr>
          <w:sz w:val="20"/>
          <w:szCs w:val="20"/>
          <w:color w:val="auto"/>
        </w:rPr>
        <w:tab/>
      </w:r>
      <w:r>
        <w:rPr>
          <w:rFonts w:ascii="Arial" w:cs="Arial" w:eastAsia="Arial" w:hAnsi="Arial"/>
          <w:sz w:val="16"/>
          <w:szCs w:val="16"/>
          <w:color w:val="auto"/>
        </w:rPr>
        <w:t>directors shall constitute a quorum for the transaction of business unless the certificate of incorporation or bylaws require a greater number. The bylaws may lower the number required for a quorum to one-third the number of directors, but no less.</w:t>
      </w:r>
    </w:p>
    <w:p>
      <w:pPr>
        <w:spacing w:after="0" w:line="189" w:lineRule="exact"/>
        <w:rPr>
          <w:sz w:val="20"/>
          <w:szCs w:val="20"/>
          <w:color w:val="auto"/>
        </w:rPr>
      </w:pPr>
    </w:p>
    <w:p>
      <w:pPr>
        <w:ind w:left="3060"/>
        <w:spacing w:after="0" w:line="257" w:lineRule="auto"/>
        <w:rPr>
          <w:sz w:val="20"/>
          <w:szCs w:val="20"/>
          <w:color w:val="auto"/>
        </w:rPr>
      </w:pPr>
      <w:r>
        <w:rPr>
          <w:rFonts w:ascii="Arial" w:cs="Arial" w:eastAsia="Arial" w:hAnsi="Arial"/>
          <w:sz w:val="18"/>
          <w:szCs w:val="18"/>
          <w:color w:val="auto"/>
        </w:rPr>
        <w:t>Under the DGCL, the board of directors may take action by the majority vote of the directors present at a meeting at which a quorum is present unless the certificate of incorporation or bylaws require a greater vote.</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Arial" w:cs="Arial" w:eastAsia="Arial" w:hAnsi="Arial"/>
          <w:sz w:val="17"/>
          <w:szCs w:val="17"/>
          <w:color w:val="auto"/>
        </w:rPr>
        <w:t>Under the QBCA, subject to the corporation’s bylaws, a majority of the directors in office constitutes a quorum at any meeting of the board. Our bylaws also provide that a majority of the directors in office constitutes a quorum at any meeting of the board.</w:t>
      </w:r>
    </w:p>
    <w:p>
      <w:pPr>
        <w:spacing w:after="0" w:line="203"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Under the QBCA, a quorum of directors may exercise all the powers of the directors despite any vacancy on the board.</w:t>
      </w:r>
    </w:p>
    <w:p>
      <w:pPr>
        <w:spacing w:after="0" w:line="843" w:lineRule="exact"/>
        <w:rPr>
          <w:sz w:val="20"/>
          <w:szCs w:val="20"/>
          <w:color w:val="auto"/>
        </w:rPr>
      </w:pPr>
    </w:p>
    <w:p>
      <w:pPr>
        <w:sectPr>
          <w:pgSz w:w="11900" w:h="16838" w:orient="portrait"/>
          <w:cols w:equalWidth="0" w:num="2">
            <w:col w:w="7000" w:space="200"/>
            <w:col w:w="4040"/>
          </w:cols>
          <w:pgMar w:left="320" w:top="459" w:right="339" w:bottom="1440" w:gutter="0" w:footer="0" w:header="0"/>
          <w:type w:val="continuous"/>
        </w:sectPr>
      </w:pPr>
    </w:p>
    <w:p>
      <w:pPr>
        <w:spacing w:after="0" w:line="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Transactions with Directors and</w:t>
      </w:r>
      <w:r>
        <w:rPr>
          <w:sz w:val="20"/>
          <w:szCs w:val="20"/>
          <w:color w:val="auto"/>
        </w:rPr>
        <w:tab/>
      </w:r>
      <w:r>
        <w:rPr>
          <w:rFonts w:ascii="Arial" w:cs="Arial" w:eastAsia="Arial" w:hAnsi="Arial"/>
          <w:sz w:val="16"/>
          <w:szCs w:val="16"/>
          <w:color w:val="auto"/>
        </w:rPr>
        <w:t>The DGCL generally provides that no transaction</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6"/>
          <w:szCs w:val="16"/>
          <w:b w:val="1"/>
          <w:bCs w:val="1"/>
          <w:i w:val="1"/>
          <w:iCs w:val="1"/>
          <w:color w:val="auto"/>
        </w:rPr>
        <w:t>Officers</w:t>
      </w:r>
      <w:r>
        <w:rPr>
          <w:sz w:val="20"/>
          <w:szCs w:val="20"/>
          <w:color w:val="auto"/>
        </w:rPr>
        <w:tab/>
      </w:r>
      <w:r>
        <w:rPr>
          <w:rFonts w:ascii="Arial" w:cs="Arial" w:eastAsia="Arial" w:hAnsi="Arial"/>
          <w:sz w:val="16"/>
          <w:szCs w:val="16"/>
          <w:color w:val="auto"/>
        </w:rPr>
        <w:t>between a corporation and one or more of its directors</w:t>
      </w:r>
    </w:p>
    <w:p>
      <w:pPr>
        <w:spacing w:after="0" w:line="32" w:lineRule="exact"/>
        <w:rPr>
          <w:sz w:val="20"/>
          <w:szCs w:val="20"/>
          <w:color w:val="auto"/>
        </w:rPr>
      </w:pPr>
    </w:p>
    <w:p>
      <w:pPr>
        <w:ind w:left="3060"/>
        <w:spacing w:after="0" w:line="270" w:lineRule="auto"/>
        <w:rPr>
          <w:sz w:val="20"/>
          <w:szCs w:val="20"/>
          <w:color w:val="auto"/>
        </w:rPr>
      </w:pPr>
      <w:r>
        <w:rPr>
          <w:rFonts w:ascii="Arial" w:cs="Arial" w:eastAsia="Arial" w:hAnsi="Arial"/>
          <w:sz w:val="17"/>
          <w:szCs w:val="17"/>
          <w:color w:val="auto"/>
        </w:rPr>
        <w:t>or officers, or between a corporation and any other corporation or other organization in which one or more of its directors or officers, are directors or officers, or have a financial interest, shall be void or voidable solely for this reason, or solely because the director or officer is present at or participates in the</w:t>
      </w:r>
    </w:p>
    <w:p>
      <w:pPr>
        <w:spacing w:after="0" w:line="11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br w:type="column"/>
      </w:r>
    </w:p>
    <w:p>
      <w:pPr>
        <w:ind w:right="180"/>
        <w:spacing w:after="0" w:line="290" w:lineRule="auto"/>
        <w:rPr>
          <w:sz w:val="20"/>
          <w:szCs w:val="20"/>
          <w:color w:val="auto"/>
        </w:rPr>
      </w:pPr>
      <w:r>
        <w:rPr>
          <w:rFonts w:ascii="Arial" w:cs="Arial" w:eastAsia="Arial" w:hAnsi="Arial"/>
          <w:sz w:val="16"/>
          <w:szCs w:val="16"/>
          <w:color w:val="auto"/>
        </w:rPr>
        <w:t>Under the QBCA, every director or officer of a corporation must disclose the nature and value of any interest he or she has in a contract or transaction to which the corporation is a party. For the purposes of this rule, “interest” means any financial stake in a contract or transaction that may reasonably be considered likely to influence decision-making. Furthermore, a proposed contract or a proposed</w:t>
      </w:r>
    </w:p>
    <w:p>
      <w:pPr>
        <w:sectPr>
          <w:pgSz w:w="11900" w:h="16838" w:orient="portrait"/>
          <w:cols w:equalWidth="0" w:num="2">
            <w:col w:w="7020" w:space="180"/>
            <w:col w:w="4040"/>
          </w:cols>
          <w:pgMar w:left="320" w:top="459" w:right="339" w:bottom="1440" w:gutter="0" w:footer="0" w:header="0"/>
          <w:type w:val="continuous"/>
        </w:sectPr>
      </w:pPr>
    </w:p>
    <w:bookmarkStart w:id="193" w:name="page194"/>
    <w:bookmarkEnd w:id="19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320" w:top="459" w:right="359" w:bottom="1440" w:gutter="0" w:footer="0" w:header="0"/>
        </w:sectPr>
      </w:pPr>
    </w:p>
    <w:p>
      <w:pPr>
        <w:spacing w:after="0" w:line="324" w:lineRule="exact"/>
        <w:rPr>
          <w:sz w:val="20"/>
          <w:szCs w:val="20"/>
          <w:color w:val="auto"/>
        </w:rPr>
      </w:pPr>
    </w:p>
    <w:p>
      <w:pPr>
        <w:jc w:val="center"/>
        <w:ind w:left="30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left="3060"/>
        <w:spacing w:after="0" w:line="282" w:lineRule="auto"/>
        <w:rPr>
          <w:sz w:val="20"/>
          <w:szCs w:val="20"/>
          <w:color w:val="auto"/>
        </w:rPr>
      </w:pPr>
      <w:r>
        <w:rPr>
          <w:rFonts w:ascii="Arial" w:cs="Arial" w:eastAsia="Arial" w:hAnsi="Arial"/>
          <w:sz w:val="16"/>
          <w:szCs w:val="16"/>
          <w:color w:val="auto"/>
        </w:rPr>
        <w:t>meeting of the board or committee which authorizes the transaction, or solely because any such director’s or officer’s votes are counted for such purpose, if (i) the material facts as to the director’s or officer’s interest and as to the transaction are known to the board of directors or the committee, and the board or committee in good faith authorizes the transaction by the affirmative votes of a majority of the disinterested directors, even though the disinterested directors be less than a quorum (ii) the material facts as to the director’s or officer’s interest and as to the transaction are disclosed or are known to the stockholders entitled to vote thereon, and the transaction is specifically approved in good faith by vote of the stockholders; or</w:t>
      </w:r>
    </w:p>
    <w:p>
      <w:pPr>
        <w:spacing w:after="0" w:line="9" w:lineRule="exact"/>
        <w:rPr>
          <w:sz w:val="20"/>
          <w:szCs w:val="20"/>
          <w:color w:val="auto"/>
        </w:rPr>
      </w:pPr>
    </w:p>
    <w:p>
      <w:pPr>
        <w:jc w:val="both"/>
        <w:ind w:left="3060" w:right="20" w:hanging="1"/>
        <w:spacing w:after="0" w:line="277" w:lineRule="auto"/>
        <w:tabs>
          <w:tab w:leader="none" w:pos="337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transaction is fair as to the corporation as of the time it is authorized, approved or ratified, by the board of directors, a committee or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right="780"/>
        <w:spacing w:after="0" w:line="257" w:lineRule="auto"/>
        <w:rPr>
          <w:sz w:val="20"/>
          <w:szCs w:val="20"/>
          <w:color w:val="auto"/>
        </w:rPr>
      </w:pPr>
      <w:r>
        <w:rPr>
          <w:rFonts w:ascii="Arial" w:cs="Arial" w:eastAsia="Arial" w:hAnsi="Arial"/>
          <w:sz w:val="18"/>
          <w:szCs w:val="18"/>
          <w:color w:val="auto"/>
        </w:rPr>
        <w:t>transaction, including related negotiations, is considered a contract</w:t>
      </w:r>
    </w:p>
    <w:p>
      <w:pPr>
        <w:spacing w:after="0" w:line="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or transaction. In addition, a director or an officer must disclose any contract or transaction to which the corporation and any of the following are a party: (i) an associate of the director or officer; (ii) a group of which the director or officer is a director or officer; or (iii) a group in which the director or officer or an associate of the director or officer has an interest. Such disclosure is required even for a contract or transaction that does not require approval by the board of directors. If a director is required to disclose his or her interest in a contract or transaction, such director is not allowed to vote on any resolution to approve, amend or terminate the contract or transaction or be present during deliberations concerning the approval, amendment or termination of such contract or transaction, unless the contract or transaction (i) relates primarily to the remuneration of the director or an associate of the director as a director, officer, employee or mandatory of the corporation or an affiliate of the corporation, (ii) is for indemnity or liability insurance under the QBCA, or (iii) is with an affiliate of the corporation, and the sole interest of the director is as a director or officer of the affiliate.</w:t>
      </w:r>
    </w:p>
    <w:p>
      <w:pPr>
        <w:spacing w:after="0" w:line="20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a director or officer does not disclose his or her interest in accordance with the QBCA, or (in the case of a director) votes in respect of a resolution on a contract or transaction in which he or she is interested contrary to the QBCA, the corporation or a shareholder may ask the court to declare the contract or transaction null and to require the director or officer to account to the corporation for any profit or gain realized on it by the director or officer or the associates of the director or officer, and to remit the profit or gain to the corporation,</w:t>
      </w:r>
    </w:p>
    <w:p>
      <w:pPr>
        <w:sectPr>
          <w:pgSz w:w="11900" w:h="16838" w:orient="portrait"/>
          <w:cols w:equalWidth="0" w:num="2">
            <w:col w:w="7080" w:space="120"/>
            <w:col w:w="4020"/>
          </w:cols>
          <w:pgMar w:left="320" w:top="459" w:right="359" w:bottom="1440" w:gutter="0" w:footer="0" w:header="0"/>
          <w:type w:val="continuous"/>
        </w:sectPr>
      </w:pPr>
    </w:p>
    <w:bookmarkStart w:id="194" w:name="page195"/>
    <w:bookmarkEnd w:id="19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320" w:top="459" w:right="359" w:bottom="1440" w:gutter="0" w:footer="0" w:header="0"/>
        </w:sectPr>
      </w:pPr>
    </w:p>
    <w:p>
      <w:pPr>
        <w:spacing w:after="0" w:line="32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Limitation on Liability of Directors</w:t>
      </w:r>
      <w:r>
        <w:rPr>
          <w:sz w:val="20"/>
          <w:szCs w:val="20"/>
          <w:color w:val="auto"/>
        </w:rPr>
        <w:tab/>
      </w:r>
      <w:r>
        <w:rPr>
          <w:rFonts w:ascii="Arial" w:cs="Arial" w:eastAsia="Arial" w:hAnsi="Arial"/>
          <w:sz w:val="16"/>
          <w:szCs w:val="16"/>
          <w:color w:val="auto"/>
        </w:rPr>
        <w:t>Under the DGCL, a corporation’s certificate of</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incorporation may include a provision eliminating or</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limiting the personal liability of a director to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corporation and its stockholders for damages arising</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from a breach of fiduciary duty as a director. However,</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no provision can limit the liability of a director for:</w:t>
      </w:r>
    </w:p>
    <w:p>
      <w:pPr>
        <w:spacing w:after="0" w:line="116" w:lineRule="exact"/>
        <w:rPr>
          <w:sz w:val="20"/>
          <w:szCs w:val="20"/>
          <w:color w:val="auto"/>
        </w:rPr>
      </w:pPr>
    </w:p>
    <w:p>
      <w:pPr>
        <w:ind w:left="3600" w:right="240" w:hanging="361"/>
        <w:spacing w:after="0" w:line="277" w:lineRule="auto"/>
        <w:tabs>
          <w:tab w:leader="none" w:pos="358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breach of the director’s duty of loyalty to the corporation or its stockholders;</w:t>
      </w:r>
    </w:p>
    <w:p>
      <w:pPr>
        <w:spacing w:after="0" w:line="75" w:lineRule="exact"/>
        <w:rPr>
          <w:rFonts w:ascii="Arial" w:cs="Arial" w:eastAsia="Arial" w:hAnsi="Arial"/>
          <w:sz w:val="18"/>
          <w:szCs w:val="18"/>
          <w:color w:val="auto"/>
        </w:rPr>
      </w:pPr>
    </w:p>
    <w:p>
      <w:pPr>
        <w:ind w:left="3600" w:right="220" w:hanging="361"/>
        <w:spacing w:after="0" w:line="263" w:lineRule="auto"/>
        <w:tabs>
          <w:tab w:leader="none" w:pos="358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the law;</w:t>
      </w:r>
    </w:p>
    <w:p>
      <w:pPr>
        <w:spacing w:after="0" w:line="89" w:lineRule="exact"/>
        <w:rPr>
          <w:rFonts w:ascii="Arial" w:cs="Arial" w:eastAsia="Arial" w:hAnsi="Arial"/>
          <w:sz w:val="18"/>
          <w:szCs w:val="18"/>
          <w:color w:val="auto"/>
        </w:rPr>
      </w:pPr>
    </w:p>
    <w:p>
      <w:pPr>
        <w:ind w:left="3600" w:hanging="361"/>
        <w:spacing w:after="0" w:line="342" w:lineRule="auto"/>
        <w:tabs>
          <w:tab w:leader="none" w:pos="358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intentional or negligent payment of unlawful dividends or stock purchases or redemptions; or</w:t>
      </w:r>
    </w:p>
    <w:p>
      <w:pPr>
        <w:spacing w:after="0" w:line="29" w:lineRule="exact"/>
        <w:rPr>
          <w:rFonts w:ascii="Arial" w:cs="Arial" w:eastAsia="Arial" w:hAnsi="Arial"/>
          <w:sz w:val="16"/>
          <w:szCs w:val="16"/>
          <w:color w:val="auto"/>
        </w:rPr>
      </w:pPr>
    </w:p>
    <w:p>
      <w:pPr>
        <w:ind w:left="3600" w:right="360" w:hanging="361"/>
        <w:spacing w:after="0" w:line="342" w:lineRule="auto"/>
        <w:tabs>
          <w:tab w:leader="none" w:pos="358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for any transaction from which the director derived an improper personal benefit.</w:t>
      </w:r>
    </w:p>
    <w:p>
      <w:pPr>
        <w:spacing w:after="0" w:line="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according to the conditions the court considers appropriate. However, the contract or transaction may not be declared null if it was approved by the board of directors and the contract or transaction was in the interest of the corporation when it was approved, nor may the director or officer concerned, in such a case, be required to account for any profit or gain realized or to remit the profit or gain to the corporation. In addition, the contract or transaction may not be declared null if it was approved by ordinary resolution by the shareholders entitled to vote who do not have an interest in the contract or transaction, the required disclosure was made to the shareholders and the contract or transaction was in the best interests of the corporation when it was approved, and if the director or officer acted honestly and in good faith, he or she may not be required to account for the profit or gain realized and to remit the profit or gain to the corporation.</w:t>
      </w:r>
    </w:p>
    <w:p>
      <w:pPr>
        <w:spacing w:after="0" w:line="16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QBCA does not permit the limitation of a director’s liability as the DGCL does.</w:t>
      </w:r>
    </w:p>
    <w:p>
      <w:pPr>
        <w:sectPr>
          <w:pgSz w:w="11900" w:h="16838" w:orient="portrait"/>
          <w:cols w:equalWidth="0" w:num="2">
            <w:col w:w="7040" w:space="160"/>
            <w:col w:w="4020"/>
          </w:cols>
          <w:pgMar w:left="320" w:top="459" w:right="359" w:bottom="1440" w:gutter="0" w:footer="0" w:header="0"/>
          <w:type w:val="continuous"/>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p>
      <w:pPr>
        <w:spacing w:after="0" w:line="225"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Indemnification of Directors and</w:t>
      </w:r>
      <w:r>
        <w:rPr>
          <w:sz w:val="20"/>
          <w:szCs w:val="20"/>
          <w:color w:val="auto"/>
        </w:rPr>
        <w:tab/>
      </w:r>
      <w:r>
        <w:rPr>
          <w:rFonts w:ascii="Arial" w:cs="Arial" w:eastAsia="Arial" w:hAnsi="Arial"/>
          <w:sz w:val="16"/>
          <w:szCs w:val="16"/>
          <w:color w:val="auto"/>
        </w:rPr>
        <w:t>The DGCL permits indemnification for derivative suits</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6"/>
          <w:szCs w:val="16"/>
          <w:b w:val="1"/>
          <w:bCs w:val="1"/>
          <w:i w:val="1"/>
          <w:iCs w:val="1"/>
          <w:color w:val="auto"/>
        </w:rPr>
        <w:t>Officers</w:t>
      </w:r>
      <w:r>
        <w:rPr>
          <w:sz w:val="20"/>
          <w:szCs w:val="20"/>
          <w:color w:val="auto"/>
        </w:rPr>
        <w:tab/>
      </w:r>
      <w:r>
        <w:rPr>
          <w:rFonts w:ascii="Arial" w:cs="Arial" w:eastAsia="Arial" w:hAnsi="Arial"/>
          <w:sz w:val="16"/>
          <w:szCs w:val="16"/>
          <w:color w:val="auto"/>
        </w:rPr>
        <w:t>only for expenses (including legal fees) and only if the</w:t>
      </w:r>
    </w:p>
    <w:p>
      <w:pPr>
        <w:spacing w:after="0" w:line="32" w:lineRule="exact"/>
        <w:rPr>
          <w:sz w:val="20"/>
          <w:szCs w:val="20"/>
          <w:color w:val="auto"/>
        </w:rPr>
      </w:pPr>
    </w:p>
    <w:p>
      <w:pPr>
        <w:ind w:left="3060"/>
        <w:spacing w:after="0" w:line="255" w:lineRule="auto"/>
        <w:rPr>
          <w:sz w:val="20"/>
          <w:szCs w:val="20"/>
          <w:color w:val="auto"/>
        </w:rPr>
      </w:pPr>
      <w:r>
        <w:rPr>
          <w:rFonts w:ascii="Arial" w:cs="Arial" w:eastAsia="Arial" w:hAnsi="Arial"/>
          <w:sz w:val="18"/>
          <w:szCs w:val="18"/>
          <w:color w:val="auto"/>
        </w:rPr>
        <w:t>person is not found liable, unless a court determines the person is fairly and reasonably entitled to the indemnification.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Under the QBCA, a corporation must indemnify a director or officer, a former director or officer or a person who acts or acted at the corporation’s request as a director or officer, or an individual acting in a similar capacity of another group (who is referred to in this document as an indemnifiable person) against all costs, charges and expenses reasonably incurred in the exercise of their functions, including an amount paid to settle an action or satisfy a judgment, reasonably incurred by the indemnifiable person on the exercise of the person’s functions or arising from any investigative or other proceeding in which the person is involved if:</w:t>
      </w:r>
    </w:p>
    <w:p>
      <w:pPr>
        <w:spacing w:after="0" w:line="73" w:lineRule="exact"/>
        <w:rPr>
          <w:sz w:val="20"/>
          <w:szCs w:val="20"/>
          <w:color w:val="auto"/>
        </w:rPr>
      </w:pPr>
    </w:p>
    <w:p>
      <w:pPr>
        <w:ind w:left="540" w:right="60" w:hanging="356"/>
        <w:spacing w:after="0" w:line="342" w:lineRule="auto"/>
        <w:tabs>
          <w:tab w:leader="none" w:pos="524"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person acted with honesty and loyalty in the interest of the corporation or other group, and</w:t>
      </w:r>
    </w:p>
    <w:p>
      <w:pPr>
        <w:spacing w:after="0" w:line="29" w:lineRule="exact"/>
        <w:rPr>
          <w:rFonts w:ascii="Arial" w:cs="Arial" w:eastAsia="Arial" w:hAnsi="Arial"/>
          <w:sz w:val="16"/>
          <w:szCs w:val="16"/>
          <w:color w:val="auto"/>
        </w:rPr>
      </w:pPr>
    </w:p>
    <w:p>
      <w:pPr>
        <w:ind w:left="540" w:right="80" w:hanging="356"/>
        <w:spacing w:after="0" w:line="259" w:lineRule="auto"/>
        <w:tabs>
          <w:tab w:leader="none" w:pos="52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the case of a proceeding enforceable by a monetary penalty, the person had reasonable grounds for believing the person’s conduct was lawful.</w:t>
      </w:r>
    </w:p>
    <w:p>
      <w:pPr>
        <w:spacing w:after="0" w:line="200" w:lineRule="exact"/>
        <w:rPr>
          <w:sz w:val="20"/>
          <w:szCs w:val="20"/>
          <w:color w:val="auto"/>
        </w:rPr>
      </w:pPr>
    </w:p>
    <w:p>
      <w:pPr>
        <w:sectPr>
          <w:pgSz w:w="11900" w:h="16838" w:orient="portrait"/>
          <w:cols w:equalWidth="0" w:num="2">
            <w:col w:w="7060" w:space="140"/>
            <w:col w:w="4020"/>
          </w:cols>
          <w:pgMar w:left="320" w:top="45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Call and Notice of Stockholder</w:t>
      </w:r>
      <w:r>
        <w:rPr>
          <w:sz w:val="20"/>
          <w:szCs w:val="20"/>
          <w:color w:val="auto"/>
        </w:rPr>
        <w:tab/>
      </w:r>
      <w:r>
        <w:rPr>
          <w:rFonts w:ascii="Arial" w:cs="Arial" w:eastAsia="Arial" w:hAnsi="Arial"/>
          <w:sz w:val="16"/>
          <w:szCs w:val="16"/>
          <w:color w:val="auto"/>
        </w:rPr>
        <w:t>Under the DGCL, an annual or special stockholder</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6"/>
          <w:szCs w:val="16"/>
          <w:b w:val="1"/>
          <w:bCs w:val="1"/>
          <w:i w:val="1"/>
          <w:iCs w:val="1"/>
          <w:color w:val="auto"/>
        </w:rPr>
        <w:t>Meetings</w:t>
      </w:r>
      <w:r>
        <w:rPr>
          <w:sz w:val="20"/>
          <w:szCs w:val="20"/>
          <w:color w:val="auto"/>
        </w:rPr>
        <w:tab/>
      </w:r>
      <w:r>
        <w:rPr>
          <w:rFonts w:ascii="Arial" w:cs="Arial" w:eastAsia="Arial" w:hAnsi="Arial"/>
          <w:sz w:val="16"/>
          <w:szCs w:val="16"/>
          <w:color w:val="auto"/>
        </w:rPr>
        <w:t>meeting is held on such date, at such time and at such</w:t>
      </w:r>
    </w:p>
    <w:p>
      <w:pPr>
        <w:spacing w:after="0" w:line="32" w:lineRule="exact"/>
        <w:rPr>
          <w:sz w:val="20"/>
          <w:szCs w:val="20"/>
          <w:color w:val="auto"/>
        </w:rPr>
      </w:pPr>
    </w:p>
    <w:p>
      <w:pPr>
        <w:ind w:left="3060"/>
        <w:spacing w:after="0" w:line="269" w:lineRule="auto"/>
        <w:rPr>
          <w:sz w:val="20"/>
          <w:szCs w:val="20"/>
          <w:color w:val="auto"/>
        </w:rPr>
      </w:pPr>
      <w:r>
        <w:rPr>
          <w:rFonts w:ascii="Arial" w:cs="Arial" w:eastAsia="Arial" w:hAnsi="Arial"/>
          <w:sz w:val="17"/>
          <w:szCs w:val="17"/>
          <w:color w:val="auto"/>
        </w:rPr>
        <w:t>place as may be designated by the board of directors or any other person authorized to call such meeting under the corporation’s certificate of incorporation or bylaws. If an annual meeting for election of directors is not held on the date designated or an action by written consent to elect directors in lieu of an annual meeting has not been taken within 30 days after</w:t>
      </w:r>
    </w:p>
    <w:p>
      <w:pPr>
        <w:spacing w:after="0" w:line="36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br w:type="column"/>
      </w:r>
    </w:p>
    <w:p>
      <w:pPr>
        <w:spacing w:after="0" w:line="296" w:lineRule="auto"/>
        <w:rPr>
          <w:sz w:val="20"/>
          <w:szCs w:val="20"/>
          <w:color w:val="auto"/>
        </w:rPr>
      </w:pPr>
      <w:r>
        <w:rPr>
          <w:rFonts w:ascii="Arial" w:cs="Arial" w:eastAsia="Arial" w:hAnsi="Arial"/>
          <w:sz w:val="16"/>
          <w:szCs w:val="16"/>
          <w:color w:val="auto"/>
        </w:rPr>
        <w:t>The QBCA also provides that a corporation must advance moneys to an indemnifiable person for the costs, charges and expenses incurred in connection with such proceeding. In the case of a derivative action, indemnity may be made only with court approval.</w:t>
      </w:r>
    </w:p>
    <w:p>
      <w:pPr>
        <w:spacing w:after="0" w:line="17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Under the QBCA, an annual meeting of shareholders must be held no later than 15 months after holding the last preceding annual meeting.</w:t>
      </w:r>
    </w:p>
    <w:p>
      <w:pPr>
        <w:spacing w:after="0" w:line="19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Under the QBCA, the directors of a corporation may call a special meeting at any time. In addition, holders of not less than 10 percent of the issued shares of a corporation that carry the right to vote at a meeting sought to be held may requisition the directors to call a meeting of shareholders.</w:t>
      </w:r>
    </w:p>
    <w:p>
      <w:pPr>
        <w:sectPr>
          <w:pgSz w:w="11900" w:h="16838" w:orient="portrait"/>
          <w:cols w:equalWidth="0" w:num="2">
            <w:col w:w="7080" w:space="120"/>
            <w:col w:w="4020"/>
          </w:cols>
          <w:pgMar w:left="320" w:top="459" w:right="359" w:bottom="1440" w:gutter="0" w:footer="0" w:header="0"/>
          <w:type w:val="continuous"/>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the date designated for the annual meeting, or if no date</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has been designated, for a period of 13 months after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later of the last annual meeting or the last action by</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written consent to elect directors in lieu of an annual</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meeting, the Delaware Court of Chancery may</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summarily order a meeting to be held upon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application of any stockholder or director.</w:t>
      </w:r>
    </w:p>
    <w:p>
      <w:pPr>
        <w:sectPr>
          <w:pgSz w:w="11900" w:h="16838" w:orient="portrait"/>
          <w:cols w:equalWidth="0" w:num="1">
            <w:col w:w="11220"/>
          </w:cols>
          <w:pgMar w:left="320" w:top="459" w:right="359" w:bottom="1440" w:gutter="0" w:footer="0" w:header="0"/>
        </w:sectPr>
      </w:pPr>
    </w:p>
    <w:p>
      <w:pPr>
        <w:spacing w:after="0" w:line="21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Stockholder Action by Written Consent</w:t>
      </w:r>
      <w:r>
        <w:rPr>
          <w:sz w:val="20"/>
          <w:szCs w:val="20"/>
          <w:color w:val="auto"/>
        </w:rPr>
        <w:tab/>
      </w:r>
      <w:r>
        <w:rPr>
          <w:rFonts w:ascii="Arial" w:cs="Arial" w:eastAsia="Arial" w:hAnsi="Arial"/>
          <w:sz w:val="16"/>
          <w:szCs w:val="16"/>
          <w:color w:val="auto"/>
        </w:rPr>
        <w:t>Under the DGCL, a majority of the stockholders of a</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corporation may act by written consent without a</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meeting unless such action is prohibited by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corporation’s certificate of incorporation.</w:t>
      </w:r>
    </w:p>
    <w:p>
      <w:pPr>
        <w:spacing w:after="0" w:line="21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Stockholder Nominations and</w:t>
      </w:r>
      <w:r>
        <w:rPr>
          <w:sz w:val="20"/>
          <w:szCs w:val="20"/>
          <w:color w:val="auto"/>
        </w:rPr>
        <w:tab/>
      </w:r>
      <w:r>
        <w:rPr>
          <w:rFonts w:ascii="Arial" w:cs="Arial" w:eastAsia="Arial" w:hAnsi="Arial"/>
          <w:sz w:val="16"/>
          <w:szCs w:val="16"/>
          <w:color w:val="auto"/>
        </w:rPr>
        <w:t>Not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QBCA, a written resolution signed by all the shareholders of a corporation who would have been entitled to vote on the resolution at a meeting is effective to approve the resolution.</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QBCA, a shareholder entitled to vote at a shareholders’ meeting may submit a shareholder proposal relating to matters which the shareholder wishes to propose and discuss at an annual shareholders’ meeting and, subject to such shareholder’s compliance with the prescribed time periods and other requirements of the QBCA pertaining to shareholder proposals, the corporation is required to include such proposal in the information circular pertaining to any annual meeting at which it solicits proxies, subject to certain exceptions. Notice of such a proposal must be provided to the corporation at least 90 days before the anniversary date of the notice of meeting for the last annual shareholders’ meeting.</w:t>
      </w:r>
    </w:p>
    <w:p>
      <w:pPr>
        <w:spacing w:after="0" w:line="19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the QBCA requires that any shareholder proposal that includes nominations for the election of directors must be signed by one or more holders of shares representing in the aggregate not less than five per cent of the shares or five per cent of the shares of a class or series of shares of the corporation entitled to vote at the meeting to which the proposal is to be presented.</w:t>
      </w:r>
    </w:p>
    <w:p>
      <w:pPr>
        <w:sectPr>
          <w:pgSz w:w="11900" w:h="16838" w:orient="portrait"/>
          <w:cols w:equalWidth="0" w:num="2">
            <w:col w:w="6860" w:space="340"/>
            <w:col w:w="4020"/>
          </w:cols>
          <w:pgMar w:left="320" w:top="459" w:right="359" w:bottom="1440" w:gutter="0" w:footer="0" w:header="0"/>
          <w:type w:val="continuous"/>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Stockholder Quorum and Vote</w:t>
      </w:r>
      <w:r>
        <w:rPr>
          <w:sz w:val="20"/>
          <w:szCs w:val="20"/>
          <w:color w:val="auto"/>
        </w:rPr>
        <w:tab/>
      </w:r>
      <w:r>
        <w:rPr>
          <w:rFonts w:ascii="Arial" w:cs="Arial" w:eastAsia="Arial" w:hAnsi="Arial"/>
          <w:sz w:val="16"/>
          <w:szCs w:val="16"/>
          <w:color w:val="auto"/>
        </w:rPr>
        <w:t>Under the DGCL, quorum for a stock corporation is a</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7"/>
          <w:szCs w:val="17"/>
          <w:b w:val="1"/>
          <w:bCs w:val="1"/>
          <w:i w:val="1"/>
          <w:iCs w:val="1"/>
          <w:color w:val="auto"/>
        </w:rPr>
        <w:t>Requirements</w:t>
      </w:r>
      <w:r>
        <w:rPr>
          <w:sz w:val="20"/>
          <w:szCs w:val="20"/>
          <w:color w:val="auto"/>
        </w:rPr>
        <w:tab/>
      </w:r>
      <w:r>
        <w:rPr>
          <w:rFonts w:ascii="Arial" w:cs="Arial" w:eastAsia="Arial" w:hAnsi="Arial"/>
          <w:sz w:val="17"/>
          <w:szCs w:val="17"/>
          <w:color w:val="auto"/>
        </w:rPr>
        <w:t>majority of the shares entitled to vote at the meeting</w:t>
      </w:r>
    </w:p>
    <w:p>
      <w:pPr>
        <w:spacing w:after="0" w:line="21" w:lineRule="exact"/>
        <w:rPr>
          <w:sz w:val="20"/>
          <w:szCs w:val="20"/>
          <w:color w:val="auto"/>
        </w:rPr>
      </w:pPr>
    </w:p>
    <w:p>
      <w:pPr>
        <w:ind w:left="3060"/>
        <w:spacing w:after="0" w:line="287" w:lineRule="auto"/>
        <w:rPr>
          <w:sz w:val="20"/>
          <w:szCs w:val="20"/>
          <w:color w:val="auto"/>
        </w:rPr>
      </w:pPr>
      <w:r>
        <w:rPr>
          <w:rFonts w:ascii="Arial" w:cs="Arial" w:eastAsia="Arial" w:hAnsi="Arial"/>
          <w:sz w:val="16"/>
          <w:szCs w:val="16"/>
          <w:color w:val="auto"/>
        </w:rPr>
        <w:t>unless the certificate of incorporation or bylaws specify a different quorum, but in no event may a quorum be less than one-third of the shares entitled to vote. Unless the DGCL, certificate of incorporation or bylaws provide for a greater vote, generally the required vote under the DGCL is a majority of the shares present in person or represented by proxy, except for the election of directors which requires a plurality of the votes cast.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amended and restated bylaws to be effective immediately prior to the completion of this offering will require shareholders wishing to nominate directors or propose business for a meeting of shareholders to give timely advance notice in writing, as described in our amended and restated bylaws.</w:t>
      </w:r>
    </w:p>
    <w:p>
      <w:pPr>
        <w:spacing w:after="0" w:line="1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the QBCA, unless the bylaws otherwise provide, the holders of a majority of the shares of a corporation entitled to vote at a meeting of shareholders, whether present in person or represented by proxy, constitute a quorum.</w:t>
      </w:r>
    </w:p>
    <w:p>
      <w:pPr>
        <w:spacing w:after="0" w:line="2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amended and restated bylaws to be effective immediately prior to the completion of this offering will provide that holders of 25% of the shares entitled to vote at a meeting of shareholders, whether present in person or represented by proxy, shall constitute quorum.</w:t>
      </w:r>
    </w:p>
    <w:p>
      <w:pPr>
        <w:spacing w:after="0" w:line="200" w:lineRule="exact"/>
        <w:rPr>
          <w:sz w:val="20"/>
          <w:szCs w:val="20"/>
          <w:color w:val="auto"/>
        </w:rPr>
      </w:pPr>
    </w:p>
    <w:p>
      <w:pPr>
        <w:sectPr>
          <w:pgSz w:w="11900" w:h="16838" w:orient="portrait"/>
          <w:cols w:equalWidth="0" w:num="2">
            <w:col w:w="7060" w:space="140"/>
            <w:col w:w="4020"/>
          </w:cols>
          <w:pgMar w:left="320" w:top="459" w:right="359" w:bottom="1440" w:gutter="0" w:footer="0" w:header="0"/>
          <w:type w:val="continuous"/>
        </w:sectPr>
      </w:pPr>
    </w:p>
    <w:p>
      <w:pPr>
        <w:spacing w:after="0" w:line="6"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Amendment of Certificate of</w:t>
      </w:r>
      <w:r>
        <w:rPr>
          <w:sz w:val="20"/>
          <w:szCs w:val="20"/>
          <w:color w:val="auto"/>
        </w:rPr>
        <w:tab/>
      </w:r>
      <w:r>
        <w:rPr>
          <w:rFonts w:ascii="Arial" w:cs="Arial" w:eastAsia="Arial" w:hAnsi="Arial"/>
          <w:sz w:val="16"/>
          <w:szCs w:val="16"/>
          <w:color w:val="auto"/>
        </w:rPr>
        <w:t>Generally, under the DGCL, the affirmative vote of the</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7"/>
          <w:szCs w:val="17"/>
          <w:b w:val="1"/>
          <w:bCs w:val="1"/>
          <w:i w:val="1"/>
          <w:iCs w:val="1"/>
          <w:color w:val="auto"/>
        </w:rPr>
        <w:t>Incorporation</w:t>
      </w:r>
      <w:r>
        <w:rPr>
          <w:sz w:val="20"/>
          <w:szCs w:val="20"/>
          <w:color w:val="auto"/>
        </w:rPr>
        <w:tab/>
      </w:r>
      <w:r>
        <w:rPr>
          <w:rFonts w:ascii="Arial" w:cs="Arial" w:eastAsia="Arial" w:hAnsi="Arial"/>
          <w:sz w:val="17"/>
          <w:szCs w:val="17"/>
          <w:color w:val="auto"/>
        </w:rPr>
        <w:t>holders of a majority of the outstanding stock entitled</w:t>
      </w:r>
    </w:p>
    <w:p>
      <w:pPr>
        <w:spacing w:after="0" w:line="21" w:lineRule="exact"/>
        <w:rPr>
          <w:sz w:val="20"/>
          <w:szCs w:val="20"/>
          <w:color w:val="auto"/>
        </w:rPr>
      </w:pPr>
    </w:p>
    <w:p>
      <w:pPr>
        <w:ind w:left="3060"/>
        <w:spacing w:after="0" w:line="286" w:lineRule="auto"/>
        <w:rPr>
          <w:sz w:val="20"/>
          <w:szCs w:val="20"/>
          <w:color w:val="auto"/>
        </w:rPr>
      </w:pPr>
      <w:r>
        <w:rPr>
          <w:rFonts w:ascii="Arial" w:cs="Arial" w:eastAsia="Arial" w:hAnsi="Arial"/>
          <w:sz w:val="16"/>
          <w:szCs w:val="16"/>
          <w:color w:val="auto"/>
        </w:rPr>
        <w:t>to vote is required to approve a proposed amendment to the certificate of incorporation, following the adoption of the amendment by the board of directors of the corporation, provided that the certificate of incorporation may provide for a greater vote. Under the DGCL, holders of outstanding shares of a class or series are entitled to vote separately on an amendment to the certificate of incorporation if the amendment would have certain consequences, including changes that adversely affect the rights and preferences of such class or series.</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Under the QBCA, amendments to the articles of incorporation generally require the approval of not less than two-thirds of the votes cast by shareholders entitled to vote on the resolution.</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Specified amendments may also require the approval of other classes of shares. If the amendment is of a nature affecting a particular class or series in a manner requiring a separate class or series vote, that class or series is entitled to vote on the amendment whether or not it otherwise carries the right to vote.</w:t>
      </w:r>
    </w:p>
    <w:p>
      <w:pPr>
        <w:spacing w:after="0" w:line="397" w:lineRule="exact"/>
        <w:rPr>
          <w:sz w:val="20"/>
          <w:szCs w:val="20"/>
          <w:color w:val="auto"/>
        </w:rPr>
      </w:pPr>
    </w:p>
    <w:p>
      <w:pPr>
        <w:sectPr>
          <w:pgSz w:w="11900" w:h="16838" w:orient="portrait"/>
          <w:cols w:equalWidth="0" w:num="2">
            <w:col w:w="7080" w:space="120"/>
            <w:col w:w="4020"/>
          </w:cols>
          <w:pgMar w:left="320" w:top="459" w:right="359" w:bottom="1440" w:gutter="0" w:footer="0" w:header="0"/>
          <w:type w:val="continuous"/>
        </w:sectPr>
      </w:pPr>
    </w:p>
    <w:p>
      <w:pPr>
        <w:spacing w:after="0" w:line="185"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Amendment of Bylaws</w:t>
      </w:r>
      <w:r>
        <w:rPr>
          <w:sz w:val="20"/>
          <w:szCs w:val="20"/>
          <w:color w:val="auto"/>
        </w:rPr>
        <w:tab/>
      </w:r>
      <w:r>
        <w:rPr>
          <w:rFonts w:ascii="Arial" w:cs="Arial" w:eastAsia="Arial" w:hAnsi="Arial"/>
          <w:sz w:val="16"/>
          <w:szCs w:val="16"/>
          <w:color w:val="auto"/>
        </w:rPr>
        <w:t>Under the DGCL, after a corporation has received any</w:t>
      </w:r>
    </w:p>
    <w:p>
      <w:pPr>
        <w:spacing w:after="0" w:line="23" w:lineRule="exact"/>
        <w:rPr>
          <w:sz w:val="20"/>
          <w:szCs w:val="20"/>
          <w:color w:val="auto"/>
        </w:rPr>
      </w:pPr>
    </w:p>
    <w:p>
      <w:pPr>
        <w:ind w:left="3060"/>
        <w:spacing w:after="0" w:line="253" w:lineRule="auto"/>
        <w:rPr>
          <w:sz w:val="20"/>
          <w:szCs w:val="20"/>
          <w:color w:val="auto"/>
        </w:rPr>
      </w:pPr>
      <w:r>
        <w:rPr>
          <w:rFonts w:ascii="Arial" w:cs="Arial" w:eastAsia="Arial" w:hAnsi="Arial"/>
          <w:sz w:val="18"/>
          <w:szCs w:val="18"/>
          <w:color w:val="auto"/>
        </w:rPr>
        <w:t>payment for any of its stock, the power to adopt, amend or repeal bylaws shall be vested in the stockholders entitled to vote; provided, however, that any corporation may, in</w:t>
      </w:r>
    </w:p>
    <w:p>
      <w:pPr>
        <w:spacing w:after="0" w:line="1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Under the QBCA, the directors may, by resolution, make, amend or repeal any bylaws that regulate the business or affairs of the corporation. Where the directors make, amend or repeal a bylaw, they are required under the</w:t>
      </w:r>
    </w:p>
    <w:p>
      <w:pPr>
        <w:sectPr>
          <w:pgSz w:w="11900" w:h="16838" w:orient="portrait"/>
          <w:cols w:equalWidth="0" w:num="2">
            <w:col w:w="7080" w:space="120"/>
            <w:col w:w="4020"/>
          </w:cols>
          <w:pgMar w:left="320" w:top="459" w:right="359" w:bottom="1440" w:gutter="0" w:footer="0" w:header="0"/>
          <w:type w:val="continuous"/>
        </w:sectPr>
      </w:pPr>
    </w:p>
    <w:bookmarkStart w:id="198" w:name="page199"/>
    <w:bookmarkEnd w:id="1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Votes on Mergers, Consolidations and Sales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Dissenter’s Rights of Appraisal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-627380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256286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its certificate of incorporation, provide that bylaws may be adopted, amended or repealed by the board of directors. The fact that such power has been conferred upon the board of directors shall not divest the stockholders of the power nor limit their power to adopt, amend or repeal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DGCL provides that, unless otherwise provided in the certificate of incorporation or bylaws, the adoption of a merger agreement requires the approval of a majority of the outstanding stock of the corporation entitled to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Under the DGCL, a stockholder of a Delaware corporation generally has the right to dissent flume, merger or consolidation in which the Delaware</w:t>
      </w:r>
    </w:p>
    <w:p>
      <w:pPr>
        <w:spacing w:after="0" w:line="8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QBCA to submit that action to the shareholders at the next meeting of shareholders and the shareholders may confirm, reject or amend that action by simple majority, or ordinary resolution. If the action is rejected by shareholders, or the directors of a corporation do not submit the action to the shareholders at the next meeting of shareholders, the action will cease to be effective, and no subsequent resolution of the directors to make, amend or repeal a bylaw having substantially the same purpose or effect will he effective until it is confirmed.</w:t>
      </w:r>
    </w:p>
    <w:p>
      <w:pPr>
        <w:spacing w:after="0" w:line="16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the QBCA, certain extraordinary corporate actions, such as amalgamations (other than with certain affiliated corporations), continuances and sales, leases or exchanges of the property of a corporation if as a result of such alienation the corporation would be unable to retain a significant part of its business activities, and other extraordinary corporate actions such as liquidations, dissolutions and (if ordered by a court) arrangements, are required to be approved by “special resolution.”</w:t>
      </w:r>
    </w:p>
    <w:p>
      <w:pPr>
        <w:spacing w:after="0" w:line="21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 “special resolution” is a resolution passed by not less than two-thirds of the votes cast by the shareholders who voted in respect of the resolution or signed by all shareholders entitled to vote on the resolution. In specified cases, a special resolution to approve the extraordinary corporate action is also required to be approved separately by the holders of a class or series of shares, including in certain cases a class or series of shares not otherwise carrying voting rights.</w:t>
      </w:r>
    </w:p>
    <w:p>
      <w:pPr>
        <w:spacing w:after="0" w:line="180"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QBCA provides that shareholders of a corporation are entitled to exercise dissent rights (called “the right to demand the repurchase of shares”) and</w:t>
      </w:r>
    </w:p>
    <w:p>
      <w:pPr>
        <w:sectPr>
          <w:pgSz w:w="11900" w:h="16838" w:orient="portrait"/>
          <w:cols w:equalWidth="0" w:num="3">
            <w:col w:w="2820" w:space="240"/>
            <w:col w:w="4000" w:space="140"/>
            <w:col w:w="4020"/>
          </w:cols>
          <w:pgMar w:left="320" w:top="459" w:right="359" w:bottom="1440" w:gutter="0" w:footer="0" w:header="0"/>
        </w:sectPr>
      </w:pPr>
    </w:p>
    <w:bookmarkStart w:id="199" w:name="page200"/>
    <w:bookmarkEnd w:id="1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2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ind w:left="3060"/>
        <w:spacing w:after="0" w:line="306" w:lineRule="auto"/>
        <w:rPr>
          <w:sz w:val="20"/>
          <w:szCs w:val="20"/>
          <w:color w:val="auto"/>
        </w:rPr>
      </w:pPr>
      <w:r>
        <w:rPr>
          <w:rFonts w:ascii="Arial" w:cs="Arial" w:eastAsia="Arial" w:hAnsi="Arial"/>
          <w:sz w:val="15"/>
          <w:szCs w:val="15"/>
          <w:color w:val="auto"/>
        </w:rPr>
        <w:t>corporation is participating, subject to specified procedural requirements, including that such dissenting stockholder does not vote in favor of the merger or consolidation. However, the DGCL does not confer appraisal rights, in certain circumstances, including if the dissenting stockholder owns shares traded on a national securities exchange and will receive publicly traded shares in the merger or consolidation. Under the DGCL, a stockholder asserting appraisal rights does not receive any payment for his or her shares until the court determines the fair value or the parties otherwise agree to a value. The costs of the proceeding may be determined by the court and assessed against the parties as the court deems equitable under the circumstances.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ind w:right="240"/>
        <w:spacing w:after="0" w:line="274" w:lineRule="auto"/>
        <w:rPr>
          <w:sz w:val="20"/>
          <w:szCs w:val="20"/>
          <w:color w:val="auto"/>
        </w:rPr>
      </w:pPr>
      <w:r>
        <w:rPr>
          <w:rFonts w:ascii="Arial" w:cs="Arial" w:eastAsia="Arial" w:hAnsi="Arial"/>
          <w:sz w:val="18"/>
          <w:szCs w:val="18"/>
          <w:color w:val="auto"/>
        </w:rPr>
        <w:t>to be paid the fair value of their shares in connection with specified matters, including:</w:t>
      </w:r>
    </w:p>
    <w:p>
      <w:pPr>
        <w:spacing w:after="0" w:line="200" w:lineRule="exact"/>
        <w:rPr>
          <w:sz w:val="20"/>
          <w:szCs w:val="20"/>
          <w:color w:val="auto"/>
        </w:rPr>
      </w:pPr>
    </w:p>
    <w:p>
      <w:pPr>
        <w:ind w:left="520" w:hanging="336"/>
        <w:spacing w:after="0"/>
        <w:tabs>
          <w:tab w:leader="none" w:pos="5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squeeze-out transaction;</w:t>
      </w:r>
    </w:p>
    <w:p>
      <w:pPr>
        <w:spacing w:after="0" w:line="130" w:lineRule="exact"/>
        <w:rPr>
          <w:rFonts w:ascii="Arial" w:cs="Arial" w:eastAsia="Arial" w:hAnsi="Arial"/>
          <w:sz w:val="18"/>
          <w:szCs w:val="18"/>
          <w:color w:val="auto"/>
        </w:rPr>
      </w:pPr>
    </w:p>
    <w:p>
      <w:pPr>
        <w:ind w:left="540" w:right="160" w:hanging="356"/>
        <w:spacing w:after="0" w:line="259" w:lineRule="auto"/>
        <w:tabs>
          <w:tab w:leader="none" w:pos="5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amendment to the articles to add, change or remove a restriction on the corporation’s business activity or on the transfer of the corporation’s shares;</w:t>
      </w:r>
    </w:p>
    <w:p>
      <w:pPr>
        <w:spacing w:after="0" w:line="92" w:lineRule="exact"/>
        <w:rPr>
          <w:rFonts w:ascii="Arial" w:cs="Arial" w:eastAsia="Arial" w:hAnsi="Arial"/>
          <w:sz w:val="18"/>
          <w:szCs w:val="18"/>
          <w:color w:val="auto"/>
        </w:rPr>
      </w:pPr>
    </w:p>
    <w:p>
      <w:pPr>
        <w:ind w:left="540" w:hanging="356"/>
        <w:spacing w:after="0" w:line="259" w:lineRule="auto"/>
        <w:tabs>
          <w:tab w:leader="none" w:pos="5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alienation of corporation property if, as a result of the alienation, the corporation is unable to retain a significant part of its business activity;</w:t>
      </w:r>
    </w:p>
    <w:p>
      <w:pPr>
        <w:spacing w:after="0" w:line="92" w:lineRule="exact"/>
        <w:rPr>
          <w:rFonts w:ascii="Arial" w:cs="Arial" w:eastAsia="Arial" w:hAnsi="Arial"/>
          <w:sz w:val="18"/>
          <w:szCs w:val="18"/>
          <w:color w:val="auto"/>
        </w:rPr>
      </w:pPr>
    </w:p>
    <w:p>
      <w:pPr>
        <w:ind w:left="540" w:right="500" w:hanging="356"/>
        <w:spacing w:after="0" w:line="308" w:lineRule="auto"/>
        <w:tabs>
          <w:tab w:leader="none" w:pos="52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corporation to permit the alienation of property of its subsidiary;</w:t>
      </w:r>
    </w:p>
    <w:p>
      <w:pPr>
        <w:spacing w:after="0" w:line="51" w:lineRule="exact"/>
        <w:rPr>
          <w:rFonts w:ascii="Arial" w:cs="Arial" w:eastAsia="Arial" w:hAnsi="Arial"/>
          <w:sz w:val="17"/>
          <w:szCs w:val="17"/>
          <w:color w:val="auto"/>
        </w:rPr>
      </w:pPr>
    </w:p>
    <w:p>
      <w:pPr>
        <w:ind w:left="520" w:hanging="336"/>
        <w:spacing w:after="0"/>
        <w:tabs>
          <w:tab w:leader="none" w:pos="5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amalgamation agreement;</w:t>
      </w:r>
    </w:p>
    <w:p>
      <w:pPr>
        <w:spacing w:after="0" w:line="130" w:lineRule="exact"/>
        <w:rPr>
          <w:rFonts w:ascii="Arial" w:cs="Arial" w:eastAsia="Arial" w:hAnsi="Arial"/>
          <w:sz w:val="18"/>
          <w:szCs w:val="18"/>
          <w:color w:val="auto"/>
        </w:rPr>
      </w:pPr>
    </w:p>
    <w:p>
      <w:pPr>
        <w:jc w:val="both"/>
        <w:ind w:left="540" w:right="320" w:hanging="356"/>
        <w:spacing w:after="0" w:line="342" w:lineRule="auto"/>
        <w:tabs>
          <w:tab w:leader="none" w:pos="524"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continuance of the corporation under the laws of a jurisdiction other than Québec; or</w:t>
      </w:r>
    </w:p>
    <w:p>
      <w:pPr>
        <w:spacing w:after="0" w:line="29" w:lineRule="exact"/>
        <w:rPr>
          <w:rFonts w:ascii="Arial" w:cs="Arial" w:eastAsia="Arial" w:hAnsi="Arial"/>
          <w:sz w:val="16"/>
          <w:szCs w:val="16"/>
          <w:color w:val="auto"/>
        </w:rPr>
      </w:pPr>
    </w:p>
    <w:p>
      <w:pPr>
        <w:ind w:left="540" w:right="20" w:hanging="356"/>
        <w:spacing w:after="0" w:line="275" w:lineRule="auto"/>
        <w:tabs>
          <w:tab w:leader="none" w:pos="52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dissolution of the corporation is withdrawn if, as a result of the alienation of property begun during the liquidation of the corporation, the corporation is unable to retain a significant part of its business activity.</w:t>
      </w:r>
    </w:p>
    <w:p>
      <w:pPr>
        <w:spacing w:after="0" w:line="200" w:lineRule="exact"/>
        <w:rPr>
          <w:sz w:val="20"/>
          <w:szCs w:val="20"/>
          <w:color w:val="auto"/>
        </w:rPr>
      </w:pPr>
    </w:p>
    <w:p>
      <w:pPr>
        <w:sectPr>
          <w:pgSz w:w="11900" w:h="16838" w:orient="portrait"/>
          <w:cols w:equalWidth="0" w:num="2">
            <w:col w:w="7080" w:space="120"/>
            <w:col w:w="4040"/>
          </w:cols>
          <w:pgMar w:left="320" w:top="45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Oppression Remedy</w:t>
      </w:r>
      <w:r>
        <w:rPr>
          <w:sz w:val="20"/>
          <w:szCs w:val="20"/>
          <w:color w:val="auto"/>
        </w:rPr>
        <w:tab/>
      </w:r>
      <w:r>
        <w:rPr>
          <w:rFonts w:ascii="Arial" w:cs="Arial" w:eastAsia="Arial" w:hAnsi="Arial"/>
          <w:sz w:val="16"/>
          <w:szCs w:val="16"/>
          <w:color w:val="auto"/>
        </w:rPr>
        <w:t>The DGCL does not provide for a similar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br w:type="column"/>
      </w:r>
    </w:p>
    <w:p>
      <w:pPr>
        <w:jc w:val="both"/>
        <w:ind w:right="200"/>
        <w:spacing w:after="0" w:line="301" w:lineRule="auto"/>
        <w:rPr>
          <w:sz w:val="20"/>
          <w:szCs w:val="20"/>
          <w:color w:val="auto"/>
        </w:rPr>
      </w:pPr>
      <w:r>
        <w:rPr>
          <w:rFonts w:ascii="Arial" w:cs="Arial" w:eastAsia="Arial" w:hAnsi="Arial"/>
          <w:sz w:val="16"/>
          <w:szCs w:val="16"/>
          <w:color w:val="auto"/>
        </w:rPr>
        <w:t>However, a shareholder is not entitled to dissent if an amendment to the articles is effected by a court order approving reorganization or by a court order made in connection with an action for an oppression remedy.</w:t>
      </w:r>
    </w:p>
    <w:p>
      <w:pPr>
        <w:spacing w:after="0" w:line="17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QBCA provides an oppression remedy (called “rectification of abuse of power or iniquity”) that enables a court to make any order, whether interim or final, to rectify matters that are oppressive or unfairly prejudicial to the interests of any securityholder, director or officer of the corporation if</w:t>
      </w:r>
    </w:p>
    <w:p>
      <w:pPr>
        <w:sectPr>
          <w:pgSz w:w="11900" w:h="16838" w:orient="portrait"/>
          <w:cols w:equalWidth="0" w:num="2">
            <w:col w:w="6660" w:space="540"/>
            <w:col w:w="4040"/>
          </w:cols>
          <w:pgMar w:left="320" w:top="459" w:right="339" w:bottom="1440" w:gutter="0" w:footer="0" w:header="0"/>
          <w:type w:val="continuous"/>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5"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an application is made to a court by an “applicant”. An</w:t>
      </w:r>
    </w:p>
    <w:p>
      <w:pPr>
        <w:spacing w:after="0" w:line="44"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“applicant” with respect to a corporation means any of</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the following:</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Shareholder Derivative Actions</w:t>
      </w:r>
      <w:r>
        <w:rPr>
          <w:sz w:val="20"/>
          <w:szCs w:val="20"/>
          <w:color w:val="auto"/>
        </w:rPr>
        <w:tab/>
      </w:r>
      <w:r>
        <w:rPr>
          <w:rFonts w:ascii="Arial" w:cs="Arial" w:eastAsia="Arial" w:hAnsi="Arial"/>
          <w:sz w:val="16"/>
          <w:szCs w:val="16"/>
          <w:color w:val="auto"/>
        </w:rPr>
        <w:t>Under the DGCL, stockholders may bring derivative</w:t>
      </w:r>
    </w:p>
    <w:p>
      <w:pPr>
        <w:spacing w:after="0" w:line="23" w:lineRule="exact"/>
        <w:rPr>
          <w:sz w:val="20"/>
          <w:szCs w:val="20"/>
          <w:color w:val="auto"/>
        </w:rPr>
      </w:pPr>
    </w:p>
    <w:p>
      <w:pPr>
        <w:ind w:left="3060"/>
        <w:spacing w:after="0" w:line="290" w:lineRule="auto"/>
        <w:rPr>
          <w:sz w:val="20"/>
          <w:szCs w:val="20"/>
          <w:color w:val="auto"/>
        </w:rPr>
      </w:pPr>
      <w:r>
        <w:rPr>
          <w:rFonts w:ascii="Arial" w:cs="Arial" w:eastAsia="Arial" w:hAnsi="Arial"/>
          <w:sz w:val="16"/>
          <w:szCs w:val="16"/>
          <w:color w:val="auto"/>
        </w:rPr>
        <w:t>actions on behalf of, and for the benefit of the corporation. The plaintiff in a derivative action on behalf of the corporation either must be or have been a stockholder of the corporation at the time of the transaction or must be a stockholder who became a stockholder by operation of law in the transaction</w:t>
      </w:r>
    </w:p>
    <w:p>
      <w:pPr>
        <w:spacing w:after="0" w:line="9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540" w:right="240" w:hanging="356"/>
        <w:spacing w:after="0" w:line="263" w:lineRule="auto"/>
        <w:tabs>
          <w:tab w:leader="none" w:pos="5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present or former registered holder or beneficiary of securities of the corporation or any of its affiliates;</w:t>
      </w:r>
    </w:p>
    <w:p>
      <w:pPr>
        <w:spacing w:after="0" w:line="89" w:lineRule="exact"/>
        <w:rPr>
          <w:rFonts w:ascii="Arial" w:cs="Arial" w:eastAsia="Arial" w:hAnsi="Arial"/>
          <w:sz w:val="18"/>
          <w:szCs w:val="18"/>
          <w:color w:val="auto"/>
        </w:rPr>
      </w:pPr>
    </w:p>
    <w:p>
      <w:pPr>
        <w:ind w:left="540" w:right="360" w:hanging="356"/>
        <w:spacing w:after="0" w:line="308" w:lineRule="auto"/>
        <w:tabs>
          <w:tab w:leader="none" w:pos="52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 present or former officer or director of the corporation or any of its affiliates; and</w:t>
      </w:r>
    </w:p>
    <w:p>
      <w:pPr>
        <w:spacing w:after="0" w:line="51" w:lineRule="exact"/>
        <w:rPr>
          <w:rFonts w:ascii="Arial" w:cs="Arial" w:eastAsia="Arial" w:hAnsi="Arial"/>
          <w:sz w:val="17"/>
          <w:szCs w:val="17"/>
          <w:color w:val="auto"/>
        </w:rPr>
      </w:pPr>
    </w:p>
    <w:p>
      <w:pPr>
        <w:ind w:left="540" w:right="220" w:hanging="356"/>
        <w:spacing w:after="0" w:line="342" w:lineRule="auto"/>
        <w:tabs>
          <w:tab w:leader="none" w:pos="52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any other person who in the discretion of the court has the interest to make the application.</w:t>
      </w:r>
    </w:p>
    <w:p>
      <w:pPr>
        <w:spacing w:after="0" w:line="15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oppression remedy provides the court with very broad and flexible powers to intervene in corporate affairs to protect shareholders and other complainants. While conduct that is in breach of fiduciary duties of directors or that is contrary to the legal right of a complainant will normally trigger the court’s jurisdiction under the oppression remedy, the exercise of that jurisdiction does not depend on a finding of a breach of those legal and equitable rights. Furthermore, the court may order a corporation to pay the interim expenses of an applicant seeking an oppression remedy, but the applicant may be held accountable for interim costs on final disposition of the complaint (as in the case of a derivative action as described in “Shareholder Derivative Actions” below).</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QBCA, a shareholder of a corporation may apply to a Québec court for leave to bring an action in the name of, and on behalf of, the corporation or any subsidiary, or to intervene in an existing action to which the corporation or any of its subsidiaries is a party, for the purpose of prosecuting, defending or discontinuing an action on behalf of</w:t>
      </w:r>
    </w:p>
    <w:p>
      <w:pPr>
        <w:sectPr>
          <w:pgSz w:w="11900" w:h="16838" w:orient="portrait"/>
          <w:cols w:equalWidth="0" w:num="2">
            <w:col w:w="7000" w:space="200"/>
            <w:col w:w="4040"/>
          </w:cols>
          <w:pgMar w:left="320" w:top="459" w:right="339" w:bottom="1440" w:gutter="0" w:footer="0" w:header="0"/>
          <w:type w:val="continuous"/>
        </w:sectPr>
      </w:pPr>
    </w:p>
    <w:bookmarkStart w:id="201" w:name="page202"/>
    <w:bookmarkEnd w:id="2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2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left="3060"/>
        <w:spacing w:after="0" w:line="273" w:lineRule="auto"/>
        <w:rPr>
          <w:sz w:val="20"/>
          <w:szCs w:val="20"/>
          <w:color w:val="auto"/>
        </w:rPr>
      </w:pPr>
      <w:r>
        <w:rPr>
          <w:rFonts w:ascii="Arial" w:cs="Arial" w:eastAsia="Arial" w:hAnsi="Arial"/>
          <w:sz w:val="17"/>
          <w:szCs w:val="17"/>
          <w:color w:val="auto"/>
        </w:rPr>
        <w:t>regarding which the stockholder complains. A stockholder may not sue derivatively on behalf of the corporation unless the stockholder first makes demand on the corporation that it bring suit and the demand is refused, unless it is shown that making the demand would have been a futile act.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jc w:val="both"/>
        <w:ind w:right="100"/>
        <w:spacing w:after="0" w:line="285" w:lineRule="auto"/>
        <w:rPr>
          <w:sz w:val="20"/>
          <w:szCs w:val="20"/>
          <w:color w:val="auto"/>
        </w:rPr>
      </w:pPr>
      <w:r>
        <w:rPr>
          <w:rFonts w:ascii="Arial" w:cs="Arial" w:eastAsia="Arial" w:hAnsi="Arial"/>
          <w:sz w:val="17"/>
          <w:szCs w:val="17"/>
          <w:color w:val="auto"/>
        </w:rPr>
        <w:t>the corporation or its subsidiary. Under the QBCA, no action may be brought and no intervention in an action may be made unless a court is satisfied that:</w:t>
      </w:r>
    </w:p>
    <w:p>
      <w:pPr>
        <w:spacing w:after="0" w:line="192" w:lineRule="exact"/>
        <w:rPr>
          <w:sz w:val="20"/>
          <w:szCs w:val="20"/>
          <w:color w:val="auto"/>
        </w:rPr>
      </w:pPr>
    </w:p>
    <w:p>
      <w:pPr>
        <w:ind w:left="540" w:hanging="356"/>
        <w:spacing w:after="0" w:line="273" w:lineRule="auto"/>
        <w:tabs>
          <w:tab w:leader="none" w:pos="524"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shareholder has given the required 14-day notice to the directors of the corporation or the subsidiary of the shareholder’s intention to apply to the court if the directors do not bring, diligently prosecute or defend or discontinue the action;</w:t>
      </w:r>
    </w:p>
    <w:p>
      <w:pPr>
        <w:spacing w:after="0" w:line="83" w:lineRule="exact"/>
        <w:rPr>
          <w:rFonts w:ascii="Arial" w:cs="Arial" w:eastAsia="Arial" w:hAnsi="Arial"/>
          <w:sz w:val="17"/>
          <w:szCs w:val="17"/>
          <w:color w:val="auto"/>
        </w:rPr>
      </w:pPr>
    </w:p>
    <w:p>
      <w:pPr>
        <w:ind w:left="520" w:hanging="336"/>
        <w:spacing w:after="0"/>
        <w:tabs>
          <w:tab w:leader="none" w:pos="5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shareholder is acting in good faith; and</w:t>
      </w:r>
    </w:p>
    <w:p>
      <w:pPr>
        <w:spacing w:after="0" w:line="130" w:lineRule="exact"/>
        <w:rPr>
          <w:rFonts w:ascii="Arial" w:cs="Arial" w:eastAsia="Arial" w:hAnsi="Arial"/>
          <w:sz w:val="18"/>
          <w:szCs w:val="18"/>
          <w:color w:val="auto"/>
        </w:rPr>
      </w:pPr>
    </w:p>
    <w:p>
      <w:pPr>
        <w:ind w:left="540" w:right="220" w:hanging="356"/>
        <w:spacing w:after="0" w:line="259" w:lineRule="auto"/>
        <w:tabs>
          <w:tab w:leader="none" w:pos="52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it appears to be in the interests of the corporation or the relevant subsidiary that the action be brought. prosecuted, defended or discontinued.</w:t>
      </w:r>
    </w:p>
    <w:p>
      <w:pPr>
        <w:spacing w:after="0" w:line="200" w:lineRule="exact"/>
        <w:rPr>
          <w:sz w:val="20"/>
          <w:szCs w:val="20"/>
          <w:color w:val="auto"/>
        </w:rPr>
      </w:pPr>
    </w:p>
    <w:p>
      <w:pPr>
        <w:sectPr>
          <w:pgSz w:w="11900" w:h="16838" w:orient="portrait"/>
          <w:cols w:equalWidth="0" w:num="2">
            <w:col w:w="6980" w:space="220"/>
            <w:col w:w="4040"/>
          </w:cols>
          <w:pgMar w:left="320" w:top="45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Anti-Takeover and Ownership</w:t>
      </w:r>
      <w:r>
        <w:rPr>
          <w:sz w:val="20"/>
          <w:szCs w:val="20"/>
          <w:color w:val="auto"/>
        </w:rPr>
        <w:tab/>
      </w:r>
      <w:r>
        <w:rPr>
          <w:rFonts w:ascii="Arial" w:cs="Arial" w:eastAsia="Arial" w:hAnsi="Arial"/>
          <w:sz w:val="16"/>
          <w:szCs w:val="16"/>
          <w:color w:val="auto"/>
        </w:rPr>
        <w:t>Unless an issuer opts out of the provisions of</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Provisions</w:t>
      </w:r>
      <w:r>
        <w:rPr>
          <w:sz w:val="20"/>
          <w:szCs w:val="20"/>
          <w:color w:val="auto"/>
        </w:rPr>
        <w:tab/>
      </w:r>
      <w:r>
        <w:rPr>
          <w:rFonts w:ascii="Arial" w:cs="Arial" w:eastAsia="Arial" w:hAnsi="Arial"/>
          <w:sz w:val="18"/>
          <w:szCs w:val="18"/>
          <w:color w:val="auto"/>
        </w:rPr>
        <w:t>Section 203 of the DGCL, Section 203 generally</w:t>
      </w:r>
    </w:p>
    <w:p>
      <w:pPr>
        <w:spacing w:after="0" w:line="9" w:lineRule="exact"/>
        <w:rPr>
          <w:sz w:val="20"/>
          <w:szCs w:val="20"/>
          <w:color w:val="auto"/>
        </w:rPr>
      </w:pPr>
    </w:p>
    <w:p>
      <w:pPr>
        <w:ind w:left="3060"/>
        <w:spacing w:after="0" w:line="268" w:lineRule="auto"/>
        <w:rPr>
          <w:sz w:val="20"/>
          <w:szCs w:val="20"/>
          <w:color w:val="auto"/>
        </w:rPr>
      </w:pPr>
      <w:r>
        <w:rPr>
          <w:rFonts w:ascii="Arial" w:cs="Arial" w:eastAsia="Arial" w:hAnsi="Arial"/>
          <w:sz w:val="17"/>
          <w:szCs w:val="17"/>
          <w:color w:val="auto"/>
        </w:rPr>
        <w:t>prohibits a public Delaware corporation from engaging in a “business combination” with a holder of 15% or more of the corporation’s voting stock (as defined in Section 203), referred to as an interested stockholder, for a period of three years after the date of the transaction in which the interested stockholder became an interested stockholder, except as otherwise provided in Section 203. For these</w:t>
      </w:r>
    </w:p>
    <w:p>
      <w:pPr>
        <w:spacing w:after="0" w:line="1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br w:type="column"/>
      </w:r>
    </w:p>
    <w:p>
      <w:pPr>
        <w:ind w:right="60"/>
        <w:spacing w:after="0" w:line="289" w:lineRule="auto"/>
        <w:rPr>
          <w:sz w:val="20"/>
          <w:szCs w:val="20"/>
          <w:color w:val="auto"/>
        </w:rPr>
      </w:pPr>
      <w:r>
        <w:rPr>
          <w:rFonts w:ascii="Arial" w:cs="Arial" w:eastAsia="Arial" w:hAnsi="Arial"/>
          <w:sz w:val="16"/>
          <w:szCs w:val="16"/>
          <w:color w:val="auto"/>
        </w:rPr>
        <w:t>Under the QBCA, the court in a derivative action may make any order it thinks fit. In addition, under the QBCA, a court may order the corporation or its relevant subsidiary to pay the shareholder’s interim costs, including reasonable legal fees and disbursements. Although the shareholder may he held accountable for the interim costs on final disposition of the complaint, the shareholder is not required to give security for costs in a derivative action.</w:t>
      </w:r>
    </w:p>
    <w:p>
      <w:pPr>
        <w:spacing w:after="0" w:line="18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While the QBCA does not contain specific anti-takeover provisions with respect to “business combinations,” rules and policies of certain Canadian securities regulatory authorities, including Multilateral Instrument 61-101—Protection of Minority Security Holders in Special Transactions, or Multilateral Instrument 61-101, contain requirements in connection with, among other things, “related party transactions” and “business combinations”, including, among other</w:t>
      </w:r>
    </w:p>
    <w:p>
      <w:pPr>
        <w:sectPr>
          <w:pgSz w:w="11900" w:h="16838" w:orient="portrait"/>
          <w:cols w:equalWidth="0" w:num="2">
            <w:col w:w="7040" w:space="160"/>
            <w:col w:w="4040"/>
          </w:cols>
          <w:pgMar w:left="320" w:top="459" w:right="339" w:bottom="1440" w:gutter="0" w:footer="0" w:header="0"/>
          <w:type w:val="continuous"/>
        </w:sectPr>
      </w:pPr>
    </w:p>
    <w:bookmarkStart w:id="202" w:name="page203"/>
    <w:bookmarkEnd w:id="2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2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left="3060"/>
        <w:spacing w:after="0" w:line="262" w:lineRule="auto"/>
        <w:rPr>
          <w:sz w:val="20"/>
          <w:szCs w:val="20"/>
          <w:color w:val="auto"/>
        </w:rPr>
      </w:pPr>
      <w:r>
        <w:rPr>
          <w:rFonts w:ascii="Arial" w:cs="Arial" w:eastAsia="Arial" w:hAnsi="Arial"/>
          <w:sz w:val="18"/>
          <w:szCs w:val="18"/>
          <w:color w:val="auto"/>
        </w:rPr>
        <w:t>purposes, the term “business combination” includes mergers, assets sales and other similar transactions with an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things, any transaction by which an issuer directly or indirectly engages in the following with a related party: acquires, sells, leases or transfers an asset, acquires the related party, acquires or issues treasury securities, amends the terms of a security if the security is owned by the related party or assumes or becomes subject to a liability or takes certain other actions with respect to debt.</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term “related party” includes directors, senior officers and holders of more than 10% of the voting rights attached to all outstanding voting securities of the issuer or holders of a sufficient number of any securities of the issuer to materially affect control of the issuer.</w:t>
      </w:r>
    </w:p>
    <w:p>
      <w:pPr>
        <w:spacing w:after="0" w:line="2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Multilateral Instrument 61-101 requires, subject to certain exceptions, the preparation of a formal valuation relating to certain aspects of the transaction and more detailed disclosure in the proxy material sent to security holders in connection with a related party transaction including related to the valuation. Multilateral Instrument 61-101 also requires, subject to certain exceptions, that an issuer not engage in a related party transaction unless the shareholders of the issuer, other than the related parties, approve the transaction by a simple majority of the votes cast.</w:t>
      </w:r>
    </w:p>
    <w:p>
      <w:pPr>
        <w:sectPr>
          <w:pgSz w:w="11900" w:h="16838" w:orient="portrait"/>
          <w:cols w:equalWidth="0" w:num="2">
            <w:col w:w="7080" w:space="120"/>
            <w:col w:w="4040"/>
          </w:cols>
          <w:pgMar w:left="320" w:top="459" w:right="339" w:bottom="1440" w:gutter="0" w:footer="0" w:header="0"/>
          <w:type w:val="continuous"/>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229"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The following is a description of the material U.S. federal income tax consequences to the U.S. Holders described below of owning and disposing of our common shares. It is not a comprehensive description of all tax considerations that may be relevant to a particular U.S. Holder. This discussion applies only to a U.S. Holder that holds our common shares as a capital asset for tax purposes (generally, property held for investment). In addition, it does not describe all of the tax consequences that may be relevant in light of a U.S. Holder’s particular circumstances, including state and local tax consequences, estate or gift tax consequences, alternative minimum tax consequences, the potential application of the Medicare contribution tax, and tax consequences applicable to U.S. Holders subject to special rules, such as:</w:t>
      </w:r>
    </w:p>
    <w:p>
      <w:pPr>
        <w:spacing w:after="0" w:line="98" w:lineRule="exact"/>
        <w:rPr>
          <w:sz w:val="20"/>
          <w:szCs w:val="20"/>
          <w:color w:val="auto"/>
        </w:rPr>
      </w:pPr>
    </w:p>
    <w:p>
      <w:pPr>
        <w:ind w:left="1000" w:hanging="547"/>
        <w:spacing w:after="0"/>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banks, insurance companies, and certain other financial institutions;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1000" w:right="320" w:hanging="547"/>
        <w:spacing w:after="0" w:line="277"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integrated transaction or persons entering into a constructive sale with respect to common shares;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tax-exempt entities or government organizations;</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 (and investors therein);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persons who acquired our common shares pursuant to the exercise of any employee share option or otherwise as compensation;</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persons that own or are deemed to own 10 percent or more of the voting power or value of our shares;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persons holding our common shares in connection with a trade or business, permanent establishment or fixed base outside the United States.</w:t>
      </w:r>
    </w:p>
    <w:p>
      <w:pPr>
        <w:spacing w:after="0" w:line="248"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are encouraged to consult their tax advisors as to the particular U.S. federal income tax consequences of holding and disposing of common shares.</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discussion is based on the Internal Revenue Code of 1986, as amended, or the Code, existing, proposed and temporary U.S. Treasury Regulations promulgated thereunder and administrative and judicial interpretations thereof and the Convention Between Canada and the United States of America with Respect to Taxes on Income and Capital, signed September 26, 1980, as amended, or the Canada-U.S. Tax Treaty, all as of the date hereof, changes to any of which may affect the tax consequences described herein—possibly with retroactive effect. No ruling has been sought from the U.S. Internal Revenue Service, or the IRS, with respect to any of the U.S. federal income tax consequences described below, and there can be no assurances that the IRS will not take a contrary position concerning the tax consequences of the acquisition, ownership and disposition of our common shares or that such a position would not be sustained by a court.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459" w:right="3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Canada-U.S. Tax Treaty and is:</w:t>
      </w:r>
    </w:p>
    <w:p>
      <w:pPr>
        <w:spacing w:after="0" w:line="116" w:lineRule="exact"/>
        <w:rPr>
          <w:sz w:val="20"/>
          <w:szCs w:val="20"/>
          <w:color w:val="auto"/>
        </w:rPr>
      </w:pPr>
    </w:p>
    <w:p>
      <w:pPr>
        <w:ind w:left="1120" w:hanging="667"/>
        <w:spacing w:after="0"/>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120" w:right="140" w:hanging="667"/>
        <w:spacing w:after="0" w:line="277" w:lineRule="auto"/>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corporation, or another entity taxable as a corporation, created or organized in or under the laws of the United States, any state therein or the District of Columbia;</w:t>
      </w:r>
    </w:p>
    <w:p>
      <w:pPr>
        <w:spacing w:after="0" w:line="75" w:lineRule="exact"/>
        <w:rPr>
          <w:rFonts w:ascii="Arial" w:cs="Arial" w:eastAsia="Arial" w:hAnsi="Arial"/>
          <w:sz w:val="18"/>
          <w:szCs w:val="18"/>
          <w:color w:val="auto"/>
        </w:rPr>
      </w:pPr>
    </w:p>
    <w:p>
      <w:pPr>
        <w:ind w:left="1120" w:hanging="667"/>
        <w:spacing w:after="0"/>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120" w:right="220" w:hanging="667"/>
        <w:spacing w:after="0" w:line="263" w:lineRule="auto"/>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spacing w:after="0" w:line="184"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U.S. Holders are encouraged to consult their tax advisors concerning the U.S. federal, state, local and foreign tax consequences of owning and disposing of our common shares in their particular circumstances.</w:t>
      </w:r>
    </w:p>
    <w:p>
      <w:pPr>
        <w:spacing w:after="0" w:line="170"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THESE PARAGRAPHS ARE A SUMMARY OF CERTAIN U.S. TAX CONSIDERATIONS AND ARE INTENDED AS A GENERAL GUIDE ONLY. IT IS RECOMMENDED THAT ALL HOLDERS OF COMMON SHARES OBTAIN ADVICE AS TO THE CONSEQUENCES OF THE ACQUISITION, OWNERSHIP AND DISPOSITION OF THE COMMON SHARES IN THEIR OWN SPECIFIC CIRCUMSTANCES FROM THEIR OWN TAX ADVISORS.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If we are classified as a PFIC in any taxable year, a U.S. Holder will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corporation will be classified as a PFIC for any taxable year in which, after applying certain look-through rules, either:</w:t>
      </w:r>
    </w:p>
    <w:p>
      <w:pPr>
        <w:spacing w:after="0" w:line="131" w:lineRule="exact"/>
        <w:rPr>
          <w:sz w:val="20"/>
          <w:szCs w:val="20"/>
          <w:color w:val="auto"/>
        </w:rPr>
      </w:pPr>
    </w:p>
    <w:p>
      <w:pPr>
        <w:ind w:left="1000" w:hanging="547"/>
        <w:spacing w:after="0"/>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(such as interest income); or</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at least 50% of its gross assets (determined on the basis of a quarterly average) is attributable to assets that produce passive income or are held for the production of passive income.</w:t>
      </w:r>
    </w:p>
    <w:p>
      <w:pPr>
        <w:spacing w:after="0" w:line="170"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For purposes of these tests, passive income includes dividends, interest, gains from the sale or exchange of investment property and certain rents and royalties. We will be treated as owning our proportionate share of the assets and earning our proportionate share of the income of any other corporation, the equity of which we own, directly or indirectly, 25% or more (by value).</w:t>
      </w:r>
    </w:p>
    <w:p>
      <w:pPr>
        <w:spacing w:after="0" w:line="184"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Based on the composition of our income and assets, we believe we were a PFIC for the taxable year ended December 31, 2019. However, based on our operating history and the projected composition of our income and valuation of our assets, including goodwill, for the taxable year ending December 31, 2020, we do not expect to be classified as a PFIC. However, the application of the PFIC rules is subject to uncertainty in several respects, and therefore, no assurances can be provided with respect to our PFIC status for any past, current or future taxable years.</w:t>
      </w:r>
    </w:p>
    <w:p>
      <w:pPr>
        <w:spacing w:after="0" w:line="171"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A separate determination must be made after the close of each taxable year as to whether we are a PFIC for that year. As a result, our PFIC status may change from year to year. The total value of our assets for purposes of the asset test generally may be determined in part by reference to the market price of the common shares, which may fluctuate considerably. Fluctuations in the market price of the common shares may result in our being a PFIC for any taxable year. Even if we determine that we are not a PFIC for a taxable year, there can be no assurance that the IRS will agree with our conclusion and that the IRS would not successfully challenge our position. Because of the uncertainties involved in establishing our PFIC status, our United States tax counsel expresses no opinion regarding our PFIC status.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00"/>
          </w:cols>
          <w:pgMar w:left="320" w:top="459" w:right="3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86" w:lineRule="auto"/>
        <w:rPr>
          <w:sz w:val="20"/>
          <w:szCs w:val="20"/>
          <w:color w:val="auto"/>
        </w:rPr>
      </w:pPr>
      <w:r>
        <w:rPr>
          <w:rFonts w:ascii="Arial" w:cs="Arial" w:eastAsia="Arial" w:hAnsi="Arial"/>
          <w:sz w:val="16"/>
          <w:szCs w:val="16"/>
          <w:color w:val="auto"/>
        </w:rPr>
        <w:t>If we are classified as a PFIC in any year with respect to which a U.S. Holder owns common shares, we will continue to be treated as a PFIC with respect to such U.S. Holder in all succeeding years during which the U.S. Holder owns the common shares, regardless of whether we continue to meet the tests described above unless (i) we cease to be a PFIC and the U.S. Holder has made a valid “deemed sale” election under the PFIC rules, (ii) we cease to be a PFIC and the U.S. Holder has a valid mark-to-market election in effect (as described below) or (iii) the U.S. Holder makes a valid Qualified Electing Fund Election, or QEF Election, with respect to all taxable years during such U.S. Holders holding period in which we are a PFIC. However, a U.S. Holder may make a QEF Election with respect to our common shares only if we annually provide such U.S. Holder with certain tax information, and we currently do not intend to prepare or provide such information. As a result, the QEF Election is not expected to be available to a U.S. Holder and the remainder of this discussion assumes that such election will not be available. If the “deemed sale” election is made, a U.S. Holder will be deemed to have sold the common shares the U.S. Holder holds at their fair market value and any gain from such deemed sale would be subject to the rules described below. After the deemed sale election, so long as we do not become a PFIC in a subsequent taxable year, the U.S. Holder’s common shares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the common shares. U.S. Holders should consult their tax advisors as to the possibility and consequences of making a deemed sale election if we cease to be a PFIC and such election becomes available.</w:t>
      </w:r>
    </w:p>
    <w:p>
      <w:pPr>
        <w:spacing w:after="0" w:line="174"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For each taxable year we are treated as a PFIC, U.S. Holders will be subject to special tax rules with respect to any “excess distribution” such U.S. Holder receives and any gain such U.S. Holder recognizes from a sale or other disposition (including a pledge) of our common shares, unless (i) such U.S. Holder makes a QEF Election with respect to all taxable years of a U.S. Holder’s holding period during which we are a PFIC or makes a purging election to cause a deemed sale of the common shares at their fair market value in conjunction with a QEF Election (however, as discussed above, such elections are expected and assumed not to be available) or (ii) our common shares constitute “marketable” securities, and such U.S. Holder makes a mark-to-market election as discussed below. Distributions a U.S. Holder receives in a taxable year that are greater than 125% of the average annual distributions a U.S. Holder received during the shorter of the three preceding taxable years or the U.S. Holder’s holding period for the common shares will be treated as an excess distribution. Under these special tax rules:</w:t>
      </w:r>
    </w:p>
    <w:p>
      <w:pPr>
        <w:spacing w:after="0" w:line="84" w:lineRule="exact"/>
        <w:rPr>
          <w:sz w:val="20"/>
          <w:szCs w:val="20"/>
          <w:color w:val="auto"/>
        </w:rPr>
      </w:pPr>
    </w:p>
    <w:p>
      <w:pPr>
        <w:ind w:left="1000" w:hanging="547"/>
        <w:spacing w:after="0"/>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a U.S. Holder’s holding period for the common shares;</w:t>
      </w:r>
    </w:p>
    <w:p>
      <w:pPr>
        <w:spacing w:after="0" w:line="130" w:lineRule="exact"/>
        <w:rPr>
          <w:rFonts w:ascii="Arial" w:cs="Arial" w:eastAsia="Arial" w:hAnsi="Arial"/>
          <w:sz w:val="18"/>
          <w:szCs w:val="18"/>
          <w:color w:val="auto"/>
        </w:rPr>
      </w:pPr>
    </w:p>
    <w:p>
      <w:pPr>
        <w:ind w:left="1000" w:right="500" w:hanging="547"/>
        <w:spacing w:after="0" w:line="277" w:lineRule="auto"/>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first taxable year in which we became a PFIC, will be taxable as ordinary income; and</w:t>
      </w:r>
    </w:p>
    <w:p>
      <w:pPr>
        <w:spacing w:after="0" w:line="75" w:lineRule="exact"/>
        <w:rPr>
          <w:rFonts w:ascii="Arial" w:cs="Arial" w:eastAsia="Arial" w:hAnsi="Arial"/>
          <w:sz w:val="18"/>
          <w:szCs w:val="18"/>
          <w:color w:val="auto"/>
        </w:rPr>
      </w:pPr>
    </w:p>
    <w:p>
      <w:pPr>
        <w:ind w:left="1000" w:right="780" w:hanging="547"/>
        <w:spacing w:after="0" w:line="308" w:lineRule="auto"/>
        <w:tabs>
          <w:tab w:leader="none" w:pos="10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146"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A U.S. Holder’s tax liability for amounts allocated to years prior to the year of disposition or the year of an “excess distribution” cannot be offset by any net operating losses for such years, and gains (but not losses) realized on the sale of the common shares cannot be treated as capital, even if the U.S. Holder holds the common shares as capital assets.</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If we are a PFIC, a U.S. Holder will generally be subject to similar rules with respect to distributions we receive from, and our dispositions of the shares of, any of our direct or indirect subsidiaries that also are PFICs, as if such distributions were indirectly received by, and/or dispositions were indirectly carried out by, such U.S. Holder. U.S. Holders should consult their tax advisors regarding the potential application of the PFIC rules if we were to form or acquire any non-U.S. subsidiaries in the future.</w:t>
      </w:r>
    </w:p>
    <w:p>
      <w:pPr>
        <w:spacing w:after="0" w:line="187" w:lineRule="exact"/>
        <w:rPr>
          <w:sz w:val="20"/>
          <w:szCs w:val="20"/>
          <w:color w:val="auto"/>
        </w:rPr>
      </w:pPr>
    </w:p>
    <w:p>
      <w:pPr>
        <w:ind w:right="1080" w:firstLine="449"/>
        <w:spacing w:after="0" w:line="277" w:lineRule="auto"/>
        <w:rPr>
          <w:sz w:val="20"/>
          <w:szCs w:val="20"/>
          <w:color w:val="auto"/>
        </w:rPr>
      </w:pPr>
      <w:r>
        <w:rPr>
          <w:rFonts w:ascii="Arial" w:cs="Arial" w:eastAsia="Arial" w:hAnsi="Arial"/>
          <w:sz w:val="18"/>
          <w:szCs w:val="18"/>
          <w:color w:val="auto"/>
        </w:rPr>
        <w:t>If we are a PFIC, U.S. Holders can avoid the interest charge on excess distributions or gain relating to the common shares by making a mark-to-market election with respect to the common shares, provided that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459" w:right="3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common shares are “marketable.” Common shares will be marketable if they are “regularly traded” on certain U.S. stock exchanges or on a foreign stock exchange that meets certain conditions. For these purposes, the common shares will be considered regularly traded during any calendar year during which they are traded, other than in de minimis quantities, on at least 15 days during each calendar quarter. Any trades that have as their principal purpose meeting this requirement will be disregarded. Our common shares will be listed on Nasdaq, which is a qualified exchange for these purposes. Consequently, if our common shares remain listed on Nasdaq and are regularly traded, and you are a U.S. Holder that holds our common shares, we expect the mark-to-market election would be available to you if we are a PFIC. Each U.S. Holder should consult its tax advisor as to the whether a mark-to-market election is available or advisable with respect to the common shares.</w:t>
      </w:r>
    </w:p>
    <w:p>
      <w:pPr>
        <w:spacing w:after="0" w:line="177"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A U.S. Holder that makes a mark-to-market election must include as ordinary income for each year an amount equal to the excess, if any, of the fair market value of the common shares at the close of the taxable year over the U.S. Holder’s adjusted tax basis in the common shares. Accordingly, such mark-to-market election may accelerate the recognition of income without a corresponding receipt of cash. An electing holder may also claim an ordinary loss deduction for the excess, if any, of the U.S. Holder’s adjusted basis in the common shares over the fair market value of the common shares at the close of the taxable year, but this deduction is allowable only to the extent of any net mark-to-market gains for prior years. The U.S. Holder’s tax basis in our common shares would be adjusted to reflect any income or loss recognized as a result of the mark-to-market election. Gains from an actual sale or other disposition of the common shares will be treated as ordinary income, and any losses incurred on a sale or other disposition of the common shares will be treated first as an ordinary loss (to the extent of any net mark-to-market gains for prior years) and thereafter as a capital loss. Once made, the election cannot be revoked without the consent of the IRS, unless the common shares cease to be marketable.</w:t>
      </w:r>
    </w:p>
    <w:p>
      <w:pPr>
        <w:spacing w:after="0" w:line="166"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any year in which we are classified as a PFIC, a U.S. Holder will be required to file an annual information return on IRS Form 8621 containing such information as the Treasury Regulations and/or other IRS guidance may require. A U.S. Holder’s failure to file IRS Form 8621 could result in the imposition of penalties and the extension of the statute of limitations with respect to U.S. federal income tax. U.S. Holders should consult their tax advisors regarding the requirements of filing such information returns under these rules.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As described in the section above entitled “Dividend Policy,” we do not anticipate declaring or paying dividends to holders of our common shares in the foreseeable future. However, if we make a distribution contrary to this expectation, subject to the discussion above under “Passive Foreign Investment Company Rules,” distributions paid to a U.S. Holder in respect to our common shares (including any amounts withheld in respect of foreign taxes), other than certain pro rata distributions of common shares, will generally be treated as dividends to the extent paid out of our current 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common shares. To the extent the distribution exceeds the adjusted tax basis of the U.S. Holder’s common shares, the remainder will be taxed as capital gain. Because we may not calculate our earnings and profits under U.S. federal income tax principles, we expect that distributions generally will be reported to U.S. Holders as dividends.</w:t>
      </w:r>
    </w:p>
    <w:p>
      <w:pPr>
        <w:spacing w:after="0" w:line="181"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Subject to applicable limitations, dividends paid by a “qualified foreign corporation” to certain non-corporate U.S. Holders may be taxable at preferential rates provided that certain requirements are met. A non-U.S.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shares that are readily tradable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459" w:right="3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an established securities market in the United States. Our common shares will generally be considered to be readily tradable on an established securities market in the United States for so long as they are listed on the Nasdaq Global Market.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common shares or rights to acquire common shares) will be the fair market value of such property on the date of distribution.</w:t>
      </w:r>
    </w:p>
    <w:p>
      <w:pPr>
        <w:spacing w:after="0" w:line="185"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For foreign tax credit limitation purposes, our dividends will generally be treated as passive category income. A U.S. Holder generally may claim the amount of any Canadian withholding tax as either a deduction from gross income or a credit against its U.S. federal income tax liability. However, the foreign tax credit is subject to numerous complex limitations that must be determined and applied on an individual basis. Each U.S. Holder should consult its own tax advisors regarding the foreign tax credit rules.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Taxable Disposition of Common Shares</w:t>
      </w:r>
    </w:p>
    <w:p>
      <w:pPr>
        <w:spacing w:after="0" w:line="117"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Subject to the discussion above under “Passive Foreign Investment Company Rules,” gain or loss realized on the sale or other taxable disposition of common shares will be capital gain or loss, and will be a long-term capital gain or loss if the U.S. Holder held the common shares for more than one year. The amount of the gain or loss will equal the difference between the U.S. Holder’s adjusted tax basis in the common shares disposed of and the amount realized on the disposition, in each case as determined in U.S. dollars. This gain or loss will generally be U.S.-source gain or loss for foreign tax credit purposes, which will generally limit the availability of foreign tax credits. The deductibility of capital losses is subject to limitations.</w:t>
      </w:r>
    </w:p>
    <w:p>
      <w:pPr>
        <w:spacing w:after="0" w:line="161"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common shares are treated as traded on an “established securities market” and a U.S. Holder is either a cash basis taxpayer or an accrual basis taxpayer that has made a special election (which must be applied consistently from year to year and cannot be changed without the consent of the IRS), such U.S. Holder will determine the U.S. dollar value of the amount realized in a non-U.S. dollar currency by translating the amount received at the spot rate of exchange on the settlement date of the sale. If a U.S. Holder is an accrual basis taxpayer that is not eligible to or does not elect to determine the amount realized using the spot rate on the settlement date, such U.S. Holder will recognize foreign currency gain or loss to the extent of any difference between the U.S. dollar amount realized on the date of sale or disposition and the U.S. dollar value of the currency received at the spot rate on the settlement date.</w:t>
      </w:r>
    </w:p>
    <w:p>
      <w:pPr>
        <w:spacing w:after="0" w:line="161" w:lineRule="exact"/>
        <w:rPr>
          <w:sz w:val="20"/>
          <w:szCs w:val="20"/>
          <w:color w:val="auto"/>
        </w:rPr>
      </w:pPr>
    </w:p>
    <w:p>
      <w:pPr>
        <w:jc w:val="both"/>
        <w:ind w:right="180" w:firstLine="449"/>
        <w:spacing w:after="0" w:line="266" w:lineRule="auto"/>
        <w:rPr>
          <w:sz w:val="20"/>
          <w:szCs w:val="20"/>
          <w:color w:val="auto"/>
        </w:rPr>
      </w:pPr>
      <w:r>
        <w:rPr>
          <w:rFonts w:ascii="Arial" w:cs="Arial" w:eastAsia="Arial" w:hAnsi="Arial"/>
          <w:sz w:val="18"/>
          <w:szCs w:val="18"/>
          <w:b w:val="1"/>
          <w:bCs w:val="1"/>
          <w:color w:val="auto"/>
        </w:rPr>
        <w:t>WE STRONGLY URGE YOU TO CONSULT YOUR TAX ADVISOR REGARDING THE IMPACT OF OUR PFIC STATUS ON YOUR INVESTMENT IN THE COMMON SHARES AS WELL AS THE APPLICATION OF THE PFIC RULES TO YOUR INVESTMENT IN THE COMMON SHARES.</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459" w:right="3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withholding, the U.S. Holder provides a correct taxpayer identification number and certifies that it is not subject to backup withholding (generally, by providing an IRS Form W-9).</w:t>
      </w:r>
    </w:p>
    <w:p>
      <w:pPr>
        <w:spacing w:after="0" w:line="170" w:lineRule="exact"/>
        <w:rPr>
          <w:sz w:val="20"/>
          <w:szCs w:val="20"/>
          <w:color w:val="auto"/>
        </w:rPr>
      </w:pPr>
    </w:p>
    <w:p>
      <w:pPr>
        <w:ind w:right="60" w:firstLine="449"/>
        <w:spacing w:after="0" w:line="342" w:lineRule="auto"/>
        <w:rPr>
          <w:sz w:val="20"/>
          <w:szCs w:val="20"/>
          <w:color w:val="auto"/>
        </w:rPr>
      </w:pPr>
      <w:r>
        <w:rPr>
          <w:rFonts w:ascii="Arial" w:cs="Arial" w:eastAsia="Arial" w:hAnsi="Arial"/>
          <w:sz w:val="16"/>
          <w:szCs w:val="16"/>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24"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The discussion of reporting requirements set forth above is not intended to constitute a complete description of all reporting requirements that may apply to a U.S. Holder. Each U.S. Holder should consult its own tax advisors regarding the information reporting and backup withholding rules.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Certain U.S. Holders who are individuals (and, under regulations, certain entities) may be required to report information relating to the common shares, subject to certain exceptions (including an exception for common shares held in accounts maintained by certain U.S. financial institutions).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Each U.S. Holder should consult its own tax advisors regarding its reporting obligations with respect to its ownership and disposition of the common shares.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20"/>
          </w:cols>
          <w:pgMar w:left="320" w:top="459" w:right="5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CANADIAN FEDERAL INCOME TAX CONSIDERATIONS</w:t>
      </w:r>
    </w:p>
    <w:p>
      <w:pPr>
        <w:spacing w:after="0" w:line="229"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The following is, as of the date hereof, a summary of the principal Canadian federal income tax considerations generally applicable under the Income Tax Act (Canada) and the regulations promulgated thereunder, collectively the Tax Act, to a purchaser who acquires, as beneficial owner, the common shares under this offering, and who, for purposes of the Tax Act and at all relevant times, (i) is not, and is not deemed to be, resident in Canada, (ii) holds the common shares as capital property, (iii) deals at arm’s length with, and is not affiliated with, the Company or the underwriters, and (iv) does not use or hold and will not be deemed to use or hold, the common shares in a business carried on in Canada, hereinafter, a Non-Resident Holder. Special rules, which are not discussed in this summary, may apply to an insurer that carries on an insurance business in Canada and elsewhere.</w:t>
      </w:r>
    </w:p>
    <w:p>
      <w:pPr>
        <w:spacing w:after="0" w:line="164"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This summary is based upon the provisions of the Tax Act in force as of the date hereof, all specific proposals to amend the Tax Act that have been publicly announced by or on behalf of the Minister of Finance (Canada) prior to the date hereof, or the Proposed Amendments, the Canada-U.S. Tax Treaty, and an understanding of the current administrative policies and assessing practices of the Canada Revenue Agency, or the CRA, published in writing by it prior to the date hereof. This summary assumes the Proposed Amendments will be enacted in the form proposed. However, no assurance can be given that the Proposed Amendments will be enacted in their current form, or at all. This summary is not exhaustive of all possible Canadian federal income tax considerations and, except for the Proposed Amendments, does not take into account or anticipate any changes in the law or any changes in the CRA’s administrative policies or assessing practices, whether by legislative, governmental or judicial action or decision, nor does it take into account or anticipate any other federal or any provincial, territorial or foreign tax considerations, which may differ significantly from those discussed herein.</w:t>
      </w:r>
    </w:p>
    <w:p>
      <w:pPr>
        <w:spacing w:after="0" w:line="165"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 xml:space="preserve">This summary is not applicable to a Non-Resident Holder who makes or has made a “functional currency” reporting election; or that has entered or enters into a “derivative forward agreement” with respect to the common shares (each as defined in the Tax Act). </w:t>
      </w:r>
      <w:r>
        <w:rPr>
          <w:rFonts w:ascii="Arial" w:cs="Arial" w:eastAsia="Arial" w:hAnsi="Arial"/>
          <w:sz w:val="16"/>
          <w:szCs w:val="16"/>
          <w:b w:val="1"/>
          <w:bCs w:val="1"/>
          <w:color w:val="auto"/>
        </w:rPr>
        <w:t>Any such Non-Resident Holder should</w:t>
      </w:r>
      <w:r>
        <w:rPr>
          <w:rFonts w:ascii="Arial" w:cs="Arial" w:eastAsia="Arial" w:hAnsi="Arial"/>
          <w:sz w:val="16"/>
          <w:szCs w:val="16"/>
          <w:color w:val="auto"/>
        </w:rPr>
        <w:t xml:space="preserve"> </w:t>
      </w:r>
      <w:r>
        <w:rPr>
          <w:rFonts w:ascii="Arial" w:cs="Arial" w:eastAsia="Arial" w:hAnsi="Arial"/>
          <w:sz w:val="16"/>
          <w:szCs w:val="16"/>
          <w:b w:val="1"/>
          <w:bCs w:val="1"/>
          <w:color w:val="auto"/>
        </w:rPr>
        <w:t>consult its own tax advisor with respect to an investment in the common shares. This summary is of a general nature only and is not intended to be, nor should it be construed to be, legal or tax advice to any prospective purchaser or holder of the common shares, and no representations with respect to the income tax consequences to any prospective purchaser or holder are made. Consequently, prospective purchasers or holders of the common shares should consult their own tax advisors with respect to their particular circumstances.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Currency Conversion</w:t>
      </w:r>
    </w:p>
    <w:p>
      <w:pPr>
        <w:spacing w:after="0" w:line="117"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Generally, for purposes of the Tax Act, all amounts relating to the acquisition, holding or disposition of the common shares must be converted into Canadian dollars based on the exchange rates as determined in accordance with the Tax Act. The amounts subject to withholding tax and any capital gains or capital losses realized by a Non-Resident Holder may be affected by fluctuations in the Canadian-U.S. dollar exchange rate.</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Dispositions</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A Non-Resident Holder will not be subject to tax under the Tax Act on a disposition of a common share, unless the common share constitutes “taxable Canadian property” (as defined in the Tax Act) of the Non-Resident Holder at the time of disposition and the Non-Resident Holder is not entitled to relief under an applicable income tax treaty or convention.</w:t>
      </w:r>
    </w:p>
    <w:p>
      <w:pPr>
        <w:spacing w:after="0" w:line="184"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Provided the common shares are listed on a “designated stock exchange,” as defined in the Tax Act (which currently includes the Nasdaq Stock Market) at the time of disposition, the common shares will generally not constitute taxable Canadian property of a Non-Resident Holder at that time, unless at any time during the 60-month period immediately preceding the disposition the following two conditions are satisfied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459" w:right="3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concurrently: (i) (a) the Non-Resident Holder; (b) persons with whom the Non-Resident Holder did not deal at arm’s length; (c) partnerships in which the Non-Resident Holder or a person described in (b) holds a membership interest directly or indirectly through one or more partnerships; or (d) any combination of the persons and partnerships described in (a) through (c), owned 25% or more of the issued shares of any class or series of the shares of the Company; and (ii) more than 50% of the fair market value of the shares of the Company was derived directly or indirectly from one or any combination of: real or immovable property situated in Canada, “Canadian resource properties”, “timber resource properties” (each as defined in the Tax Act), and options in respect of, or interests in or for civil law rights in, any such property whether or not the property exists. Notwithstanding the foregoing, in certain circumstances set out in the Tax Act, the common shares could be deemed to be taxable Canadian property. Even if the common shares are taxable Canadian property to a Non-Resident Holder, such Non-Resident Holder may be exempt from tax under the Tax Act on the disposition of such common shares by virtue of an applicable income tax treaty or convention, such as the Canada-U.S. Tax Treaty. </w:t>
      </w:r>
      <w:r>
        <w:rPr>
          <w:rFonts w:ascii="Arial" w:cs="Arial" w:eastAsia="Arial" w:hAnsi="Arial"/>
          <w:sz w:val="16"/>
          <w:szCs w:val="16"/>
          <w:b w:val="1"/>
          <w:bCs w:val="1"/>
          <w:color w:val="auto"/>
        </w:rPr>
        <w:t>A Non-Resident Holder contemplating a</w:t>
      </w:r>
      <w:r>
        <w:rPr>
          <w:rFonts w:ascii="Arial" w:cs="Arial" w:eastAsia="Arial" w:hAnsi="Arial"/>
          <w:sz w:val="16"/>
          <w:szCs w:val="16"/>
          <w:color w:val="auto"/>
        </w:rPr>
        <w:t xml:space="preserve"> </w:t>
      </w:r>
      <w:r>
        <w:rPr>
          <w:rFonts w:ascii="Arial" w:cs="Arial" w:eastAsia="Arial" w:hAnsi="Arial"/>
          <w:sz w:val="16"/>
          <w:szCs w:val="16"/>
          <w:b w:val="1"/>
          <w:bCs w:val="1"/>
          <w:color w:val="auto"/>
        </w:rPr>
        <w:t>disposition of common shares that may constitute taxable Canadian property should consult a tax advisor prior to such disposition.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Dividends paid or credited on the common shares or deemed to be paid or credited on the common shares to a Non-Resident Holder will be subject to Canadian withholding tax under the Tax Act at the rate of 25%, although such rate may be reduced under the provisions of an applicable income tax convention between Canada and the Non-Resident Holder’s country of residence. For example, under the Canada-U.S. Tax Treaty, the rate of Canadian withholding tax applicable to a dividend paid on a common share to a Non-Resident Holder that is a resident of the United States for purposes of the Canada-U.S. Tax Treaty, beneficially owns the dividend and is fully entitled to the benefits of the Canada-U.S. Tax Treaty is generally reduced to 15%.</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459" w:right="3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40" w:firstLine="449"/>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Goldman Sachs &amp; Co. LLC, Cowen and Company, LLC and Piper Sandler &amp; Co. are acting as representatives, have severally agreed to purchase, and we have agreed to sell to them, severally, the number of shares indicated below:</w:t>
      </w:r>
    </w:p>
    <w:p>
      <w:pPr>
        <w:spacing w:after="0" w:line="171" w:lineRule="exact"/>
        <w:rPr>
          <w:sz w:val="20"/>
          <w:szCs w:val="20"/>
          <w:color w:val="auto"/>
        </w:rPr>
      </w:pPr>
    </w:p>
    <w:tbl>
      <w:tblPr>
        <w:tblLayout w:type="fixed"/>
        <w:tblInd w:w="4900" w:type="dxa"/>
        <w:tblCellMar>
          <w:top w:w="0" w:type="dxa"/>
          <w:left w:w="0" w:type="dxa"/>
          <w:bottom w:w="0" w:type="dxa"/>
          <w:right w:w="0" w:type="dxa"/>
        </w:tblCellMar>
      </w:tblPr>
      <w:tr>
        <w:trPr>
          <w:trHeight w:val="161"/>
        </w:trPr>
        <w:tc>
          <w:tcPr>
            <w:tcW w:w="22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2540" w:type="dxa"/>
            <w:vAlign w:val="bottom"/>
          </w:tcPr>
          <w:p>
            <w:pPr>
              <w:jc w:val="center"/>
              <w:ind w:left="180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6"/>
        </w:trPr>
        <w:tc>
          <w:tcPr>
            <w:tcW w:w="2220" w:type="dxa"/>
            <w:vAlign w:val="bottom"/>
            <w:vMerge w:val="continue"/>
          </w:tcPr>
          <w:p>
            <w:pPr>
              <w:spacing w:after="0"/>
              <w:rPr>
                <w:sz w:val="16"/>
                <w:szCs w:val="16"/>
                <w:color w:val="auto"/>
              </w:rPr>
            </w:pPr>
          </w:p>
        </w:tc>
        <w:tc>
          <w:tcPr>
            <w:tcW w:w="2540" w:type="dxa"/>
            <w:vAlign w:val="bottom"/>
          </w:tcPr>
          <w:p>
            <w:pPr>
              <w:jc w:val="center"/>
              <w:ind w:left="1808"/>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wp:posOffset>
            </wp:positionV>
            <wp:extent cx="5349240" cy="146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349240" cy="1460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371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5715</wp:posOffset>
            </wp:positionV>
            <wp:extent cx="55753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-121920</wp:posOffset>
            </wp:positionV>
            <wp:extent cx="5349240" cy="162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349240" cy="162560"/>
                    </a:xfrm>
                    <a:prstGeom prst="rect">
                      <a:avLst/>
                    </a:prstGeom>
                    <a:noFill/>
                  </pic:spPr>
                </pic:pic>
              </a:graphicData>
            </a:graphic>
          </wp:anchor>
        </w:drawing>
      </w:r>
    </w:p>
    <w:p>
      <w:pPr>
        <w:spacing w:after="0" w:line="25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common shares subject to their receipt and acceptance of the shares from us and subject to prior sale. The offering of the shares by the underwriters is also subject to the underwriters’ right to reject any order in whole or in part. The underwriting agreement provides that the obligations of the several underwriters to pay for and accept delivery of the common shares offered by this prospectus are subject to the approval of certain legal matters by their counsel and to certain other conditions. The underwriters are obligated to take and pay for all of the common shares offered by this prospectus if any such shares are taken. However, the underwriters are not required to take or pay for the shares covered by the underwriters’ option to purchase additional shares described below.</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underwriters initially propose to offer part of the common shares directly to the public at the offering price listed on the cover page of this</w:t>
      </w:r>
    </w:p>
    <w:p>
      <w:pPr>
        <w:spacing w:after="0" w:line="35"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prospectus and part to certain dealers at a price that represents a concession not in excess of $ per share under the public offering price. After the initial offering of the common shares, the offering price and other selling terms may from time to time be varied by the representatives.</w:t>
      </w:r>
    </w:p>
    <w:p>
      <w:pPr>
        <w:spacing w:after="0" w:line="16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additional common shares at the public offering price listed on the cover page of this prospectus, less underwriting commissions. To the extent the option is exercised, each underwriter will become obligated, subject to certain conditions, to purchase about the same percentage of the additional common shares as the number listed next to the underwriter’s name in the preceding table bears to the total number of common shares listed next to the names of all underwriters in the preceding table.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the per share and total public offering price, underwriting commissions, and proceeds before expenses to us. These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60" w:type="dxa"/>
            <w:vAlign w:val="bottom"/>
            <w:gridSpan w:val="7"/>
          </w:tcPr>
          <w:p>
            <w:pPr>
              <w:spacing w:after="0"/>
              <w:rPr>
                <w:sz w:val="20"/>
                <w:szCs w:val="20"/>
                <w:color w:val="auto"/>
              </w:rPr>
            </w:pPr>
            <w:r>
              <w:rPr>
                <w:rFonts w:ascii="Arial" w:cs="Arial" w:eastAsia="Arial" w:hAnsi="Arial"/>
                <w:sz w:val="18"/>
                <w:szCs w:val="18"/>
                <w:color w:val="auto"/>
                <w:w w:val="91"/>
              </w:rPr>
              <w:t>amounts are shown assuming both no exercise and full exercise of the underwriters’ option to purchase up to an additional</w:t>
            </w:r>
          </w:p>
        </w:tc>
        <w:tc>
          <w:tcPr>
            <w:tcW w:w="140" w:type="dxa"/>
            <w:vAlign w:val="bottom"/>
          </w:tcPr>
          <w:p>
            <w:pPr>
              <w:spacing w:after="0"/>
              <w:rPr>
                <w:sz w:val="20"/>
                <w:szCs w:val="20"/>
                <w:color w:val="auto"/>
              </w:rPr>
            </w:pPr>
          </w:p>
        </w:tc>
        <w:tc>
          <w:tcPr>
            <w:tcW w:w="1700" w:type="dxa"/>
            <w:vAlign w:val="bottom"/>
            <w:gridSpan w:val="2"/>
          </w:tcPr>
          <w:p>
            <w:pPr>
              <w:ind w:left="520"/>
              <w:spacing w:after="0"/>
              <w:rPr>
                <w:sz w:val="20"/>
                <w:szCs w:val="20"/>
                <w:color w:val="auto"/>
              </w:rPr>
            </w:pPr>
            <w:r>
              <w:rPr>
                <w:rFonts w:ascii="Arial" w:cs="Arial" w:eastAsia="Arial" w:hAnsi="Arial"/>
                <w:sz w:val="18"/>
                <w:szCs w:val="18"/>
                <w:color w:val="auto"/>
                <w:w w:val="87"/>
              </w:rPr>
              <w:t>common shares.</w:t>
            </w:r>
          </w:p>
        </w:tc>
        <w:tc>
          <w:tcPr>
            <w:tcW w:w="0" w:type="dxa"/>
            <w:vAlign w:val="bottom"/>
          </w:tcPr>
          <w:p>
            <w:pPr>
              <w:spacing w:after="0"/>
              <w:rPr>
                <w:sz w:val="1"/>
                <w:szCs w:val="1"/>
                <w:color w:val="auto"/>
              </w:rPr>
            </w:pPr>
          </w:p>
        </w:tc>
      </w:tr>
      <w:tr>
        <w:trPr>
          <w:trHeight w:val="377"/>
        </w:trPr>
        <w:tc>
          <w:tcPr>
            <w:tcW w:w="14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Per</w:t>
            </w:r>
          </w:p>
        </w:tc>
        <w:tc>
          <w:tcPr>
            <w:tcW w:w="2700" w:type="dxa"/>
            <w:vAlign w:val="bottom"/>
            <w:gridSpan w:val="5"/>
          </w:tcPr>
          <w:p>
            <w:pPr>
              <w:ind w:left="6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14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6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No</w:t>
            </w: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Share</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4"/>
                <w:szCs w:val="14"/>
                <w:color w:val="auto"/>
              </w:rPr>
            </w:pPr>
          </w:p>
        </w:tc>
        <w:tc>
          <w:tcPr>
            <w:tcW w:w="170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Underwriting commissions:</w:t>
            </w:r>
          </w:p>
        </w:tc>
        <w:tc>
          <w:tcPr>
            <w:tcW w:w="230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ind w:right="52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880" w:type="dxa"/>
            <w:vAlign w:val="bottom"/>
            <w:gridSpan w:val="2"/>
          </w:tcPr>
          <w:p>
            <w:pPr>
              <w:jc w:val="right"/>
              <w:ind w:right="585"/>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3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40" w:firstLine="449"/>
        <w:spacing w:after="0" w:line="308" w:lineRule="auto"/>
        <w:rPr>
          <w:sz w:val="20"/>
          <w:szCs w:val="20"/>
          <w:color w:val="auto"/>
        </w:rPr>
      </w:pPr>
      <w:r>
        <w:rPr>
          <w:rFonts w:ascii="Arial" w:cs="Arial" w:eastAsia="Arial" w:hAnsi="Arial"/>
          <w:sz w:val="17"/>
          <w:szCs w:val="17"/>
          <w:color w:val="auto"/>
        </w:rPr>
        <w:t>The estimated offering expenses payable by us, exclusive of the underwriting commissions, are approximately $ . We have agreed to reimburse the underwriters for expense relating to clearance of this offering with the Financial Industry Regulatory Authority up to $ .</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40"/>
          </w:cols>
          <w:pgMar w:left="320" w:top="459" w:right="3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common shares offered by them.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shares on the Nasdaq Global Market under the trading symbol “RPTX.”</w:t>
      </w:r>
    </w:p>
    <w:p>
      <w:pPr>
        <w:spacing w:after="0" w:line="225"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all of our directors and officers, and the holders of substantially all of our common shares and securities convertible into or exchangeable for our common shares have entered into lock-up agreements with the underwriters and/or are subject to market standoff agreements or other agreements with us under which they agreed, subject to specific exceptions, that without the prior written consent of Morgan Stanley &amp; Co. LLC, Goldman Sachs &amp; Co. LLC and Cowen and Company, LLC on behalf of the underwriters, we and they will not, during the period ending at least 180 days, or the restricted period, after the date of this prospectus:</w:t>
      </w:r>
    </w:p>
    <w:p>
      <w:pPr>
        <w:spacing w:after="0" w:line="93" w:lineRule="exact"/>
        <w:rPr>
          <w:sz w:val="20"/>
          <w:szCs w:val="20"/>
          <w:color w:val="auto"/>
        </w:rPr>
      </w:pPr>
    </w:p>
    <w:p>
      <w:pPr>
        <w:jc w:val="both"/>
        <w:ind w:left="1000" w:right="240" w:hanging="547"/>
        <w:spacing w:after="0" w:line="263" w:lineRule="auto"/>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common shares or any other securities convertible into or exercisable or exchangeable for common shares;</w:t>
      </w:r>
    </w:p>
    <w:p>
      <w:pPr>
        <w:spacing w:after="0" w:line="89"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common shares or any securities convertible into or exercisable or exchangeable for common shares; or</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shares,</w:t>
      </w:r>
    </w:p>
    <w:p>
      <w:pPr>
        <w:spacing w:after="0" w:line="170"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whether any such transaction described above is to be settled by delivery of common shares or such other securities, in cash or otherwise. In addition, we and each such person agrees that, without the prior written consent of Morgan Stanley &amp; Co. LLC, Goldman Sachs &amp; Co. LLC and Cowen and Company, LLC on behalf of the underwriters, we or such other person will not, during the restricted period, make any demand for, or exercise any right with respect to, the registration of any common shares or any security convertible into or exercisable or exchangeable for common shares.</w:t>
      </w:r>
    </w:p>
    <w:p>
      <w:pPr>
        <w:spacing w:after="0" w:line="15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Morgan Stanley &amp; Co. LLC, Goldman Sachs &amp; Co. LLC and Cowen and Company, LLC, in their joint discretion, may release the common shares and other securities subject to the lock-up agreements described above in whole or in part at any time.</w:t>
      </w:r>
    </w:p>
    <w:p>
      <w:pPr>
        <w:spacing w:after="0" w:line="170"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In order to facilitate the offering of the common shares, the underwriters may engage in transactions that stabilize, maintain or otherwise affect the price of the common shares.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their option to purchase additional shares. The underwriters can close out a covered short sale by exercising their option to purchase additional shares or purchasing shares in the open market. In determining the source of shares to close out a covered short sale, the underwriters will consider, among other things, the open market price of shares compared to the price available under their option to purchase additional shares. The underwriters may also sell shares in excess of their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shares in the open market after pricing that could adversely affect investors who purchase in this offering. As an additional means of facilitating this offering, the underwriters may bid for, and purchase, common shares in the open market to stabilize the price of the common shares. These activities may raise or maintain the market price of the common shares above independent market levels or prevent or retard a decline in the market price of the common shares. The underwriters are not required to engage in these activities and may end any of these activities at any time.</w:t>
      </w:r>
    </w:p>
    <w:p>
      <w:pPr>
        <w:spacing w:after="0" w:line="186"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commission received by it because the representatives have repurchased shares sold by or for the account of such underwriter in stabilizing or short covering transactions.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20"/>
          </w:cols>
          <w:pgMar w:left="320" w:top="459" w:right="3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common shares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240" w:firstLine="449"/>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8"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Certain affiliates of Cowen and Company, LLC purchased 11,538,462 of our Series B convertible preferred shares in our September 2019 Series B preferred share financing. Those Series B preferred shares will convert into 11,538,462 common shares immediately prior to and in connection with the completion of this offering.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Prior to this offering, there has been no public market for our common shares.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Regulation, or each, a Relevant Member State, an offer to the public of any of our common shares may not be made in that Relevant Member State, except that an offer to the public in that Relevant Member State of any of our common shares may be made at any time under the following exemptions under the Prospectus Regulation, if they have been implemented in that Relevant Member State:</w:t>
      </w:r>
    </w:p>
    <w:p>
      <w:pPr>
        <w:spacing w:after="0" w:line="92" w:lineRule="exact"/>
        <w:rPr>
          <w:sz w:val="20"/>
          <w:szCs w:val="20"/>
          <w:color w:val="auto"/>
        </w:rPr>
      </w:pPr>
    </w:p>
    <w:p>
      <w:pPr>
        <w:ind w:left="1120" w:hanging="667"/>
        <w:spacing w:after="0"/>
        <w:tabs>
          <w:tab w:leader="none" w:pos="11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120" w:right="160" w:hanging="667"/>
        <w:spacing w:after="0" w:line="277" w:lineRule="auto"/>
        <w:tabs>
          <w:tab w:leader="none" w:pos="11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120" w:hanging="667"/>
        <w:spacing w:after="0"/>
        <w:tabs>
          <w:tab w:leader="none" w:pos="11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00"/>
          </w:cols>
          <w:pgMar w:left="320" w:top="459" w:right="3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provided that no such offer of our common shares shall result in a requirement for the publication by us or any underwriter of a prospectus pursuant to Article 3 of the Prospectus Regulation.</w:t>
      </w:r>
    </w:p>
    <w:p>
      <w:pPr>
        <w:spacing w:after="0" w:line="170"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any of our common shares in any Relevant Member State means the communication in any form and by any means of sufficient information on the terms of the offer and any of our common shares to be offered so as to enable an investor to decide to purchase any of our common shares, and the expression “Prospectus Regulation” means Regulation (EU) 2017/1129.</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00" w:hanging="422"/>
        <w:spacing w:after="0" w:line="259"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our common shares in circumstances in which Section 21(1) of the FSMA does not apply to us; and</w:t>
      </w:r>
    </w:p>
    <w:p>
      <w:pPr>
        <w:spacing w:after="0" w:line="92" w:lineRule="exact"/>
        <w:rPr>
          <w:rFonts w:ascii="Arial" w:cs="Arial" w:eastAsia="Arial" w:hAnsi="Arial"/>
          <w:sz w:val="18"/>
          <w:szCs w:val="18"/>
          <w:color w:val="auto"/>
        </w:rPr>
      </w:pPr>
    </w:p>
    <w:p>
      <w:pPr>
        <w:ind w:left="1000" w:right="520" w:hanging="432"/>
        <w:spacing w:after="0" w:line="277"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of our common shares in, from or otherwise involving the United Kingdom.</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sale or resale of the shares must be made in accordance with an exemption from, or in a transaction not subject to, the prospectus requirements of applicable securities laws.</w:t>
      </w:r>
    </w:p>
    <w:p>
      <w:pPr>
        <w:spacing w:after="0" w:line="171"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shares which are or are intended to be disposed of only to persons outside Hong Kong or only to “professional investors” as defined in the Securities and Futures Ordinance and any rules made under that Ordinance.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40"/>
          </w:cols>
          <w:pgMar w:left="320" w:top="459" w:right="3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our shares.</w:t>
      </w:r>
    </w:p>
    <w:p>
      <w:pPr>
        <w:spacing w:after="0" w:line="170"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Accordingly, our shares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Qualified Institutional Investors, or QII</w:t>
      </w:r>
    </w:p>
    <w:p>
      <w:pPr>
        <w:spacing w:after="0" w:line="117"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our shares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our shares. Our shares may only be transferred to QIIs.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our shares constitutes either a “small number private placement” or a “small number private secondary distribution” (each as is described in Paragraph 4, Article 23-13 of the FIEL).</w:t>
      </w:r>
    </w:p>
    <w:p>
      <w:pPr>
        <w:spacing w:after="0" w:line="184"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Disclosure regarding any such solicitation, as is otherwise prescribed in Paragraph 1, Article 4 of the FIEL, has not been made in relation to our shares. Our shares may only be transferred en bloc without subdivision to a single investor.</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right="160" w:firstLine="449"/>
        <w:spacing w:after="0" w:line="293"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20"/>
          </w:cols>
          <w:pgMar w:left="320" w:top="459" w:right="3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transfer is by operation of law, (5) as specified in Section 276(7) of the SFA, or (6) as specified in Regulation 32 of the Securities and Futures (Offers of Investments) (Shares and Debentures) Regulations 2005 of Singapore, or Regulation 32.</w:t>
      </w:r>
    </w:p>
    <w:p>
      <w:pPr>
        <w:spacing w:after="0" w:line="170" w:lineRule="exact"/>
        <w:rPr>
          <w:sz w:val="20"/>
          <w:szCs w:val="20"/>
          <w:color w:val="auto"/>
        </w:rPr>
      </w:pPr>
    </w:p>
    <w:p>
      <w:pPr>
        <w:ind w:right="220" w:firstLine="449"/>
        <w:spacing w:after="0" w:line="286"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and entities with shareholders’ equity in excess of NIS 50 million, each as defined in the Addendum (as it may be amended from time to time, collectively referred to as institutional investors). Institutional investors may be required to submit written confirmation that they fall within the scope of the Addendum. In addition, we may distribute and direct this prospectus in Israel, at our sole discretion, to certain other exempt investors or to investors who do not qualify as institutional or exempt investors, provided that the number of such non-qualified investors in Israel shall be no greater than 35 in any 12-month period.</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Certain legal matters in connection with this offering relating to U.S. law will be passed upon for us by Cooley LLP, Boston, Massachusetts. The validity of the issuance of our common shares offered in this prospectus and certain other matters of Canadian law will be passed upon for us by Stikeman Elliott LLP, Montréal, Québec, Canada. Certain legal matters in connection with this offering will be passed upon for the underwriters by Goodwin Procter LLP, Boston, Massachusetts, with respect to U.S. law.</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consolidated financial statements of Repare Therapeutics Inc. at December 31, 2018 and 2019 and for each of the three years in the period ended December 31, 2019, appearing in this prospectus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2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We are incorporated under the laws of Canada and, immediately prior to the completion of the offering, will be continued under the laws of Québec. Substantially all of our assets are located outside the United States. In addition, several of our directors and officers are nationals and/or residents of countries other than the United States, and all or a substantial portion of such persons’ assets may be located outside the United States. As a result, it may be difficult for investors to effect service of process within the United States upon us or such persons or to enforce against them or against us, judgments obtained in United States courts, including judgments predicated upon the civil liability provisions of the securities laws of the United States or any state thereof. In addition, investors should not assume that the courts of Canada (i) would enforce judgments of U.S. courts obtained in actions against us, our officers or directors, or other said persons, predicated upon the civil liability provisions of the U.S. federal securities laws or other laws of the United States or (ii) would enforce, in original actions, liabilities against us or such directors, officers or experts predicated upon the United States federal securities laws or any securities or other laws of any state or jurisdiction of the United States.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there is doubt as to the applicability of the civil liability provisions of U.S. federal securities law to original actions instituted in Canada.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 may be difficult for an investor, or any other person or entity, to assert U.S. securities laws claims in original actions instituted in Canada.</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We have filed with the SEC a registration statement on Form S-1, including exhibits and schedules, under the Securities Act, with respect to the common shares being offered by this prospectus. This prospectus, which constitutes part of the registration statement, does not contain all of the information in the registration statement and its exhibits. For further information with respect to us and the common shares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8" w:lineRule="exact"/>
        <w:rPr>
          <w:sz w:val="20"/>
          <w:szCs w:val="20"/>
          <w:color w:val="auto"/>
        </w:rPr>
      </w:pPr>
    </w:p>
    <w:p>
      <w:pPr>
        <w:ind w:right="120" w:firstLine="449"/>
        <w:spacing w:after="0" w:line="311" w:lineRule="auto"/>
        <w:rPr>
          <w:sz w:val="20"/>
          <w:szCs w:val="20"/>
          <w:color w:val="auto"/>
        </w:rPr>
      </w:pPr>
      <w:r>
        <w:rPr>
          <w:rFonts w:ascii="Arial" w:cs="Arial" w:eastAsia="Arial" w:hAnsi="Arial"/>
          <w:sz w:val="16"/>
          <w:szCs w:val="16"/>
          <w:color w:val="auto"/>
        </w:rPr>
        <w:t>You may read our SEC filings, including this registration statement, over the Internet at the SEC’s website at www.sec.gov. Upon the completion of this offering, we will be subject to the information reporting requirements of the Exchange Act and we will file reports, proxy statements and other information with the SEC. These reports, proxy statements and other information will be available on the website of the SEC referred to</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00"/>
          </w:cols>
          <w:pgMar w:left="320" w:top="459" w:right="3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above. We also maintain a website at </w:t>
      </w:r>
      <w:r>
        <w:rPr>
          <w:rFonts w:ascii="Arial" w:cs="Arial" w:eastAsia="Arial" w:hAnsi="Arial"/>
          <w:sz w:val="17"/>
          <w:szCs w:val="17"/>
          <w:i w:val="1"/>
          <w:iCs w:val="1"/>
          <w:color w:val="auto"/>
        </w:rPr>
        <w:t>www.reparerx.com</w:t>
      </w:r>
      <w:r>
        <w:rPr>
          <w:rFonts w:ascii="Arial" w:cs="Arial" w:eastAsia="Arial" w:hAnsi="Arial"/>
          <w:sz w:val="17"/>
          <w:szCs w:val="17"/>
          <w:color w:val="auto"/>
        </w:rPr>
        <w:t>,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80"/>
          </w:cols>
          <w:pgMar w:left="320" w:top="459" w:right="3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Audited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780" w:type="dxa"/>
            <w:vAlign w:val="bottom"/>
            <w:gridSpan w:val="6"/>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780" w:type="dxa"/>
            <w:vAlign w:val="bottom"/>
            <w:gridSpan w:val="6"/>
          </w:tcPr>
          <w:p>
            <w:pPr>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Consolidated Balance Sheets as of December 31, 2018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Consolidated Statements of Operations and Comprehensive Loss for the three years ended December 31, 2017, 2018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w w:val="92"/>
              </w:rPr>
            </w:pPr>
            <w:hyperlink w:anchor="page224">
              <w:r>
                <w:rPr>
                  <w:rFonts w:ascii="Arial" w:cs="Arial" w:eastAsia="Arial" w:hAnsi="Arial"/>
                  <w:sz w:val="18"/>
                  <w:szCs w:val="18"/>
                  <w:u w:val="single" w:color="auto"/>
                  <w:color w:val="0000EE"/>
                  <w:w w:val="92"/>
                </w:rPr>
                <w:t>Consolidated Statements of Convertible Preferred Shares and Shareholders’ Deficit for the three years ended December 31, 2017, 2018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Consolidated Statements of Cash Flows for the three years ended December 31, 2017, 2018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30"/>
        </w:trPr>
        <w:tc>
          <w:tcPr>
            <w:tcW w:w="10780" w:type="dxa"/>
            <w:vAlign w:val="bottom"/>
            <w:gridSpan w:val="6"/>
          </w:tcPr>
          <w:p>
            <w:pPr>
              <w:spacing w:after="0"/>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Notes to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64"/>
        </w:trPr>
        <w:tc>
          <w:tcPr>
            <w:tcW w:w="312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1"/>
              </w:rPr>
              <w:t>Unaudited Interim Financial Statements</w:t>
            </w:r>
          </w:p>
        </w:tc>
        <w:tc>
          <w:tcPr>
            <w:tcW w:w="7660" w:type="dxa"/>
            <w:vAlign w:val="bottom"/>
            <w:gridSpan w:val="2"/>
            <w:vMerge w:val="restart"/>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3120" w:type="dxa"/>
            <w:vAlign w:val="bottom"/>
            <w:tcBorders>
              <w:bottom w:val="single" w:sz="8" w:color="auto"/>
            </w:tcBorders>
            <w:gridSpan w:val="4"/>
            <w:vMerge w:val="continue"/>
          </w:tcPr>
          <w:p>
            <w:pPr>
              <w:spacing w:after="0"/>
              <w:rPr>
                <w:sz w:val="13"/>
                <w:szCs w:val="13"/>
                <w:color w:val="auto"/>
              </w:rPr>
            </w:pPr>
          </w:p>
        </w:tc>
        <w:tc>
          <w:tcPr>
            <w:tcW w:w="766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0780" w:type="dxa"/>
            <w:vAlign w:val="bottom"/>
            <w:gridSpan w:val="6"/>
          </w:tcPr>
          <w:p>
            <w:pPr>
              <w:spacing w:after="0"/>
              <w:rPr>
                <w:rFonts w:ascii="Arial" w:cs="Arial" w:eastAsia="Arial" w:hAnsi="Arial"/>
                <w:sz w:val="18"/>
                <w:szCs w:val="18"/>
                <w:u w:val="single" w:color="auto"/>
                <w:color w:val="0000EE"/>
              </w:rPr>
            </w:pPr>
            <w:hyperlink w:anchor="page255">
              <w:r>
                <w:rPr>
                  <w:rFonts w:ascii="Arial" w:cs="Arial" w:eastAsia="Arial" w:hAnsi="Arial"/>
                  <w:sz w:val="18"/>
                  <w:szCs w:val="18"/>
                  <w:u w:val="single" w:color="auto"/>
                  <w:color w:val="0000EE"/>
                </w:rPr>
                <w:t>Condensed Consolidated Balance Sheets as of December 31, 2019 and March 31, 2020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F-36</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w w:val="97"/>
              </w:rPr>
            </w:pPr>
            <w:hyperlink w:anchor="page256">
              <w:r>
                <w:rPr>
                  <w:rFonts w:ascii="Arial" w:cs="Arial" w:eastAsia="Arial" w:hAnsi="Arial"/>
                  <w:sz w:val="18"/>
                  <w:szCs w:val="18"/>
                  <w:u w:val="single" w:color="auto"/>
                  <w:color w:val="0000EE"/>
                  <w:w w:val="97"/>
                </w:rPr>
                <w:t>Condensed Consolidated Statements of Operations and Comprehensive Loss for the three-month periods ended March 31, 2019 and 2020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190"/>
        </w:trPr>
        <w:tc>
          <w:tcPr>
            <w:tcW w:w="10780" w:type="dxa"/>
            <w:vAlign w:val="bottom"/>
            <w:gridSpan w:val="6"/>
          </w:tcPr>
          <w:p>
            <w:pPr>
              <w:spacing w:after="0" w:line="190" w:lineRule="exact"/>
              <w:rPr>
                <w:rFonts w:ascii="Arial" w:cs="Arial" w:eastAsia="Arial" w:hAnsi="Arial"/>
                <w:sz w:val="18"/>
                <w:szCs w:val="18"/>
                <w:color w:val="0000EE"/>
                <w:w w:val="91"/>
              </w:rPr>
            </w:pPr>
            <w:hyperlink w:anchor="page257">
              <w:r>
                <w:rPr>
                  <w:rFonts w:ascii="Arial" w:cs="Arial" w:eastAsia="Arial" w:hAnsi="Arial"/>
                  <w:sz w:val="18"/>
                  <w:szCs w:val="18"/>
                  <w:color w:val="0000EE"/>
                  <w:w w:val="91"/>
                </w:rPr>
                <w:t>Condensed Consolidated Statements of Convertible Preferred Shares and Shareholders’ Deficit for the three-month periods ended March 31, 2019</w:t>
              </w:r>
            </w:hyperlink>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257">
              <w:r>
                <w:rPr>
                  <w:rFonts w:ascii="Arial" w:cs="Arial" w:eastAsia="Arial" w:hAnsi="Arial"/>
                  <w:sz w:val="18"/>
                  <w:szCs w:val="18"/>
                  <w:color w:val="0000EE"/>
                  <w:w w:val="87"/>
                </w:rPr>
                <w:t>and 2020</w:t>
              </w:r>
            </w:hyperlink>
          </w:p>
        </w:tc>
        <w:tc>
          <w:tcPr>
            <w:tcW w:w="9660" w:type="dxa"/>
            <w:vAlign w:val="bottom"/>
            <w:tcBorders>
              <w:top w:val="single" w:sz="8" w:color="0000EE"/>
            </w:tcBorders>
            <w:gridSpan w:val="3"/>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222"/>
        </w:trPr>
        <w:tc>
          <w:tcPr>
            <w:tcW w:w="10780" w:type="dxa"/>
            <w:vAlign w:val="bottom"/>
            <w:gridSpan w:val="6"/>
          </w:tcPr>
          <w:p>
            <w:pPr>
              <w:spacing w:after="0"/>
              <w:rPr>
                <w:rFonts w:ascii="Arial" w:cs="Arial" w:eastAsia="Arial" w:hAnsi="Arial"/>
                <w:sz w:val="18"/>
                <w:szCs w:val="18"/>
                <w:u w:val="single" w:color="auto"/>
                <w:color w:val="0000EE"/>
              </w:rPr>
            </w:pPr>
            <w:hyperlink w:anchor="page258">
              <w:r>
                <w:rPr>
                  <w:rFonts w:ascii="Arial" w:cs="Arial" w:eastAsia="Arial" w:hAnsi="Arial"/>
                  <w:sz w:val="18"/>
                  <w:szCs w:val="18"/>
                  <w:u w:val="single" w:color="auto"/>
                  <w:color w:val="0000EE"/>
                </w:rPr>
                <w:t>Condensed Consolidated Statements of Cash Flows for the three-month periods ended March 31, 2019 and 2020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F-39</w:t>
            </w:r>
          </w:p>
        </w:tc>
        <w:tc>
          <w:tcPr>
            <w:tcW w:w="0" w:type="dxa"/>
            <w:vAlign w:val="bottom"/>
          </w:tcPr>
          <w:p>
            <w:pPr>
              <w:spacing w:after="0"/>
              <w:rPr>
                <w:sz w:val="1"/>
                <w:szCs w:val="1"/>
                <w:color w:val="auto"/>
              </w:rPr>
            </w:pPr>
          </w:p>
        </w:tc>
      </w:tr>
      <w:tr>
        <w:trPr>
          <w:trHeight w:val="230"/>
        </w:trPr>
        <w:tc>
          <w:tcPr>
            <w:tcW w:w="10780" w:type="dxa"/>
            <w:vAlign w:val="bottom"/>
            <w:gridSpan w:val="6"/>
          </w:tcPr>
          <w:p>
            <w:pPr>
              <w:spacing w:after="0"/>
              <w:rPr>
                <w:rFonts w:ascii="Arial" w:cs="Arial" w:eastAsia="Arial" w:hAnsi="Arial"/>
                <w:sz w:val="18"/>
                <w:szCs w:val="18"/>
                <w:u w:val="single" w:color="auto"/>
                <w:color w:val="0000EE"/>
              </w:rPr>
            </w:pPr>
            <w:hyperlink w:anchor="page259">
              <w:r>
                <w:rPr>
                  <w:rFonts w:ascii="Arial" w:cs="Arial" w:eastAsia="Arial" w:hAnsi="Arial"/>
                  <w:sz w:val="18"/>
                  <w:szCs w:val="18"/>
                  <w:u w:val="single" w:color="auto"/>
                  <w:color w:val="0000EE"/>
                </w:rPr>
                <w:t>Notes to Condensed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F-40</w:t>
            </w: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60" w:type="dxa"/>
            <w:vAlign w:val="bottom"/>
            <w:gridSpan w:val="2"/>
          </w:tcPr>
          <w:p>
            <w:pPr>
              <w:ind w:left="238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Repare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Repare Therapeutics Inc. (the “Company”) as of December 31, 2018 and 2019, the related consolidated statements of operations and comprehensive loss, convertible preferred shares and shareholders’ deficit,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2018 and 2019, and the results of its operations and its cash flows for each of the three years in the period ended December 31, 2019 in conformity with U.S. generally accepted accounting principles.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leases in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r>
        <w:rPr>
          <w:rFonts w:ascii="Arial" w:cs="Arial" w:eastAsia="Arial" w:hAnsi="Arial"/>
          <w:sz w:val="15"/>
          <w:szCs w:val="15"/>
          <w:color w:val="auto"/>
        </w:rPr>
        <w:t>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Montréal,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 2020</w:t>
      </w:r>
    </w:p>
    <w:p>
      <w:pPr>
        <w:spacing w:after="0" w:line="200" w:lineRule="exact"/>
        <w:rPr>
          <w:sz w:val="20"/>
          <w:szCs w:val="20"/>
          <w:color w:val="auto"/>
        </w:rPr>
      </w:pPr>
    </w:p>
    <w:p>
      <w:pPr>
        <w:spacing w:after="0" w:line="227" w:lineRule="exact"/>
        <w:rPr>
          <w:sz w:val="20"/>
          <w:szCs w:val="20"/>
          <w:color w:val="auto"/>
        </w:rPr>
      </w:pPr>
    </w:p>
    <w:p>
      <w:pPr>
        <w:ind w:left="120" w:hanging="112"/>
        <w:spacing w:after="0"/>
        <w:tabs>
          <w:tab w:leader="none" w:pos="120" w:val="left"/>
        </w:tabs>
        <w:numPr>
          <w:ilvl w:val="0"/>
          <w:numId w:val="135"/>
        </w:numPr>
        <w:rPr>
          <w:rFonts w:ascii="Arial" w:cs="Arial" w:eastAsia="Arial" w:hAnsi="Arial"/>
          <w:sz w:val="15"/>
          <w:szCs w:val="15"/>
          <w:color w:val="auto"/>
        </w:rPr>
      </w:pPr>
      <w:r>
        <w:rPr>
          <w:rFonts w:ascii="Arial" w:cs="Arial" w:eastAsia="Arial" w:hAnsi="Arial"/>
          <w:sz w:val="18"/>
          <w:szCs w:val="18"/>
          <w:color w:val="auto"/>
        </w:rPr>
        <w:t>CPA auditor, CA, public accountancy permit no. A113209</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320" w:top="459" w:right="3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4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10,731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94,797</w:t>
            </w: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Research and development tax credits receivable</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3"/>
        </w:trPr>
        <w:tc>
          <w:tcPr>
            <w:tcW w:w="94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98,572</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Deferred tax assets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102,695</w:t>
            </w: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SHARES AND SHAREHOLDERS’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1,245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Operating lease liability, current portion</w:t>
            </w: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Tranche obligation</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12,827</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15)</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Series A convertible Preferred Shares, no par value per share; unlimited shares authorized as of December 31, 2018 and 2019;</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41,302,469 shares and 67,228,395 shares issued and outstanding as of December 31, 2018 and 2019, respectively;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liquidation and redemption value of $31,750 and $52,750 as of December 31, 2018 and 2019, respectively</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31,873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53,749</w:t>
            </w:r>
          </w:p>
        </w:tc>
        <w:tc>
          <w:tcPr>
            <w:tcW w:w="0" w:type="dxa"/>
            <w:vAlign w:val="bottom"/>
          </w:tcPr>
          <w:p>
            <w:pPr>
              <w:spacing w:after="0"/>
              <w:rPr>
                <w:sz w:val="1"/>
                <w:szCs w:val="1"/>
                <w:color w:val="auto"/>
              </w:rPr>
            </w:pPr>
          </w:p>
        </w:tc>
      </w:tr>
      <w:tr>
        <w:trPr>
          <w:trHeight w:val="202"/>
        </w:trPr>
        <w:tc>
          <w:tcPr>
            <w:tcW w:w="9440" w:type="dxa"/>
            <w:vAlign w:val="bottom"/>
          </w:tcPr>
          <w:p>
            <w:pPr>
              <w:spacing w:after="0" w:line="201" w:lineRule="exact"/>
              <w:rPr>
                <w:sz w:val="20"/>
                <w:szCs w:val="20"/>
                <w:color w:val="auto"/>
              </w:rPr>
            </w:pPr>
            <w:r>
              <w:rPr>
                <w:rFonts w:ascii="Arial" w:cs="Arial" w:eastAsia="Arial" w:hAnsi="Arial"/>
                <w:sz w:val="18"/>
                <w:szCs w:val="18"/>
                <w:color w:val="auto"/>
                <w:w w:val="94"/>
              </w:rPr>
              <w:t>Series B convertible Preferred Shares, no par value per share; 0 shares and unlimited shares authorized as of December 31,</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180"/>
              <w:spacing w:after="0"/>
              <w:rPr>
                <w:sz w:val="20"/>
                <w:szCs w:val="20"/>
                <w:color w:val="auto"/>
              </w:rPr>
            </w:pPr>
            <w:r>
              <w:rPr>
                <w:rFonts w:ascii="Arial" w:cs="Arial" w:eastAsia="Arial" w:hAnsi="Arial"/>
                <w:sz w:val="18"/>
                <w:szCs w:val="18"/>
                <w:color w:val="auto"/>
                <w:w w:val="94"/>
              </w:rPr>
              <w:t>2018 and 2019, respectively; 0 shares and 63,458,580 shares issued and outstanding as of December 31, 2018 and 2019,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40" w:type="dxa"/>
            <w:vAlign w:val="bottom"/>
          </w:tcPr>
          <w:p>
            <w:pPr>
              <w:ind w:left="180"/>
              <w:spacing w:after="0"/>
              <w:rPr>
                <w:sz w:val="20"/>
                <w:szCs w:val="20"/>
                <w:color w:val="auto"/>
              </w:rPr>
            </w:pPr>
            <w:r>
              <w:rPr>
                <w:rFonts w:ascii="Arial" w:cs="Arial" w:eastAsia="Arial" w:hAnsi="Arial"/>
                <w:sz w:val="18"/>
                <w:szCs w:val="18"/>
                <w:color w:val="auto"/>
              </w:rPr>
              <w:t>respectively; liquidation and redemption value of $0 and $82,496 as of December 31, 2018 and 2019, respectively</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CONVERTIBLE PREFERRED SHARES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135,997</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b w:val="1"/>
                <w:bCs w:val="1"/>
                <w:color w:val="auto"/>
              </w:rPr>
              <w:t>SHAREHOLDERS’ DEFICIT:</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Common shares, no par value per share; unlimited shares authorized as of December 31, 2018 and 2019; 9,265,000 shares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issued and outstanding as of December 31, 2018, and 2019</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(22,725)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(49,941)</w:t>
            </w:r>
          </w:p>
        </w:tc>
        <w:tc>
          <w:tcPr>
            <w:tcW w:w="0" w:type="dxa"/>
            <w:vAlign w:val="bottom"/>
          </w:tcPr>
          <w:p>
            <w:pPr>
              <w:spacing w:after="0"/>
              <w:rPr>
                <w:sz w:val="1"/>
                <w:szCs w:val="1"/>
                <w:color w:val="auto"/>
              </w:rPr>
            </w:pPr>
          </w:p>
        </w:tc>
      </w:tr>
      <w:tr>
        <w:trPr>
          <w:trHeight w:val="230"/>
        </w:trPr>
        <w:tc>
          <w:tcPr>
            <w:tcW w:w="9440" w:type="dxa"/>
            <w:vAlign w:val="bottom"/>
          </w:tcPr>
          <w:p>
            <w:pPr>
              <w:spacing w:after="0"/>
              <w:rPr>
                <w:sz w:val="20"/>
                <w:szCs w:val="20"/>
                <w:color w:val="auto"/>
              </w:rPr>
            </w:pPr>
            <w:r>
              <w:rPr>
                <w:rFonts w:ascii="Arial" w:cs="Arial" w:eastAsia="Arial" w:hAnsi="Arial"/>
                <w:sz w:val="18"/>
                <w:szCs w:val="18"/>
                <w:b w:val="1"/>
                <w:bCs w:val="1"/>
                <w:color w:val="auto"/>
              </w:rPr>
              <w:t>TOTAL SHAREHOLDERS’ DEFICIT</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(22,384)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(46,129)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CONVERTIBLE PREFERRED SHARES AND SHAREHOLDERS’ DEFICIT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102,695</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9" w:right="3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4,401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1"/>
              <w:spacing w:after="0"/>
              <w:rPr>
                <w:sz w:val="20"/>
                <w:szCs w:val="20"/>
                <w:color w:val="auto"/>
              </w:rPr>
            </w:pPr>
            <w:r>
              <w:rPr>
                <w:rFonts w:ascii="Arial" w:cs="Arial" w:eastAsia="Arial" w:hAnsi="Arial"/>
                <w:sz w:val="18"/>
                <w:szCs w:val="18"/>
                <w:color w:val="auto"/>
              </w:rPr>
              <w:t>9,906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20,995</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2,914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(12,820)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(26,377)</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(loss) gain on foreign exchange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(1,130)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1"/>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(1,428)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(14,248)</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Net loss and comprehensive loss</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(14,283</w:t>
            </w:r>
          </w:p>
        </w:tc>
        <w:tc>
          <w:tcPr>
            <w:tcW w:w="480" w:type="dxa"/>
            <w:vAlign w:val="bottom"/>
          </w:tcPr>
          <w:p>
            <w:pPr>
              <w:jc w:val="right"/>
              <w:ind w:right="341"/>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(14,283)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shareholders—basic and diluted</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outstanding—basic and diluted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9,229,658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87"/>
              </w:rPr>
              <w:t>9,265,000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9,265,000</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w w:val="93"/>
              </w:rPr>
              <w:t>Pro forma net loss per share attributable to common shareholders—basic and diluted (unaudited)</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common shares outstanding—basic and diluted (unaudited)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8"/>
              </w:rPr>
              <w:t>95,722,801</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Shares and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20" w:type="dxa"/>
            <w:vAlign w:val="bottom"/>
          </w:tcPr>
          <w:p>
            <w:pPr>
              <w:spacing w:after="0"/>
              <w:rPr>
                <w:sz w:val="14"/>
                <w:szCs w:val="14"/>
                <w:color w:val="auto"/>
              </w:rPr>
            </w:pPr>
          </w:p>
        </w:tc>
        <w:tc>
          <w:tcPr>
            <w:tcW w:w="244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3"/>
                <w:szCs w:val="13"/>
                <w:b w:val="1"/>
                <w:bCs w:val="1"/>
                <w:color w:val="auto"/>
              </w:rPr>
              <w:t>Convertible Preferred Shares</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auto"/>
                <w:w w:val="96"/>
              </w:rPr>
              <w:t>Common Shares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8"/>
        </w:trPr>
        <w:tc>
          <w:tcPr>
            <w:tcW w:w="4120" w:type="dxa"/>
            <w:vAlign w:val="bottom"/>
          </w:tcPr>
          <w:p>
            <w:pPr>
              <w:spacing w:after="0"/>
              <w:rPr>
                <w:sz w:val="11"/>
                <w:szCs w:val="11"/>
                <w:color w:val="auto"/>
              </w:rPr>
            </w:pPr>
          </w:p>
        </w:tc>
        <w:tc>
          <w:tcPr>
            <w:tcW w:w="1000" w:type="dxa"/>
            <w:vAlign w:val="bottom"/>
            <w:tcBorders>
              <w:bottom w:val="single" w:sz="8" w:color="auto"/>
            </w:tcBorders>
            <w:gridSpan w:val="4"/>
          </w:tcPr>
          <w:p>
            <w:pPr>
              <w:ind w:left="500"/>
              <w:spacing w:after="0" w:line="129" w:lineRule="exact"/>
              <w:rPr>
                <w:sz w:val="20"/>
                <w:szCs w:val="20"/>
                <w:color w:val="auto"/>
              </w:rPr>
            </w:pPr>
            <w:r>
              <w:rPr>
                <w:rFonts w:ascii="Arial" w:cs="Arial" w:eastAsia="Arial" w:hAnsi="Arial"/>
                <w:sz w:val="13"/>
                <w:szCs w:val="13"/>
                <w:b w:val="1"/>
                <w:bCs w:val="1"/>
                <w:color w:val="auto"/>
                <w:w w:val="92"/>
              </w:rPr>
              <w:t>Series A</w:t>
            </w: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3"/>
                <w:szCs w:val="13"/>
                <w:b w:val="1"/>
                <w:bCs w:val="1"/>
                <w:color w:val="auto"/>
              </w:rPr>
              <w:t>Series B</w:t>
            </w:r>
          </w:p>
        </w:tc>
        <w:tc>
          <w:tcPr>
            <w:tcW w:w="44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bottom w:val="single" w:sz="8" w:color="auto"/>
            </w:tcBorders>
            <w:gridSpan w:val="4"/>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1"/>
                <w:szCs w:val="11"/>
                <w:color w:val="auto"/>
              </w:rPr>
            </w:pPr>
          </w:p>
        </w:tc>
        <w:tc>
          <w:tcPr>
            <w:tcW w:w="840" w:type="dxa"/>
            <w:vAlign w:val="bottom"/>
            <w:gridSpan w:val="3"/>
          </w:tcPr>
          <w:p>
            <w:pPr>
              <w:jc w:val="right"/>
              <w:ind w:right="140"/>
              <w:spacing w:after="0" w:line="129" w:lineRule="exact"/>
              <w:rPr>
                <w:sz w:val="20"/>
                <w:szCs w:val="20"/>
                <w:color w:val="auto"/>
              </w:rPr>
            </w:pPr>
            <w:r>
              <w:rPr>
                <w:rFonts w:ascii="Arial" w:cs="Arial" w:eastAsia="Arial" w:hAnsi="Arial"/>
                <w:sz w:val="13"/>
                <w:szCs w:val="13"/>
                <w:b w:val="1"/>
                <w:bCs w:val="1"/>
                <w:color w:val="auto"/>
                <w:w w:val="83"/>
              </w:rPr>
              <w:t>Accumulated</w:t>
            </w:r>
          </w:p>
        </w:tc>
        <w:tc>
          <w:tcPr>
            <w:tcW w:w="60" w:type="dxa"/>
            <w:vAlign w:val="bottom"/>
          </w:tcPr>
          <w:p>
            <w:pPr>
              <w:spacing w:after="0"/>
              <w:rPr>
                <w:sz w:val="11"/>
                <w:szCs w:val="11"/>
                <w:color w:val="auto"/>
              </w:rPr>
            </w:pPr>
          </w:p>
        </w:tc>
        <w:tc>
          <w:tcPr>
            <w:tcW w:w="86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w w:val="94"/>
              </w:rPr>
              <w:t>Shareholders’</w:t>
            </w:r>
          </w:p>
        </w:tc>
        <w:tc>
          <w:tcPr>
            <w:tcW w:w="0" w:type="dxa"/>
            <w:vAlign w:val="bottom"/>
          </w:tcPr>
          <w:p>
            <w:pPr>
              <w:spacing w:after="0"/>
              <w:rPr>
                <w:sz w:val="1"/>
                <w:szCs w:val="1"/>
                <w:color w:val="auto"/>
              </w:rPr>
            </w:pPr>
          </w:p>
        </w:tc>
      </w:tr>
      <w:tr>
        <w:trPr>
          <w:trHeight w:val="128"/>
        </w:trPr>
        <w:tc>
          <w:tcPr>
            <w:tcW w:w="4120" w:type="dxa"/>
            <w:vAlign w:val="bottom"/>
          </w:tcPr>
          <w:p>
            <w:pPr>
              <w:spacing w:after="0"/>
              <w:rPr>
                <w:sz w:val="11"/>
                <w:szCs w:val="11"/>
                <w:color w:val="auto"/>
              </w:rPr>
            </w:pPr>
          </w:p>
        </w:tc>
        <w:tc>
          <w:tcPr>
            <w:tcW w:w="840" w:type="dxa"/>
            <w:vAlign w:val="bottom"/>
            <w:gridSpan w:val="2"/>
          </w:tcPr>
          <w:p>
            <w:pPr>
              <w:ind w:left="20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52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1"/>
                <w:szCs w:val="11"/>
                <w:color w:val="auto"/>
              </w:rPr>
            </w:pPr>
          </w:p>
        </w:tc>
        <w:tc>
          <w:tcPr>
            <w:tcW w:w="84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w w:val="82"/>
              </w:rPr>
              <w:t>Shares</w:t>
            </w:r>
          </w:p>
        </w:tc>
        <w:tc>
          <w:tcPr>
            <w:tcW w:w="54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w w:val="93"/>
              </w:rPr>
              <w:t>Amount</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4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1"/>
                <w:szCs w:val="11"/>
                <w:color w:val="auto"/>
              </w:rPr>
            </w:pPr>
          </w:p>
        </w:tc>
        <w:tc>
          <w:tcPr>
            <w:tcW w:w="46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w w:val="95"/>
              </w:rPr>
              <w:t>Deficit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January 1, 2017</w:t>
            </w:r>
          </w:p>
        </w:tc>
        <w:tc>
          <w:tcPr>
            <w:tcW w:w="7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8,665,000</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1</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20" w:type="dxa"/>
            <w:vAlign w:val="bottom"/>
          </w:tcPr>
          <w:p>
            <w:pPr>
              <w:spacing w:after="0"/>
              <w:rPr>
                <w:sz w:val="20"/>
                <w:szCs w:val="20"/>
                <w:color w:val="auto"/>
              </w:rPr>
            </w:pPr>
            <w:r>
              <w:rPr>
                <w:rFonts w:ascii="Arial" w:cs="Arial" w:eastAsia="Arial" w:hAnsi="Arial"/>
                <w:sz w:val="16"/>
                <w:szCs w:val="16"/>
                <w:color w:val="auto"/>
              </w:rPr>
              <w:t>Issuance of Series A convertible Preferred Shares,</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180"/>
              <w:spacing w:after="0"/>
              <w:rPr>
                <w:sz w:val="20"/>
                <w:szCs w:val="20"/>
                <w:color w:val="auto"/>
              </w:rPr>
            </w:pPr>
            <w:r>
              <w:rPr>
                <w:rFonts w:ascii="Arial" w:cs="Arial" w:eastAsia="Arial" w:hAnsi="Arial"/>
                <w:sz w:val="16"/>
                <w:szCs w:val="16"/>
                <w:color w:val="auto"/>
              </w:rPr>
              <w:t>net of issuance costs of $42</w:t>
            </w:r>
          </w:p>
        </w:tc>
        <w:tc>
          <w:tcPr>
            <w:tcW w:w="840" w:type="dxa"/>
            <w:vAlign w:val="bottom"/>
            <w:gridSpan w:val="2"/>
          </w:tcPr>
          <w:p>
            <w:pPr>
              <w:ind w:left="40"/>
              <w:spacing w:after="0"/>
              <w:rPr>
                <w:sz w:val="20"/>
                <w:szCs w:val="20"/>
                <w:color w:val="auto"/>
              </w:rPr>
            </w:pPr>
            <w:r>
              <w:rPr>
                <w:rFonts w:ascii="Arial" w:cs="Arial" w:eastAsia="Arial" w:hAnsi="Arial"/>
                <w:sz w:val="16"/>
                <w:szCs w:val="16"/>
                <w:color w:val="auto"/>
                <w:w w:val="97"/>
              </w:rPr>
              <w:t>41,302,469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auto"/>
              </w:rPr>
              <w:t>31,873</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80" w:type="dxa"/>
            <w:vAlign w:val="bottom"/>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shares</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600,000</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380" w:type="dxa"/>
            <w:vAlign w:val="bottom"/>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(7,796)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(7,796)</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6"/>
                <w:szCs w:val="16"/>
                <w:b w:val="1"/>
                <w:bCs w:val="1"/>
                <w:color w:val="auto"/>
              </w:rPr>
              <w:t>Balance, December 31, 2017</w:t>
            </w: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120" w:type="dxa"/>
            <w:vAlign w:val="bottom"/>
            <w:vMerge w:val="continue"/>
          </w:tcPr>
          <w:p>
            <w:pPr>
              <w:spacing w:after="0"/>
              <w:rPr>
                <w:sz w:val="17"/>
                <w:szCs w:val="17"/>
                <w:color w:val="auto"/>
              </w:rPr>
            </w:pPr>
          </w:p>
        </w:tc>
        <w:tc>
          <w:tcPr>
            <w:tcW w:w="780" w:type="dxa"/>
            <w:vAlign w:val="bottom"/>
          </w:tcPr>
          <w:p>
            <w:pPr>
              <w:ind w:left="40"/>
              <w:spacing w:after="0"/>
              <w:rPr>
                <w:sz w:val="20"/>
                <w:szCs w:val="20"/>
                <w:color w:val="auto"/>
              </w:rPr>
            </w:pPr>
            <w:r>
              <w:rPr>
                <w:rFonts w:ascii="Arial" w:cs="Arial" w:eastAsia="Arial" w:hAnsi="Arial"/>
                <w:sz w:val="16"/>
                <w:szCs w:val="16"/>
                <w:color w:val="auto"/>
                <w:w w:val="89"/>
              </w:rPr>
              <w:t>41,302,469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spacing w:after="0"/>
              <w:rPr>
                <w:sz w:val="20"/>
                <w:szCs w:val="20"/>
                <w:color w:val="auto"/>
              </w:rPr>
            </w:pPr>
            <w:r>
              <w:rPr>
                <w:rFonts w:ascii="Arial" w:cs="Arial" w:eastAsia="Arial" w:hAnsi="Arial"/>
                <w:sz w:val="16"/>
                <w:szCs w:val="16"/>
                <w:color w:val="auto"/>
              </w:rPr>
              <w:t>31,873</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9,265,000</w:t>
            </w: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34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(8,442)</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(8,407)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306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(14,283)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(14,283)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2018</w:t>
            </w:r>
          </w:p>
        </w:tc>
        <w:tc>
          <w:tcPr>
            <w:tcW w:w="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41,302,469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31,873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9,265,000</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1</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340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(22,725)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(22,384)</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6"/>
                <w:szCs w:val="16"/>
                <w:color w:val="auto"/>
              </w:rPr>
              <w:t>Issuance of Series A convertible Preferred Shares, net of</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2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180"/>
              <w:spacing w:after="0"/>
              <w:rPr>
                <w:sz w:val="20"/>
                <w:szCs w:val="20"/>
                <w:color w:val="auto"/>
              </w:rPr>
            </w:pPr>
            <w:r>
              <w:rPr>
                <w:rFonts w:ascii="Arial" w:cs="Arial" w:eastAsia="Arial" w:hAnsi="Arial"/>
                <w:sz w:val="16"/>
                <w:szCs w:val="16"/>
                <w:color w:val="auto"/>
              </w:rPr>
              <w:t>issuance costs of $5</w:t>
            </w:r>
          </w:p>
        </w:tc>
        <w:tc>
          <w:tcPr>
            <w:tcW w:w="840" w:type="dxa"/>
            <w:vAlign w:val="bottom"/>
            <w:gridSpan w:val="2"/>
          </w:tcPr>
          <w:p>
            <w:pPr>
              <w:ind w:left="40"/>
              <w:spacing w:after="0"/>
              <w:rPr>
                <w:sz w:val="20"/>
                <w:szCs w:val="20"/>
                <w:color w:val="auto"/>
              </w:rPr>
            </w:pPr>
            <w:r>
              <w:rPr>
                <w:rFonts w:ascii="Arial" w:cs="Arial" w:eastAsia="Arial" w:hAnsi="Arial"/>
                <w:sz w:val="16"/>
                <w:szCs w:val="16"/>
                <w:color w:val="auto"/>
                <w:w w:val="97"/>
              </w:rPr>
              <w:t>25,925,926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auto"/>
              </w:rPr>
              <w:t>21,876</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80" w:type="dxa"/>
            <w:vAlign w:val="bottom"/>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Series A Tranche 3 termination</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20" w:type="dxa"/>
            <w:vAlign w:val="bottom"/>
          </w:tcPr>
          <w:p>
            <w:pPr>
              <w:spacing w:after="0"/>
              <w:rPr>
                <w:sz w:val="20"/>
                <w:szCs w:val="20"/>
                <w:color w:val="auto"/>
              </w:rPr>
            </w:pPr>
            <w:r>
              <w:rPr>
                <w:rFonts w:ascii="Arial" w:cs="Arial" w:eastAsia="Arial" w:hAnsi="Arial"/>
                <w:sz w:val="16"/>
                <w:szCs w:val="16"/>
                <w:color w:val="auto"/>
              </w:rPr>
              <w:t>Issuance of Series B convertible Preferred Shares, net of</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180"/>
              <w:spacing w:after="0"/>
              <w:rPr>
                <w:sz w:val="20"/>
                <w:szCs w:val="20"/>
                <w:color w:val="auto"/>
              </w:rPr>
            </w:pPr>
            <w:r>
              <w:rPr>
                <w:rFonts w:ascii="Arial" w:cs="Arial" w:eastAsia="Arial" w:hAnsi="Arial"/>
                <w:sz w:val="16"/>
                <w:szCs w:val="16"/>
                <w:color w:val="auto"/>
              </w:rPr>
              <w:t>issuance costs of $248</w:t>
            </w: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right="40"/>
              <w:spacing w:after="0"/>
              <w:rPr>
                <w:sz w:val="20"/>
                <w:szCs w:val="20"/>
                <w:color w:val="auto"/>
              </w:rPr>
            </w:pPr>
            <w:r>
              <w:rPr>
                <w:rFonts w:ascii="Arial" w:cs="Arial" w:eastAsia="Arial" w:hAnsi="Arial"/>
                <w:sz w:val="16"/>
                <w:szCs w:val="16"/>
                <w:color w:val="auto"/>
                <w:w w:val="89"/>
              </w:rPr>
              <w:t>63,458,580</w:t>
            </w:r>
          </w:p>
        </w:tc>
        <w:tc>
          <w:tcPr>
            <w:tcW w:w="1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6"/>
                <w:szCs w:val="16"/>
                <w:color w:val="auto"/>
                <w:w w:val="85"/>
              </w:rPr>
              <w:t>82,248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80" w:type="dxa"/>
            <w:vAlign w:val="bottom"/>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511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(27,216)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(27,216)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2019</w:t>
            </w:r>
          </w:p>
        </w:tc>
        <w:tc>
          <w:tcPr>
            <w:tcW w:w="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67,228,395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53,749</w:t>
            </w:r>
          </w:p>
        </w:tc>
        <w:tc>
          <w:tcPr>
            <w:tcW w:w="84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89"/>
              </w:rPr>
              <w:t>63,458,580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shd w:val="clear" w:color="auto" w:fill="CCEEFF"/>
          </w:tcPr>
          <w:p>
            <w:pPr>
              <w:spacing w:after="0"/>
              <w:rPr>
                <w:sz w:val="20"/>
                <w:szCs w:val="20"/>
                <w:color w:val="auto"/>
              </w:rPr>
            </w:pPr>
            <w:r>
              <w:rPr>
                <w:rFonts w:ascii="Arial" w:cs="Arial" w:eastAsia="Arial" w:hAnsi="Arial"/>
                <w:sz w:val="16"/>
                <w:szCs w:val="16"/>
                <w:color w:val="auto"/>
                <w:w w:val="85"/>
              </w:rPr>
              <w:t>82,248</w:t>
            </w:r>
          </w:p>
        </w:tc>
        <w:tc>
          <w:tcPr>
            <w:tcW w:w="12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9,265,000</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1</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(49,941)</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(46,129)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9" w:right="3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Net loss and comprehensive loss for the year</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(7,796)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(14,283)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(27,216)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Change in fair value of Series A Preferred Shares tranche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Non-cash lease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Research and development tax credits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Operating lease liability,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liability, net of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(6,007)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(12,618)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(18,429)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(1,156)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(1,156)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Series A Preferred Shares,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28,958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20,995</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Proceeds from issuance of Series B Preferred Shares,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82,248</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30,458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103,243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fluctuations on cash held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b w:val="1"/>
                <w:bCs w:val="1"/>
                <w:color w:val="auto"/>
              </w:rPr>
              <w:t>Net Decrease In Cash And 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23,302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(13,460)</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84,076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at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24,389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10,929</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Cash and restricted cash at end of year</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24,389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10,929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Cash And 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24,281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10,731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94,797</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Total cash and restricted cash</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24,389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10,929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Property and equipment purchases in accounts payable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notes to Series A Preferred Shares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color w:val="auto"/>
              </w:rPr>
              <w:t>Right-of-use assets obtained in exchange for operating lease obligation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Repare Therapeutics Inc. (“Repare” or the “Company”) is a precision medicine oncology company focused on the development of synthetic lethality-based therapies to patients with cancer. The Company was incorporated under the </w:t>
      </w:r>
      <w:r>
        <w:rPr>
          <w:rFonts w:ascii="Arial" w:cs="Arial" w:eastAsia="Arial" w:hAnsi="Arial"/>
          <w:sz w:val="17"/>
          <w:szCs w:val="17"/>
          <w:i w:val="1"/>
          <w:iCs w:val="1"/>
          <w:color w:val="auto"/>
        </w:rPr>
        <w:t>Canada Business Corporations Act</w:t>
      </w:r>
      <w:r>
        <w:rPr>
          <w:rFonts w:ascii="Arial" w:cs="Arial" w:eastAsia="Arial" w:hAnsi="Arial"/>
          <w:sz w:val="17"/>
          <w:szCs w:val="17"/>
          <w:color w:val="auto"/>
        </w:rPr>
        <w:t xml:space="preserve"> on September 6, 2016.</w:t>
      </w:r>
    </w:p>
    <w:p>
      <w:pPr>
        <w:spacing w:after="0" w:line="250" w:lineRule="exact"/>
        <w:rPr>
          <w:sz w:val="20"/>
          <w:szCs w:val="20"/>
          <w:color w:val="auto"/>
        </w:rPr>
      </w:pPr>
    </w:p>
    <w:p>
      <w:pPr>
        <w:ind w:right="7640" w:firstLine="8"/>
        <w:spacing w:after="0" w:line="377" w:lineRule="auto"/>
        <w:tabs>
          <w:tab w:leader="none" w:pos="1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generally accepted accounting principles in the United States of America (“U.S. GAAP”). Any reference in these notes to applicable guidance is meant to refer to the authoritative U.S. GAAP as found in the Accounting Standards Codification (“ASC”) and as amended by Accounting Standards Updates (“ASU”) of the Financial Accounting Standards Board (“FASB”).</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accompanying consolidated financial statements of the Company include the accounts of the Company and its wholly-owned subsidiary, Repare Therapeutics USA Inc. (“Repare USA”), which was incorporated under the laws of Delaware on June 1, 2017. The financial statements of Repare USA are prepared for the same reporting period as the parent company, using consistent accounting policies. All intra-group transactions, balances, incomes and expenses are eliminated in full upon consolidation.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functional currency for the Company and Repare USA is the U.S. dollar (“USD”). Accordingly, transactions denominated in currencies other than the functional currency are measured and recorded in the functional currency at the exchange rate in effect on the date of the transactions. At each consolidated balance sheet date, monetary assets and liabilities denominated in currencies other than the functional currency are remeasured using the exchange rate in effect at that date. Non-monetary assets and liabilities and revenue and expense items denominated in foreign currencies are translated into the functional currency using the exchange rate prevailing at the dates of the respective transactions. Any gains or losses arising on remeasurement are included in the consolidated statement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manages its operations as a single operating segment for the purposes of assessing performance and making operating decisions. The Company’s singular focus is the research, development and commercialization of precision oncology drugs targeting specific vulnerabilities of tumors in genetically defined patient populations.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amounts reported in consolidated financial statements and accompanying notes. Significant estimates and assumptions reflected in these consolidated financial statements include, but are not limited to, accrued research and development expenses, share-based compensation and the measurement of the fair value of the Company’s Series A Preferred Share Tranche Obligation (as defined in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00"/>
          </w:cols>
          <w:pgMar w:left="320" w:top="459" w:right="3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Note 3). Estimates are periodically reviewed in light of changes in circumstances, facts and experience. Changes in estimates are recorded in the period in which they become known. Actual results could differ from those estimates.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December 31, 2018 and 2019, restricted cash consisted of $198 and $208, respectively, used to secure a letter of credit denominated in a foreign currency for the benefit of the landlord in connection with one of the Company’s lease agreements (Note 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The Company maintains deposits in accredited financial institutions which may periodically exceed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18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Company’s exposure to foreign exchange risk is primarily related to fluctuations between the Canadian dollar and the USD. There are balances in Canadian dollars which are subject to foreign currency fluctuations relating to the impact of translating to USD for financial statement presentation.</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2018 and 2019, the Company had no significant off-balance sheet risk, such as foreign exchange contracts, option contracts or other foreign hedging arrangements.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Comprehensive loss includes net loss as well as other changes in shareholders’ deficit that result from transactions and economic events other than those with shareholders. For each of the years ended December 31, 2017, 2018 and 2019, comprehensive loss was equal to net loss.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7" w:lineRule="exact"/>
        <w:rPr>
          <w:sz w:val="20"/>
          <w:szCs w:val="20"/>
          <w:color w:val="auto"/>
        </w:rPr>
      </w:pPr>
    </w:p>
    <w:p>
      <w:pPr>
        <w:ind w:left="1000" w:hanging="439"/>
        <w:spacing w:after="0"/>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ind w:left="1000" w:hanging="439"/>
        <w:spacing w:after="0" w:line="263" w:lineRule="auto"/>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9" w:lineRule="exact"/>
        <w:rPr>
          <w:rFonts w:ascii="Arial" w:cs="Arial" w:eastAsia="Arial" w:hAnsi="Arial"/>
          <w:sz w:val="18"/>
          <w:szCs w:val="18"/>
          <w:color w:val="auto"/>
        </w:rPr>
      </w:pPr>
    </w:p>
    <w:p>
      <w:pPr>
        <w:ind w:left="1000" w:right="80" w:hanging="439"/>
        <w:spacing w:after="0" w:line="277" w:lineRule="auto"/>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60"/>
          </w:cols>
          <w:pgMar w:left="320" w:top="459" w:right="4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Financial assets and liabilities are classified in their entirety based on the lowest level of input that is significant to the fair value measurement.</w:t>
      </w:r>
    </w:p>
    <w:p>
      <w:pPr>
        <w:spacing w:after="0" w:line="1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 entity may choose to measure financial instruments and certain other items at fair value at specified election dates. Subsequent unrealized gains and losses on items for which the fair value option has been elected will be reported in earnings.</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estimated fair values of the Company’s cash, restricted cash, other assets, accounts payable and accrued expenses and other current liabilities approximate their carrying values.</w:t>
      </w:r>
    </w:p>
    <w:p>
      <w:pPr>
        <w:spacing w:after="0" w:line="17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Company’s Series A Preferred Share Tranche Obligation liabilities are carried at fair value, determined according to Level 3 inputs in the fair value hierarchy described above. In January 2019, in connection with the closing of the second tranche of Series A Preferred Shares, the liability related to the Series A second tranche obligation was settled. In September 2019, in connection with the Company’s issuance and sale of Series B Preferred Shares, the liability related to the Series A third tranche obligation was terminated (Notes 3 and 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Property and equipment is stated at historical cost, net of accumulated depreciation. Depreciation is calculated using the straight-line method over the estimated useful lives of the assets, which are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91"/>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Asset Category</w:t>
            </w:r>
          </w:p>
        </w:tc>
        <w:tc>
          <w:tcPr>
            <w:tcW w:w="2800" w:type="dxa"/>
            <w:vAlign w:val="bottom"/>
          </w:tcPr>
          <w:p>
            <w:pPr>
              <w:spacing w:after="0"/>
              <w:rPr>
                <w:sz w:val="16"/>
                <w:szCs w:val="16"/>
                <w:color w:val="auto"/>
              </w:rPr>
            </w:pPr>
          </w:p>
        </w:tc>
        <w:tc>
          <w:tcPr>
            <w:tcW w:w="6600" w:type="dxa"/>
            <w:vAlign w:val="bottom"/>
            <w:gridSpan w:val="2"/>
          </w:tcPr>
          <w:p>
            <w:pPr>
              <w:ind w:left="1940"/>
              <w:spacing w:after="0"/>
              <w:rPr>
                <w:sz w:val="20"/>
                <w:szCs w:val="20"/>
                <w:color w:val="auto"/>
              </w:rPr>
            </w:pPr>
            <w:r>
              <w:rPr>
                <w:rFonts w:ascii="Arial" w:cs="Arial" w:eastAsia="Arial" w:hAnsi="Arial"/>
                <w:sz w:val="14"/>
                <w:szCs w:val="14"/>
                <w:b w:val="1"/>
                <w:bCs w:val="1"/>
                <w:color w:val="auto"/>
              </w:rPr>
              <w:t>Estimated Useful Lives</w:t>
            </w:r>
          </w:p>
        </w:tc>
      </w:tr>
      <w:tr>
        <w:trPr>
          <w:trHeight w:val="203"/>
        </w:trPr>
        <w:tc>
          <w:tcPr>
            <w:tcW w:w="3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Computer equipment</w:t>
            </w:r>
          </w:p>
        </w:tc>
        <w:tc>
          <w:tcPr>
            <w:tcW w:w="1940" w:type="dxa"/>
            <w:vAlign w:val="bottom"/>
            <w:tcBorders>
              <w:top w:val="single" w:sz="8" w:color="CCEEFF"/>
            </w:tcBorders>
            <w:shd w:val="clear" w:color="auto" w:fill="CCEEFF"/>
          </w:tcPr>
          <w:p>
            <w:pPr>
              <w:spacing w:after="0"/>
              <w:rPr>
                <w:sz w:val="17"/>
                <w:szCs w:val="17"/>
                <w:color w:val="auto"/>
              </w:rPr>
            </w:pPr>
          </w:p>
        </w:tc>
        <w:tc>
          <w:tcPr>
            <w:tcW w:w="4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3 years</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Office equipment</w:t>
            </w:r>
          </w:p>
        </w:tc>
        <w:tc>
          <w:tcPr>
            <w:tcW w:w="6600" w:type="dxa"/>
            <w:vAlign w:val="bottom"/>
            <w:gridSpan w:val="2"/>
          </w:tcPr>
          <w:p>
            <w:pPr>
              <w:ind w:left="1940"/>
              <w:spacing w:after="0"/>
              <w:rPr>
                <w:sz w:val="20"/>
                <w:szCs w:val="20"/>
                <w:color w:val="auto"/>
              </w:rPr>
            </w:pPr>
            <w:r>
              <w:rPr>
                <w:rFonts w:ascii="Arial" w:cs="Arial" w:eastAsia="Arial" w:hAnsi="Arial"/>
                <w:sz w:val="18"/>
                <w:szCs w:val="18"/>
                <w:color w:val="auto"/>
              </w:rPr>
              <w:t>5 years</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660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5 years</w:t>
            </w: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6600" w:type="dxa"/>
            <w:vAlign w:val="bottom"/>
            <w:gridSpan w:val="2"/>
          </w:tcPr>
          <w:p>
            <w:pPr>
              <w:ind w:left="1940"/>
              <w:spacing w:after="0"/>
              <w:rPr>
                <w:sz w:val="20"/>
                <w:szCs w:val="20"/>
                <w:color w:val="auto"/>
              </w:rPr>
            </w:pPr>
            <w:r>
              <w:rPr>
                <w:rFonts w:ascii="Arial" w:cs="Arial" w:eastAsia="Arial" w:hAnsi="Arial"/>
                <w:sz w:val="18"/>
                <w:szCs w:val="18"/>
                <w:color w:val="auto"/>
              </w:rPr>
              <w:t>the shorter of the lease term and the useful life</w:t>
            </w:r>
          </w:p>
        </w:tc>
      </w:tr>
    </w:tbl>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When assets are retired or disposed of, the assets and related accumulated depreciation are derecognized from the accounts, and any resulting gain or loss is included in the determination of net loss. Expenditures for maintenance and repairs are recorded to expense as incurred.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jc w:val="both"/>
        <w:ind w:right="100"/>
        <w:spacing w:after="0" w:line="296" w:lineRule="auto"/>
        <w:rPr>
          <w:sz w:val="20"/>
          <w:szCs w:val="20"/>
          <w:color w:val="auto"/>
        </w:rPr>
      </w:pPr>
      <w:r>
        <w:rPr>
          <w:rFonts w:ascii="Arial" w:cs="Arial" w:eastAsia="Arial" w:hAnsi="Arial"/>
          <w:sz w:val="16"/>
          <w:szCs w:val="16"/>
          <w:color w:val="auto"/>
        </w:rPr>
        <w:t>The Company evaluates its finite-lived intangible assets for impairment whenever events or changes in circumstances indicate that the carrying value of assets may not be recoverable. Recoverability of these assets is measured by comparing their carrying value to the future net undiscounted cash flows the assets are expected to generate over their remaining economic life. If such assets are considered impaired, the impairment to be recognized is measured by the amount by which the carrying value of the assets exceeds their fair value. Indefinite-lived intangible assets are tested for impairment annually, or more frequently if indicators of impairment are present. To date, no such impairment losses have been recorded.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 for Convertible Notes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elected the fair value option to account for its convertible notes issued during 2017 (the “Convertible Notes”). The Company recorded the Convertible Notes at fair value and subsequently remeasured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459" w:right="3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them to fair value at each reporting date. Changes in fair value were recognized as a component of other income (expense), net in the consolidated statements of operations and comprehensive loss. As a result of applying the fair value option, direct costs and fees related to the Convertible Notes were recognized in earnings as incurred and not deferred.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Effective January 1, 2019, the Company elected to early adopt ASU No. 2016-02, Leases (Topic 842), (“ASU No. 2016-02” or “ASC 842”), using the modified retrospective approach and utilized the effective date as its date of initial application, with prior periods presented in accordance with the previous guidance under ASC 840, Leases (“ASC 840”).</w:t>
      </w:r>
    </w:p>
    <w:p>
      <w:pPr>
        <w:spacing w:after="0" w:line="18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in the arrangement. Leases with a term greater than one year are recognized on the consolidated balance sheet as a right-of-use asset and current and non-current lease liabilities, as applicable.</w:t>
      </w:r>
    </w:p>
    <w:p>
      <w:pPr>
        <w:spacing w:after="0" w:line="1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Operating lease liabilities and their corresponding right-of-use assets are initially recorded based on the present value of lease payments over the expected remaining lease term. Certain adjustments to the right-of-use asset may be required for items such as incentives received.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Prospectively, the Company will adjust the right-of-use assets for straight-line rent expense or any incentives received and remeasure the lease liability at the net present value using the same incremental borrowing rate that was in effect as of the lease commencement or transition date.</w:t>
      </w:r>
    </w:p>
    <w:p>
      <w:pPr>
        <w:spacing w:after="0" w:line="19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has elected not to recognize leases with an original term of one year or less on the consolidated balance sheet. The Company typically only includes an initial lease term in its assessment of a lease arrangement. Options to renew a lease are not included in the Company’s assessment unless there is reasonable certainty that the Company will renew.</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Assumptions made by the Company at the commencement date are re-evaluated upon occurrence of certain events, including a lease modification. A lease modification results in a separate contract when the modification grants the 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elected the following practical expedients, which must be elected as a package and applied consistently to all of its leases at the transition date (including those for which the entity is a lessee or a lessor): i) the Company did not reassess whether any expired or existing contracts are or contain leases; ii) the Company did not reassess the lease classification for any expired or existing leases (that is, all existing leases that were classified as operating leases in accordance with ASC 840 are classified as operating leases, and all existing leases that were classified as capital leases in accordance with ASC 840 are classified as finance leases); and iii) the Company did not reassess initial direct costs for any existing leases.</w:t>
      </w:r>
    </w:p>
    <w:p>
      <w:pPr>
        <w:spacing w:after="0" w:line="1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leases that existed prior to the date of initial application of ASC 842 (which were previously classified as operating leases), a lessee may elect to use either the total lease term measured at lease inception under ASC 840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459" w:right="3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or the remaining lease term as of the date of initial application of ASC 842 in determining the period for which to measure its incremental borrowing rate. In transition to ASC 842, the Company utilized the remaining lease term of its leases in determining the appropriate incremental borrowing rates.</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accordance with ASC 842, components of a lease should be split into three categories: lease components, non-lease components and non-components. The fixed and in-substance fixed contract consideration (including any consideration related to non-components) must be allocated based on the respective relative fair values to the lease components and non-lease components.</w:t>
      </w:r>
    </w:p>
    <w:p>
      <w:pPr>
        <w:spacing w:after="0" w:line="18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Entities may elect not to separate lease and non-lease components. The Company has elected to account for lease and non-lease components together as a single lease component for all underlying assets and allocate all of the contract consideration to the lease component only.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The Company recognizes revenue in accordance with ASC 606, Revenue from Contracts with Customers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w:t>
      </w:r>
    </w:p>
    <w:p>
      <w:pPr>
        <w:spacing w:after="0" w:line="2" w:lineRule="exact"/>
        <w:rPr>
          <w:sz w:val="20"/>
          <w:szCs w:val="20"/>
          <w:color w:val="auto"/>
        </w:rPr>
      </w:pPr>
    </w:p>
    <w:p>
      <w:pPr>
        <w:ind w:right="80" w:firstLine="8"/>
        <w:spacing w:after="0" w:line="252" w:lineRule="auto"/>
        <w:tabs>
          <w:tab w:leader="none" w:pos="26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enters into collaboration and license agreements, which are within the scope of ASC 606, to discover, develop, manufacture and commercialize product candidates. The terms of these agreements typically contain multiple promises or obligations, which may include: (i) licenses to compounds directed to specific targets (referred to as “exclusive licenses”) and (ii) research and development activities to be performed on behalf of the collaboration partner related to the licensed targets. Payments to the Company under these agreements may include non-refundable license fees, customer option exercise fees, payments for research activities, reimbursement of certain costs, payments based upon the achievement of certain milestones and royalties on any resulting net product sales.</w:t>
      </w:r>
    </w:p>
    <w:p>
      <w:pPr>
        <w:spacing w:after="0" w:line="19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first evaluates license and/or collaboration arrangements to determine whether the arrangement (or part of the arrangement) represents a collaborative arrangement pursuant to ASC 808, Collaborative Arrangements (“ASC 808”), based on the risks and rewards and activities of the parties pursuant to the contractual arrangement. The Company accounts for collaborative arrangements (or elements within the contract that are deemed part of a collaborative arrangement), which represent a collaborative relationship and not a customer relationship, outside the scope of ASC 606. The Company’s collaborations primarily represent revenue arrangements. For the arrangements or arrangement components that are subject to revenue accounting guidance,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80"/>
          </w:cols>
          <w:pgMar w:left="320" w:top="459" w:right="3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each of its agreements, the Company applies the five-step model. As part of the accounting for these arrangements, the Company must use significant judgment to determine: a) the number of performance obligations based on the determination under step (ii) above and whether those performance obligations are distinct from other performance obligations in the contract; b) the transaction price under step (iii) above; and c) the stand-alone selling price for each performance obligation identified in the contract for the allocation of transaction price in step (iv) above. The Company uses judgment to determine whether milestones or other variable consideration, except for sales-based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 In determining the stand-alone selling price of a license to the Company’s proprietary technology or a material right provided by a customer option, the Company considers market conditions as well as entity-specific factors, including those factors contemplated in negotiating the agreements as well as internally developed estimates that include assumptions related to the market opportunity, estimated development costs, probability of success and the time needed to commercialize a product candidate pursuant to the license. In validating its estimated stand-alone selling price, the Company evaluates whether changes in the key assumptions used to determine its estimated stand-alone selling price will have a significant effect on the allocation of arrangement consideration between performance obligations.</w:t>
      </w:r>
    </w:p>
    <w:p>
      <w:pPr>
        <w:spacing w:after="0" w:line="17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Amounts received prior to revenue recognition are recorded as deferred revenue. Amounts expected to be recognized as revenue within one year following the balance sheet date are classified as current portion of deferred revenue in the accompanying consolidated balance sheets. Amounts not expected to be recognized as revenue within one year following the balance sheet date are classified as deferred revenue, net of current portion. Amounts recognized as revenue, but not yet received or invoiced are generally recognized as contract assets.</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Exclusive Licenses </w:t>
      </w:r>
      <w:r>
        <w:rPr>
          <w:rFonts w:ascii="Arial" w:cs="Arial" w:eastAsia="Arial" w:hAnsi="Arial"/>
          <w:sz w:val="16"/>
          <w:szCs w:val="16"/>
          <w:color w:val="auto"/>
        </w:rPr>
        <w:t>– If the license to the Company’s intellectual property is determined to be distinct from the other promises or performance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the Company utilizes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intellectual property (“IP”), revenue is recognized at the point in time when control of the license is transferred. If it is determined that the license does not represent functional IP, revenue is recognized over time using an appropriate method of measuring progress.</w:t>
      </w:r>
    </w:p>
    <w:p>
      <w:pPr>
        <w:spacing w:after="0" w:line="174"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i w:val="1"/>
          <w:iCs w:val="1"/>
          <w:color w:val="auto"/>
        </w:rPr>
        <w:t xml:space="preserve">Research and Development Services </w:t>
      </w:r>
      <w:r>
        <w:rPr>
          <w:rFonts w:ascii="Arial" w:cs="Arial" w:eastAsia="Arial" w:hAnsi="Arial"/>
          <w:sz w:val="18"/>
          <w:szCs w:val="18"/>
          <w:color w:val="auto"/>
        </w:rPr>
        <w:t>– The obligations under the Company’s collaboration and license agreements generally include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services to be performed by the Company to benefit the collaboration partner. For performance obligations that include research and development services, the Company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320" w:top="459" w:right="3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 The Company evaluates the measure of progress each reporting period and, if necessary, adjusts the measure of performance and related revenue recognition. The measure of progress, and thereby periods of which revenue should be recognized, are subject to estimates by management and may change over the course of the contract. Reimbursements from the partner that are the result of a collaborative relationship with the partner, instead of a customer relationship, such as co-development activities, are recorded as a reduction to research and development expense.</w:t>
      </w:r>
    </w:p>
    <w:p>
      <w:pPr>
        <w:spacing w:after="0" w:line="164"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 The Company’s arrangements may provide a collaborator with the right to acquire additional goods or services in the future.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these agreements, fees may be due to the Company (i) at the inception of the arrangement as an upfront fee or payment or (ii) upon the exercise of the customer option. 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 At the inception of each arrangement that includes development milestone payments, the Company evaluates whether the milestones</w:t>
      </w:r>
      <w:r>
        <w:rPr>
          <w:rFonts w:ascii="Arial" w:cs="Arial" w:eastAsia="Arial" w:hAnsi="Arial"/>
          <w:sz w:val="16"/>
          <w:szCs w:val="16"/>
          <w:i w:val="1"/>
          <w:iCs w:val="1"/>
          <w:color w:val="auto"/>
        </w:rPr>
        <w:t xml:space="preserve"> </w:t>
      </w:r>
      <w:r>
        <w:rPr>
          <w:rFonts w:ascii="Arial" w:cs="Arial" w:eastAsia="Arial" w:hAnsi="Arial"/>
          <w:sz w:val="16"/>
          <w:szCs w:val="16"/>
          <w:color w:val="auto"/>
        </w:rPr>
        <w:t>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w:t>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 For arrangements that include sales-based royalties, including milestone payments based on a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87" w:lineRule="exact"/>
        <w:rPr>
          <w:sz w:val="20"/>
          <w:szCs w:val="20"/>
          <w:color w:val="auto"/>
        </w:rPr>
      </w:pPr>
    </w:p>
    <w:p>
      <w:pPr>
        <w:jc w:val="right"/>
        <w:ind w:right="5420"/>
        <w:spacing w:after="0" w:line="449" w:lineRule="auto"/>
        <w:rPr>
          <w:sz w:val="20"/>
          <w:szCs w:val="20"/>
          <w:color w:val="auto"/>
        </w:rPr>
      </w:pPr>
      <w:r>
        <w:rPr>
          <w:rFonts w:ascii="Arial" w:cs="Arial" w:eastAsia="Arial" w:hAnsi="Arial"/>
          <w:sz w:val="18"/>
          <w:szCs w:val="18"/>
          <w:color w:val="auto"/>
        </w:rPr>
        <w:t>For a complete discussion of accounting for collaboration revenues, see Note 10. F-13</w:t>
      </w:r>
    </w:p>
    <w:p>
      <w:pPr>
        <w:sectPr>
          <w:pgSz w:w="11900" w:h="16838" w:orient="portrait"/>
          <w:cols w:equalWidth="0" w:num="1">
            <w:col w:w="11240"/>
          </w:cols>
          <w:pgMar w:left="320" w:top="459" w:right="3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right="460"/>
        <w:spacing w:after="0" w:line="287" w:lineRule="auto"/>
        <w:rPr>
          <w:sz w:val="20"/>
          <w:szCs w:val="20"/>
          <w:color w:val="auto"/>
        </w:rPr>
      </w:pPr>
      <w:r>
        <w:rPr>
          <w:rFonts w:ascii="Arial" w:cs="Arial" w:eastAsia="Arial" w:hAnsi="Arial"/>
          <w:sz w:val="16"/>
          <w:szCs w:val="16"/>
          <w:color w:val="auto"/>
        </w:rPr>
        <w:t>Research and development costs are expensed as incurred. The Company’s research and development expenses consist primarily of costs incurred in performing research and development activities, including salaries and other compensation, share-based compensation, fees paid to external service providers, laboratory supplies and costs for facilities and equipment, partially offset by fully-refundable research and development tax credits.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Non-refundable prepayments for goods or services that will be used or rendered for future research and development activities are deferred and capitalized. Such amounts are expensed as the goods are delivered or the services are performed, or until it is no longer expected that the goods will be delivered or the services rendered.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 Expenses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has entered into various research and development contracts. The payments to these agreements are recorded as research and development expenses as incurred. The Company records accrued liabilities for estimated ongoing research costs. When evaluating the adequacy of the accrued liabilities, the Company analyzes progress of the studies, including the phase or completion of events, invoices received and contracted costs. Significant judgements and estimates are made in determining the accrued balances at the end of any reporting period. Actual results could differ from the Company’s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accounts for all share-based awards granted to employees and non-employees as share-based compensation expense at fair value.</w:t>
      </w:r>
    </w:p>
    <w:p>
      <w:pPr>
        <w:spacing w:after="0" w:line="23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engages an independent valuation firm to determine the fair value of the underlying common shares. The independent valuation firm uses valuation techniques and methods that comply with guidance provided by the American Institute of Certified Public Accountants in its Accounting &amp; Valuation Guide. Each valuation methodology includes estimates and assumptions that require the Company’s judgment. These estimates and assumptions include a number of objective and subjective factors in determining the value of the Company’s common shares at each grant date, including: (1) prices paid for the Company’s convertible preferred shares, which the Company has sold to outside investors in arm’s-length transactions, and the rights, preferences and privileges of the Company’s convertible preferred shares and common shares; (2) valuations performed by an independent valuation specialist; (3) the Company’s stage of development; (4) the fact that grants of share-based awards involved illiquid securities in a private company; and (5) the likelihood of achieving a liquidity event for the common shares underlying the share-based awards, such as an initial public offering or sale of the Company, given prevailing market conditions.</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measurement date for employee and non-employee awards is the date of grant, and share-based compensation costs are recognized over the employees’ requisite service period, which is the vesting period, on a straight-line basis.</w:t>
      </w:r>
    </w:p>
    <w:p>
      <w:pPr>
        <w:spacing w:after="0" w:line="17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which requires inputs based on certain subjective assumptions, including the expected share price volatility, the expected term of the option, the risk-free interest rate for a period that approximates the expected term of the option and the Company’s expected dividend yield. As there is no public market for its common shares, the Company determines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80"/>
          </w:cols>
          <w:pgMar w:left="320" w:top="459" w:right="3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companies. The Company expects to continue to do so until such time as it has adequate historical data regarding the volatility of its own traded share price. The expected term of the Company’s stock options granted to employees and non-employees has been determined utilizing the “simplified” method for awards that qualify as “plain-vanilla” options. In connection with the adoption of ASU No. 2018-07, Compensation—Stock Compensation (“ASU No. 2018-07”), the Company calculated the expected term of non-employee awards using the midpoint between the vesting date and the contractual term, which is consistent with the method used for employee awards.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shares; therefore, the expected dividend yield is assumed to be zero.</w:t>
      </w:r>
    </w:p>
    <w:p>
      <w:pPr>
        <w:spacing w:after="0" w:line="1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Share-based compensation is classified in the accompanying consolidated statements of operations and comprehensive loss based on the function to which the related services are provided. Forfeitures are accounted for as they occur. Any consideration paid by employees on exercising stock options and the corresponding portion previously credited to additional paid-in capital are credited to share capital.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of Convertible Preferred Shares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convertible preferred shares are classified outside of shareholders’ deficit because the holders of such shares have liquidation rights in the event of a deemed liquidation that, in certain situations, are not solely within the control of the Company. The Company records convertible preferred shares at fair value upon issuance, net of any issuance costs or discounts.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Issuance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 issuance costs applicable to the issuance of equity instruments are recorded as a reduction of the financing equity proceeds.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and Unaudited Pro Forma Loss per Share</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Basic net loss per share attributable to common shareholders is computed by dividing the net loss attributable to common shareholders by the weighted-average number of common shares outstanding during the reporting period, without consideration for potentially dilutive securities. Diluted net loss per share is computed by dividing the net loss attributable to common shareholders by the weighted-average number of common shares and potentially dilutive securities outstanding during the period determined using the treasury-stock and if-converted methods. For purposes of the diluted net loss per share calculation, convertible preferred shares and stock options considered to be potentially dilutive securities were excluded from the calculation of diluted net loss per share because their effect would be anti-dilutive and therefore, basic and diluted net loss per share were the same for all reporting periods presented.</w:t>
      </w:r>
    </w:p>
    <w:p>
      <w:pPr>
        <w:spacing w:after="0" w:line="19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Unaudited pro forma net loss per share attributable to common shareholders is computed using the weighted-average number of common shares outstanding after giving effect to the conversion of all outstanding convertible preferred shares into common shares as if such conversion had occurred on January 1, 2019, or the date of issuance, if later.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recognized in the Company’s consolidated financial statements. Under this method, deferred tax</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320" w:top="459" w:right="3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assets and liabilities are determined based on differences between the consolidated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4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Tax Credits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recognizes the benefit of refundable Canadian research and development tax credits as a reduction of research and development costs when there is reasonable assurance that the amount claimed will be recovered.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initial public offering or such earlier time that it is no longer an emerging growth company.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May 2014, the FASB issued ASU No. 2014-09, Revenue from Contracts with Customers (Topic 606) (“ASU No. 2014-09”), which modifies how all entities recognize revenue, and consolidates into one ASC (ASC 606) the current guidance found in ASC Topic 605, and various other revenue accounting standards for specialized transactions and industries. ASU No. 2014-09 outlines a comprehensive five-step revenue recognition model based on the principle that an entity should recognize revenue to depict the transfer of promised goods or services to customers in an amount that reflects the consideration to which the entity expects to be entitled in exchange for those goods or services. ASU No. 2014-09 may be applied using either a full retrospective approach, under which all years included in the consolidated financial statements will be presented under the revised guidance, or a modified retrospective approach, under which consolidated financial statements will be prepared under the revised guidance for the year of adoption, but not for prior years. The Company elected to early adopt this pronouncement as of January 1, 2017. The adoption of ASU No. 2014-09 had no impact on its consolidated financial statements.</w:t>
      </w:r>
    </w:p>
    <w:p>
      <w:pPr>
        <w:spacing w:after="0" w:line="1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February 2016, the FASB issued ASU No. 2016-02, which requires an entity to recognize assets and liabilities arising from a lease for both financing and operating leases on their balance sheet date. In July 2018, 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459" w:right="3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amendment was made that allows companies the option of using the effective date of the new standard as the initial application date (at the beginning of the period in which the new standard is adopted, rather than at the beginning of the earliest comparative period). This update includes a short-term lease exception for leases with a term of 12 months or less, in which a lessee can make an accounting policy election not to recognize the associated lease assets and lease liabilities on its balance sheet. Additionally, in March 2019, the FASB issued ASU No. 2019-01, Leases (Topic 842): Codification Improvements (“ASU No. 2019-01”). ASU No. 2019-01 clarifies the transition guidance related to interim disclosures provided in the year of adoption. Lessees will continue to differentiate between finance leases (previously referred to as capital leases) and operating leases, using classification criteria that are substantially similar to the previous guidance. For lessees, the recognition, measurement and presentation of expenses and cash flows arising from a lease did not significantly change from previous U.S. GAAP. The modified retrospective method includes several optional practical expedients that entities may elect to apply, as well as transition guidance specific to nonstandard leasing transactions. The Company elected to early adopt Topic 842 on January 1, 2019 using a cumulative-effect adjustment on the effective date of the standard, for which comparative periods are presented in accordance with the previous guidance under ASC 840.</w:t>
      </w:r>
    </w:p>
    <w:p>
      <w:pPr>
        <w:spacing w:after="0" w:line="18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 adopting ASC 842, the Company elected to utilize the available package of practical expedients permitted under the transition guidance within the new standard, which does not require the reassessment of the following: i) whether existing or expired arrangements are or contain a lease, ii) the lease classification of existing or expired leases, and iii) whether previous initial direct costs would qualify for capitalization under the new lease standard. Additionally, the Company made an accounting policy election to keep leases with a term of 12 months or less off its consolidated balance sheet.</w:t>
      </w:r>
    </w:p>
    <w:p>
      <w:pPr>
        <w:spacing w:after="0" w:line="15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Adoption of this standard resulted in the recording of operating lease liabilities and right-of-use assets of $306 and $347, respectively, on the Company’s consolidated balance sheet on the effective date. The adoption of the standard did not have a material effect on the Company’s consolidated statements of operations and comprehensive loss, consolidated statements of cash flows or accumulated deficit. Refer to Note 7 for right-of-use asset and liabilities recorded during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 August 2016, the FASB issued ASU No. 2016-15, Statement of Cash Flows: Classification of Certain Cash Receipts and Cash Payments (“ASU</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2016-15”), to address diversity in practice in how certain cash receipts and cash payments are presented and classified in the consolidated statement of cash flows. The Company elected to early adopt ASU No. 2016-15 as of January 1, 2019. The adoption of ASU No. 2016-15 did not have a material impact on its consolidated financial statements.</w:t>
      </w:r>
    </w:p>
    <w:p>
      <w:pPr>
        <w:spacing w:after="0" w:line="1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November 2016, FASB issued ASU No. 2016-18, Statements of Cash Flows (Topic 230): Restricted Cash (“ASU No. 2016-18”). The Amendments in ASU No. 2016-18 require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 period total amounts shown on the statement of cash flows. The Company elected to early adopt ASU No. 2016-18 as of January 1, 2017. The adoption of ASU No. 2016-18 did not have a material impact on its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(“ASU</w:t>
      </w:r>
    </w:p>
    <w:p>
      <w:pPr>
        <w:spacing w:after="0" w:line="35"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No.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459" w:right="3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changes as a result of the change in terms or conditions. The standard is effective for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Company elected to early adopt ASU No. 2017-09 as of January 1, 2017. The adoption of ASU No. 2017-09 had no impact on its consolidated financial statements.</w:t>
      </w:r>
    </w:p>
    <w:p>
      <w:pPr>
        <w:spacing w:after="0" w:line="15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June 2018, the FASB issued ASU No. 2018-07, which aligns the measurement and classification guidance for share-based payments to non-employees with that for employees, with certain exceptions. It expands the scope of ASC 718 to include share-based payments granted to non-employees in exchange for goods or services used or consumed in the entity’s own operations and supersedes the guidance in ASC 505-50. ASU No. 2018-07 retains the existing cost attribution guidance, which requires entities to recognize compensation cost for non-employee awards in the same period and in the same manner (i.e., capitalize or expense) they would if they paid cash for the goods or services, but it moves the guidance to ASC 718. The guidance also allows nonpublic entities to account for non-employee awards using certain practical expedients that are already available for employee awards, but the same accounting policies must be used for awards to both employees and non-employees. ASU No. 2018-07 is effective for fiscal years beginning after December 15, 2018, and interim periods within those fiscal years. Early adoption is permitted. The Company elected to early adopt ASU No. 2018-07 as of January 1, 2017. The adoption of ASU No. 2018-07 did not have an impact on the Company’s consolidated financial statements as the Company had not yet granted any non-employee awards.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December 2019, the FASB issued ASU No. 2019-12, Income Taxes-Simplifying the Accounting for Income Taxes (“ASU No. 2019-12”). ASU No. 2019-12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public entities, ASU No. 2019-12 is effective for annual periods beginning after December 15, 2020, including interim periods within. For all other entities, this pronouncement is effective for fiscal years beginning after December 15, 2021, including interim periods within fiscal years beginning after December 15, 2022. Early adoption is permitted for all entities. Adoption of the standard requires certain changes to be made prospectively, with some changes to be made retrospectively. The Company is currently assessing the impact of this standard on its financial condition and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December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Quoted Prices in</w:t>
            </w:r>
          </w:p>
        </w:tc>
        <w:tc>
          <w:tcPr>
            <w:tcW w:w="1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Significant Other</w:t>
            </w: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Significant Other</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7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74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20" w:type="dxa"/>
            <w:vAlign w:val="bottom"/>
            <w:vMerge w:val="restart"/>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0" w:type="dxa"/>
            <w:vAlign w:val="bottom"/>
          </w:tcPr>
          <w:p>
            <w:pPr>
              <w:spacing w:after="0"/>
              <w:rPr>
                <w:sz w:val="12"/>
                <w:szCs w:val="12"/>
                <w:color w:val="auto"/>
              </w:rPr>
            </w:pPr>
          </w:p>
        </w:tc>
        <w:tc>
          <w:tcPr>
            <w:tcW w:w="16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6"/>
              </w:rPr>
              <w:t>Observable</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5"/>
                <w:szCs w:val="15"/>
                <w:color w:val="auto"/>
              </w:rPr>
            </w:pPr>
          </w:p>
        </w:tc>
        <w:tc>
          <w:tcPr>
            <w:tcW w:w="1720" w:type="dxa"/>
            <w:vAlign w:val="bottom"/>
            <w:gridSpan w:val="3"/>
          </w:tcPr>
          <w:p>
            <w:pPr>
              <w:jc w:val="center"/>
              <w:ind w:right="680"/>
              <w:spacing w:after="0" w:line="158" w:lineRule="exact"/>
              <w:rPr>
                <w:sz w:val="20"/>
                <w:szCs w:val="20"/>
                <w:color w:val="auto"/>
              </w:rPr>
            </w:pPr>
            <w:r>
              <w:rPr>
                <w:rFonts w:ascii="Arial" w:cs="Arial" w:eastAsia="Arial" w:hAnsi="Arial"/>
                <w:sz w:val="14"/>
                <w:szCs w:val="14"/>
                <w:b w:val="1"/>
                <w:bCs w:val="1"/>
                <w:color w:val="auto"/>
                <w:w w:val="90"/>
              </w:rPr>
              <w:t>Assets (Level 1)</w:t>
            </w:r>
          </w:p>
        </w:tc>
        <w:tc>
          <w:tcPr>
            <w:tcW w:w="1740" w:type="dxa"/>
            <w:vAlign w:val="bottom"/>
            <w:gridSpan w:val="3"/>
          </w:tcPr>
          <w:p>
            <w:pPr>
              <w:jc w:val="center"/>
              <w:ind w:right="680"/>
              <w:spacing w:after="0" w:line="158" w:lineRule="exact"/>
              <w:rPr>
                <w:sz w:val="20"/>
                <w:szCs w:val="20"/>
                <w:color w:val="auto"/>
              </w:rPr>
            </w:pPr>
            <w:r>
              <w:rPr>
                <w:rFonts w:ascii="Arial" w:cs="Arial" w:eastAsia="Arial" w:hAnsi="Arial"/>
                <w:sz w:val="14"/>
                <w:szCs w:val="14"/>
                <w:b w:val="1"/>
                <w:bCs w:val="1"/>
                <w:color w:val="auto"/>
                <w:w w:val="95"/>
              </w:rPr>
              <w:t>Inputs (Level 2)</w:t>
            </w:r>
          </w:p>
        </w:tc>
        <w:tc>
          <w:tcPr>
            <w:tcW w:w="114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190"/>
        </w:trPr>
        <w:tc>
          <w:tcPr>
            <w:tcW w:w="51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Series A Preferred Share Tranche Obligation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2,490</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6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F-18</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During the year ended December 31, 2018, there were no transfers between fair value measure levels. The Company’s Series A Preferred Share Tranche Obligation is carried at fair value measured using Level 3 inputs in the fair value hierarchy as described above. In connection with the Company’s issuance and sale of Series B Preferred Shares in September 2019, the Series A Preferred Share Tranche Obligation was terminated.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financial assets and liabilities carried at fair value as of December 31,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Share Tranche Obligation</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 determined that its obligation to issue, and the Company’s investors’ obligation to purchase, additional Series A Preferred Shares at a fixed price (i.e., the issuance price) in subsequent tranches following the initial closing of the Series A Preferred Share financing represented a freestanding financial instrument, the Series A Preferred Share Tranche Obligation. The freestanding financial instrument was classified as an asset or liability on the Company’s consolidated balance sheets and initially recorded at fair value, with changes in fair value for each reporting period recognized in other income (expense), net in the consolidated statements of operations and comprehensive loss (Note 8).</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connection with the Company’s issuance of the Series A Preferred Shares in June 2017 (Note 8), the Company recognized the Series A Preferred Share Tranche Obligation at the initial fair value which was determined based on significant inputs not observable in the market, which represents a Level 3 measurement within the fair value hierarchy. The fair value of the obligation was estimated based on results of a third-party valuation. This obligation is remeasured prior to the issuance of subsequent tranches and at each subsequent reporting period. As such, the proceeds from the Series A Preferred Share financing were allocated between the Series A Preferred Share Tranche Obligation and Series A Preferred Shares using the residual method, with the Series A Preferred Share Tranche Obligation being recorded at its fair value and the Series A Preferred Shares at the residual value.</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Each tranche obligation is valued as a forward contract. The values were determined using a probability-weighted present value calculation. In determining the fair values of the tranche obligations, estimates and assumptions impacting fair value included the estimated future values of the Company’s Series A Preferred Shares, discount rates, estimated time to liquidity and probability of each tranche closing. The Company determined the per share future value of the Series A Preferred Shares by back-solving to the initial proceeds of the Series A Preferred Share financing. The Company remeasured each tranche obligation at each reporting period and prior to settlement. The following reflects the significant quantitative inputs used in the valuation of the Series A Preferred Share Tranche Obligation:</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5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Estimated future value of Series A Preferred Shares</w:t>
            </w:r>
          </w:p>
        </w:tc>
        <w:tc>
          <w:tcPr>
            <w:tcW w:w="1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0.80</w:t>
            </w:r>
          </w:p>
        </w:tc>
        <w:tc>
          <w:tcPr>
            <w:tcW w:w="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0.90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Discount rate</w:t>
            </w:r>
          </w:p>
        </w:tc>
        <w:tc>
          <w:tcPr>
            <w:tcW w:w="2360" w:type="dxa"/>
            <w:vAlign w:val="bottom"/>
            <w:gridSpan w:val="3"/>
          </w:tcPr>
          <w:p>
            <w:pPr>
              <w:jc w:val="right"/>
              <w:ind w:right="40"/>
              <w:spacing w:after="0"/>
              <w:rPr>
                <w:sz w:val="20"/>
                <w:szCs w:val="20"/>
                <w:color w:val="auto"/>
              </w:rPr>
            </w:pPr>
            <w:r>
              <w:rPr>
                <w:rFonts w:ascii="Arial" w:cs="Arial" w:eastAsia="Arial" w:hAnsi="Arial"/>
                <w:sz w:val="18"/>
                <w:szCs w:val="18"/>
                <w:color w:val="auto"/>
              </w:rPr>
              <w:t>30.00%</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25.00%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Time to liquidity (years)</w:t>
            </w:r>
          </w:p>
        </w:tc>
        <w:tc>
          <w:tcPr>
            <w:tcW w:w="2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Probability of tranche closing</w:t>
            </w:r>
          </w:p>
        </w:tc>
        <w:tc>
          <w:tcPr>
            <w:tcW w:w="1660" w:type="dxa"/>
            <w:vAlign w:val="bottom"/>
          </w:tcPr>
          <w:p>
            <w:pPr>
              <w:spacing w:after="0"/>
              <w:rPr>
                <w:sz w:val="17"/>
                <w:szCs w:val="17"/>
                <w:color w:val="auto"/>
              </w:rPr>
            </w:pPr>
          </w:p>
        </w:tc>
        <w:tc>
          <w:tcPr>
            <w:tcW w:w="70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90% –</w:t>
            </w:r>
          </w:p>
        </w:tc>
        <w:tc>
          <w:tcPr>
            <w:tcW w:w="980" w:type="dxa"/>
            <w:vAlign w:val="bottom"/>
          </w:tcPr>
          <w:p>
            <w:pPr>
              <w:spacing w:after="0"/>
              <w:rPr>
                <w:sz w:val="17"/>
                <w:szCs w:val="17"/>
                <w:color w:val="auto"/>
              </w:rPr>
            </w:pPr>
          </w:p>
        </w:tc>
        <w:tc>
          <w:tcPr>
            <w:tcW w:w="7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90% –</w:t>
            </w:r>
          </w:p>
        </w:tc>
      </w:tr>
      <w:tr>
        <w:trPr>
          <w:trHeight w:val="230"/>
        </w:trPr>
        <w:tc>
          <w:tcPr>
            <w:tcW w:w="5360" w:type="dxa"/>
            <w:vAlign w:val="bottom"/>
          </w:tcPr>
          <w:p>
            <w:pPr>
              <w:spacing w:after="0"/>
              <w:rPr>
                <w:sz w:val="20"/>
                <w:szCs w:val="20"/>
                <w:color w:val="auto"/>
              </w:rPr>
            </w:pPr>
          </w:p>
        </w:tc>
        <w:tc>
          <w:tcPr>
            <w:tcW w:w="2360" w:type="dxa"/>
            <w:vAlign w:val="bottom"/>
            <w:gridSpan w:val="3"/>
          </w:tcPr>
          <w:p>
            <w:pPr>
              <w:jc w:val="right"/>
              <w:ind w:right="40"/>
              <w:spacing w:after="0"/>
              <w:rPr>
                <w:sz w:val="20"/>
                <w:szCs w:val="20"/>
                <w:color w:val="auto"/>
              </w:rPr>
            </w:pPr>
            <w:r>
              <w:rPr>
                <w:rFonts w:ascii="Arial" w:cs="Arial" w:eastAsia="Arial" w:hAnsi="Arial"/>
                <w:sz w:val="18"/>
                <w:szCs w:val="18"/>
                <w:color w:val="auto"/>
              </w:rPr>
              <w:t>95%</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change in the assumptions related to the valuation of the Series A Preferred Share Tranche Obligation could have a significant impact on the value of the obligation.</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Company recorded other income of $180 and other expense of $1,130 and $1,350 for changes in the fair value of the Series A Preferred Share Tranche Obligation in the consolidated statements of operations and comprehensive loss for the years ended December 31, 2017, 2018 and 2019, respectively.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320" w:top="459" w:right="3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elected the fair value option to account for its Convertible Notes issued during 2016 and 2017. The fair value of the Convertible Notes was determined based on significant inputs not observable in the market, which represents a Level 3 measurement within the fair value hierarchy.</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determined the fair value of the Convertible Notes based on the proceeds received for the Convertible Notes, the terms of the Convertible Notes, including the rate at which the notes convert into qualified equity financing securities, the probability and timing of a qualified equity financing and the fair value of the underlying preferred shares. Estimates and assumptions impacting the fair value measurement include the probability of a qualified equity financing as defined in the convertible notes agreement, the expected timing of such event and the then fair value of the Company’s Series A Preferred Shares. The Company estimated the probability and timing of the qualified equity financing based on management’s assumptions and knowledge of specified events at issuance and as of each reporting date. The Company determined the fair value per share of the Series A Preferred Shares as described above.</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June 2017, in connection with the Company’s issuance and sale of Series A Preferred Shares, the outstanding principal under the Convertible Notes was automatically converted into shares of Series A Preferred Shares and the Convertible Notes liability was extinguished. The Company recorded other expense of $1,615 for changes in the fair value of the Convertible Notes in the consolidated statements of operations and comprehensive loss for the year ended December 31, 2017.</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provides a roll forward of the aggregate fair value of the Company’s Series A Preferred Share Tranche Obligation and Convertible Notes, for which fair value was determined using Level 3 inputs:</w:t>
      </w:r>
    </w:p>
    <w:p>
      <w:pPr>
        <w:sectPr>
          <w:pgSz w:w="11900" w:h="16838" w:orient="portrait"/>
          <w:cols w:equalWidth="0" w:num="1">
            <w:col w:w="11180"/>
          </w:cols>
          <w:pgMar w:left="32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Balance as of January 1, 2017</w:t>
      </w:r>
    </w:p>
    <w:p>
      <w:pPr>
        <w:spacing w:after="0" w:line="2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Issuance of obligation</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Change in fair value plus accrued interest</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Settlement of obligation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Accrued interest to accounts payable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9"/>
              </w:rPr>
              <w:t>Series A</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3"/>
              </w:rPr>
              <w:t>Preferred Share</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Convertible Notes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0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2"/>
              </w:rPr>
              <w:t>Tranche Obligation</w:t>
            </w: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ind w:right="15"/>
              <w:spacing w:after="0" w:line="195"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6"/>
                <w:szCs w:val="16"/>
                <w:color w:val="auto"/>
              </w:rPr>
            </w:pPr>
          </w:p>
        </w:tc>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1,540</w:t>
            </w:r>
          </w:p>
        </w:tc>
        <w:tc>
          <w:tcPr>
            <w:tcW w:w="3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color w:val="auto"/>
              </w:rPr>
              <w:t>(180)</w:t>
            </w:r>
          </w:p>
        </w:tc>
        <w:tc>
          <w:tcPr>
            <w:tcW w:w="3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-694055</wp:posOffset>
            </wp:positionV>
            <wp:extent cx="5417820" cy="1460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417820" cy="14605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-410845</wp:posOffset>
            </wp:positionV>
            <wp:extent cx="5417820" cy="137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417820" cy="13716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-136525</wp:posOffset>
            </wp:positionV>
            <wp:extent cx="5417820" cy="1371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840" w:space="720"/>
            <w:col w:w="4620"/>
          </w:cols>
          <w:pgMar w:left="320" w:top="459" w:right="399" w:bottom="1440" w:gutter="0" w:footer="0" w:header="0"/>
          <w:type w:val="continuous"/>
        </w:sectPr>
      </w:pPr>
    </w:p>
    <w:tbl>
      <w:tblPr>
        <w:tblLayout w:type="fixed"/>
        <w:tblInd w:w="1360" w:type="dxa"/>
        <w:tblCellMar>
          <w:top w:w="0" w:type="dxa"/>
          <w:left w:w="0" w:type="dxa"/>
          <w:bottom w:w="0" w:type="dxa"/>
          <w:right w:w="0" w:type="dxa"/>
        </w:tblCellMar>
      </w:tblP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2017</w:t>
            </w:r>
          </w:p>
        </w:tc>
        <w:tc>
          <w:tcPr>
            <w:tcW w:w="18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80" w:type="dxa"/>
            <w:vAlign w:val="bottom"/>
            <w:vMerge w:val="continue"/>
          </w:tcPr>
          <w:p>
            <w:pPr>
              <w:spacing w:after="0"/>
              <w:rPr>
                <w:sz w:val="17"/>
                <w:szCs w:val="17"/>
                <w:color w:val="auto"/>
              </w:rPr>
            </w:pPr>
          </w:p>
        </w:tc>
        <w:tc>
          <w:tcPr>
            <w:tcW w:w="2220" w:type="dxa"/>
            <w:vAlign w:val="bottom"/>
            <w:gridSpan w:val="2"/>
          </w:tcPr>
          <w:p>
            <w:pPr>
              <w:jc w:val="right"/>
              <w:ind w:right="269"/>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1,360</w:t>
            </w:r>
          </w:p>
        </w:tc>
        <w:tc>
          <w:tcPr>
            <w:tcW w:w="900" w:type="dxa"/>
            <w:vAlign w:val="bottom"/>
          </w:tcPr>
          <w:p>
            <w:pPr>
              <w:spacing w:after="0"/>
              <w:rPr>
                <w:sz w:val="17"/>
                <w:szCs w:val="17"/>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3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18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18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18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Tranche 2 settlement of obligation</w:t>
            </w: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right"/>
              <w:ind w:right="860"/>
              <w:spacing w:after="0"/>
              <w:rPr>
                <w:sz w:val="20"/>
                <w:szCs w:val="20"/>
                <w:color w:val="auto"/>
              </w:rPr>
            </w:pPr>
            <w:r>
              <w:rPr>
                <w:rFonts w:ascii="Arial" w:cs="Arial" w:eastAsia="Arial" w:hAnsi="Arial"/>
                <w:sz w:val="18"/>
                <w:szCs w:val="18"/>
                <w:color w:val="auto"/>
              </w:rPr>
              <w:t>(880)</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Tranche 3 termination</w:t>
            </w:r>
          </w:p>
        </w:tc>
        <w:tc>
          <w:tcPr>
            <w:tcW w:w="18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(2,960)</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18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80" w:type="dxa"/>
            <w:vAlign w:val="bottom"/>
          </w:tcPr>
          <w:p>
            <w:pPr>
              <w:spacing w:after="0"/>
              <w:rPr>
                <w:sz w:val="24"/>
                <w:szCs w:val="24"/>
                <w:color w:val="auto"/>
              </w:rPr>
            </w:pPr>
          </w:p>
        </w:tc>
        <w:tc>
          <w:tcPr>
            <w:tcW w:w="2220" w:type="dxa"/>
            <w:vAlign w:val="bottom"/>
            <w:gridSpan w:val="2"/>
          </w:tcPr>
          <w:p>
            <w:pPr>
              <w:jc w:val="right"/>
              <w:ind w:right="1109"/>
              <w:spacing w:after="0"/>
              <w:rPr>
                <w:sz w:val="20"/>
                <w:szCs w:val="20"/>
                <w:color w:val="auto"/>
              </w:rPr>
            </w:pPr>
            <w:r>
              <w:rPr>
                <w:rFonts w:ascii="Arial" w:cs="Arial" w:eastAsia="Arial" w:hAnsi="Arial"/>
                <w:sz w:val="18"/>
                <w:szCs w:val="18"/>
                <w:color w:val="auto"/>
              </w:rPr>
              <w:t>F-20</w:t>
            </w: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type w:val="continuous"/>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as of December 31, 2018 and 2019 consisted of the following:</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2018</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2"/>
                <w:szCs w:val="12"/>
                <w:color w:val="auto"/>
              </w:rPr>
            </w:pPr>
          </w:p>
        </w:tc>
      </w:tr>
      <w:tr>
        <w:trPr>
          <w:trHeight w:val="209"/>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Office equipment</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1,490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2,565</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2,142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3,486</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(1,096)</w:t>
            </w: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1,652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2,390</w:t>
            </w: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recognized depreciation expense of $102, of which $95 was included in research and development expense and $7 was included in general and administrative expense, $407, of which $380 was included in research and development expense and $27 was included in general and administrative expense, and $606, of which $539 was included in research and development expense and $67 was included in general and administrative expense, for the years ended December 31, 2017, 2018 and 2019,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as of December 31, 2018 and 2019 consisted of the following:</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5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Accrued research and development expense</w:t>
            </w:r>
          </w:p>
        </w:tc>
        <w:tc>
          <w:tcPr>
            <w:tcW w:w="2160" w:type="dxa"/>
            <w:vAlign w:val="bottom"/>
            <w:gridSpan w:val="3"/>
          </w:tcPr>
          <w:p>
            <w:pPr>
              <w:jc w:val="right"/>
              <w:ind w:right="240"/>
              <w:spacing w:after="0"/>
              <w:rPr>
                <w:sz w:val="20"/>
                <w:szCs w:val="20"/>
                <w:color w:val="auto"/>
              </w:rPr>
            </w:pPr>
            <w:r>
              <w:rPr>
                <w:rFonts w:ascii="Arial" w:cs="Arial" w:eastAsia="Arial" w:hAnsi="Arial"/>
                <w:sz w:val="18"/>
                <w:szCs w:val="18"/>
                <w:color w:val="auto"/>
              </w:rPr>
              <w:t>111</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208</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27"/>
        </w:trPr>
        <w:tc>
          <w:tcPr>
            <w:tcW w:w="5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expenses and other current liabilities</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660</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1,276</w:t>
            </w:r>
          </w:p>
        </w:tc>
      </w:tr>
      <w:tr>
        <w:trPr>
          <w:trHeight w:val="20"/>
        </w:trPr>
        <w:tc>
          <w:tcPr>
            <w:tcW w:w="5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License Agreements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December 2016, as further amended in February 2017 and amended and restated in July 2018, the Company entered into a license agreement (the “NYU Agreement”) with New York University, pursuant to which the Company obtained a worldwide, royalty-bearing, exclusive license under certain patents and know-how of New York University to research, develop and commercialize products covered by such licensed patents. The Company is required to pay New York University an annual non-refundable license fee, which is creditable against future milestone and royalty payments. The Company is required to pay amounts up to approximately $6,713 in the aggregate upon achievement of certain clinical and commercial milestones and pay a low single digit royalty on future net sales of any product covered by a licensed product and a lower-single digit royalty on future net sales of any product not covered by a licensed product. The NYU Agreement expires on the date of expiration of all royalty obligations.</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Any potential future milestone or royalty payment amounts have not been accrued at December 31, 2019 due to the uncertainty related to the successful achievement of these milestones.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00"/>
          </w:cols>
          <w:pgMar w:left="320" w:top="459" w:right="37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historically entered into lease arrangements for its facilities and certain equipment. As of December 31, 2019, the Company had three operating leases with required future minimum payments. In applying the transition guidance under ASC 842, the Company determined the classifications of these leases to be operating leases and recorded right-of-use assets and leases liabilities as of the effective date. The Company’s leases generally do not include termination or purchase options.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June 2017, the Company entered into a lease agreement for office and laboratory space in Montreal, Quebec, for a four-year term, ending in July 2021. As required under the terms of the lease agreement, the lease requires a standby letter of credit in the amount of $208, which remains unused as of December 31, 2019.</w:t>
      </w:r>
    </w:p>
    <w:p>
      <w:pPr>
        <w:spacing w:after="0" w:line="184"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 November 2017, and further amended in April 2018, January 2019 and August 2019, the Company entered into a lease agreement for office and laboratory space located in Montreal, Quebec, for a three-year term ending in October 2020 with the option to extend through October 2022.</w:t>
      </w:r>
    </w:p>
    <w:p>
      <w:pPr>
        <w:spacing w:after="0" w:line="1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June 2019, and further amended in August 2019, the Company entered into a lease agreement for office space in Cambridge, Massachusetts, for a two-year term, ending in May 2021.</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November 2019, the Company entered into a lease agreement for office and laboratory space located in Montreal, Quebec that has not commenced as of December 31, 2019. As required under the terms of the lease agreement, the Company had prepaid rent of $522 as of December 31, 2019 and a commitment to prepay an additional $522 prior to lease commencement, which the current portion was accounted for within prepaid expenses and other current assets and the long-term portion was accounted for within other assets.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Company’s operating leases for the year ended December 31, 2019:</w:t>
      </w:r>
    </w:p>
    <w:p>
      <w:pPr>
        <w:spacing w:after="0" w:line="176"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5700" w:type="dxa"/>
            <w:vAlign w:val="bottom"/>
          </w:tcPr>
          <w:p>
            <w:pPr>
              <w:spacing w:after="0"/>
              <w:rPr>
                <w:sz w:val="14"/>
                <w:szCs w:val="14"/>
                <w:color w:val="auto"/>
              </w:rPr>
            </w:pPr>
          </w:p>
        </w:tc>
        <w:tc>
          <w:tcPr>
            <w:tcW w:w="1720" w:type="dxa"/>
            <w:vAlign w:val="bottom"/>
            <w:gridSpan w:val="5"/>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Leases</w:t>
            </w:r>
          </w:p>
        </w:tc>
        <w:tc>
          <w:tcPr>
            <w:tcW w:w="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b w:val="1"/>
                <w:bCs w:val="1"/>
                <w:color w:val="auto"/>
              </w:rPr>
              <w:t>Lease Cost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cost</w:t>
            </w:r>
          </w:p>
        </w:tc>
        <w:tc>
          <w:tcPr>
            <w:tcW w:w="1440" w:type="dxa"/>
            <w:vAlign w:val="bottom"/>
            <w:gridSpan w:val="4"/>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c>
          <w:tcPr>
            <w:tcW w:w="40" w:type="dxa"/>
            <w:vAlign w:val="bottom"/>
            <w:shd w:val="clear" w:color="auto" w:fill="CCEEFF"/>
          </w:tcPr>
          <w:p>
            <w:pPr>
              <w:spacing w:after="0"/>
              <w:rPr>
                <w:sz w:val="18"/>
                <w:szCs w:val="18"/>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Short-term lease cost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Variable lease cost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40" w:type="dxa"/>
            <w:vAlign w:val="bottom"/>
            <w:shd w:val="clear" w:color="auto" w:fill="CCEEFF"/>
          </w:tcPr>
          <w:p>
            <w:pPr>
              <w:spacing w:after="0"/>
              <w:rPr>
                <w:sz w:val="18"/>
                <w:szCs w:val="18"/>
                <w:color w:val="auto"/>
              </w:rPr>
            </w:pPr>
          </w:p>
        </w:tc>
      </w:tr>
      <w:tr>
        <w:trPr>
          <w:trHeight w:val="223"/>
        </w:trPr>
        <w:tc>
          <w:tcPr>
            <w:tcW w:w="5700" w:type="dxa"/>
            <w:vAlign w:val="bottom"/>
          </w:tcPr>
          <w:p>
            <w:pPr>
              <w:ind w:left="360"/>
              <w:spacing w:after="0"/>
              <w:rPr>
                <w:sz w:val="20"/>
                <w:szCs w:val="20"/>
                <w:color w:val="auto"/>
              </w:rPr>
            </w:pPr>
            <w:r>
              <w:rPr>
                <w:rFonts w:ascii="Arial" w:cs="Arial" w:eastAsia="Arial" w:hAnsi="Arial"/>
                <w:sz w:val="18"/>
                <w:szCs w:val="18"/>
                <w:color w:val="auto"/>
              </w:rPr>
              <w:t>Total lease cost</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671</w:t>
            </w:r>
          </w:p>
        </w:tc>
        <w:tc>
          <w:tcPr>
            <w:tcW w:w="4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3"/>
        </w:trPr>
        <w:tc>
          <w:tcPr>
            <w:tcW w:w="5700" w:type="dxa"/>
            <w:vAlign w:val="bottom"/>
          </w:tcPr>
          <w:p>
            <w:pPr>
              <w:spacing w:after="0"/>
              <w:rPr>
                <w:sz w:val="24"/>
                <w:szCs w:val="24"/>
                <w:color w:val="auto"/>
              </w:rPr>
            </w:pPr>
          </w:p>
        </w:tc>
        <w:tc>
          <w:tcPr>
            <w:tcW w:w="192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70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5700" w:type="dxa"/>
            <w:vAlign w:val="bottom"/>
            <w:tcBorders>
              <w:top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Other Operating Lease Information</w:t>
            </w:r>
          </w:p>
        </w:tc>
        <w:tc>
          <w:tcPr>
            <w:tcW w:w="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Operating cash flows for operating leases</w:t>
            </w:r>
          </w:p>
        </w:tc>
        <w:tc>
          <w:tcPr>
            <w:tcW w:w="1440" w:type="dxa"/>
            <w:vAlign w:val="bottom"/>
            <w:gridSpan w:val="4"/>
          </w:tcPr>
          <w:p>
            <w:pPr>
              <w:jc w:val="right"/>
              <w:ind w:right="47"/>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426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 obtained in exchange for lease obligations</w:t>
            </w:r>
          </w:p>
        </w:tc>
        <w:tc>
          <w:tcPr>
            <w:tcW w:w="1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Weighted-average remaining lease term</w:t>
            </w:r>
          </w:p>
        </w:tc>
        <w:tc>
          <w:tcPr>
            <w:tcW w:w="880" w:type="dxa"/>
            <w:vAlign w:val="bottom"/>
          </w:tcPr>
          <w:p>
            <w:pPr>
              <w:spacing w:after="0"/>
              <w:rPr>
                <w:sz w:val="18"/>
                <w:szCs w:val="18"/>
                <w:color w:val="auto"/>
              </w:rPr>
            </w:pPr>
          </w:p>
        </w:tc>
        <w:tc>
          <w:tcPr>
            <w:tcW w:w="1040" w:type="dxa"/>
            <w:vAlign w:val="bottom"/>
            <w:gridSpan w:val="6"/>
          </w:tcPr>
          <w:p>
            <w:pPr>
              <w:jc w:val="right"/>
              <w:ind w:right="200"/>
              <w:spacing w:after="0"/>
              <w:rPr>
                <w:sz w:val="20"/>
                <w:szCs w:val="20"/>
                <w:color w:val="auto"/>
              </w:rPr>
            </w:pPr>
            <w:r>
              <w:rPr>
                <w:rFonts w:ascii="Arial" w:cs="Arial" w:eastAsia="Arial" w:hAnsi="Arial"/>
                <w:sz w:val="18"/>
                <w:szCs w:val="18"/>
                <w:color w:val="auto"/>
                <w:w w:val="97"/>
              </w:rPr>
              <w:t>1.79 years</w:t>
            </w: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discount rate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7.6%</w:t>
            </w:r>
          </w:p>
        </w:tc>
        <w:tc>
          <w:tcPr>
            <w:tcW w:w="40" w:type="dxa"/>
            <w:vAlign w:val="bottom"/>
            <w:shd w:val="clear" w:color="auto" w:fill="CCEEFF"/>
          </w:tcPr>
          <w:p>
            <w:pPr>
              <w:spacing w:after="0"/>
              <w:rPr>
                <w:sz w:val="18"/>
                <w:szCs w:val="18"/>
                <w:color w:val="auto"/>
              </w:rPr>
            </w:pPr>
          </w:p>
        </w:tc>
      </w:tr>
      <w:tr>
        <w:trPr>
          <w:trHeight w:val="365"/>
        </w:trPr>
        <w:tc>
          <w:tcPr>
            <w:tcW w:w="5700" w:type="dxa"/>
            <w:vAlign w:val="bottom"/>
          </w:tcPr>
          <w:p>
            <w:pPr>
              <w:ind w:left="3640"/>
              <w:spacing w:after="0"/>
              <w:rPr>
                <w:sz w:val="20"/>
                <w:szCs w:val="20"/>
                <w:color w:val="auto"/>
              </w:rPr>
            </w:pPr>
            <w:r>
              <w:rPr>
                <w:rFonts w:ascii="Arial" w:cs="Arial" w:eastAsia="Arial" w:hAnsi="Arial"/>
                <w:sz w:val="18"/>
                <w:szCs w:val="18"/>
                <w:color w:val="auto"/>
              </w:rPr>
              <w:t>F-22</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variable lease costs for the year ended December 31, 2019 include contingent rental usage, common area maintenance and other operating charges. As the Company’s leases do not provide an implicit rate, the Company utilized its incremental borrowing rate to discount lease payments, which reflects the fixed rate at which the Company could borrow on a collateralized basis the amount of the lease payments in the same currency, for a similar term, in a similar economic environment.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Company’s operating leases as of December 31, 2019 were as follows:</w:t>
      </w:r>
    </w:p>
    <w:p>
      <w:pPr>
        <w:spacing w:after="0" w:line="231"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Maturity of Lease Liabilities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table above excludes $3,222 of legally binding minimum lease payments for the lease in Montreal, Quebec that has been executed but not yet commenced as of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future minimum lease payments under the Company’s lease obligations under ASC 840 were as follows:</w:t>
      </w:r>
    </w:p>
    <w:p>
      <w:pPr>
        <w:spacing w:after="0" w:line="244"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5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594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5560" w:type="dxa"/>
            <w:vAlign w:val="bottom"/>
          </w:tcPr>
          <w:p>
            <w:pPr>
              <w:spacing w:after="0"/>
              <w:rPr>
                <w:sz w:val="19"/>
                <w:szCs w:val="19"/>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380</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Shares</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June 2017, the Company authorized the issuance of an unlimited number of Series A Preferred Shares with no par value in connection with the sale and issuance of up to 80,246,915 Series A Preferred Shares. The Series A Preferred Share financing was structured to close in three tranches, each contingent upon the achievement of certain specified milestones.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2017, in connection with the closing of the first tranche of Series A Preferred Shares, the Company issued 35,802,469 Series A Preferred Shares at $0.81 per share for total proceeds of $28,958, net of issuance costs of $42 and converted previously issued and outstanding Convertible Notes amounting to $4,455 issued in October 2016 and April 2017 into 5,500,000 Series A Preferred Shares. The terms included the obligation of the investors to purchase, and the Company to sell, up to 44,444,445 additional Series A Preferred Shares contingent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320" w:top="459" w:right="3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the achievement of certain specified milestones. The Company concluded that the obligation and right to make future issuances of Series A Preferred Shares met the definition of a freestanding financial instrument, as the rights were legally detachable from the Series A Preferred Shares (Note 3). In January 2019, in connection with the closing of the second tranche of Series A Preferred Shares, the Company issued 25,925,926 Series A Preferred Shares at $0.81 per share for total gross proceeds of $21,000, and the liability related to the Series A second tranche obligation was settled and recognized at fair value as Series A Preferred Shares.</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August 2019, the Company authorized the issuance of an unlimited number of Series B Preferred Shares with no par value. In September 2019, the Company issued 63,458,580 Series B Preferred Shares to existing and new investors at $1.30 per share for total proceeds of $82,496. In connection with the issuance and sale of Series B Preferred Shares, the Series A third tranche obligation liability was terminated and recognized as additional paid-in-capital.</w:t>
      </w:r>
    </w:p>
    <w:p>
      <w:pPr>
        <w:spacing w:after="0" w:line="18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carrying value of the Series A Preferred Shares is based on the net proceeds received at initial issuance net of the fair value of the Series A Preferred Share Tranche Obligation. At issuance of the first and second tranches, no beneficial conversion features were present. The carrying value of the Series B Preferred Shares is based on the net proceeds received. At initial issuance, no beneficial conversion features were present.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2018 and 2019, preferred shares consisted of the following in the table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rPr>
              <w:t>December 31, 2017</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Liquidation</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Issuable Upon</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41,302,469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31,873</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31,750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41,302,469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41,302,469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31,873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31,750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41,302,469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Liquidation</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Issuable Upon</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41,302,469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31,873</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31,750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41,302,469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41,302,469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31,873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31,750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41,302,469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260" w:type="dxa"/>
            <w:vAlign w:val="bottom"/>
          </w:tcPr>
          <w:p>
            <w:pPr>
              <w:spacing w:after="0"/>
              <w:rPr>
                <w:sz w:val="10"/>
                <w:szCs w:val="10"/>
                <w:color w:val="auto"/>
              </w:rPr>
            </w:pPr>
          </w:p>
        </w:tc>
        <w:tc>
          <w:tcPr>
            <w:tcW w:w="120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Preferred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2"/>
                <w:szCs w:val="12"/>
                <w:color w:val="auto"/>
              </w:rPr>
            </w:pPr>
          </w:p>
        </w:tc>
        <w:tc>
          <w:tcPr>
            <w:tcW w:w="88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Liquidation</w:t>
            </w:r>
          </w:p>
        </w:tc>
        <w:tc>
          <w:tcPr>
            <w:tcW w:w="3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Issued and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Issuable Upon</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67,228,395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53,749</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52,750</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67,228,395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63,458,580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82,248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82,496</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63,458,580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130,686,975</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135,997</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135,246</w:t>
            </w:r>
          </w:p>
        </w:tc>
        <w:tc>
          <w:tcPr>
            <w:tcW w:w="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130,686,975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rights and privileges of the holders of the preferred shares as of December 31,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holders of preferred shares are entitled to vote, together with the holders of common shares, on all matters submitted to the shareholders for a vote and are entitled to the number of votes equal to the number of whole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00"/>
          </w:cols>
          <w:pgMar w:left="320" w:top="459" w:right="3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common shares into which the preferred shares held by such holders could convert on the record date for determination of shareholders entitled to vote. Except for meetings at which only holders of another specified class are entitled to vote, the holders of preferred shares shall vote together with the holders of common shares and vote as a single class.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holders of the preferred shares are entitled to receive, prior and in preference to any dividends on any other common shares of the Company, noncumulative dividends of 8% per annum of the sum of the preferred shares issuance price and all declared but unpaid dividends accrued thereon only when and if declared by the board of directors.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2018 and 2019, the preferred shares were convertible into common shares on a one-to-one basis.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Each preferred share is convertible into common shares, at any time, at the option of the holder, and without the payment of additional consideration, at the applicable conversion ratio in effect for preferred shares, which is initially one-to-one and subject to adjustment for certain anti-dilutive events. In addition, each preferred share will be automatically converted into common shares at the applicable conversion ratio in effect for preferred shares upon either (i) the closing of a qualified initial public offering of its common shares at a price per share of at least $2.60 per share (subject to adjustment for any share split, combination or dividend or distribution payable) resulting in $50,000 or more in gross proceeds to the Company, or (ii) the election to convert the preferred shares by at least 70% of the holders of preferred shares.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the event of any liquidation, dissolution or winding-up of the affairs of the Company, or unless waived by 70% of the holders of preferred shares, a sale of the Company that results in a change of control or a sale of substantially all of the Company’s assets or intellectual property, the holders of preferred shares are entitled to be paid, in priority to the holders of any other class of shares, a liquidation preference equal to the aggregate of all accrued but unpaid dividends on the preferred shares. After satisfying the liquidation preference, the holders of record of preferred shares shall be entitled to receive ratably with the holders of common shares the residual assets of the Company on an as-converted basis.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2018 and 2019, the authorized capital shares of the Company was unlimited with no par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historical common share transactions of the Company from its incorporation through December 31, 2019:</w:t>
      </w:r>
    </w:p>
    <w:p>
      <w:pPr>
        <w:spacing w:after="0" w:line="131" w:lineRule="exact"/>
        <w:rPr>
          <w:sz w:val="20"/>
          <w:szCs w:val="20"/>
          <w:color w:val="auto"/>
        </w:rPr>
      </w:pPr>
    </w:p>
    <w:p>
      <w:pPr>
        <w:ind w:left="1000" w:hanging="439"/>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2016, the Company issued 8,300,000 common shares for total proceeds of $1.</w:t>
      </w:r>
    </w:p>
    <w:p>
      <w:pPr>
        <w:spacing w:after="0" w:line="130" w:lineRule="exact"/>
        <w:rPr>
          <w:rFonts w:ascii="Arial" w:cs="Arial" w:eastAsia="Arial" w:hAnsi="Arial"/>
          <w:sz w:val="18"/>
          <w:szCs w:val="18"/>
          <w:color w:val="auto"/>
        </w:rPr>
      </w:pPr>
    </w:p>
    <w:p>
      <w:pPr>
        <w:ind w:left="1000" w:right="380" w:hanging="439"/>
        <w:spacing w:after="0" w:line="277" w:lineRule="auto"/>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2016, the Company issued 365,000 common shares in exchange for the license of certain intellectual property, which was recorded as research and development expense upon issuance.</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2017, the Company issued 600,000 common shares in exchange of no consideration.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00"/>
          </w:cols>
          <w:pgMar w:left="320" w:top="459" w:right="3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Each common share entitles the holder to one vote, together with the holders of Series A Preferred Shares, on all matters submitted to the shareholders for a vote. The holders of common shares are entitled to receive dividends, as may be declared by the board of directors, if any, subject to the preferential dividend rights of convertible preferred shares. Through December 31, 2019, no cash dividends have been declared or paid.</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2017, 2018 and 2019, the Company has reserved common shares for the potential conversion of outstanding Series A Preferred Shares, Series B Preferred Shares and exercise of stock options in the table below.</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09"/>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41,302,469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41,302,469</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67,228,395</w:t>
            </w:r>
          </w:p>
        </w:tc>
        <w:tc>
          <w:tcPr>
            <w:tcW w:w="8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13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63,458,580</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shares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4,987,000</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5,500,208</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21,248,158</w:t>
            </w: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46,289,469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46,802,677</w:t>
            </w:r>
          </w:p>
        </w:tc>
        <w:tc>
          <w:tcPr>
            <w:tcW w:w="3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151,935,133</w:t>
            </w:r>
          </w:p>
        </w:tc>
        <w:tc>
          <w:tcPr>
            <w:tcW w:w="8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Collaborations</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January 2019, the Company entered into a research services, license and collaboration agreement (the “Ono Agreement”) with Ono Pharmaceutical Co., Ltd. (“Ono”), a Japanese pharmaceutical company, pursuant to which the Company and Ono have agreed to collaborate in the research of potential product candidates targeting Polq and the development of the Company’s small molecule Polq inhibitor program. The Company is primarily responsible for carrying out research activities to identify a product candidate, to be licensed to Ono, in accordance with a mutually agreed upon research plan during a research term that will end upon the earlier of the date of the first submission of an Investigational New Drug application (“IND”) in the United States or Japan, or the end of the research term. In the event that Ono elects to collaborate on the subsequent development and commercialization of the proposed product candidate, Ono will be then responsible for such activities in Japan, South Korea, Taiwan, Hong-Kong, Macau and the Association of Southeast Asian Nations (collectively, the “Ono territory”), and the Company will be responsible for all such activities in the rest of the world outside the Ono territory, including the United States, Canada and European Union.</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Under the terms of the Ono Agreement, the Company received non-refundable upfront payments of ¥900,000 ($8,142), consisting of an initial upfront fee payment of ¥110 million ($995) and an initial upfront research service payment of ¥790 million ($7,147). Additionally, in connection with the research activities to be conducted pursuant to the Ono Agreement, the Company is eligible to receive additional research service payments of up to an aggregate of ¥750,000 ($6,878) upon the occurrence of certain specified research triggers. The Company is also entitled to receive clinical, regulatory and commercial milestone payments of up to ¥17,210,000 ($157,818) in the aggregate, plus a tiered percentage royalty on annual net sales in Ono’s Territory ranging from high-single digits to low teens, subject to certain specified reductions. All future milestone payments and royalties are payable in USD. Additionally, upon election by Ono to collaborate on the proposed product candidate, Ono shall be responsible for a specified percentage of research and development costs for the IND-enabling studies of the selected product candidate.</w:t>
      </w:r>
    </w:p>
    <w:p>
      <w:pPr>
        <w:spacing w:after="0" w:line="17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assessed the arrangement in accordance with ASC 606 and concluded that Ono is a customer based on the arrangement structure. The Company identified a single performance obligation under the arrangement consisting of the combination of the license to develop and commercialize a selected product candidate targeting Polq and associated research services.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459" w:right="3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determined that the license and research services are not distinct within the context of the contract, and the license is the predominant good or service. Accordingly, revenue is recognized in accordance with guidance for licenses, and because the license represents functional IP, it is recognized at the point in time control of the license is transferred.</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determined that the transaction price at the onset of the arrangement is the total upfront payments received in the aggregate amount of $8,142 which is recorded as deferred revenue as of December 31, 2019. The future milestone payments represent variable consideration that is fully constrained at inception of the arrangement as the achievement of the milestone events are highly uncertain. The Company will reevaluate the likelihood of achievement of the milestones at the end of each reporting period and as uncertain events are resolved or other changes in circumstances occur, and, if necessary, adjust its estimate of the transaction price.</w:t>
      </w:r>
    </w:p>
    <w:p>
      <w:pPr>
        <w:spacing w:after="0" w:line="292" w:lineRule="exact"/>
        <w:rPr>
          <w:sz w:val="20"/>
          <w:szCs w:val="20"/>
          <w:color w:val="auto"/>
        </w:rPr>
      </w:pPr>
    </w:p>
    <w:p>
      <w:pPr>
        <w:ind w:right="8860" w:firstLine="8"/>
        <w:spacing w:after="0" w:line="378" w:lineRule="auto"/>
        <w:tabs>
          <w:tab w:leader="none" w:pos="2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Option Plan</w:t>
      </w:r>
    </w:p>
    <w:p>
      <w:pPr>
        <w:spacing w:after="0" w:line="259" w:lineRule="auto"/>
        <w:rPr>
          <w:sz w:val="20"/>
          <w:szCs w:val="20"/>
          <w:color w:val="auto"/>
        </w:rPr>
      </w:pPr>
      <w:r>
        <w:rPr>
          <w:rFonts w:ascii="Arial" w:cs="Arial" w:eastAsia="Arial" w:hAnsi="Arial"/>
          <w:sz w:val="18"/>
          <w:szCs w:val="18"/>
          <w:color w:val="auto"/>
        </w:rPr>
        <w:t>In December 2016, as further amended in December 2017 and September 2019, the Company adopted the Repare Therapeutics Inc. Option Plan (the “Option Plan”) for the issuance of stock options and other share-based awards to directors, officers, employees or consultants. The Option Plan authorized up to 24,697,408 shares of the Company’s common shares to be issued. At December 31, 2019, there were 3,449,250 shares available for future grant under the Option Plan.</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Option Plan is administered by the board of directors. The exercise prices, vesting and other restrictions are determined by the board of directors, except that the exercise price per share of stock option may not be less than 100% of the fair value of the common share on the date of grant. Stock options awarded under the Option Plan expire 10 years after the grant and generally have vesting conditions of 25% on the first anniversary of the date of grant and 75% on a monthly basis at a rate of 1/36</w:t>
      </w:r>
      <w:r>
        <w:rPr>
          <w:rFonts w:ascii="Arial" w:cs="Arial" w:eastAsia="Arial" w:hAnsi="Arial"/>
          <w:sz w:val="15"/>
          <w:szCs w:val="15"/>
          <w:color w:val="auto"/>
        </w:rPr>
        <w:t>th</w:t>
      </w:r>
      <w:r>
        <w:rPr>
          <w:rFonts w:ascii="Arial" w:cs="Arial" w:eastAsia="Arial" w:hAnsi="Arial"/>
          <w:sz w:val="18"/>
          <w:szCs w:val="18"/>
          <w:color w:val="auto"/>
        </w:rPr>
        <w:t xml:space="preserve"> unless otherwise decided by the board of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Activity</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assumptions that the Company used in the Black Scholes option-pricing model to determine the grant date fair value of stock options granted to employees and non-employees were as follows, presented on a weighted-average basis: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5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160" w:type="dxa"/>
            <w:vAlign w:val="bottom"/>
            <w:tcBorders>
              <w:bottom w:val="single" w:sz="8" w:color="CCEEFF"/>
            </w:tcBorders>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209"/>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7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680" w:type="dxa"/>
            <w:vAlign w:val="bottom"/>
            <w:gridSpan w:val="3"/>
          </w:tcPr>
          <w:p>
            <w:pPr>
              <w:jc w:val="right"/>
              <w:ind w:right="460"/>
              <w:spacing w:after="0"/>
              <w:rPr>
                <w:sz w:val="20"/>
                <w:szCs w:val="20"/>
                <w:color w:val="auto"/>
              </w:rPr>
            </w:pPr>
            <w:r>
              <w:rPr>
                <w:rFonts w:ascii="Arial" w:cs="Arial" w:eastAsia="Arial" w:hAnsi="Arial"/>
                <w:sz w:val="18"/>
                <w:szCs w:val="18"/>
                <w:color w:val="auto"/>
              </w:rPr>
              <w:t>6.08</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6.08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6.10</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67.77%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67.32%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71.41%</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680" w:type="dxa"/>
            <w:vAlign w:val="bottom"/>
            <w:gridSpan w:val="3"/>
          </w:tcPr>
          <w:p>
            <w:pPr>
              <w:jc w:val="right"/>
              <w:ind w:right="320"/>
              <w:spacing w:after="0"/>
              <w:rPr>
                <w:sz w:val="20"/>
                <w:szCs w:val="20"/>
                <w:color w:val="auto"/>
              </w:rPr>
            </w:pPr>
            <w:r>
              <w:rPr>
                <w:rFonts w:ascii="Arial" w:cs="Arial" w:eastAsia="Arial" w:hAnsi="Arial"/>
                <w:sz w:val="18"/>
                <w:szCs w:val="18"/>
                <w:color w:val="auto"/>
              </w:rPr>
              <w:t>0.00%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350"/>
        </w:trPr>
        <w:tc>
          <w:tcPr>
            <w:tcW w:w="3160" w:type="dxa"/>
            <w:vAlign w:val="bottom"/>
          </w:tcPr>
          <w:p>
            <w:pPr>
              <w:spacing w:after="0"/>
              <w:rPr>
                <w:sz w:val="24"/>
                <w:szCs w:val="24"/>
                <w:color w:val="auto"/>
              </w:rPr>
            </w:pPr>
          </w:p>
        </w:tc>
        <w:tc>
          <w:tcPr>
            <w:tcW w:w="4680" w:type="dxa"/>
            <w:vAlign w:val="bottom"/>
            <w:gridSpan w:val="3"/>
          </w:tcPr>
          <w:p>
            <w:pPr>
              <w:jc w:val="right"/>
              <w:ind w:right="2960"/>
              <w:spacing w:after="0"/>
              <w:rPr>
                <w:sz w:val="20"/>
                <w:szCs w:val="20"/>
                <w:color w:val="auto"/>
              </w:rPr>
            </w:pPr>
            <w:r>
              <w:rPr>
                <w:rFonts w:ascii="Arial" w:cs="Arial" w:eastAsia="Arial" w:hAnsi="Arial"/>
                <w:sz w:val="18"/>
                <w:szCs w:val="18"/>
                <w:color w:val="auto"/>
              </w:rPr>
              <w:t>F-27</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4"/>
              </w:rPr>
              <w:t>Weighted-</w:t>
            </w:r>
          </w:p>
        </w:tc>
        <w:tc>
          <w:tcPr>
            <w:tcW w:w="1720" w:type="dxa"/>
            <w:vAlign w:val="bottom"/>
            <w:gridSpan w:val="2"/>
          </w:tcPr>
          <w:p>
            <w:pPr>
              <w:jc w:val="center"/>
              <w:ind w:left="492"/>
              <w:spacing w:after="0"/>
              <w:rPr>
                <w:sz w:val="20"/>
                <w:szCs w:val="20"/>
                <w:color w:val="auto"/>
              </w:rPr>
            </w:pPr>
            <w:r>
              <w:rPr>
                <w:rFonts w:ascii="Arial" w:cs="Arial" w:eastAsia="Arial" w:hAnsi="Arial"/>
                <w:sz w:val="14"/>
                <w:szCs w:val="14"/>
                <w:b w:val="1"/>
                <w:bCs w:val="1"/>
                <w:color w:val="auto"/>
                <w:w w:val="92"/>
              </w:rPr>
              <w:t>Weighted-Average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Average</w:t>
            </w:r>
          </w:p>
        </w:tc>
        <w:tc>
          <w:tcPr>
            <w:tcW w:w="6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Options</w:t>
            </w:r>
          </w:p>
        </w:tc>
        <w:tc>
          <w:tcPr>
            <w:tcW w:w="1180" w:type="dxa"/>
            <w:vAlign w:val="bottom"/>
            <w:gridSpan w:val="3"/>
          </w:tcPr>
          <w:p>
            <w:pPr>
              <w:ind w:left="300"/>
              <w:spacing w:after="0"/>
              <w:rPr>
                <w:sz w:val="20"/>
                <w:szCs w:val="20"/>
                <w:color w:val="auto"/>
              </w:rPr>
            </w:pPr>
            <w:r>
              <w:rPr>
                <w:rFonts w:ascii="Arial" w:cs="Arial" w:eastAsia="Arial" w:hAnsi="Arial"/>
                <w:sz w:val="14"/>
                <w:szCs w:val="14"/>
                <w:b w:val="1"/>
                <w:bCs w:val="1"/>
                <w:color w:val="auto"/>
                <w:w w:val="89"/>
              </w:rPr>
              <w:t>Exercise Price</w:t>
            </w:r>
          </w:p>
        </w:tc>
        <w:tc>
          <w:tcPr>
            <w:tcW w:w="6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580" w:type="dxa"/>
            <w:vAlign w:val="bottom"/>
            <w:gridSpan w:val="4"/>
          </w:tcPr>
          <w:p>
            <w:pPr>
              <w:ind w:left="60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4,987,000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0.27</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Cancelled or forfeited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4,987,000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0.30</w:t>
            </w:r>
          </w:p>
        </w:tc>
        <w:tc>
          <w:tcPr>
            <w:tcW w:w="60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576,000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Cancelled or forfeited</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(62,792)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0.27</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5,500,208</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0.36</w:t>
            </w:r>
          </w:p>
        </w:tc>
        <w:tc>
          <w:tcPr>
            <w:tcW w:w="60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16,737,450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Cancelled or forfeited</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(989,500)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0.34</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21,248,158</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as of December 31, 2018</w:t>
            </w: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vMerge w:val="restart"/>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0.27</w:t>
            </w:r>
          </w:p>
        </w:tc>
        <w:tc>
          <w:tcPr>
            <w:tcW w:w="1720" w:type="dxa"/>
            <w:vAlign w:val="bottom"/>
            <w:gridSpan w:val="2"/>
            <w:vMerge w:val="restart"/>
          </w:tcPr>
          <w:p>
            <w:pPr>
              <w:jc w:val="right"/>
              <w:spacing w:after="0"/>
              <w:rPr>
                <w:sz w:val="20"/>
                <w:szCs w:val="20"/>
                <w:color w:val="auto"/>
              </w:rPr>
            </w:pPr>
            <w:r>
              <w:rPr>
                <w:rFonts w:ascii="Arial" w:cs="Arial" w:eastAsia="Arial" w:hAnsi="Arial"/>
                <w:sz w:val="18"/>
                <w:szCs w:val="18"/>
                <w:color w:val="auto"/>
              </w:rPr>
              <w:t>8.47</w:t>
            </w:r>
          </w:p>
        </w:tc>
        <w:tc>
          <w:tcPr>
            <w:tcW w:w="720" w:type="dxa"/>
            <w:vAlign w:val="bottom"/>
            <w:gridSpan w:val="2"/>
            <w:vMerge w:val="restart"/>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466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1,833,744</w:t>
            </w:r>
          </w:p>
        </w:tc>
        <w:tc>
          <w:tcPr>
            <w:tcW w:w="3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as of December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3,705,000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Options unvested as of December 31, 2018</w:t>
            </w:r>
          </w:p>
        </w:tc>
        <w:tc>
          <w:tcPr>
            <w:tcW w:w="860" w:type="dxa"/>
            <w:vAlign w:val="bottom"/>
          </w:tcPr>
          <w:p>
            <w:pPr>
              <w:jc w:val="right"/>
              <w:spacing w:after="0"/>
              <w:rPr>
                <w:sz w:val="20"/>
                <w:szCs w:val="20"/>
                <w:color w:val="auto"/>
              </w:rPr>
            </w:pPr>
            <w:r>
              <w:rPr>
                <w:rFonts w:ascii="Arial" w:cs="Arial" w:eastAsia="Arial" w:hAnsi="Arial"/>
                <w:sz w:val="18"/>
                <w:szCs w:val="18"/>
                <w:color w:val="auto"/>
              </w:rPr>
              <w:t>3,656,256</w:t>
            </w:r>
          </w:p>
        </w:tc>
        <w:tc>
          <w:tcPr>
            <w:tcW w:w="34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Options unvested as of December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17,543,158</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shares for those stock options that had exercise prices lower than the fair value of the Company’s common shares.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weighted-average grant date fair value of the Company’s stock options granted during the years ended December 31, 2017, 2018 and 2019 was $0.17, $0.22 and $0.21,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options vested during the years ended December 31, 2017, 2018 and 2019 was $0, $314 and $284,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was allocated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7"/>
              </w:rPr>
              <w:t>Year Ended December 31,</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2018</w:t>
            </w: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580" w:type="dxa"/>
            <w:vAlign w:val="bottom"/>
            <w:gridSpan w:val="2"/>
          </w:tcPr>
          <w:p>
            <w:pPr>
              <w:jc w:val="right"/>
              <w:ind w:right="1330"/>
              <w:spacing w:after="0"/>
              <w:rPr>
                <w:sz w:val="20"/>
                <w:szCs w:val="20"/>
                <w:color w:val="auto"/>
              </w:rPr>
            </w:pPr>
            <w:r>
              <w:rPr>
                <w:rFonts w:ascii="Arial" w:cs="Arial" w:eastAsia="Arial" w:hAnsi="Arial"/>
                <w:sz w:val="18"/>
                <w:szCs w:val="18"/>
                <w:color w:val="auto"/>
              </w:rPr>
              <w:t>F-28</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As of December 31, 2017, 2018 and 2019, there was $814, $625 and $3,557 of unrecognized share-based compensation expense related to unvested stock options, respectively. The unrecognized share-based compensation expense is expected to be recognized over a weighted-average remaining vesting period of 3.5, 2.6 and 3.2 years at December 31, 2017, 2018 and 2019,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Loss before the provision for income taxes for the years ended December 31, 2017, 2018 and 2019 consisted of the following:</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520" w:type="dxa"/>
            <w:vAlign w:val="bottom"/>
            <w:tcBorders>
              <w:bottom w:val="single" w:sz="8" w:color="CCEEFF"/>
            </w:tcBorders>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$(7,208)</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$(14,416)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(27,355)</w:t>
            </w:r>
          </w:p>
        </w:tc>
        <w:tc>
          <w:tcPr>
            <w:tcW w:w="12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Foreign</w:t>
            </w:r>
          </w:p>
        </w:tc>
        <w:tc>
          <w:tcPr>
            <w:tcW w:w="2960" w:type="dxa"/>
            <w:vAlign w:val="bottom"/>
          </w:tcPr>
          <w:p>
            <w:pPr>
              <w:spacing w:after="0"/>
              <w:rPr>
                <w:sz w:val="18"/>
                <w:szCs w:val="18"/>
                <w:color w:val="auto"/>
              </w:rPr>
            </w:pPr>
          </w:p>
        </w:tc>
        <w:tc>
          <w:tcPr>
            <w:tcW w:w="1040" w:type="dxa"/>
            <w:vAlign w:val="bottom"/>
            <w:gridSpan w:val="2"/>
          </w:tcPr>
          <w:p>
            <w:pPr>
              <w:jc w:val="right"/>
              <w:ind w:right="348"/>
              <w:spacing w:after="0"/>
              <w:rPr>
                <w:sz w:val="20"/>
                <w:szCs w:val="20"/>
                <w:color w:val="auto"/>
              </w:rPr>
            </w:pPr>
            <w:r>
              <w:rPr>
                <w:rFonts w:ascii="Arial" w:cs="Arial" w:eastAsia="Arial" w:hAnsi="Arial"/>
                <w:sz w:val="18"/>
                <w:szCs w:val="18"/>
                <w:color w:val="auto"/>
              </w:rPr>
              <w:t>(588)</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r>
      <w:tr>
        <w:trPr>
          <w:trHeight w:val="27"/>
        </w:trPr>
        <w:tc>
          <w:tcPr>
            <w:tcW w:w="3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520" w:type="dxa"/>
            <w:vAlign w:val="bottom"/>
            <w:shd w:val="clear" w:color="auto" w:fill="CCEEFF"/>
          </w:tcPr>
          <w:p>
            <w:pPr>
              <w:spacing w:after="0"/>
              <w:rPr>
                <w:sz w:val="18"/>
                <w:szCs w:val="18"/>
                <w:color w:val="auto"/>
              </w:rPr>
            </w:pPr>
          </w:p>
        </w:tc>
        <w:tc>
          <w:tcPr>
            <w:tcW w:w="4000" w:type="dxa"/>
            <w:vAlign w:val="bottom"/>
            <w:gridSpan w:val="3"/>
            <w:shd w:val="clear" w:color="auto" w:fill="CCEEFF"/>
          </w:tcPr>
          <w:p>
            <w:pPr>
              <w:jc w:val="right"/>
              <w:ind w:right="34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(7,796)</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(14,248)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(27,021)</w:t>
            </w:r>
          </w:p>
        </w:tc>
      </w:tr>
      <w:tr>
        <w:trPr>
          <w:trHeight w:val="20"/>
        </w:trPr>
        <w:tc>
          <w:tcPr>
            <w:tcW w:w="35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between tax expense and the product of accounting income multiplied by the statutory income tax rate for years ended December 31, 2017, 2018 and 2019 is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(7,796)</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(14,248)</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(27,021)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 at statutory rate</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Computed income tax recovery</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(2,066)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(3,776)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Effect on income tax resulting from:</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Federal investment tax credit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700"/>
              <w:spacing w:after="0"/>
              <w:rPr>
                <w:sz w:val="20"/>
                <w:szCs w:val="20"/>
                <w:color w:val="auto"/>
              </w:rPr>
            </w:pPr>
            <w:r>
              <w:rPr>
                <w:rFonts w:ascii="Arial" w:cs="Arial" w:eastAsia="Arial" w:hAnsi="Arial"/>
                <w:sz w:val="18"/>
                <w:szCs w:val="18"/>
                <w:color w:val="auto"/>
              </w:rPr>
              <w:t>Accounting charges not deductible for tax purposes</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760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Change in valuation allowance</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2,525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3,515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December 31, 2019, the Company had tax losses of approximately $31,481, which are available to offset future taxable income in Canada. The Company has not recognized the tax benefit of these losses. These losses expire as follows:</w:t>
      </w:r>
    </w:p>
    <w:p>
      <w:pPr>
        <w:spacing w:after="0" w:line="212"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3820" w:type="dxa"/>
            <w:vAlign w:val="bottom"/>
            <w:shd w:val="clear" w:color="auto" w:fill="CCEEFF"/>
          </w:tcPr>
          <w:p>
            <w:pPr>
              <w:jc w:val="right"/>
              <w:ind w:right="3370"/>
              <w:spacing w:after="0"/>
              <w:rPr>
                <w:sz w:val="20"/>
                <w:szCs w:val="20"/>
                <w:color w:val="auto"/>
              </w:rPr>
            </w:pPr>
            <w:r>
              <w:rPr>
                <w:rFonts w:ascii="Arial" w:cs="Arial" w:eastAsia="Arial" w:hAnsi="Arial"/>
                <w:sz w:val="18"/>
                <w:szCs w:val="18"/>
                <w:color w:val="auto"/>
                <w:w w:val="84"/>
              </w:rPr>
              <w:t>2039</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$ 19,550</w:t>
            </w:r>
          </w:p>
        </w:tc>
        <w:tc>
          <w:tcPr>
            <w:tcW w:w="60" w:type="dxa"/>
            <w:vAlign w:val="bottom"/>
            <w:shd w:val="clear" w:color="auto" w:fill="CCEEFF"/>
          </w:tcPr>
          <w:p>
            <w:pPr>
              <w:spacing w:after="0"/>
              <w:rPr>
                <w:sz w:val="18"/>
                <w:szCs w:val="18"/>
                <w:color w:val="auto"/>
              </w:rPr>
            </w:pPr>
          </w:p>
        </w:tc>
      </w:tr>
      <w:tr>
        <w:trPr>
          <w:trHeight w:val="216"/>
        </w:trPr>
        <w:tc>
          <w:tcPr>
            <w:tcW w:w="3820" w:type="dxa"/>
            <w:vAlign w:val="bottom"/>
          </w:tcPr>
          <w:p>
            <w:pPr>
              <w:jc w:val="right"/>
              <w:ind w:right="3370"/>
              <w:spacing w:after="0"/>
              <w:rPr>
                <w:sz w:val="20"/>
                <w:szCs w:val="20"/>
                <w:color w:val="auto"/>
              </w:rPr>
            </w:pPr>
            <w:r>
              <w:rPr>
                <w:rFonts w:ascii="Arial" w:cs="Arial" w:eastAsia="Arial" w:hAnsi="Arial"/>
                <w:sz w:val="18"/>
                <w:szCs w:val="18"/>
                <w:color w:val="auto"/>
                <w:w w:val="84"/>
              </w:rPr>
              <w:t>2038</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6,460</w:t>
            </w:r>
          </w:p>
        </w:tc>
        <w:tc>
          <w:tcPr>
            <w:tcW w:w="60" w:type="dxa"/>
            <w:vAlign w:val="bottom"/>
          </w:tcPr>
          <w:p>
            <w:pPr>
              <w:spacing w:after="0"/>
              <w:rPr>
                <w:sz w:val="18"/>
                <w:szCs w:val="18"/>
                <w:color w:val="auto"/>
              </w:rPr>
            </w:pPr>
          </w:p>
        </w:tc>
      </w:tr>
      <w:tr>
        <w:trPr>
          <w:trHeight w:val="216"/>
        </w:trPr>
        <w:tc>
          <w:tcPr>
            <w:tcW w:w="3820" w:type="dxa"/>
            <w:vAlign w:val="bottom"/>
            <w:shd w:val="clear" w:color="auto" w:fill="CCEEFF"/>
          </w:tcPr>
          <w:p>
            <w:pPr>
              <w:jc w:val="right"/>
              <w:ind w:right="3370"/>
              <w:spacing w:after="0"/>
              <w:rPr>
                <w:sz w:val="20"/>
                <w:szCs w:val="20"/>
                <w:color w:val="auto"/>
              </w:rPr>
            </w:pPr>
            <w:r>
              <w:rPr>
                <w:rFonts w:ascii="Arial" w:cs="Arial" w:eastAsia="Arial" w:hAnsi="Arial"/>
                <w:sz w:val="18"/>
                <w:szCs w:val="18"/>
                <w:color w:val="auto"/>
                <w:w w:val="84"/>
              </w:rPr>
              <w:t>2037</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60" w:type="dxa"/>
            <w:vAlign w:val="bottom"/>
            <w:shd w:val="clear" w:color="auto" w:fill="CCEEFF"/>
          </w:tcPr>
          <w:p>
            <w:pPr>
              <w:spacing w:after="0"/>
              <w:rPr>
                <w:sz w:val="18"/>
                <w:szCs w:val="18"/>
                <w:color w:val="auto"/>
              </w:rPr>
            </w:pPr>
          </w:p>
        </w:tc>
      </w:tr>
      <w:tr>
        <w:trPr>
          <w:trHeight w:val="223"/>
        </w:trPr>
        <w:tc>
          <w:tcPr>
            <w:tcW w:w="3820" w:type="dxa"/>
            <w:vAlign w:val="bottom"/>
          </w:tcPr>
          <w:p>
            <w:pPr>
              <w:jc w:val="right"/>
              <w:ind w:right="3370"/>
              <w:spacing w:after="0"/>
              <w:rPr>
                <w:sz w:val="20"/>
                <w:szCs w:val="20"/>
                <w:color w:val="auto"/>
              </w:rPr>
            </w:pPr>
            <w:r>
              <w:rPr>
                <w:rFonts w:ascii="Arial" w:cs="Arial" w:eastAsia="Arial" w:hAnsi="Arial"/>
                <w:sz w:val="18"/>
                <w:szCs w:val="18"/>
                <w:color w:val="auto"/>
                <w:w w:val="84"/>
              </w:rPr>
              <w:t>2036</w:t>
            </w:r>
          </w:p>
        </w:tc>
        <w:tc>
          <w:tcPr>
            <w:tcW w:w="31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19"/>
                <w:szCs w:val="19"/>
                <w:color w:val="auto"/>
              </w:rPr>
            </w:pPr>
          </w:p>
        </w:tc>
      </w:tr>
      <w:tr>
        <w:trPr>
          <w:trHeight w:val="216"/>
        </w:trPr>
        <w:tc>
          <w:tcPr>
            <w:tcW w:w="3820" w:type="dxa"/>
            <w:vAlign w:val="bottom"/>
            <w:shd w:val="clear" w:color="auto" w:fill="CCEEFF"/>
          </w:tcPr>
          <w:p>
            <w:pPr>
              <w:jc w:val="right"/>
              <w:ind w:right="3010"/>
              <w:spacing w:after="0"/>
              <w:rPr>
                <w:sz w:val="20"/>
                <w:szCs w:val="20"/>
                <w:color w:val="auto"/>
              </w:rPr>
            </w:pPr>
            <w:r>
              <w:rPr>
                <w:rFonts w:ascii="Arial" w:cs="Arial" w:eastAsia="Arial" w:hAnsi="Arial"/>
                <w:sz w:val="18"/>
                <w:szCs w:val="18"/>
                <w:color w:val="auto"/>
              </w:rPr>
              <w:t>Total</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$ 31,481</w:t>
            </w:r>
          </w:p>
        </w:tc>
        <w:tc>
          <w:tcPr>
            <w:tcW w:w="60" w:type="dxa"/>
            <w:vAlign w:val="bottom"/>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of December 31, 2019, the Company had Scientific Research and Experimental Development (“SR&amp;ED”) expenditures of approximately $15,829, respectively, for Canadian federal and Quebec purposes, which have not been deducted. These expenditures are available to reduce future taxable income and have an unlimited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9" w:right="3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carryforward period. SR&amp;ED expenditures are subject to verification by the tax authorities and, accordingly, the amounts may vary.</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December 31, 2019, the Company had non-refundable Canadian federal investment tax credits of approximately $2,553, which may be utilized to reduce Canadian federal income taxes payable. The Company has not recognized the tax benefits related to the non-refundable investment tax credits. The investment tax credits expire as follows:</w:t>
      </w:r>
    </w:p>
    <w:p>
      <w:pPr>
        <w:spacing w:after="0" w:line="225"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7000" w:type="dxa"/>
            <w:vAlign w:val="bottom"/>
            <w:shd w:val="clear" w:color="auto" w:fill="CCEEFF"/>
          </w:tcPr>
          <w:p>
            <w:pPr>
              <w:jc w:val="right"/>
              <w:ind w:right="6550"/>
              <w:spacing w:after="0"/>
              <w:rPr>
                <w:sz w:val="20"/>
                <w:szCs w:val="20"/>
                <w:color w:val="auto"/>
              </w:rPr>
            </w:pPr>
            <w:r>
              <w:rPr>
                <w:rFonts w:ascii="Arial" w:cs="Arial" w:eastAsia="Arial" w:hAnsi="Arial"/>
                <w:sz w:val="18"/>
                <w:szCs w:val="18"/>
                <w:color w:val="auto"/>
                <w:w w:val="84"/>
              </w:rPr>
              <w:t>2039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60" w:type="dxa"/>
            <w:vAlign w:val="bottom"/>
            <w:shd w:val="clear" w:color="auto" w:fill="CCEEFF"/>
          </w:tcPr>
          <w:p>
            <w:pPr>
              <w:spacing w:after="0"/>
              <w:rPr>
                <w:sz w:val="18"/>
                <w:szCs w:val="18"/>
                <w:color w:val="auto"/>
              </w:rPr>
            </w:pPr>
          </w:p>
        </w:tc>
      </w:tr>
      <w:tr>
        <w:trPr>
          <w:trHeight w:val="216"/>
        </w:trPr>
        <w:tc>
          <w:tcPr>
            <w:tcW w:w="7000" w:type="dxa"/>
            <w:vAlign w:val="bottom"/>
          </w:tcPr>
          <w:p>
            <w:pPr>
              <w:jc w:val="right"/>
              <w:ind w:right="6550"/>
              <w:spacing w:after="0"/>
              <w:rPr>
                <w:sz w:val="20"/>
                <w:szCs w:val="20"/>
                <w:color w:val="auto"/>
              </w:rPr>
            </w:pPr>
            <w:r>
              <w:rPr>
                <w:rFonts w:ascii="Arial" w:cs="Arial" w:eastAsia="Arial" w:hAnsi="Arial"/>
                <w:sz w:val="18"/>
                <w:szCs w:val="18"/>
                <w:color w:val="auto"/>
                <w:w w:val="84"/>
              </w:rPr>
              <w:t>2038</w:t>
            </w:r>
          </w:p>
        </w:tc>
        <w:tc>
          <w:tcPr>
            <w:tcW w:w="560" w:type="dxa"/>
            <w:vAlign w:val="bottom"/>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18"/>
                <w:szCs w:val="18"/>
                <w:color w:val="auto"/>
              </w:rPr>
            </w:pPr>
          </w:p>
        </w:tc>
      </w:tr>
      <w:tr>
        <w:trPr>
          <w:trHeight w:val="216"/>
        </w:trPr>
        <w:tc>
          <w:tcPr>
            <w:tcW w:w="7000" w:type="dxa"/>
            <w:vAlign w:val="bottom"/>
            <w:shd w:val="clear" w:color="auto" w:fill="CCEEFF"/>
          </w:tcPr>
          <w:p>
            <w:pPr>
              <w:jc w:val="right"/>
              <w:ind w:right="6550"/>
              <w:spacing w:after="0"/>
              <w:rPr>
                <w:sz w:val="20"/>
                <w:szCs w:val="20"/>
                <w:color w:val="auto"/>
              </w:rPr>
            </w:pPr>
            <w:r>
              <w:rPr>
                <w:rFonts w:ascii="Arial" w:cs="Arial" w:eastAsia="Arial" w:hAnsi="Arial"/>
                <w:sz w:val="18"/>
                <w:szCs w:val="18"/>
                <w:color w:val="auto"/>
                <w:w w:val="84"/>
              </w:rPr>
              <w:t>2037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60" w:type="dxa"/>
            <w:vAlign w:val="bottom"/>
            <w:shd w:val="clear" w:color="auto" w:fill="CCEEFF"/>
          </w:tcPr>
          <w:p>
            <w:pPr>
              <w:spacing w:after="0"/>
              <w:rPr>
                <w:sz w:val="18"/>
                <w:szCs w:val="18"/>
                <w:color w:val="auto"/>
              </w:rPr>
            </w:pPr>
          </w:p>
        </w:tc>
      </w:tr>
      <w:tr>
        <w:trPr>
          <w:trHeight w:val="223"/>
        </w:trPr>
        <w:tc>
          <w:tcPr>
            <w:tcW w:w="7000" w:type="dxa"/>
            <w:vAlign w:val="bottom"/>
          </w:tcPr>
          <w:p>
            <w:pPr>
              <w:jc w:val="right"/>
              <w:ind w:right="6550"/>
              <w:spacing w:after="0"/>
              <w:rPr>
                <w:sz w:val="20"/>
                <w:szCs w:val="20"/>
                <w:color w:val="auto"/>
              </w:rPr>
            </w:pPr>
            <w:r>
              <w:rPr>
                <w:rFonts w:ascii="Arial" w:cs="Arial" w:eastAsia="Arial" w:hAnsi="Arial"/>
                <w:sz w:val="18"/>
                <w:szCs w:val="18"/>
                <w:color w:val="auto"/>
                <w:w w:val="84"/>
              </w:rPr>
              <w:t>2036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r>
      <w:tr>
        <w:trPr>
          <w:trHeight w:val="216"/>
        </w:trPr>
        <w:tc>
          <w:tcPr>
            <w:tcW w:w="7000" w:type="dxa"/>
            <w:vAlign w:val="bottom"/>
            <w:shd w:val="clear" w:color="auto" w:fill="CCEEFF"/>
          </w:tcPr>
          <w:p>
            <w:pPr>
              <w:jc w:val="right"/>
              <w:ind w:right="619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60" w:type="dxa"/>
            <w:vAlign w:val="bottom"/>
            <w:shd w:val="clear" w:color="auto" w:fill="CCEE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deferred tax assets for the years ended December 31, 2018 and 2019 consisted of the following:</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56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3,010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Net research and development expenditures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1,830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4,195</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Net federal investment tax credits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829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1,877</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Tax basis of property and equipment in excess of carrying values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(279)</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Accrued expense and other liabilities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r>
      <w:tr>
        <w:trPr>
          <w:trHeight w:val="27"/>
        </w:trPr>
        <w:tc>
          <w:tcPr>
            <w:tcW w:w="5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5,810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14,557</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Valuation allowance</w:t>
            </w:r>
          </w:p>
        </w:tc>
        <w:tc>
          <w:tcPr>
            <w:tcW w:w="1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(5,810)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(14,425)</w:t>
            </w:r>
          </w:p>
        </w:tc>
        <w:tc>
          <w:tcPr>
            <w:tcW w:w="100" w:type="dxa"/>
            <w:vAlign w:val="bottom"/>
          </w:tcPr>
          <w:p>
            <w:pPr>
              <w:spacing w:after="0"/>
              <w:rPr>
                <w:sz w:val="20"/>
                <w:szCs w:val="20"/>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r>
      <w:tr>
        <w:trPr>
          <w:trHeight w:val="20"/>
        </w:trPr>
        <w:tc>
          <w:tcPr>
            <w:tcW w:w="5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files income tax returns in Canada and in the United States. In the normal course of business, the Company could be subject to examination by federal and provincial or state jurisdictions, where applicable. There are currently no pending tax examinations. The Company may be subject to tax examination for 2016, 2017, 2018 and 2019 due to unexpired statute of limitation periods.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calculation of the Company’s tax liabilities involves dealing with uncertainties in the application of complex tax laws and regulations for both federal taxes and the provinces and states in which the Company operates or does business in. ASC 740 states that a tax benefit from an uncertain tax position may be recognized when it is more likely than not that the position will be sustained upon examination, including resolutions of any related appeals or litigation processes, on the basis of the technical merits.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records uncertain tax positions as liabilities in accordance with ASC 740 and adjusts these liabilities when the Company’s judgment changes as a result of the evaluation of new information not previously available. Because of the complexity of some of these uncertainties, the ultimate resolution may result in a payment that is materially different from the current estimate of the unrecognized tax benefit liabilities. These differences will be reflected as increases or decreases to income tax expense in the period in which new</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00"/>
          </w:cols>
          <w:pgMar w:left="320" w:top="459" w:right="3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information is available. As of December 31, 2018 and 2019, no uncertain tax positions have been recorded in the consolidated financial statements.</w:t>
      </w:r>
    </w:p>
    <w:p>
      <w:pPr>
        <w:spacing w:after="0" w:line="23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Company recognizes interest and penalties related to unrecognized tax benefits on the income tax expense line in the accompanying consolidated statement of operations and comprehensive loss. As of December 31, 2018 and 2019, no accrued interest or penalties are included on the related tax liability line in the consolidated balance sheet.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 and Unaudited Pro Forma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computation of basic and diluted net loss per share attributable to common shareholders of the Company:</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(7,796)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(14,283)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(7,796)</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(14,283)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number of common shares outstanding—basic</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diluted</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9,229,658</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7"/>
              </w:rPr>
              <w:t>9,265,000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9,265,000</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shareholders—basic and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(0.84)</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potentially dilutive securities, which include Convertible Preferred Shares and stock options, have been excluded from the computation of diluted net loss per share attributable to common shareholders as the effect would be to reduce the net loss per share attributable to common shareholders. Therefore, the weighted average number of common shares outstanding used to calculate both basic and diluted net loss per share attributable to common shareholders is the same. The Company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5"/>
              </w:rPr>
              <w:t>Year Ended December 31,</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108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1380" w:type="dxa"/>
            <w:vAlign w:val="bottom"/>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108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41,302,469</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41,302,469</w:t>
            </w:r>
          </w:p>
        </w:tc>
        <w:tc>
          <w:tcPr>
            <w:tcW w:w="3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6"/>
              </w:rPr>
              <w:t>67,228,395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11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w w:val="95"/>
              </w:rPr>
              <w:t>63,458,580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shares</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4,987,000</w:t>
            </w:r>
          </w:p>
        </w:tc>
        <w:tc>
          <w:tcPr>
            <w:tcW w:w="1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5,500,208</w:t>
            </w: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5"/>
              </w:rPr>
              <w:t>21,248,158</w:t>
            </w: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Unaudited pro forma net loss per share attributable to common shareholders is computed using the weighted-average number of common shares outstanding after giving effect to the conversion of all outstanding convertible preferred shares into common shares as if such conversion had occurred on January 1, 2019, or the date of issuance, if later.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320" w:top="459" w:right="3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Unaudited pro forma basic and diluted net loss per share attributable to common shareholders was calculated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8400" w:type="dxa"/>
            <w:vAlign w:val="bottom"/>
          </w:tcPr>
          <w:p>
            <w:pPr>
              <w:spacing w:after="0"/>
              <w:rPr>
                <w:sz w:val="14"/>
                <w:szCs w:val="14"/>
                <w:color w:val="auto"/>
              </w:rPr>
            </w:pPr>
          </w:p>
        </w:tc>
        <w:tc>
          <w:tcPr>
            <w:tcW w:w="1020" w:type="dxa"/>
            <w:vAlign w:val="bottom"/>
            <w:gridSpan w:val="3"/>
          </w:tcPr>
          <w:p>
            <w:pPr>
              <w:jc w:val="center"/>
              <w:ind w:right="21"/>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8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8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(27,216)</w:t>
            </w:r>
          </w:p>
        </w:tc>
      </w:tr>
      <w:tr>
        <w:trPr>
          <w:trHeight w:val="202"/>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Reversal of the change in fair value of the Series A Tranche Obligation due to the assumed conversion of</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convertible preferred shares to common shares upon the completion of the proposed initial public offering</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1,350</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Weighted-average number of common shares outstanding—basic and diluted</w:t>
            </w: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w w:val="97"/>
              </w:rPr>
              <w:t>9,265,000</w:t>
            </w:r>
          </w:p>
        </w:tc>
      </w:tr>
      <w:tr>
        <w:trPr>
          <w:trHeight w:val="202"/>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Pro forma adjustment to reflect assumed conversion of convertible preferred shares to common shares upon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completion of the proposed initial public offering</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86,457,801</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Pro forma weighted-average common shares outstanding—basic and diluted</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95,722,801</w:t>
            </w:r>
          </w:p>
        </w:tc>
        <w:tc>
          <w:tcPr>
            <w:tcW w:w="12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shareholders—basic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0"/>
        </w:trPr>
        <w:tc>
          <w:tcPr>
            <w:tcW w:w="8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Government Assistance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incurred research and development expenditures which are eligible for investment tax credits. The investment tax credits recorded are based on management’s estimates of amounts expected to be recovered and are subject to audit by the taxation authorities. These amounts have been recorded as a reduction of research and development expenditures for an amount of $162, $330 and $566 for the years ended December 31, 2017, 2018 and 2019,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February 25, 2019, the Company entered into an agreement with The Broad Institute, Inc. (“Broad”). Broad will perform specialty screening services at the Company’s request over the course of a three-year term. In exchange for the specialty screening services, the Company will pay Broad $500 per year, beginning on February 25, 2019, for a total of $1,500.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commitments for the Broad and other agreements as of December 31, 2019 are as follows:</w:t>
      </w:r>
    </w:p>
    <w:p>
      <w:pPr>
        <w:spacing w:after="0" w:line="244"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5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2023</w:t>
            </w:r>
          </w:p>
        </w:tc>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r>
      <w:tr>
        <w:trPr>
          <w:trHeight w:val="223"/>
        </w:trPr>
        <w:tc>
          <w:tcPr>
            <w:tcW w:w="1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1,125</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520" w:type="dxa"/>
            <w:vAlign w:val="bottom"/>
            <w:gridSpan w:val="2"/>
          </w:tcPr>
          <w:p>
            <w:pPr>
              <w:jc w:val="right"/>
              <w:ind w:right="3107"/>
              <w:spacing w:after="0"/>
              <w:rPr>
                <w:sz w:val="20"/>
                <w:szCs w:val="20"/>
                <w:color w:val="auto"/>
              </w:rPr>
            </w:pPr>
            <w:r>
              <w:rPr>
                <w:rFonts w:ascii="Arial" w:cs="Arial" w:eastAsia="Arial" w:hAnsi="Arial"/>
                <w:sz w:val="18"/>
                <w:szCs w:val="18"/>
                <w:color w:val="auto"/>
              </w:rPr>
              <w:t>F-32</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00"/>
          </w:cols>
          <w:pgMar w:left="320" w:top="459" w:right="37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Currency Risk</w:t>
      </w:r>
    </w:p>
    <w:p>
      <w:pPr>
        <w:spacing w:after="0" w:line="12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Company is exposed to the financial risk related to the fluctuation of foreign exchange rates and the degree of volatility of those rates. The foreign currency risk is limited to the portion of the Company’s business transactions denominated in currency other than USD.</w:t>
      </w:r>
    </w:p>
    <w:p>
      <w:pPr>
        <w:spacing w:after="0" w:line="14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Company incurs a portion of its expenses in Canadian dollars, as well as other currencies to a lesser extent. A change in the currency exchange rates between the USD relative to the Canadian dollar could have a significant effect on the Company’s results of operations, financial position or cash flows. The Company does not enter into arrangements to hedge its currency risk exposure, although it maintains expected Canadian dollar cash requirements in Canadian dollars to form a natural hedge.</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is exposed to currency risk through its cash, research and development tax credits receivable, other receivables, accounts payable and accrued expenses and other current liabilities denominated in Canadian dollars as follows:</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7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09"/>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$6,142</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$29,983</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Restricted cash</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270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 receivable</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Other receivables</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800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2,566</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(1,026)</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(183)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r>
      <w:tr>
        <w:trPr>
          <w:trHeight w:val="27"/>
        </w:trPr>
        <w:tc>
          <w:tcPr>
            <w:tcW w:w="6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financial position exposure</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6,861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32,913</w:t>
            </w:r>
          </w:p>
        </w:tc>
      </w:tr>
      <w:tr>
        <w:trPr>
          <w:trHeight w:val="20"/>
        </w:trPr>
        <w:tc>
          <w:tcPr>
            <w:tcW w:w="6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on the above net exposure at December 31, 2019, and assuming that all other variables remain constant, a 10% depreciation of the USD against the Canadian dollar would result in an increase of $2,304 in the Company’s net loss for the year ended December 31, 2019.</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is also exposed to currency risk through the Ono Agreement as future payments receivable under its collaboration with Ono, if any, are denominated in Japanese yen.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Parties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Details of transactions between the Company and other related parties are disclosed below and in other notes according to the nature of the transactions. All transactions are measured at the exchange amount, which is the amount of consideration determined and agreed to by the related parties.</w:t>
      </w:r>
    </w:p>
    <w:p>
      <w:pPr>
        <w:spacing w:after="0" w:line="12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For the years ended December 31, 2017, 2018 and 2019, the Company recorded expenses of $0, $322 and $1,271, respectively, for research services and rent paid by the Company to entities affiliated with a shareholder. As of December 31, 2017, 2018 and 2019, there was a total of $0, $122 and $170, respectively, in accounts payable and accrued expenses and other current liabilities owed to an entity affiliated with a shareholder.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320" w:top="459" w:right="3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property and equipment, net by location as of December 31, 2018 and 2019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tcPr>
          <w:p>
            <w:pPr>
              <w:spacing w:after="0"/>
              <w:rPr>
                <w:sz w:val="18"/>
                <w:szCs w:val="18"/>
                <w:color w:val="auto"/>
              </w:rPr>
            </w:pPr>
          </w:p>
        </w:tc>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color w:val="auto"/>
              </w:rPr>
              <w:t>The Company’s right-of-use assets by location were as follows: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409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625</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right-of-use assets, net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Subsequent events have been evaluated through the date of filing of this prospectus. The Company has concluded that no subsequent events have occurred that require disclosure, except as disclosed within these consolidated financial statements and as described below.</w:t>
      </w:r>
    </w:p>
    <w:p>
      <w:pPr>
        <w:spacing w:after="0" w:line="197"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Subsequent events through April 3, 2020:</w:t>
      </w:r>
    </w:p>
    <w:p>
      <w:pPr>
        <w:spacing w:after="0" w:line="225" w:lineRule="exact"/>
        <w:rPr>
          <w:rFonts w:ascii="Arial" w:cs="Arial" w:eastAsia="Arial" w:hAnsi="Arial"/>
          <w:sz w:val="18"/>
          <w:szCs w:val="18"/>
          <w:color w:val="auto"/>
        </w:rPr>
      </w:pPr>
    </w:p>
    <w:p>
      <w:pPr>
        <w:ind w:left="460" w:right="80"/>
        <w:spacing w:after="0" w:line="277" w:lineRule="auto"/>
        <w:rPr>
          <w:rFonts w:ascii="Arial" w:cs="Arial" w:eastAsia="Arial" w:hAnsi="Arial"/>
          <w:sz w:val="18"/>
          <w:szCs w:val="18"/>
          <w:color w:val="auto"/>
        </w:rPr>
      </w:pPr>
      <w:r>
        <w:rPr>
          <w:rFonts w:ascii="Arial" w:cs="Arial" w:eastAsia="Arial" w:hAnsi="Arial"/>
          <w:sz w:val="18"/>
          <w:szCs w:val="18"/>
          <w:color w:val="auto"/>
        </w:rPr>
        <w:t>In the first quarter of 2020, an aggregate of 1,099,166 options were exercised at a weighted average exercise price of $0.30 per share, for aggregate proceeds of $324.</w:t>
      </w:r>
    </w:p>
    <w:p>
      <w:pPr>
        <w:spacing w:after="0" w:line="170" w:lineRule="exact"/>
        <w:rPr>
          <w:rFonts w:ascii="Arial" w:cs="Arial" w:eastAsia="Arial" w:hAnsi="Arial"/>
          <w:sz w:val="18"/>
          <w:szCs w:val="18"/>
          <w:color w:val="auto"/>
        </w:rPr>
      </w:pPr>
    </w:p>
    <w:p>
      <w:pPr>
        <w:ind w:left="460" w:right="480"/>
        <w:spacing w:after="0" w:line="277" w:lineRule="auto"/>
        <w:rPr>
          <w:rFonts w:ascii="Arial" w:cs="Arial" w:eastAsia="Arial" w:hAnsi="Arial"/>
          <w:sz w:val="18"/>
          <w:szCs w:val="18"/>
          <w:color w:val="auto"/>
        </w:rPr>
      </w:pPr>
      <w:r>
        <w:rPr>
          <w:rFonts w:ascii="Arial" w:cs="Arial" w:eastAsia="Arial" w:hAnsi="Arial"/>
          <w:sz w:val="18"/>
          <w:szCs w:val="18"/>
          <w:color w:val="auto"/>
        </w:rPr>
        <w:t>On April 2, 2020, the board of directors of the Company authorized the issuance of an aggregate of 305,000 stock options to employees, at an exercise price of $0.85 per share.</w:t>
      </w:r>
    </w:p>
    <w:p>
      <w:pPr>
        <w:spacing w:after="0" w:line="170" w:lineRule="exact"/>
        <w:rPr>
          <w:rFonts w:ascii="Arial" w:cs="Arial" w:eastAsia="Arial" w:hAnsi="Arial"/>
          <w:sz w:val="18"/>
          <w:szCs w:val="18"/>
          <w:color w:val="auto"/>
        </w:rPr>
      </w:pPr>
    </w:p>
    <w:p>
      <w:pPr>
        <w:ind w:left="460" w:right="240"/>
        <w:spacing w:after="0" w:line="259" w:lineRule="auto"/>
        <w:rPr>
          <w:rFonts w:ascii="Arial" w:cs="Arial" w:eastAsia="Arial" w:hAnsi="Arial"/>
          <w:sz w:val="18"/>
          <w:szCs w:val="18"/>
          <w:color w:val="auto"/>
        </w:rPr>
      </w:pPr>
      <w:r>
        <w:rPr>
          <w:rFonts w:ascii="Arial" w:cs="Arial" w:eastAsia="Arial" w:hAnsi="Arial"/>
          <w:sz w:val="18"/>
          <w:szCs w:val="18"/>
          <w:color w:val="auto"/>
        </w:rPr>
        <w:t>In March 2020, the Company executed a strategic collaboration with The University of Texas M. D. Anderson Cancer Center (“MDACC”), a comprehensive cancer research, treatment and prevention center. The collaboration will consist of preclinical and clinical studies designed by the Company and MDACC with the research completed by MDACC. The Company has agreed to commit a total of $10,000 in funding for the performance of the study over a period of five years.</w:t>
      </w:r>
    </w:p>
    <w:p>
      <w:pPr>
        <w:spacing w:after="0" w:line="213" w:lineRule="exact"/>
        <w:rPr>
          <w:rFonts w:ascii="Arial" w:cs="Arial" w:eastAsia="Arial" w:hAnsi="Arial"/>
          <w:sz w:val="18"/>
          <w:szCs w:val="18"/>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Events (unaudited) subsequent to the date of the report of the Independent Registered Public Accounting Firm:</w:t>
      </w:r>
    </w:p>
    <w:p>
      <w:pPr>
        <w:spacing w:after="0" w:line="225" w:lineRule="exact"/>
        <w:rPr>
          <w:rFonts w:ascii="Arial" w:cs="Arial" w:eastAsia="Arial" w:hAnsi="Arial"/>
          <w:sz w:val="18"/>
          <w:szCs w:val="18"/>
          <w:color w:val="auto"/>
        </w:rPr>
      </w:pPr>
    </w:p>
    <w:p>
      <w:pPr>
        <w:ind w:left="460" w:right="80"/>
        <w:spacing w:after="0" w:line="277" w:lineRule="auto"/>
        <w:rPr>
          <w:rFonts w:ascii="Arial" w:cs="Arial" w:eastAsia="Arial" w:hAnsi="Arial"/>
          <w:sz w:val="18"/>
          <w:szCs w:val="18"/>
          <w:color w:val="auto"/>
        </w:rPr>
      </w:pPr>
      <w:r>
        <w:rPr>
          <w:rFonts w:ascii="Arial" w:cs="Arial" w:eastAsia="Arial" w:hAnsi="Arial"/>
          <w:sz w:val="18"/>
          <w:szCs w:val="18"/>
          <w:color w:val="auto"/>
        </w:rPr>
        <w:t>In May 2020, the board of directors of the Company authorized the issuance of an aggregate of 1,382,500 stock options to employees at a weighted average exercise price of $1.54.</w:t>
      </w:r>
    </w:p>
    <w:p>
      <w:pPr>
        <w:spacing w:after="0" w:line="170"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color w:val="auto"/>
        </w:rPr>
        <w:t>In May 2020, an aggregate of 293,750 options were exercised at a weighted average exercise price of $0.34 per share, for aggregate proceeds of $100.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May 2020, the Company entered into a collaboration and license agreement with Bristol-Myers Squibb Company, or Bristol Myers Squibb,</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pursuant to which the Company and Bristol Myers Squibb have agreed to collaborate in the research and development of potential new product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candidates for the treatment of cancer. Bristol Myers Squibb has agreed to pay the Company an initial upfront fee payment of $50,000. The Company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is entitled to receive up to $301,000 in total milestones on a program-by-program basis, consisting of $176,000 in the aggregate for certain specified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development and regulatory milestones and $125,000 in the aggregate for certain specified commercial milestones. The Company is also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entitled to a tiered percentage royalty on annual net sales ranging from high-single digits to low-double digits, subject to certain specified reductions.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conjunction with the collaboration and license agreement, the Company entered into a warrant agreement with an affiliate of Bristol Myers Squibb</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which the Company issued a warrant for total proceeds of $15,000. This warrant will automatically convert into common shares at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subscription price of $15,000 divided by the initial public offering price of the Company’s common shares in an initial public offering; provided that,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the event that the initial public offering is not consummated by December 31, 2020, the warrant will be automatically exercised for a specified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preferred shares.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459" w:right="3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906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90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94,797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83,711</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Research and development tax credits receivable</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719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98,572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87,885</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2,390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1,034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102,695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93,569</w:t>
            </w: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SHARES AND SHAREHOLDERS’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2,127</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3,294</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Operating lease liability, current portion</w:t>
            </w:r>
          </w:p>
        </w:tc>
        <w:tc>
          <w:tcPr>
            <w:tcW w:w="16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net of current portion</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8,142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12,827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15,707</w:t>
            </w:r>
          </w:p>
        </w:tc>
        <w:tc>
          <w:tcPr>
            <w:tcW w:w="0" w:type="dxa"/>
            <w:vAlign w:val="bottom"/>
          </w:tcPr>
          <w:p>
            <w:pPr>
              <w:spacing w:after="0"/>
              <w:rPr>
                <w:sz w:val="1"/>
                <w:szCs w:val="1"/>
                <w:color w:val="auto"/>
              </w:rPr>
            </w:pPr>
          </w:p>
        </w:tc>
      </w:tr>
      <w:tr>
        <w:trPr>
          <w:trHeight w:val="209"/>
        </w:trPr>
        <w:tc>
          <w:tcPr>
            <w:tcW w:w="9060" w:type="dxa"/>
            <w:vAlign w:val="bottom"/>
          </w:tcPr>
          <w:p>
            <w:pPr>
              <w:spacing w:after="0"/>
              <w:rPr>
                <w:sz w:val="20"/>
                <w:szCs w:val="20"/>
                <w:color w:val="auto"/>
              </w:rPr>
            </w:pPr>
            <w:r>
              <w:rPr>
                <w:rFonts w:ascii="Arial" w:cs="Arial" w:eastAsia="Arial" w:hAnsi="Arial"/>
                <w:sz w:val="18"/>
                <w:szCs w:val="18"/>
                <w:color w:val="auto"/>
                <w:w w:val="96"/>
              </w:rPr>
              <w:t>Series A convertible Preferred Shares, no par value per share; unlimited shares authorized; 67,228,395 shares issues</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w w:val="99"/>
              </w:rPr>
              <w:t>and outstanding as of December 31, 2019 and March 31, 2020; liquidation value of $52,750 as of December 31,</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tcPr>
          <w:p>
            <w:pPr>
              <w:ind w:left="180"/>
              <w:spacing w:after="0"/>
              <w:rPr>
                <w:sz w:val="20"/>
                <w:szCs w:val="20"/>
                <w:color w:val="auto"/>
              </w:rPr>
            </w:pPr>
            <w:r>
              <w:rPr>
                <w:rFonts w:ascii="Arial" w:cs="Arial" w:eastAsia="Arial" w:hAnsi="Arial"/>
                <w:sz w:val="18"/>
                <w:szCs w:val="18"/>
                <w:color w:val="auto"/>
              </w:rPr>
              <w:t>2019 and March 31, 2020</w:t>
            </w:r>
          </w:p>
        </w:tc>
        <w:tc>
          <w:tcPr>
            <w:tcW w:w="160" w:type="dxa"/>
            <w:vAlign w:val="bottom"/>
          </w:tcPr>
          <w:p>
            <w:pPr>
              <w:spacing w:after="0"/>
              <w:rPr>
                <w:sz w:val="20"/>
                <w:szCs w:val="20"/>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53,749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53,749</w:t>
            </w:r>
          </w:p>
        </w:tc>
        <w:tc>
          <w:tcPr>
            <w:tcW w:w="0" w:type="dxa"/>
            <w:vAlign w:val="bottom"/>
          </w:tcPr>
          <w:p>
            <w:pPr>
              <w:spacing w:after="0"/>
              <w:rPr>
                <w:sz w:val="1"/>
                <w:szCs w:val="1"/>
                <w:color w:val="auto"/>
              </w:rPr>
            </w:pPr>
          </w:p>
        </w:tc>
      </w:tr>
      <w:tr>
        <w:trPr>
          <w:trHeight w:val="202"/>
        </w:trPr>
        <w:tc>
          <w:tcPr>
            <w:tcW w:w="9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Series B convertible Preferred Shares, no par value per share; unlimited shares authorized; 63,458,580 shares issued</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and outstanding as of December 31, 2019 and March 31, 2020; liquidation and redemption value of $82,496 as of</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2019 and March 31, 2020</w:t>
            </w:r>
          </w:p>
        </w:tc>
        <w:tc>
          <w:tcPr>
            <w:tcW w:w="1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82,248</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82,248</w:t>
            </w:r>
          </w:p>
        </w:tc>
        <w:tc>
          <w:tcPr>
            <w:tcW w:w="0" w:type="dxa"/>
            <w:vAlign w:val="bottom"/>
          </w:tcPr>
          <w:p>
            <w:pPr>
              <w:spacing w:after="0"/>
              <w:rPr>
                <w:sz w:val="1"/>
                <w:szCs w:val="1"/>
                <w:color w:val="auto"/>
              </w:rPr>
            </w:pPr>
          </w:p>
        </w:tc>
      </w:tr>
      <w:tr>
        <w:trPr>
          <w:trHeight w:val="230"/>
        </w:trPr>
        <w:tc>
          <w:tcPr>
            <w:tcW w:w="9060" w:type="dxa"/>
            <w:vAlign w:val="bottom"/>
          </w:tcPr>
          <w:p>
            <w:pPr>
              <w:spacing w:after="0"/>
              <w:rPr>
                <w:sz w:val="20"/>
                <w:szCs w:val="20"/>
                <w:color w:val="auto"/>
              </w:rPr>
            </w:pPr>
            <w:r>
              <w:rPr>
                <w:rFonts w:ascii="Arial" w:cs="Arial" w:eastAsia="Arial" w:hAnsi="Arial"/>
                <w:sz w:val="18"/>
                <w:szCs w:val="18"/>
                <w:b w:val="1"/>
                <w:bCs w:val="1"/>
                <w:color w:val="auto"/>
              </w:rPr>
              <w:t>TOTAL CONVERTIBLE PREFERRED SHARES</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135,997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135,997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60" w:type="dxa"/>
            <w:vAlign w:val="bottom"/>
          </w:tcPr>
          <w:p>
            <w:pPr>
              <w:ind w:left="360"/>
              <w:spacing w:after="0" w:line="201" w:lineRule="exact"/>
              <w:rPr>
                <w:sz w:val="20"/>
                <w:szCs w:val="20"/>
                <w:color w:val="auto"/>
              </w:rPr>
            </w:pPr>
            <w:r>
              <w:rPr>
                <w:rFonts w:ascii="Arial" w:cs="Arial" w:eastAsia="Arial" w:hAnsi="Arial"/>
                <w:sz w:val="18"/>
                <w:szCs w:val="18"/>
                <w:color w:val="auto"/>
                <w:w w:val="98"/>
              </w:rPr>
              <w:t>Common shares, no par value per share; unlimited shares authorized as of December 31, 2019 and March 31,</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540"/>
              <w:spacing w:after="0"/>
              <w:rPr>
                <w:sz w:val="20"/>
                <w:szCs w:val="20"/>
                <w:color w:val="auto"/>
              </w:rPr>
            </w:pPr>
            <w:r>
              <w:rPr>
                <w:rFonts w:ascii="Arial" w:cs="Arial" w:eastAsia="Arial" w:hAnsi="Arial"/>
                <w:sz w:val="18"/>
                <w:szCs w:val="18"/>
                <w:color w:val="auto"/>
                <w:w w:val="95"/>
              </w:rPr>
              <w:t>2020; 9,265,000 and 10,364,166 shares issued and outstanding as of December 31, 2019, and March 31, 2020,</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3,811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(49,941)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(62,542)</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(46,129)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(58,135)</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b w:val="1"/>
                <w:bCs w:val="1"/>
                <w:color w:val="auto"/>
              </w:rPr>
              <w:t>TOTAL LIABILITIES, CONVERTIBLE PREFERRED SHARES AND SHAREHOLDERS’ DEFICIT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102,695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459" w:right="3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61"/>
              <w:spacing w:after="0"/>
              <w:rPr>
                <w:sz w:val="20"/>
                <w:szCs w:val="20"/>
                <w:color w:val="auto"/>
              </w:rPr>
            </w:pPr>
            <w:r>
              <w:rPr>
                <w:rFonts w:ascii="Arial" w:cs="Arial" w:eastAsia="Arial" w:hAnsi="Arial"/>
                <w:sz w:val="18"/>
                <w:szCs w:val="18"/>
                <w:color w:val="auto"/>
              </w:rPr>
              <w:t>3,703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8,632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1,076</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(4,779)</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(10,815)</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gain (loss) on foreign exchange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100" w:type="dxa"/>
            <w:vAlign w:val="bottom"/>
          </w:tcPr>
          <w:p>
            <w:pPr>
              <w:spacing w:after="0"/>
              <w:rPr>
                <w:sz w:val="18"/>
                <w:szCs w:val="18"/>
                <w:color w:val="auto"/>
              </w:rPr>
            </w:pPr>
          </w:p>
        </w:tc>
        <w:tc>
          <w:tcPr>
            <w:tcW w:w="1360" w:type="dxa"/>
            <w:vAlign w:val="bottom"/>
            <w:gridSpan w:val="2"/>
          </w:tcPr>
          <w:p>
            <w:pPr>
              <w:jc w:val="right"/>
              <w:ind w:right="501"/>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(4,729)</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(12,548)</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360" w:type="dxa"/>
            <w:vAlign w:val="bottom"/>
            <w:gridSpan w:val="2"/>
          </w:tcPr>
          <w:p>
            <w:pPr>
              <w:jc w:val="right"/>
              <w:ind w:right="501"/>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(4,838)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(4,838</w:t>
            </w:r>
          </w:p>
        </w:tc>
        <w:tc>
          <w:tcPr>
            <w:tcW w:w="640" w:type="dxa"/>
            <w:vAlign w:val="bottom"/>
          </w:tcPr>
          <w:p>
            <w:pPr>
              <w:jc w:val="right"/>
              <w:ind w:right="50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shareholders—basic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(0.52)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9,265,000</w:t>
            </w:r>
          </w:p>
        </w:tc>
        <w:tc>
          <w:tcPr>
            <w:tcW w:w="6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9,906,973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shareholders—basic and diluted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Pro forma weighted-average common shares outstanding—basic and diluted</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140,593,948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459" w:right="3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Condensed Consolidated Statements of Convertible Preferred Shares and Shareholders’ Deficit</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Three months ended March 31, 2019 and 2020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U.S. dollars, except share data)</w:t>
      </w:r>
    </w:p>
    <w:p>
      <w:pPr>
        <w:sectPr>
          <w:pgSz w:w="11900" w:h="16838" w:orient="portrait"/>
          <w:cols w:equalWidth="0" w:num="1">
            <w:col w:w="11180"/>
          </w:cols>
          <w:pgMar w:left="320" w:top="459" w:right="399" w:bottom="1440" w:gutter="0" w:footer="0" w:header="0"/>
        </w:sect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920" w:type="dxa"/>
            <w:vAlign w:val="bottom"/>
          </w:tcPr>
          <w:p>
            <w:pPr>
              <w:spacing w:after="0"/>
              <w:rPr>
                <w:sz w:val="13"/>
                <w:szCs w:val="13"/>
                <w:color w:val="auto"/>
              </w:rPr>
            </w:pPr>
          </w:p>
        </w:tc>
        <w:tc>
          <w:tcPr>
            <w:tcW w:w="2360" w:type="dxa"/>
            <w:vAlign w:val="bottom"/>
            <w:tcBorders>
              <w:bottom w:val="single" w:sz="8" w:color="auto"/>
            </w:tcBorders>
            <w:gridSpan w:val="5"/>
          </w:tcPr>
          <w:p>
            <w:pPr>
              <w:jc w:val="right"/>
              <w:ind w:right="3"/>
              <w:spacing w:after="0"/>
              <w:rPr>
                <w:sz w:val="20"/>
                <w:szCs w:val="20"/>
                <w:color w:val="auto"/>
              </w:rPr>
            </w:pPr>
            <w:r>
              <w:rPr>
                <w:rFonts w:ascii="Arial" w:cs="Arial" w:eastAsia="Arial" w:hAnsi="Arial"/>
                <w:sz w:val="13"/>
                <w:szCs w:val="13"/>
                <w:b w:val="1"/>
                <w:bCs w:val="1"/>
                <w:color w:val="auto"/>
              </w:rPr>
              <w:t>Convertible Preferred Shares</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920" w:type="dxa"/>
            <w:vAlign w:val="bottom"/>
          </w:tcPr>
          <w:p>
            <w:pPr>
              <w:spacing w:after="0"/>
              <w:rPr>
                <w:sz w:val="10"/>
                <w:szCs w:val="10"/>
                <w:color w:val="auto"/>
              </w:rPr>
            </w:pPr>
          </w:p>
        </w:tc>
        <w:tc>
          <w:tcPr>
            <w:tcW w:w="1440" w:type="dxa"/>
            <w:vAlign w:val="bottom"/>
            <w:gridSpan w:val="3"/>
          </w:tcPr>
          <w:p>
            <w:pPr>
              <w:jc w:val="right"/>
              <w:ind w:right="421"/>
              <w:spacing w:after="0" w:line="124" w:lineRule="exact"/>
              <w:rPr>
                <w:sz w:val="20"/>
                <w:szCs w:val="20"/>
                <w:color w:val="auto"/>
              </w:rPr>
            </w:pPr>
            <w:r>
              <w:rPr>
                <w:rFonts w:ascii="Arial" w:cs="Arial" w:eastAsia="Arial" w:hAnsi="Arial"/>
                <w:sz w:val="13"/>
                <w:szCs w:val="13"/>
                <w:b w:val="1"/>
                <w:bCs w:val="1"/>
                <w:color w:val="auto"/>
              </w:rPr>
              <w:t>Series A</w:t>
            </w:r>
          </w:p>
        </w:tc>
        <w:tc>
          <w:tcPr>
            <w:tcW w:w="160" w:type="dxa"/>
            <w:vAlign w:val="bottom"/>
          </w:tcPr>
          <w:p>
            <w:pPr>
              <w:spacing w:after="0"/>
              <w:rPr>
                <w:sz w:val="10"/>
                <w:szCs w:val="10"/>
                <w:color w:val="auto"/>
              </w:rPr>
            </w:pPr>
          </w:p>
        </w:tc>
        <w:tc>
          <w:tcPr>
            <w:tcW w:w="92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rPr>
              <w:t>Series B</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920" w:type="dxa"/>
            <w:vAlign w:val="bottom"/>
            <w:vMerge w:val="restart"/>
          </w:tcPr>
          <w:p>
            <w:pPr>
              <w:spacing w:after="0"/>
              <w:rPr>
                <w:sz w:val="20"/>
                <w:szCs w:val="20"/>
                <w:color w:val="auto"/>
              </w:rPr>
            </w:pPr>
            <w:r>
              <w:rPr>
                <w:rFonts w:ascii="Arial" w:cs="Arial" w:eastAsia="Arial" w:hAnsi="Arial"/>
                <w:sz w:val="16"/>
                <w:szCs w:val="16"/>
                <w:b w:val="1"/>
                <w:bCs w:val="1"/>
                <w:color w:val="auto"/>
              </w:rPr>
              <w:t>Balance, January 1, 2019</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760" w:type="dxa"/>
            <w:vAlign w:val="bottom"/>
          </w:tcPr>
          <w:p>
            <w:pPr>
              <w:jc w:val="right"/>
              <w:ind w:right="123"/>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56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86"/>
        </w:trPr>
        <w:tc>
          <w:tcPr>
            <w:tcW w:w="3920" w:type="dxa"/>
            <w:vAlign w:val="bottom"/>
            <w:vMerge w:val="continue"/>
          </w:tcPr>
          <w:p>
            <w:pPr>
              <w:spacing w:after="0"/>
              <w:rPr>
                <w:sz w:val="16"/>
                <w:szCs w:val="16"/>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41,302,469</w:t>
            </w:r>
          </w:p>
        </w:tc>
        <w:tc>
          <w:tcPr>
            <w:tcW w:w="140" w:type="dxa"/>
            <w:vAlign w:val="bottom"/>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$31,873</w:t>
            </w:r>
          </w:p>
        </w:tc>
        <w:tc>
          <w:tcPr>
            <w:tcW w:w="160" w:type="dxa"/>
            <w:vAlign w:val="bottom"/>
          </w:tcPr>
          <w:p>
            <w:pPr>
              <w:spacing w:after="0"/>
              <w:rPr>
                <w:sz w:val="16"/>
                <w:szCs w:val="16"/>
                <w:color w:val="auto"/>
              </w:rPr>
            </w:pPr>
          </w:p>
        </w:tc>
        <w:tc>
          <w:tcPr>
            <w:tcW w:w="76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Arial" w:cs="Arial" w:eastAsia="Arial" w:hAnsi="Arial"/>
                <w:sz w:val="16"/>
                <w:szCs w:val="16"/>
                <w:color w:val="auto"/>
                <w:w w:val="96"/>
              </w:rPr>
              <w:t>Issuance of Series A convertible Preferred Shares, net of</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180"/>
              <w:spacing w:after="0"/>
              <w:rPr>
                <w:sz w:val="20"/>
                <w:szCs w:val="20"/>
                <w:color w:val="auto"/>
              </w:rPr>
            </w:pPr>
            <w:r>
              <w:rPr>
                <w:rFonts w:ascii="Arial" w:cs="Arial" w:eastAsia="Arial" w:hAnsi="Arial"/>
                <w:sz w:val="16"/>
                <w:szCs w:val="16"/>
                <w:color w:val="auto"/>
              </w:rPr>
              <w:t>issuance costs of $5</w:t>
            </w:r>
          </w:p>
        </w:tc>
        <w:tc>
          <w:tcPr>
            <w:tcW w:w="780" w:type="dxa"/>
            <w:vAlign w:val="bottom"/>
          </w:tcPr>
          <w:p>
            <w:pPr>
              <w:jc w:val="center"/>
              <w:spacing w:after="0"/>
              <w:rPr>
                <w:sz w:val="20"/>
                <w:szCs w:val="20"/>
                <w:color w:val="auto"/>
              </w:rPr>
            </w:pPr>
            <w:r>
              <w:rPr>
                <w:rFonts w:ascii="Arial" w:cs="Arial" w:eastAsia="Arial" w:hAnsi="Arial"/>
                <w:sz w:val="16"/>
                <w:szCs w:val="16"/>
                <w:color w:val="auto"/>
                <w:w w:val="92"/>
              </w:rPr>
              <w:t>25,925,926</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21,876</w:t>
            </w:r>
          </w:p>
        </w:tc>
        <w:tc>
          <w:tcPr>
            <w:tcW w:w="16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92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6"/>
                <w:szCs w:val="16"/>
                <w:b w:val="1"/>
                <w:bCs w:val="1"/>
                <w:color w:val="auto"/>
              </w:rPr>
              <w:t>Balance, March 31, 2019</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67,228,395</w:t>
            </w:r>
          </w:p>
        </w:tc>
        <w:tc>
          <w:tcPr>
            <w:tcW w:w="14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53,749</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6"/>
                <w:szCs w:val="16"/>
                <w:b w:val="1"/>
                <w:bCs w:val="1"/>
                <w:color w:val="auto"/>
              </w:rPr>
              <w:t>Balance, December 31, 2019</w:t>
            </w: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920" w:type="dxa"/>
            <w:vAlign w:val="bottom"/>
            <w:vMerge w:val="continue"/>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2"/>
              </w:rPr>
              <w:t>67,228,395</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$53,749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63,458,580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tcPr>
          <w:p>
            <w:pPr>
              <w:spacing w:after="0"/>
              <w:rPr>
                <w:sz w:val="20"/>
                <w:szCs w:val="20"/>
                <w:color w:val="auto"/>
              </w:rPr>
            </w:pPr>
            <w:r>
              <w:rPr>
                <w:rFonts w:ascii="Arial" w:cs="Arial" w:eastAsia="Arial" w:hAnsi="Arial"/>
                <w:sz w:val="16"/>
                <w:szCs w:val="16"/>
                <w:color w:val="auto"/>
                <w:w w:val="93"/>
              </w:rPr>
              <w:t>82,248</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92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20" w:type="dxa"/>
            <w:vAlign w:val="bottom"/>
          </w:tcPr>
          <w:p>
            <w:pPr>
              <w:spacing w:after="0"/>
              <w:rPr>
                <w:sz w:val="20"/>
                <w:szCs w:val="20"/>
                <w:color w:val="auto"/>
              </w:rPr>
            </w:pPr>
            <w:r>
              <w:rPr>
                <w:rFonts w:ascii="Arial" w:cs="Arial" w:eastAsia="Arial" w:hAnsi="Arial"/>
                <w:sz w:val="16"/>
                <w:szCs w:val="16"/>
                <w:b w:val="1"/>
                <w:bCs w:val="1"/>
                <w:color w:val="auto"/>
              </w:rPr>
              <w:t>Balance, March 31, 2020</w:t>
            </w:r>
          </w:p>
        </w:tc>
        <w:tc>
          <w:tcPr>
            <w:tcW w:w="780" w:type="dxa"/>
            <w:vAlign w:val="bottom"/>
          </w:tcPr>
          <w:p>
            <w:pPr>
              <w:jc w:val="center"/>
              <w:spacing w:after="0"/>
              <w:rPr>
                <w:sz w:val="20"/>
                <w:szCs w:val="20"/>
                <w:color w:val="auto"/>
              </w:rPr>
            </w:pPr>
            <w:r>
              <w:rPr>
                <w:rFonts w:ascii="Arial" w:cs="Arial" w:eastAsia="Arial" w:hAnsi="Arial"/>
                <w:sz w:val="16"/>
                <w:szCs w:val="16"/>
                <w:color w:val="auto"/>
                <w:w w:val="92"/>
              </w:rPr>
              <w:t>67,228,395</w:t>
            </w:r>
          </w:p>
        </w:tc>
        <w:tc>
          <w:tcPr>
            <w:tcW w:w="6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53,749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63,458,580</w:t>
            </w:r>
          </w:p>
        </w:tc>
        <w:tc>
          <w:tcPr>
            <w:tcW w:w="1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480" w:type="dxa"/>
            <w:vAlign w:val="bottom"/>
            <w:gridSpan w:val="2"/>
          </w:tcPr>
          <w:p>
            <w:pPr>
              <w:spacing w:after="0"/>
              <w:rPr>
                <w:sz w:val="20"/>
                <w:szCs w:val="20"/>
                <w:color w:val="auto"/>
              </w:rPr>
            </w:pPr>
            <w:r>
              <w:rPr>
                <w:rFonts w:ascii="Arial" w:cs="Arial" w:eastAsia="Arial" w:hAnsi="Arial"/>
                <w:sz w:val="16"/>
                <w:szCs w:val="16"/>
                <w:color w:val="auto"/>
                <w:w w:val="93"/>
              </w:rPr>
              <w:t>82,248</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-1791335</wp:posOffset>
            </wp:positionV>
            <wp:extent cx="7132320" cy="18002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800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40" w:type="dxa"/>
            <w:vAlign w:val="bottom"/>
            <w:gridSpan w:val="4"/>
            <w:vMerge w:val="restart"/>
          </w:tcPr>
          <w:p>
            <w:pPr>
              <w:ind w:left="260"/>
              <w:spacing w:after="0"/>
              <w:rPr>
                <w:sz w:val="20"/>
                <w:szCs w:val="20"/>
                <w:color w:val="auto"/>
              </w:rPr>
            </w:pPr>
            <w:r>
              <w:rPr>
                <w:rFonts w:ascii="Arial" w:cs="Arial" w:eastAsia="Arial" w:hAnsi="Arial"/>
                <w:sz w:val="13"/>
                <w:szCs w:val="13"/>
                <w:b w:val="1"/>
                <w:bCs w:val="1"/>
                <w:color w:val="auto"/>
                <w:w w:val="83"/>
              </w:rPr>
              <w:t>Common Shares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0"/>
        </w:trPr>
        <w:tc>
          <w:tcPr>
            <w:tcW w:w="1140" w:type="dxa"/>
            <w:vAlign w:val="bottom"/>
            <w:tcBorders>
              <w:bottom w:val="single" w:sz="8" w:color="auto"/>
            </w:tcBorders>
            <w:gridSpan w:val="4"/>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0" w:lineRule="exact"/>
              <w:rPr>
                <w:sz w:val="20"/>
                <w:szCs w:val="20"/>
                <w:color w:val="auto"/>
              </w:rPr>
            </w:pPr>
            <w:r>
              <w:rPr>
                <w:rFonts w:ascii="Arial" w:cs="Arial" w:eastAsia="Arial" w:hAnsi="Arial"/>
                <w:sz w:val="13"/>
                <w:szCs w:val="13"/>
                <w:b w:val="1"/>
                <w:bCs w:val="1"/>
                <w:color w:val="auto"/>
                <w:w w:val="87"/>
              </w:rPr>
              <w:t>Paid-in</w:t>
            </w:r>
          </w:p>
        </w:tc>
        <w:tc>
          <w:tcPr>
            <w:tcW w:w="80" w:type="dxa"/>
            <w:vAlign w:val="bottom"/>
          </w:tcPr>
          <w:p>
            <w:pPr>
              <w:spacing w:after="0"/>
              <w:rPr>
                <w:sz w:val="12"/>
                <w:szCs w:val="12"/>
                <w:color w:val="auto"/>
              </w:rPr>
            </w:pPr>
          </w:p>
        </w:tc>
        <w:tc>
          <w:tcPr>
            <w:tcW w:w="92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Accumulated</w:t>
            </w:r>
          </w:p>
        </w:tc>
        <w:tc>
          <w:tcPr>
            <w:tcW w:w="84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w w:val="92"/>
              </w:rPr>
              <w:t>Shareholders’</w:t>
            </w:r>
          </w:p>
        </w:tc>
        <w:tc>
          <w:tcPr>
            <w:tcW w:w="0" w:type="dxa"/>
            <w:vAlign w:val="bottom"/>
          </w:tcPr>
          <w:p>
            <w:pPr>
              <w:spacing w:after="0"/>
              <w:rPr>
                <w:sz w:val="1"/>
                <w:szCs w:val="1"/>
                <w:color w:val="auto"/>
              </w:rPr>
            </w:pPr>
          </w:p>
        </w:tc>
      </w:tr>
      <w:tr>
        <w:trPr>
          <w:trHeight w:val="128"/>
        </w:trPr>
        <w:tc>
          <w:tcPr>
            <w:tcW w:w="820" w:type="dxa"/>
            <w:vAlign w:val="bottom"/>
            <w:gridSpan w:val="2"/>
          </w:tcPr>
          <w:p>
            <w:pPr>
              <w:ind w:left="220"/>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4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5"/>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20"/>
              <w:spacing w:after="0" w:line="129" w:lineRule="exact"/>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380"/>
              <w:spacing w:after="0" w:line="129" w:lineRule="exact"/>
              <w:rPr>
                <w:sz w:val="20"/>
                <w:szCs w:val="20"/>
                <w:color w:val="auto"/>
              </w:rPr>
            </w:pPr>
            <w:r>
              <w:rPr>
                <w:rFonts w:ascii="Arial" w:cs="Arial" w:eastAsia="Arial" w:hAnsi="Arial"/>
                <w:sz w:val="13"/>
                <w:szCs w:val="13"/>
                <w:b w:val="1"/>
                <w:bCs w:val="1"/>
                <w:color w:val="auto"/>
                <w:w w:val="95"/>
              </w:rPr>
              <w:t>Deficit</w:t>
            </w:r>
          </w:p>
        </w:tc>
        <w:tc>
          <w:tcPr>
            <w:tcW w:w="160" w:type="dxa"/>
            <w:vAlign w:val="bottom"/>
          </w:tcPr>
          <w:p>
            <w:pPr>
              <w:spacing w:after="0"/>
              <w:rPr>
                <w:sz w:val="11"/>
                <w:szCs w:val="11"/>
                <w:color w:val="auto"/>
              </w:rPr>
            </w:pPr>
          </w:p>
        </w:tc>
        <w:tc>
          <w:tcPr>
            <w:tcW w:w="680" w:type="dxa"/>
            <w:vAlign w:val="bottom"/>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00"/>
        </w:trPr>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9,265,000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tcPr>
          <w:p>
            <w:pPr>
              <w:ind w:left="160"/>
              <w:spacing w:after="0"/>
              <w:rPr>
                <w:sz w:val="20"/>
                <w:szCs w:val="20"/>
                <w:color w:val="auto"/>
              </w:rPr>
            </w:pPr>
            <w:r>
              <w:rPr>
                <w:rFonts w:ascii="Arial" w:cs="Arial" w:eastAsia="Arial" w:hAnsi="Arial"/>
                <w:sz w:val="15"/>
                <w:szCs w:val="15"/>
                <w:color w:val="auto"/>
                <w:w w:val="71"/>
              </w:rPr>
              <w:t>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(22,725)</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9"/>
        </w:trPr>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(4,838)</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(4,838)</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jc w:val="right"/>
              <w:spacing w:after="0"/>
              <w:rPr>
                <w:sz w:val="20"/>
                <w:szCs w:val="20"/>
                <w:color w:val="auto"/>
              </w:rPr>
            </w:pPr>
            <w:r>
              <w:rPr>
                <w:rFonts w:ascii="Arial" w:cs="Arial" w:eastAsia="Arial" w:hAnsi="Arial"/>
                <w:sz w:val="16"/>
                <w:szCs w:val="16"/>
                <w:color w:val="auto"/>
              </w:rPr>
              <w:t>9,265,000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405</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(27,563)</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(27,157)</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9,265,000</w:t>
            </w:r>
          </w:p>
        </w:tc>
        <w:tc>
          <w:tcPr>
            <w:tcW w:w="3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3,811</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(49,941)</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(46,129)</w:t>
            </w:r>
          </w:p>
        </w:tc>
        <w:tc>
          <w:tcPr>
            <w:tcW w:w="0" w:type="dxa"/>
            <w:vAlign w:val="bottom"/>
          </w:tcPr>
          <w:p>
            <w:pPr>
              <w:spacing w:after="0"/>
              <w:rPr>
                <w:sz w:val="1"/>
                <w:szCs w:val="1"/>
                <w:color w:val="auto"/>
              </w:rPr>
            </w:pPr>
          </w:p>
        </w:tc>
      </w:tr>
      <w:tr>
        <w:trPr>
          <w:trHeight w:val="203"/>
        </w:trPr>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1,099,166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520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(196)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3"/>
        </w:trPr>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271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9"/>
        </w:trPr>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(12,601)</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(12,601)</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tcPr>
          <w:p>
            <w:pPr>
              <w:jc w:val="right"/>
              <w:spacing w:after="0"/>
              <w:rPr>
                <w:sz w:val="20"/>
                <w:szCs w:val="20"/>
                <w:color w:val="auto"/>
              </w:rPr>
            </w:pPr>
            <w:r>
              <w:rPr>
                <w:rFonts w:ascii="Arial" w:cs="Arial" w:eastAsia="Arial" w:hAnsi="Arial"/>
                <w:sz w:val="16"/>
                <w:szCs w:val="16"/>
                <w:color w:val="auto"/>
                <w:w w:val="97"/>
              </w:rPr>
              <w:t>10,364,166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320" w:type="dxa"/>
            <w:vAlign w:val="bottom"/>
            <w:gridSpan w:val="2"/>
          </w:tcPr>
          <w:p>
            <w:pPr>
              <w:spacing w:after="0"/>
              <w:rPr>
                <w:sz w:val="20"/>
                <w:szCs w:val="20"/>
                <w:color w:val="auto"/>
              </w:rPr>
            </w:pPr>
            <w:r>
              <w:rPr>
                <w:rFonts w:ascii="Arial" w:cs="Arial" w:eastAsia="Arial" w:hAnsi="Arial"/>
                <w:sz w:val="16"/>
                <w:szCs w:val="16"/>
                <w:color w:val="auto"/>
              </w:rPr>
              <w:t>521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3,886</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(62,542)</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(58,135)</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00" w:space="200"/>
            <w:col w:w="4080"/>
          </w:cols>
          <w:pgMar w:left="320" w:top="459" w:right="399" w:bottom="1440" w:gutter="0" w:footer="0" w:header="0"/>
          <w:type w:val="continuous"/>
        </w:sectPr>
      </w:pP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80"/>
          </w:cols>
          <w:pgMar w:left="320" w:top="459" w:right="399" w:bottom="1440" w:gutter="0" w:footer="0" w:header="0"/>
          <w:type w:val="continuous"/>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Three Months Ended</w:t>
      </w:r>
    </w:p>
    <w:p>
      <w:pPr>
        <w:jc w:val="center"/>
        <w:ind w:left="94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9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Net loss and comprehensive loss for the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(4,838)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(12,601)</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Change in fair value of the Series A Preferred Shares tranche obligation</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lease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Foreign exchange loss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1,772</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Research and development tax credits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1,187</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Operating lease liability, current portion</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Operating lease liability, net of current portion</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8,142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9540" w:type="dxa"/>
            <w:vAlign w:val="bottom"/>
          </w:tcPr>
          <w:p>
            <w:pPr>
              <w:ind w:left="36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(9,717)</w:t>
            </w:r>
          </w:p>
        </w:tc>
        <w:tc>
          <w:tcPr>
            <w:tcW w:w="120" w:type="dxa"/>
            <w:vAlign w:val="bottom"/>
          </w:tcPr>
          <w:p>
            <w:pPr>
              <w:spacing w:after="0"/>
              <w:rPr>
                <w:sz w:val="20"/>
                <w:szCs w:val="20"/>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27"/>
        </w:trPr>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23"/>
        </w:trPr>
        <w:tc>
          <w:tcPr>
            <w:tcW w:w="95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Series A Preferred Shares,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20,995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Payment of deferred offering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r>
        <w:trPr>
          <w:trHeight w:val="230"/>
        </w:trPr>
        <w:tc>
          <w:tcPr>
            <w:tcW w:w="9540" w:type="dxa"/>
            <w:vAlign w:val="bottom"/>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20,995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0"/>
                <w:szCs w:val="20"/>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fluctuations on cash held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(1,577)</w:t>
            </w:r>
          </w:p>
        </w:tc>
      </w:tr>
      <w:tr>
        <w:trPr>
          <w:trHeight w:val="216"/>
        </w:trPr>
        <w:tc>
          <w:tcPr>
            <w:tcW w:w="954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Restricted Cash</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23,721</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(11,102)</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at beginning of period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10,929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95,005</w:t>
            </w:r>
          </w:p>
        </w:tc>
      </w:tr>
      <w:tr>
        <w:trPr>
          <w:trHeight w:val="223"/>
        </w:trPr>
        <w:tc>
          <w:tcPr>
            <w:tcW w:w="9540" w:type="dxa"/>
            <w:vAlign w:val="bottom"/>
          </w:tcPr>
          <w:p>
            <w:pPr>
              <w:spacing w:after="0"/>
              <w:rPr>
                <w:sz w:val="20"/>
                <w:szCs w:val="20"/>
                <w:color w:val="auto"/>
              </w:rPr>
            </w:pPr>
            <w:r>
              <w:rPr>
                <w:rFonts w:ascii="Arial" w:cs="Arial" w:eastAsia="Arial" w:hAnsi="Arial"/>
                <w:sz w:val="18"/>
                <w:szCs w:val="18"/>
                <w:color w:val="auto"/>
              </w:rPr>
              <w:t>Cash and restricted cash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34,650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83,903</w:t>
            </w:r>
          </w:p>
        </w:tc>
        <w:tc>
          <w:tcPr>
            <w:tcW w:w="120" w:type="dxa"/>
            <w:vAlign w:val="bottom"/>
          </w:tcPr>
          <w:p>
            <w:pPr>
              <w:spacing w:after="0"/>
              <w:rPr>
                <w:sz w:val="19"/>
                <w:szCs w:val="19"/>
                <w:color w:val="auto"/>
              </w:rPr>
            </w:pPr>
          </w:p>
        </w:tc>
      </w:tr>
      <w:tr>
        <w:trPr>
          <w:trHeight w:val="20"/>
        </w:trPr>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Cash And Restricted Cash</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34,448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83,711</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r>
      <w:tr>
        <w:trPr>
          <w:trHeight w:val="223"/>
        </w:trPr>
        <w:tc>
          <w:tcPr>
            <w:tcW w:w="9540" w:type="dxa"/>
            <w:vAlign w:val="bottom"/>
          </w:tcPr>
          <w:p>
            <w:pPr>
              <w:spacing w:after="0"/>
              <w:rPr>
                <w:sz w:val="20"/>
                <w:szCs w:val="20"/>
                <w:color w:val="auto"/>
              </w:rPr>
            </w:pPr>
            <w:r>
              <w:rPr>
                <w:rFonts w:ascii="Arial" w:cs="Arial" w:eastAsia="Arial" w:hAnsi="Arial"/>
                <w:sz w:val="18"/>
                <w:szCs w:val="18"/>
                <w:color w:val="auto"/>
              </w:rPr>
              <w:t>Total cash and restricted cash</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34,650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83,903</w:t>
            </w:r>
          </w:p>
        </w:tc>
        <w:tc>
          <w:tcPr>
            <w:tcW w:w="120" w:type="dxa"/>
            <w:vAlign w:val="bottom"/>
          </w:tcPr>
          <w:p>
            <w:pPr>
              <w:spacing w:after="0"/>
              <w:rPr>
                <w:sz w:val="19"/>
                <w:szCs w:val="19"/>
                <w:color w:val="auto"/>
              </w:rPr>
            </w:pPr>
          </w:p>
        </w:tc>
      </w:tr>
      <w:tr>
        <w:trPr>
          <w:trHeight w:val="20"/>
        </w:trPr>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Property and equipment purchases in 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0"/>
        </w:trPr>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in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1,084</w:t>
            </w:r>
          </w:p>
        </w:tc>
      </w:tr>
      <w:tr>
        <w:trPr>
          <w:trHeight w:val="20"/>
        </w:trPr>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459" w:right="3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 xml:space="preserve">Repare Therapeutics Inc. (“Repare” or the “Company”) is a precision medicine oncology company focused on the development of synthetic lethality-based therapies to patients with cancer. The Company was incorporated under the </w:t>
      </w:r>
      <w:r>
        <w:rPr>
          <w:rFonts w:ascii="Arial" w:cs="Arial" w:eastAsia="Arial" w:hAnsi="Arial"/>
          <w:sz w:val="17"/>
          <w:szCs w:val="17"/>
          <w:i w:val="1"/>
          <w:iCs w:val="1"/>
          <w:color w:val="auto"/>
        </w:rPr>
        <w:t>Canada Business Corporations Act</w:t>
      </w:r>
      <w:r>
        <w:rPr>
          <w:rFonts w:ascii="Arial" w:cs="Arial" w:eastAsia="Arial" w:hAnsi="Arial"/>
          <w:sz w:val="17"/>
          <w:szCs w:val="17"/>
          <w:color w:val="auto"/>
        </w:rPr>
        <w:t xml:space="preserve"> on September 6, 2016.</w:t>
      </w:r>
    </w:p>
    <w:p>
      <w:pPr>
        <w:spacing w:after="0" w:line="250" w:lineRule="exact"/>
        <w:rPr>
          <w:sz w:val="20"/>
          <w:szCs w:val="20"/>
          <w:color w:val="auto"/>
        </w:rPr>
      </w:pPr>
    </w:p>
    <w:p>
      <w:pPr>
        <w:ind w:right="7680" w:firstLine="8"/>
        <w:spacing w:after="0" w:line="377" w:lineRule="auto"/>
        <w:tabs>
          <w:tab w:leader="none" w:pos="1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generally accepted accounting principles in the United States of America (“U.S. GAAP”). Any reference in these notes to applicable guidance is meant to refer to the authoritative U.S. GAAP as found in the Accounting Standards Codification (“ASC”) and as amended by Accounting Standards Updates (“ASU”) of the Financial Accounting Standards Board (“FASB”).</w:t>
      </w:r>
    </w:p>
    <w:p>
      <w:pPr>
        <w:spacing w:after="0" w:line="1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unaudited condensed consolidated interim financial statements have been prepared on the same basis as the audited annual consolidated financial statements as of and for the year ended December 31, 2019, and, in the opinion of management, reflect all adjustments, consisting of normal recurring adjustments, necessary for the fair presentation of the Company’s consolidated financial position as of March 31, 2020, and the consolidated results of its operations and its consolidated cash flows for the three months ended March 31, 2020 and 2019.</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accompanying condensed consolidated financial statements should be read in conjunction with the Company’s audited consolidated financial statements and the accompanying notes for the year ended December 31, 2019, which are included elsewhere in this prospectus. The condensed consolidated balance sheet data as of December 31, 2019 presented for comparative purposes was derived from the Company’s audited consolidated financial statements but does not include all disclosures required by U.S. GAAP. The results for the three months ended March 31, 2020 are not necessarily indicative of the operating results to be expected for the full year or for any other subsequent interim period.</w:t>
      </w:r>
    </w:p>
    <w:p>
      <w:pPr>
        <w:spacing w:after="0" w:line="1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2019, included elsewhere in this prospectus. Since the date of those financial statements, there have been no changes to its significant accounting policies except as noted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consolidated financial statements and accompanying notes. Significant estimates and assumptions reflected in these consolidated financial statements include, but are not limited to, accrued research and development expenses and share-based compensation. Estimates are periodically reviewed in light of changes in circumstances, facts and experience. Changes in estimates are recorded in the period in which they become known. Actual results could differ from those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With the global spread of the ongoing COVID-19 pandemic in the first quarter of 2020, the Company has established a cross-functional task force and has implemented business continuity plans designed to address and mitigate the impact of the COVID-19 pandemic on its employees and its business, including its preclinical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459" w:right="3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studies and its planned clinical trials. The Company’s operations are considered as an essential business and the Company is continuing to operate during this period. The Company has taken measures to secure its research and development activities, while work in its laboratories and facilities has been organized to reduce risk of COVID-19 transmission. While the Company is experiencing limited financial impacts at this time, given the global economic slowdown, the overall disruption of global healthcare systems and the other risks and uncertainties associated the with pandemic, the Company’s business, consolidated financial condition and results of operations could be materially adversely affected. The Company continues to closely monitor the COVID-19 pandemic as it evolves its business continuity plans, clinical development plans and response strategy.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shareholders’ deficit as a reduction of proceeds generated as a result of the offering. Deferred offering costs of $1,186 are capitalized and classified with other assets on the condensed consolidated balance sheet as of March 31, 2020. There were no deferred offering costs as of December 31, 2019.</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as of December 31, 2019 and March 31, 2020 consisted of the following:</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Borders>
              <w:bottom w:val="single" w:sz="8" w:color="CCEEFF"/>
            </w:tcBorders>
          </w:tcPr>
          <w:p>
            <w:pPr>
              <w:spacing w:after="0"/>
              <w:rPr>
                <w:sz w:val="14"/>
                <w:szCs w:val="14"/>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6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Accrued research and development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897</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Accrued offering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1,084</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120" w:type="dxa"/>
            <w:vAlign w:val="bottom"/>
          </w:tcPr>
          <w:p>
            <w:pPr>
              <w:ind w:left="360"/>
              <w:spacing w:after="0"/>
              <w:rPr>
                <w:sz w:val="20"/>
                <w:szCs w:val="20"/>
                <w:color w:val="auto"/>
              </w:rPr>
            </w:pPr>
            <w:r>
              <w:rPr>
                <w:rFonts w:ascii="Arial" w:cs="Arial" w:eastAsia="Arial" w:hAnsi="Arial"/>
                <w:sz w:val="18"/>
                <w:szCs w:val="18"/>
                <w:color w:val="auto"/>
              </w:rPr>
              <w:t>Total accrued expenses and other current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3,116</w:t>
            </w:r>
          </w:p>
        </w:tc>
        <w:tc>
          <w:tcPr>
            <w:tcW w:w="6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Significant Agreements</w:t>
      </w:r>
    </w:p>
    <w:p>
      <w:pPr>
        <w:spacing w:after="0" w:line="121" w:lineRule="exact"/>
        <w:rPr>
          <w:sz w:val="20"/>
          <w:szCs w:val="20"/>
          <w:color w:val="auto"/>
        </w:rPr>
      </w:pPr>
    </w:p>
    <w:p>
      <w:pPr>
        <w:ind w:right="700"/>
        <w:spacing w:after="0" w:line="311" w:lineRule="auto"/>
        <w:rPr>
          <w:sz w:val="20"/>
          <w:szCs w:val="20"/>
          <w:color w:val="auto"/>
        </w:rPr>
      </w:pPr>
      <w:r>
        <w:rPr>
          <w:rFonts w:ascii="Arial" w:cs="Arial" w:eastAsia="Arial" w:hAnsi="Arial"/>
          <w:sz w:val="16"/>
          <w:szCs w:val="16"/>
          <w:color w:val="auto"/>
        </w:rPr>
        <w:t>In March 2020, the Company executed a strategic collaboration with The University of Texas M. D. Anderson Cancer Center (“MDACC”). The collaboration will consist of preclinical and clinical studies designed by the Company and MDACC with the research conducted by MDACC. The Company has agreed to commit $10,000 in funding for various studies over a period of five years, of which $2,000 was paid in April 2020.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Company has historically entered into lease arrangements for its facilities. As of March 31, 2020, the Company had three operating leases with required future minimum payments. The Company’s leases generally do not include termination or purchase options.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459" w:right="3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Company’s operating leases for the three months ended March 31, 2020:</w:t>
      </w:r>
    </w:p>
    <w:p>
      <w:pPr>
        <w:spacing w:after="0" w:line="176"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5"/>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6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Leases</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b w:val="1"/>
                <w:bCs w:val="1"/>
                <w:color w:val="auto"/>
              </w:rPr>
              <w:t>Lease Cost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cost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40" w:type="dxa"/>
            <w:vAlign w:val="bottom"/>
            <w:shd w:val="clear" w:color="auto" w:fill="CCEEFF"/>
          </w:tcPr>
          <w:p>
            <w:pPr>
              <w:spacing w:after="0"/>
              <w:rPr>
                <w:sz w:val="18"/>
                <w:szCs w:val="18"/>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Short-term lease cost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Variable lease cost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40" w:type="dxa"/>
            <w:vAlign w:val="bottom"/>
            <w:shd w:val="clear" w:color="auto" w:fill="CCEEFF"/>
          </w:tcPr>
          <w:p>
            <w:pPr>
              <w:spacing w:after="0"/>
              <w:rPr>
                <w:sz w:val="18"/>
                <w:szCs w:val="18"/>
                <w:color w:val="auto"/>
              </w:rPr>
            </w:pP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Total lease cost</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3"/>
        </w:trPr>
        <w:tc>
          <w:tcPr>
            <w:tcW w:w="6620" w:type="dxa"/>
            <w:vAlign w:val="bottom"/>
          </w:tcPr>
          <w:p>
            <w:pPr>
              <w:spacing w:after="0"/>
              <w:rPr>
                <w:sz w:val="24"/>
                <w:szCs w:val="24"/>
                <w:color w:val="auto"/>
              </w:rPr>
            </w:pPr>
          </w:p>
        </w:tc>
        <w:tc>
          <w:tcPr>
            <w:tcW w:w="1000" w:type="dxa"/>
            <w:vAlign w:val="bottom"/>
            <w:gridSpan w:val="6"/>
          </w:tcPr>
          <w:p>
            <w:pPr>
              <w:ind w:left="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6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96"/>
        </w:trPr>
        <w:tc>
          <w:tcPr>
            <w:tcW w:w="662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Other Operating Lease Information</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Operating cash flows for operating leases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$167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remaining lease term</w:t>
            </w:r>
          </w:p>
        </w:tc>
        <w:tc>
          <w:tcPr>
            <w:tcW w:w="1000" w:type="dxa"/>
            <w:vAlign w:val="bottom"/>
            <w:gridSpan w:val="6"/>
            <w:shd w:val="clear" w:color="auto" w:fill="CCEEFF"/>
          </w:tcPr>
          <w:p>
            <w:pPr>
              <w:ind w:left="60"/>
              <w:spacing w:after="0"/>
              <w:rPr>
                <w:sz w:val="20"/>
                <w:szCs w:val="20"/>
                <w:color w:val="auto"/>
              </w:rPr>
            </w:pPr>
            <w:r>
              <w:rPr>
                <w:rFonts w:ascii="Arial" w:cs="Arial" w:eastAsia="Arial" w:hAnsi="Arial"/>
                <w:sz w:val="18"/>
                <w:szCs w:val="18"/>
                <w:color w:val="auto"/>
              </w:rPr>
              <w:t>1.55 years</w:t>
            </w:r>
          </w:p>
        </w:tc>
      </w:tr>
      <w:tr>
        <w:trPr>
          <w:trHeight w:val="230"/>
        </w:trPr>
        <w:tc>
          <w:tcPr>
            <w:tcW w:w="6620" w:type="dxa"/>
            <w:vAlign w:val="bottom"/>
          </w:tcPr>
          <w:p>
            <w:pPr>
              <w:ind w:left="360"/>
              <w:spacing w:after="0"/>
              <w:rPr>
                <w:sz w:val="20"/>
                <w:szCs w:val="20"/>
                <w:color w:val="auto"/>
              </w:rPr>
            </w:pPr>
            <w:r>
              <w:rPr>
                <w:rFonts w:ascii="Arial" w:cs="Arial" w:eastAsia="Arial" w:hAnsi="Arial"/>
                <w:sz w:val="18"/>
                <w:szCs w:val="18"/>
                <w:color w:val="auto"/>
              </w:rPr>
              <w:t>Weighted-average discount rate</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20"/>
                <w:szCs w:val="20"/>
                <w:color w:val="auto"/>
              </w:rPr>
            </w:pPr>
          </w:p>
        </w:tc>
      </w:tr>
    </w:tbl>
    <w:p>
      <w:pPr>
        <w:spacing w:after="0" w:line="291" w:lineRule="exact"/>
        <w:rPr>
          <w:sz w:val="20"/>
          <w:szCs w:val="20"/>
          <w:color w:val="auto"/>
        </w:rPr>
      </w:pPr>
    </w:p>
    <w:p>
      <w:pPr>
        <w:ind w:right="8940" w:firstLine="8"/>
        <w:spacing w:after="0" w:line="400" w:lineRule="auto"/>
        <w:tabs>
          <w:tab w:leader="none" w:pos="180"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 Option Plan</w:t>
      </w:r>
    </w:p>
    <w:p>
      <w:pPr>
        <w:spacing w:after="0" w:line="259" w:lineRule="auto"/>
        <w:rPr>
          <w:sz w:val="20"/>
          <w:szCs w:val="20"/>
          <w:color w:val="auto"/>
        </w:rPr>
      </w:pPr>
      <w:r>
        <w:rPr>
          <w:rFonts w:ascii="Arial" w:cs="Arial" w:eastAsia="Arial" w:hAnsi="Arial"/>
          <w:sz w:val="18"/>
          <w:szCs w:val="18"/>
          <w:color w:val="auto"/>
        </w:rPr>
        <w:t>In December 2016, as further amended in December 2017 and September 2019, the Company adopted the Repare Therapeutics Inc. Option Plan (the “Option Plan”) for the issuance of share options and other share-based awards to directors, officers, employees or consultants. The Option Plan authorized up to 24,697,408 shares of the Company’s common shares to be issued. At March 31, 2020, there were 3,449,250 shares available for future grant under the Option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was allocated as follows:</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w:t>
            </w:r>
          </w:p>
        </w:tc>
        <w:tc>
          <w:tcPr>
            <w:tcW w:w="40" w:type="dxa"/>
            <w:vAlign w:val="bottom"/>
            <w:shd w:val="clear" w:color="auto" w:fill="CCEEFF"/>
          </w:tcPr>
          <w:p>
            <w:pPr>
              <w:spacing w:after="0"/>
              <w:rPr>
                <w:sz w:val="18"/>
                <w:szCs w:val="18"/>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w:t>
            </w:r>
          </w:p>
        </w:tc>
        <w:tc>
          <w:tcPr>
            <w:tcW w:w="1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138</w:t>
            </w:r>
          </w:p>
        </w:tc>
        <w:tc>
          <w:tcPr>
            <w:tcW w:w="40" w:type="dxa"/>
            <w:vAlign w:val="bottom"/>
          </w:tcPr>
          <w:p>
            <w:pPr>
              <w:spacing w:after="0"/>
              <w:rPr>
                <w:sz w:val="19"/>
                <w:szCs w:val="19"/>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w w:val="89"/>
              </w:rPr>
              <w:t>65</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271</w:t>
            </w:r>
          </w:p>
        </w:tc>
      </w:tr>
      <w:tr>
        <w:trPr>
          <w:trHeight w:val="20"/>
        </w:trPr>
        <w:tc>
          <w:tcPr>
            <w:tcW w:w="5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During the three months ended March 31, 2020, the Company did not grant options to purchase common shares. During the three months ended March 31, 2019 and 2020, the Company recorded share-based compensation expense for options granted of $65 and $271, respectively.</w:t>
      </w:r>
    </w:p>
    <w:p>
      <w:pPr>
        <w:spacing w:after="0" w:line="14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the three months ended March 31, 2020, an aggregate of 1,099,166 options were exercised at a weighted-average exercise price of $0.30 per share, for aggregate proceeds of $324. As a result, an amount of $196 previously included in additional paid-in capital related to the exercised options has been credited to common shares and deducted from additional paid-in capital.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459" w:right="3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March 31, 2020, there were 20,148,992 options outstanding. As of March 31, 2020, there was $3,286 of unrecognized share-based compensation expense related to unvested stock options to be recognized over a period of 3.0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Loss per Share and Unaudited Pro Forma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computation of basic and diluted net loss per share attributable to common shareholders of the Company:</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60" w:type="dxa"/>
            <w:vAlign w:val="bottom"/>
            <w:gridSpan w:val="4"/>
          </w:tcPr>
          <w:p>
            <w:pPr>
              <w:jc w:val="center"/>
              <w:ind w:right="54"/>
              <w:spacing w:after="0" w:line="123" w:lineRule="exact"/>
              <w:rPr>
                <w:sz w:val="20"/>
                <w:szCs w:val="20"/>
                <w:color w:val="auto"/>
              </w:rPr>
            </w:pPr>
            <w:r>
              <w:rPr>
                <w:rFonts w:ascii="Arial" w:cs="Arial" w:eastAsia="Arial" w:hAnsi="Arial"/>
                <w:sz w:val="14"/>
                <w:szCs w:val="14"/>
                <w:i w:val="1"/>
                <w:iCs w:val="1"/>
                <w:color w:val="auto"/>
                <w:w w:val="91"/>
              </w:rPr>
              <w:t>(in thousands, except share and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4"/>
                <w:szCs w:val="14"/>
                <w:i w:val="1"/>
                <w:iCs w:val="1"/>
                <w:color w:val="auto"/>
                <w:w w:val="92"/>
              </w:rPr>
              <w:t>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(4,838)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outstanding—basic and diluted</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9"/>
              </w:rPr>
              <w:t>9,265,000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9,906,973</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shareholders—basic and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7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potentially dilutive securities, which include convertible preferred shares and options, have been excluded from the computation of diluted net loss per share attributable to common shareholders as the effect would be to reduce the net loss per share attributable to common shareholders. Therefore, the weighted average number of common shares outstanding used to calculate both basic and diluted net loss per share attributable to common shareholders is the same. The Company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p>
      <w:pPr>
        <w:spacing w:after="0" w:line="211"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Three Months Ended</w:t>
      </w:r>
    </w:p>
    <w:p>
      <w:pPr>
        <w:jc w:val="center"/>
        <w:ind w:left="58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360" w:type="dxa"/>
        <w:tblCellMar>
          <w:top w:w="0" w:type="dxa"/>
          <w:left w:w="0" w:type="dxa"/>
          <w:bottom w:w="0" w:type="dxa"/>
          <w:right w:w="0" w:type="dxa"/>
        </w:tblCellMar>
      </w:tblPr>
      <w:tr>
        <w:trPr>
          <w:trHeight w:val="142"/>
        </w:trPr>
        <w:tc>
          <w:tcPr>
            <w:tcW w:w="596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67,228,395</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67,228,395</w:t>
            </w:r>
          </w:p>
        </w:tc>
        <w:tc>
          <w:tcPr>
            <w:tcW w:w="6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63,458,580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shares</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8,871,908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20,148,992</w:t>
            </w: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Unaudited pro forma net loss per share attributable to common shareholders is computed using the weighted-average number of common shares outstanding after giving effect to the conversion of all outstanding convertible preferred shares into common shares as if such conversion had occurred on January 1, 2020, or the date of issuance, if later.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20"/>
          </w:cols>
          <w:pgMar w:left="320" w:top="459" w:right="3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Unaudited pro forma basic and diluted net loss per share attributable to common shareholders was calculated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16"/>
              <w:spacing w:after="0" w:line="123" w:lineRule="exact"/>
              <w:rPr>
                <w:sz w:val="20"/>
                <w:szCs w:val="20"/>
                <w:color w:val="auto"/>
              </w:rPr>
            </w:pPr>
            <w:r>
              <w:rPr>
                <w:rFonts w:ascii="Arial" w:cs="Arial" w:eastAsia="Arial" w:hAnsi="Arial"/>
                <w:sz w:val="14"/>
                <w:szCs w:val="14"/>
                <w:i w:val="1"/>
                <w:iCs w:val="1"/>
                <w:color w:val="auto"/>
                <w:w w:val="90"/>
              </w:rPr>
              <w:t>(in thousands,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140"/>
              <w:spacing w:after="0" w:line="149" w:lineRule="exact"/>
              <w:rPr>
                <w:sz w:val="20"/>
                <w:szCs w:val="20"/>
                <w:color w:val="auto"/>
              </w:rPr>
            </w:pPr>
            <w:r>
              <w:rPr>
                <w:rFonts w:ascii="Arial" w:cs="Arial" w:eastAsia="Arial" w:hAnsi="Arial"/>
                <w:sz w:val="14"/>
                <w:szCs w:val="14"/>
                <w:i w:val="1"/>
                <w:iCs w:val="1"/>
                <w:color w:val="auto"/>
                <w:w w:val="89"/>
              </w:rPr>
              <w:t>except share and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i w:val="1"/>
                <w:iCs w:val="1"/>
                <w:color w:val="auto"/>
              </w:rPr>
              <w:t>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outstanding—basic and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9,906,973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tcPr>
          <w:p>
            <w:pPr>
              <w:spacing w:after="0" w:line="201" w:lineRule="exact"/>
              <w:rPr>
                <w:sz w:val="20"/>
                <w:szCs w:val="20"/>
                <w:color w:val="auto"/>
              </w:rPr>
            </w:pPr>
            <w:r>
              <w:rPr>
                <w:rFonts w:ascii="Arial" w:cs="Arial" w:eastAsia="Arial" w:hAnsi="Arial"/>
                <w:sz w:val="18"/>
                <w:szCs w:val="18"/>
                <w:color w:val="auto"/>
              </w:rPr>
              <w:t>Pro forma adjustment to reflect assumed conversion of convertible preferred shares to common shares upon the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80" w:type="dxa"/>
            <w:vAlign w:val="bottom"/>
          </w:tcPr>
          <w:p>
            <w:pPr>
              <w:ind w:left="160"/>
              <w:spacing w:after="0"/>
              <w:rPr>
                <w:sz w:val="20"/>
                <w:szCs w:val="20"/>
                <w:color w:val="auto"/>
              </w:rPr>
            </w:pPr>
            <w:r>
              <w:rPr>
                <w:rFonts w:ascii="Arial" w:cs="Arial" w:eastAsia="Arial" w:hAnsi="Arial"/>
                <w:sz w:val="18"/>
                <w:szCs w:val="18"/>
                <w:color w:val="auto"/>
              </w:rPr>
              <w:t>completion of the proposed initial public offering</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130,686,975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common shares outstanding—basic and diluted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140,593,948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common shareholders—basic and diluted</w:t>
            </w:r>
          </w:p>
        </w:tc>
        <w:tc>
          <w:tcPr>
            <w:tcW w:w="1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Subsequent events have been evaluated through the date of filing of this prospectus. The Company has concluded that no subsequent events have occurred that require disclosure, except as described below.</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April and May 2020, the board of directors of the Company authorized the issuance of an aggregate of 1,687,500 stock options to employees, at a weighted average exercise price of $1.42 per share.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May 2020, an aggregate of 293,750 options were exercised at a weighted average price of $0.34 per share, for aggregate proceeds of $100.</w:t>
      </w:r>
    </w:p>
    <w:p>
      <w:pPr>
        <w:spacing w:after="0" w:line="23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May 2020, the Company entered into a collaboration and license agreement with Bristol-Myers Squibb Company, or Bristol Myers Squibb, pursuant to which the Company and Bristol Myers Squibb have agreed to collaborate in the research and development of potential new product candidates for the treatment of cancer. Bristol Myers Squibb has agreed to pay the Company an initial upfront fee payment of $50,000. The Company is entitled to receive up to $301,000 in total milestones on a program-by-program basis, consisting of $176,000 in the aggregate for certain specified research, development and regulatory milestones and $125,000 in the aggregate for certain specified commercial milestones. The Company is also entitled to a tiered percentage royalty on annual net sales ranging from high-single digits to low-double digits, subject to certain specified reductions. In conjunction with the collaboration and license agreement, the Company entered into a warrant agreement with an affiliate of Bristol Myers Squibb pursuant to which the Company issued a warrant for total proceeds of $15,000. This warrant will automatically convert into common shares at the subscription price of $15,000 divided by the initial public offering price of the Company’s common shares in an initial public offering; provided that, in the event that specified the initial public offering is not consummated by December 31, 2020, the warrant will be automatically exercised for a specified number of preferred shares.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20"/>
          </w:cols>
          <w:pgMar w:left="320" w:top="459" w:right="3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588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335915</wp:posOffset>
            </wp:positionV>
            <wp:extent cx="1654175" cy="4972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6541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22"/>
          <w:szCs w:val="22"/>
          <w:i w:val="1"/>
          <w:i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1824355</wp:posOffset>
            </wp:positionV>
            <wp:extent cx="413194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29"/>
          <w:szCs w:val="29"/>
          <w:i w:val="1"/>
          <w:i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163830</wp:posOffset>
            </wp:positionV>
            <wp:extent cx="413194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Joint Book-Running Managers</w:t>
      </w:r>
    </w:p>
    <w:p>
      <w:pPr>
        <w:spacing w:after="0" w:line="245" w:lineRule="exact"/>
        <w:rPr>
          <w:sz w:val="20"/>
          <w:szCs w:val="20"/>
          <w:color w:val="auto"/>
        </w:rPr>
      </w:pPr>
    </w:p>
    <w:p>
      <w:pPr>
        <w:ind w:left="560"/>
        <w:spacing w:after="0"/>
        <w:tabs>
          <w:tab w:leader="none" w:pos="3660" w:val="left"/>
          <w:tab w:leader="none" w:pos="7740" w:val="left"/>
          <w:tab w:leader="none" w:pos="9500" w:val="left"/>
        </w:tabs>
        <w:rPr>
          <w:sz w:val="20"/>
          <w:szCs w:val="20"/>
          <w:color w:val="auto"/>
        </w:rPr>
      </w:pPr>
      <w:r>
        <w:rPr>
          <w:rFonts w:ascii="Arial" w:cs="Arial" w:eastAsia="Arial" w:hAnsi="Arial"/>
          <w:sz w:val="22"/>
          <w:szCs w:val="22"/>
          <w:i w:val="1"/>
          <w:iCs w:val="1"/>
          <w:color w:val="auto"/>
        </w:rPr>
        <w:t>Morgan Stanley</w:t>
      </w:r>
      <w:r>
        <w:rPr>
          <w:sz w:val="20"/>
          <w:szCs w:val="20"/>
          <w:color w:val="auto"/>
        </w:rPr>
        <w:tab/>
      </w:r>
      <w:r>
        <w:rPr>
          <w:rFonts w:ascii="Arial" w:cs="Arial" w:eastAsia="Arial" w:hAnsi="Arial"/>
          <w:sz w:val="22"/>
          <w:szCs w:val="22"/>
          <w:i w:val="1"/>
          <w:iCs w:val="1"/>
          <w:color w:val="auto"/>
        </w:rPr>
        <w:t>Goldman Sachs &amp; Co. LLC</w:t>
      </w:r>
      <w:r>
        <w:rPr>
          <w:sz w:val="20"/>
          <w:szCs w:val="20"/>
          <w:color w:val="auto"/>
        </w:rPr>
        <w:tab/>
      </w:r>
      <w:r>
        <w:rPr>
          <w:rFonts w:ascii="Arial" w:cs="Arial" w:eastAsia="Arial" w:hAnsi="Arial"/>
          <w:sz w:val="22"/>
          <w:szCs w:val="22"/>
          <w:i w:val="1"/>
          <w:iCs w:val="1"/>
          <w:color w:val="auto"/>
        </w:rPr>
        <w:t>Cowen</w:t>
      </w:r>
      <w:r>
        <w:rPr>
          <w:sz w:val="20"/>
          <w:szCs w:val="20"/>
          <w:color w:val="auto"/>
        </w:rPr>
        <w:tab/>
      </w:r>
      <w:r>
        <w:rPr>
          <w:rFonts w:ascii="Arial" w:cs="Arial" w:eastAsia="Arial" w:hAnsi="Arial"/>
          <w:sz w:val="19"/>
          <w:szCs w:val="19"/>
          <w:i w:val="1"/>
          <w:iCs w:val="1"/>
          <w:color w:val="auto"/>
        </w:rPr>
        <w:t>Piper Sandler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760"/>
        <w:spacing w:after="0"/>
        <w:rPr>
          <w:sz w:val="20"/>
          <w:szCs w:val="20"/>
          <w:color w:val="auto"/>
        </w:rPr>
      </w:pPr>
      <w:r>
        <w:rPr>
          <w:rFonts w:ascii="Arial" w:cs="Arial" w:eastAsia="Arial" w:hAnsi="Arial"/>
          <w:sz w:val="18"/>
          <w:szCs w:val="18"/>
          <w:b w:val="1"/>
          <w:bCs w:val="1"/>
          <w:i w:val="1"/>
          <w:iCs w:val="1"/>
          <w:color w:val="auto"/>
        </w:rPr>
        <w:t>, 2020</w:t>
      </w:r>
    </w:p>
    <w:p>
      <w:pPr>
        <w:spacing w:after="0" w:line="225"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b w:val="1"/>
          <w:bCs w:val="1"/>
          <w:i w:val="1"/>
          <w:iCs w:val="1"/>
          <w:color w:val="auto"/>
        </w:rPr>
        <w:t>Through and including</w:t>
      </w:r>
      <w:r>
        <w:rPr>
          <w:sz w:val="20"/>
          <w:szCs w:val="20"/>
          <w:color w:val="auto"/>
        </w:rPr>
        <w:tab/>
      </w:r>
      <w:r>
        <w:rPr>
          <w:rFonts w:ascii="Arial" w:cs="Arial" w:eastAsia="Arial" w:hAnsi="Arial"/>
          <w:sz w:val="15"/>
          <w:szCs w:val="15"/>
          <w:b w:val="1"/>
          <w:bCs w:val="1"/>
          <w:i w:val="1"/>
          <w:iCs w:val="1"/>
          <w:color w:val="auto"/>
        </w:rPr>
        <w:t>, 2020 (the 25</w:t>
      </w:r>
      <w:r>
        <w:rPr>
          <w:rFonts w:ascii="Arial" w:cs="Arial" w:eastAsia="Arial" w:hAnsi="Arial"/>
          <w:sz w:val="12"/>
          <w:szCs w:val="12"/>
          <w:b w:val="1"/>
          <w:bCs w:val="1"/>
          <w:i w:val="1"/>
          <w:iCs w:val="1"/>
          <w:color w:val="auto"/>
        </w:rPr>
        <w:t>th</w:t>
      </w:r>
      <w:r>
        <w:rPr>
          <w:rFonts w:ascii="Arial" w:cs="Arial" w:eastAsia="Arial" w:hAnsi="Arial"/>
          <w:sz w:val="15"/>
          <w:szCs w:val="15"/>
          <w:b w:val="1"/>
          <w:bCs w:val="1"/>
          <w:i w:val="1"/>
          <w:iCs w:val="1"/>
          <w:color w:val="auto"/>
        </w:rPr>
        <w:t xml:space="preserve"> day after the commencement of this offering), all dealers that buy, sell or trade common shares,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b w:val="1"/>
          <w:bCs w:val="1"/>
          <w:i w:val="1"/>
          <w:iCs w:val="1"/>
          <w:color w:val="auto"/>
        </w:rPr>
        <w:t>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ectPr>
          <w:pgSz w:w="11900" w:h="16838" w:orient="portrait"/>
          <w:cols w:equalWidth="0" w:num="1">
            <w:col w:w="11140"/>
          </w:cols>
          <w:pgMar w:left="320" w:top="459"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The following table sets forth the costs and expenses, other than the underwriting commissions, payable by the registrant in connection with the sale of our common shares being registered. All amounts are estimates except for the Securities and Exchange Commission, or SEC, registration fee, the Financial Industry Regulatory Authority, or FINRA, filing fee and the Nasdaq Global Market, or Nasdaq, listing fee.</w:t>
      </w:r>
    </w:p>
    <w:p>
      <w:pPr>
        <w:sectPr>
          <w:pgSz w:w="11900" w:h="16838" w:orient="portrait"/>
          <w:cols w:equalWidth="0" w:num="1">
            <w:col w:w="11200"/>
          </w:cols>
          <w:pgMar w:left="320" w:top="459" w:right="379" w:bottom="1440" w:gutter="0" w:footer="0" w:header="0"/>
        </w:sectPr>
      </w:pPr>
    </w:p>
    <w:p>
      <w:pPr>
        <w:spacing w:after="0" w:line="184" w:lineRule="exact"/>
        <w:rPr>
          <w:sz w:val="20"/>
          <w:szCs w:val="20"/>
          <w:color w:val="auto"/>
        </w:rPr>
      </w:pPr>
    </w:p>
    <w:p>
      <w:pPr>
        <w:ind w:left="1420"/>
        <w:spacing w:after="0"/>
        <w:rPr>
          <w:sz w:val="20"/>
          <w:szCs w:val="20"/>
          <w:color w:val="auto"/>
        </w:rPr>
      </w:pPr>
      <w:r>
        <w:rPr>
          <w:rFonts w:ascii="Arial" w:cs="Arial" w:eastAsia="Arial" w:hAnsi="Arial"/>
          <w:sz w:val="14"/>
          <w:szCs w:val="14"/>
          <w:b w:val="1"/>
          <w:bCs w:val="1"/>
          <w:u w:val="single" w:color="auto"/>
          <w:color w:val="auto"/>
        </w:rPr>
        <w:t>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15240</wp:posOffset>
            </wp:positionV>
            <wp:extent cx="5349240" cy="1460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349240" cy="146050"/>
                    </a:xfrm>
                    <a:prstGeom prst="rect">
                      <a:avLst/>
                    </a:prstGeom>
                    <a:noFill/>
                  </pic:spPr>
                </pic:pic>
              </a:graphicData>
            </a:graphic>
          </wp:anchor>
        </w:drawing>
      </w:r>
    </w:p>
    <w:p>
      <w:pPr>
        <w:spacing w:after="0" w:line="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SEC registration fee</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14605</wp:posOffset>
            </wp:positionV>
            <wp:extent cx="5349240" cy="1371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Nasdaq listing fee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371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13335</wp:posOffset>
            </wp:positionV>
            <wp:extent cx="5349240" cy="1371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Transfer agent fees and expenses</w:t>
      </w:r>
    </w:p>
    <w:p>
      <w:pPr>
        <w:spacing w:after="0" w:line="4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Miscellaneous expenses</w:t>
      </w:r>
    </w:p>
    <w:p>
      <w:pPr>
        <w:spacing w:after="0" w:line="2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-121920</wp:posOffset>
            </wp:positionV>
            <wp:extent cx="5349240" cy="1371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3492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8867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To be provided by amendment.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4"/>
        <w:spacing w:after="0"/>
        <w:rPr>
          <w:sz w:val="20"/>
          <w:szCs w:val="20"/>
          <w:color w:val="auto"/>
        </w:rPr>
      </w:pPr>
      <w:r>
        <w:rPr>
          <w:rFonts w:ascii="Arial" w:cs="Arial" w:eastAsia="Arial" w:hAnsi="Arial"/>
          <w:sz w:val="14"/>
          <w:szCs w:val="14"/>
          <w:b w:val="1"/>
          <w:bCs w:val="1"/>
          <w:u w:val="single" w:color="auto"/>
          <w:color w:val="auto"/>
        </w:rPr>
        <w:t>AMOUNT</w:t>
      </w:r>
    </w:p>
    <w:p>
      <w:pPr>
        <w:spacing w:after="0" w:line="25" w:lineRule="exact"/>
        <w:rPr>
          <w:sz w:val="20"/>
          <w:szCs w:val="20"/>
          <w:color w:val="auto"/>
        </w:rPr>
      </w:pPr>
    </w:p>
    <w:p>
      <w:pPr>
        <w:ind w:left="164" w:hanging="164"/>
        <w:spacing w:after="0"/>
        <w:tabs>
          <w:tab w:leader="none" w:pos="16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12,980</w:t>
      </w:r>
    </w:p>
    <w:p>
      <w:pPr>
        <w:spacing w:after="0" w:line="30" w:lineRule="exact"/>
        <w:rPr>
          <w:rFonts w:ascii="Arial" w:cs="Arial" w:eastAsia="Arial" w:hAnsi="Arial"/>
          <w:sz w:val="16"/>
          <w:szCs w:val="16"/>
          <w:color w:val="auto"/>
        </w:rPr>
      </w:pPr>
    </w:p>
    <w:p>
      <w:pPr>
        <w:ind w:left="164"/>
        <w:spacing w:after="0"/>
        <w:rPr>
          <w:rFonts w:ascii="Arial" w:cs="Arial" w:eastAsia="Arial" w:hAnsi="Arial"/>
          <w:sz w:val="16"/>
          <w:szCs w:val="16"/>
          <w:color w:val="auto"/>
        </w:rPr>
      </w:pPr>
      <w:r>
        <w:rPr>
          <w:rFonts w:ascii="Arial" w:cs="Arial" w:eastAsia="Arial" w:hAnsi="Arial"/>
          <w:sz w:val="16"/>
          <w:szCs w:val="16"/>
          <w:color w:val="auto"/>
        </w:rPr>
        <w:t>15,650</w:t>
      </w:r>
    </w:p>
    <w:p>
      <w:pPr>
        <w:spacing w:after="0" w:line="32" w:lineRule="exact"/>
        <w:rPr>
          <w:rFonts w:ascii="Arial" w:cs="Arial" w:eastAsia="Arial" w:hAnsi="Arial"/>
          <w:sz w:val="16"/>
          <w:szCs w:val="16"/>
          <w:color w:val="auto"/>
        </w:rPr>
      </w:pPr>
    </w:p>
    <w:p>
      <w:pPr>
        <w:ind w:left="56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6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6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6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6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6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197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pacing w:after="0" w:line="2" w:lineRule="exact"/>
        <w:rPr>
          <w:sz w:val="20"/>
          <w:szCs w:val="20"/>
          <w:color w:val="auto"/>
        </w:rPr>
      </w:pPr>
    </w:p>
    <w:p>
      <w:pPr>
        <w:ind w:left="564" w:hanging="564"/>
        <w:spacing w:after="0"/>
        <w:tabs>
          <w:tab w:leader="none" w:pos="56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197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197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197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8036" w:space="720"/>
            <w:col w:w="2444"/>
          </w:cols>
          <w:pgMar w:left="320" w:top="459" w:right="379" w:bottom="1440" w:gutter="0" w:footer="0" w:header="0"/>
          <w:type w:val="continuous"/>
        </w:sectPr>
      </w:pP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Under the QBCA and our amended and restated bylaws to be in effect upon the completion of this offering, we must indemnify our current or former directors and officers, agents or any other individuals who act or has acted at our request as a director or officer of another group, against all costs, charges and expenses reasonably incurred in the exercise of such individual’s functions, including an amount paid to settle an action or satisfy a judgment, or arising from any investigative or other proceeding in which such individual is involved. The QBCA also provides that we must advance moneys to such individual for costs, charges and expenses incurred in connection with such a proceeding; provided that such individual shall repay such payment if he or she does not fulfill the conditions described below.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Indemnification is prohibited under the QBCA unless the individual:</w:t>
      </w:r>
    </w:p>
    <w:p>
      <w:pPr>
        <w:spacing w:after="0" w:line="131" w:lineRule="exact"/>
        <w:rPr>
          <w:sz w:val="20"/>
          <w:szCs w:val="20"/>
          <w:color w:val="auto"/>
        </w:rPr>
      </w:pPr>
    </w:p>
    <w:p>
      <w:pPr>
        <w:ind w:left="1000" w:right="60" w:hanging="547"/>
        <w:spacing w:after="0" w:line="277" w:lineRule="auto"/>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acted with honesty and loyalty in our interests, or in the interest of the other group for which the individual acted as director or officer or in a similar capacity at our request; and</w:t>
      </w:r>
    </w:p>
    <w:p>
      <w:pPr>
        <w:spacing w:after="0" w:line="75"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the case of a proceeding that is enforced by a monetary penalty, the individual had reasonable grounds for believing that his or her conduct was lawful.</w:t>
      </w:r>
    </w:p>
    <w:p>
      <w:pPr>
        <w:spacing w:after="0" w:line="170"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The QBCA and our bylaws authorize us to purchase and maintain insurance for the benefit of each of our current or former directors or officers and each person who acts or acted at our request as a director, officer or an individual acting in a similar capacity, of another entity.</w:t>
      </w:r>
    </w:p>
    <w:p>
      <w:pPr>
        <w:spacing w:after="0" w:line="146"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In addition, we have entered, and intend to continue to enter, into separate indemnity agreements with each of our directors and officers. These indemnity agreements, among other things, require us to indemnify our directors and officers for certain expenses, including attorneys’ fees, judgments, fines and settlement amounts incurred by a director or officer in any action or proceeding arising out of their services as a director or officer, or any other company or enterprise to which the person provides services at our request.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320" w:top="459" w:right="379" w:bottom="1440" w:gutter="0" w:footer="0" w:header="0"/>
          <w:type w:val="continuous"/>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w:t>
      </w:r>
    </w:p>
    <w:p>
      <w:pPr>
        <w:spacing w:after="0" w:line="184"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The form of Underwriting Agreement for this initial public offering provides for indemnification by the underwriters of us and our officers and directors who sign this Registration Statement for specified liabilities, including matters arising under the Securities Act.</w:t>
      </w:r>
    </w:p>
    <w:p>
      <w:pPr>
        <w:spacing w:after="0" w:line="31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following list sets forth information as to all securities we have sold since January 1, 2017 through the date of the prospectus that is a part of this registration statement: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Issuances of Common Shares</w:t>
      </w:r>
    </w:p>
    <w:p>
      <w:pPr>
        <w:spacing w:after="0" w:line="117"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In January 2017, we issued and sold an aggregate of 600,000 of our common shares to two accredited investors at $0.0001 per share for aggregate consideration of $60.</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Issuances of Options to Purchase Common Shares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From January 1, 2017 through the date of this registration statement, we granted options under our Repare Therapeutics Inc. Amended and Restated Option Plan to purchase an aggregate of 23,987,950 common shares, with exercise prices ranging from $0.27 to $2.19 per share, to our employees, directors and consultants. Of these, 1,392,916 shares have been issued upon the exercise of options, at a weighted average exercise price of $0.30 per share, for aggregate proceeds of $0.4 million, and 1,067,792 options have been cancelled.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Issuances of Preferred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A Preferred Share Financing</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June 2017 and January 2019, we sold an aggregate of 61,728,395 of our Series A preferred shares in multiple closings to 12 accredited investors at a purchase price of $0.81 per share for aggregate consideration of $50.0 million. In connection with and as partial consideration for this financing, an aggregate principal amount of $2.75 million of convertible promissory notes held by certain investors were redeemed and converted into 5,500,000 Series A preferred shares at a price of $0.50 per share.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B Preferred Share Financing</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In September 2019, we sold an aggregate of 63,458,580 of our Series B preferred shares to 21 accredited investors at a purchase price of $1.30 per share for aggregate consideration of $82.5 million.</w:t>
      </w:r>
    </w:p>
    <w:p>
      <w:pPr>
        <w:spacing w:after="0" w:line="170"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320" w:top="459" w:right="3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 of Warrant</w:t>
      </w:r>
    </w:p>
    <w:p>
      <w:pPr>
        <w:spacing w:after="0" w:line="117"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 xml:space="preserve">In May 2020, in connection with our entry into a collaboration and license agreement with Bristol-Myers Squibb Company, or Bristol Myers Squibb, we entered into a warrant agreement with an affiliate of Bristol Myers Squibb. Pursuant to the terms of the warrant agreement, Bristol Myers Squibb paid us $15 million in consideration for our issuance of a warrant. Immediately prior to the completion of this offering, the warrant will be automatically exercised for a number of our common shares equal to the subscription price of $15 million divided by the initial public offering price of our common shares set forth on the cover page of this prospectus; </w:t>
      </w:r>
      <w:r>
        <w:rPr>
          <w:rFonts w:ascii="Arial" w:cs="Arial" w:eastAsia="Arial" w:hAnsi="Arial"/>
          <w:sz w:val="16"/>
          <w:szCs w:val="16"/>
          <w:i w:val="1"/>
          <w:iCs w:val="1"/>
          <w:color w:val="auto"/>
        </w:rPr>
        <w:t>provided that</w:t>
      </w:r>
      <w:r>
        <w:rPr>
          <w:rFonts w:ascii="Arial" w:cs="Arial" w:eastAsia="Arial" w:hAnsi="Arial"/>
          <w:sz w:val="16"/>
          <w:szCs w:val="16"/>
          <w:color w:val="auto"/>
        </w:rPr>
        <w:t>, in the event that either the offering is not consummated by December 31, 2020 or we deliver to Bristol Myers Squibb a written notice to the effect that we are no longer pursuing this proposed offering, the warrant will be automatically</w:t>
      </w:r>
    </w:p>
    <w:p>
      <w:pPr>
        <w:spacing w:after="0" w:line="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exercised for a specified number of preferred shares. Based on an assumed initial public offering price of $ per share, the midpoint of the range set forth on the cover page of this prospectus, it is anticipated that Bristol Myers Squibb will acquire of our common shares upon the automatic exercise in connection with the consummation of this offering.</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80"/>
          </w:cols>
          <w:pgMar w:left="320" w:top="459" w:right="39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filed as part of this registration statement.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100" w:type="dxa"/>
            <w:vAlign w:val="bottom"/>
            <w:gridSpan w:val="3"/>
            <w:vMerge w:val="restart"/>
          </w:tcPr>
          <w:p>
            <w:pPr>
              <w:ind w:left="2660"/>
              <w:spacing w:after="0"/>
              <w:rPr>
                <w:sz w:val="20"/>
                <w:szCs w:val="20"/>
                <w:color w:val="auto"/>
              </w:rPr>
            </w:pPr>
            <w:r>
              <w:rPr>
                <w:rFonts w:ascii="Arial" w:cs="Arial" w:eastAsia="Arial" w:hAnsi="Arial"/>
                <w:sz w:val="14"/>
                <w:szCs w:val="14"/>
                <w:b w:val="1"/>
                <w:bCs w:val="1"/>
                <w:color w:val="auto"/>
              </w:rPr>
              <w:t>DESCRIPTION</w:t>
            </w:r>
          </w:p>
        </w:tc>
        <w:tc>
          <w:tcPr>
            <w:tcW w:w="1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100" w:type="dxa"/>
            <w:vAlign w:val="bottom"/>
            <w:gridSpan w:val="3"/>
            <w:vMerge w:val="continue"/>
          </w:tcPr>
          <w:p>
            <w:pPr>
              <w:spacing w:after="0"/>
              <w:rPr>
                <w:sz w:val="14"/>
                <w:szCs w:val="14"/>
                <w:color w:val="auto"/>
              </w:rPr>
            </w:pPr>
          </w:p>
        </w:tc>
        <w:tc>
          <w:tcPr>
            <w:tcW w:w="1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24"/>
                <w:szCs w:val="24"/>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Form of Underwriting Agreement.</w:t>
            </w:r>
          </w:p>
        </w:tc>
        <w:tc>
          <w:tcPr>
            <w:tcW w:w="102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7880" w:type="dxa"/>
            <w:vAlign w:val="bottom"/>
            <w:gridSpan w:val="5"/>
          </w:tcPr>
          <w:p>
            <w:pPr>
              <w:spacing w:after="0"/>
              <w:rPr>
                <w:rFonts w:ascii="Arial" w:cs="Arial" w:eastAsia="Arial" w:hAnsi="Arial"/>
                <w:sz w:val="18"/>
                <w:szCs w:val="18"/>
                <w:u w:val="single" w:color="auto"/>
                <w:color w:val="0000EE"/>
              </w:rPr>
            </w:pPr>
            <w:hyperlink w:anchor="page273">
              <w:r>
                <w:rPr>
                  <w:rFonts w:ascii="Arial" w:cs="Arial" w:eastAsia="Arial" w:hAnsi="Arial"/>
                  <w:sz w:val="18"/>
                  <w:szCs w:val="18"/>
                  <w:u w:val="single" w:color="auto"/>
                  <w:color w:val="0000EE"/>
                </w:rPr>
                <w:t>Amended and Restated Articles of Incorporation, as currently in effect.</w:t>
              </w:r>
            </w:hyperlink>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24"/>
                <w:szCs w:val="24"/>
                <w:color w:val="auto"/>
              </w:rPr>
            </w:pPr>
          </w:p>
        </w:tc>
        <w:tc>
          <w:tcPr>
            <w:tcW w:w="7880" w:type="dxa"/>
            <w:vAlign w:val="bottom"/>
            <w:gridSpan w:val="5"/>
          </w:tcPr>
          <w:p>
            <w:pPr>
              <w:spacing w:after="0"/>
              <w:rPr>
                <w:sz w:val="20"/>
                <w:szCs w:val="20"/>
                <w:color w:val="auto"/>
              </w:rPr>
            </w:pPr>
            <w:r>
              <w:rPr>
                <w:rFonts w:ascii="Arial" w:cs="Arial" w:eastAsia="Arial" w:hAnsi="Arial"/>
                <w:sz w:val="18"/>
                <w:szCs w:val="18"/>
                <w:color w:val="auto"/>
              </w:rPr>
              <w:t>Form of Articles of Continuance, to be effective immediately prior to the completion of this offering.</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24"/>
                <w:szCs w:val="24"/>
                <w:color w:val="auto"/>
              </w:rPr>
            </w:pPr>
          </w:p>
        </w:tc>
        <w:tc>
          <w:tcPr>
            <w:tcW w:w="7880" w:type="dxa"/>
            <w:vAlign w:val="bottom"/>
            <w:gridSpan w:val="5"/>
          </w:tcPr>
          <w:p>
            <w:pPr>
              <w:spacing w:after="0"/>
              <w:rPr>
                <w:rFonts w:ascii="Arial" w:cs="Arial" w:eastAsia="Arial" w:hAnsi="Arial"/>
                <w:sz w:val="18"/>
                <w:szCs w:val="18"/>
                <w:u w:val="single" w:color="auto"/>
                <w:color w:val="0000EE"/>
              </w:rPr>
            </w:pPr>
            <w:hyperlink w:anchor="page304">
              <w:r>
                <w:rPr>
                  <w:rFonts w:ascii="Arial" w:cs="Arial" w:eastAsia="Arial" w:hAnsi="Arial"/>
                  <w:sz w:val="18"/>
                  <w:szCs w:val="18"/>
                  <w:u w:val="single" w:color="auto"/>
                  <w:color w:val="0000EE"/>
                </w:rPr>
                <w:t>Bylaws, as currently in effect.</w:t>
              </w:r>
            </w:hyperlink>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24"/>
                <w:szCs w:val="24"/>
                <w:color w:val="auto"/>
              </w:rPr>
            </w:pPr>
          </w:p>
        </w:tc>
        <w:tc>
          <w:tcPr>
            <w:tcW w:w="7880" w:type="dxa"/>
            <w:vAlign w:val="bottom"/>
            <w:gridSpan w:val="5"/>
          </w:tcPr>
          <w:p>
            <w:pPr>
              <w:spacing w:after="0"/>
              <w:rPr>
                <w:sz w:val="20"/>
                <w:szCs w:val="20"/>
                <w:color w:val="auto"/>
              </w:rPr>
            </w:pPr>
            <w:r>
              <w:rPr>
                <w:rFonts w:ascii="Arial" w:cs="Arial" w:eastAsia="Arial" w:hAnsi="Arial"/>
                <w:sz w:val="18"/>
                <w:szCs w:val="18"/>
                <w:color w:val="auto"/>
                <w:w w:val="92"/>
              </w:rPr>
              <w:t>Form of Amended and Restated Bylaws, to be effective immediately prior to the completion of this offering.</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4"/>
                <w:szCs w:val="24"/>
                <w:color w:val="auto"/>
              </w:rPr>
            </w:pPr>
          </w:p>
        </w:tc>
        <w:tc>
          <w:tcPr>
            <w:tcW w:w="7880" w:type="dxa"/>
            <w:vAlign w:val="bottom"/>
            <w:gridSpan w:val="5"/>
          </w:tcPr>
          <w:p>
            <w:pPr>
              <w:spacing w:after="0"/>
              <w:rPr>
                <w:sz w:val="20"/>
                <w:szCs w:val="20"/>
                <w:color w:val="auto"/>
              </w:rPr>
            </w:pPr>
            <w:r>
              <w:rPr>
                <w:rFonts w:ascii="Arial" w:cs="Arial" w:eastAsia="Arial" w:hAnsi="Arial"/>
                <w:sz w:val="18"/>
                <w:szCs w:val="18"/>
                <w:color w:val="auto"/>
              </w:rPr>
              <w:t>Form of Common Share Certificate of the registrant.</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24"/>
                <w:szCs w:val="24"/>
                <w:color w:val="auto"/>
              </w:rPr>
            </w:pPr>
          </w:p>
        </w:tc>
        <w:tc>
          <w:tcPr>
            <w:tcW w:w="9760" w:type="dxa"/>
            <w:vAlign w:val="bottom"/>
            <w:gridSpan w:val="7"/>
          </w:tcPr>
          <w:p>
            <w:pPr>
              <w:spacing w:after="0"/>
              <w:rPr>
                <w:rFonts w:ascii="Arial" w:cs="Arial" w:eastAsia="Arial" w:hAnsi="Arial"/>
                <w:sz w:val="18"/>
                <w:szCs w:val="18"/>
                <w:color w:val="0000EE"/>
                <w:w w:val="89"/>
              </w:rPr>
            </w:pPr>
            <w:hyperlink w:anchor="page308">
              <w:r>
                <w:rPr>
                  <w:rFonts w:ascii="Arial" w:cs="Arial" w:eastAsia="Arial" w:hAnsi="Arial"/>
                  <w:sz w:val="18"/>
                  <w:szCs w:val="18"/>
                  <w:color w:val="0000EE"/>
                  <w:w w:val="89"/>
                </w:rPr>
                <w:t>Amended and Restated Registration Rights Agreement, by and among the registrant and certain of its shareholders, dated September 3,</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gridSpan w:val="2"/>
          </w:tcPr>
          <w:p>
            <w:pPr>
              <w:ind w:left="620"/>
              <w:spacing w:after="0" w:line="196" w:lineRule="exact"/>
              <w:rPr>
                <w:rFonts w:ascii="Arial" w:cs="Arial" w:eastAsia="Arial" w:hAnsi="Arial"/>
                <w:sz w:val="18"/>
                <w:szCs w:val="18"/>
                <w:color w:val="0000EE"/>
                <w:w w:val="84"/>
              </w:rPr>
            </w:pPr>
            <w:hyperlink w:anchor="page308">
              <w:r>
                <w:rPr>
                  <w:rFonts w:ascii="Arial" w:cs="Arial" w:eastAsia="Arial" w:hAnsi="Arial"/>
                  <w:sz w:val="18"/>
                  <w:szCs w:val="18"/>
                  <w:color w:val="0000EE"/>
                  <w:w w:val="84"/>
                </w:rPr>
                <w:t>2019.</w:t>
              </w:r>
            </w:hyperlink>
          </w:p>
        </w:tc>
        <w:tc>
          <w:tcPr>
            <w:tcW w:w="13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9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24"/>
                <w:szCs w:val="24"/>
                <w:color w:val="auto"/>
              </w:rPr>
            </w:pPr>
          </w:p>
        </w:tc>
        <w:tc>
          <w:tcPr>
            <w:tcW w:w="9760" w:type="dxa"/>
            <w:vAlign w:val="bottom"/>
            <w:gridSpan w:val="7"/>
          </w:tcPr>
          <w:p>
            <w:pPr>
              <w:spacing w:after="0"/>
              <w:rPr>
                <w:rFonts w:ascii="Arial" w:cs="Arial" w:eastAsia="Arial" w:hAnsi="Arial"/>
                <w:sz w:val="18"/>
                <w:szCs w:val="18"/>
                <w:color w:val="0000EE"/>
                <w:w w:val="95"/>
              </w:rPr>
            </w:pPr>
            <w:hyperlink w:anchor="page366">
              <w:r>
                <w:rPr>
                  <w:rFonts w:ascii="Arial" w:cs="Arial" w:eastAsia="Arial" w:hAnsi="Arial"/>
                  <w:sz w:val="18"/>
                  <w:szCs w:val="18"/>
                  <w:u w:val="single" w:color="auto"/>
                  <w:color w:val="0000EE"/>
                  <w:w w:val="95"/>
                </w:rPr>
                <w:t>Warrant Agreement by and between the registrant and BMS Strategic Portfolio Investments Holdings, Inc., dated May 26, 2020</w:t>
              </w:r>
            </w:hyperlink>
            <w:r>
              <w:rPr>
                <w:rFonts w:ascii="Arial" w:cs="Arial" w:eastAsia="Arial" w:hAnsi="Arial"/>
                <w:sz w:val="18"/>
                <w:szCs w:val="18"/>
                <w:color w:val="000000"/>
                <w:w w:val="95"/>
              </w:rPr>
              <w:t>.</w:t>
            </w:r>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24"/>
                <w:szCs w:val="24"/>
                <w:color w:val="auto"/>
              </w:rPr>
            </w:pPr>
          </w:p>
        </w:tc>
        <w:tc>
          <w:tcPr>
            <w:tcW w:w="7880" w:type="dxa"/>
            <w:vAlign w:val="bottom"/>
            <w:gridSpan w:val="5"/>
          </w:tcPr>
          <w:p>
            <w:pPr>
              <w:spacing w:after="0"/>
              <w:rPr>
                <w:sz w:val="20"/>
                <w:szCs w:val="20"/>
                <w:color w:val="auto"/>
              </w:rPr>
            </w:pPr>
            <w:r>
              <w:rPr>
                <w:rFonts w:ascii="Arial" w:cs="Arial" w:eastAsia="Arial" w:hAnsi="Arial"/>
                <w:sz w:val="18"/>
                <w:szCs w:val="18"/>
                <w:color w:val="auto"/>
              </w:rPr>
              <w:t>Opinion of Stikeman Elliott LLP.</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24"/>
                <w:szCs w:val="24"/>
                <w:color w:val="auto"/>
              </w:rPr>
            </w:pPr>
          </w:p>
        </w:tc>
        <w:tc>
          <w:tcPr>
            <w:tcW w:w="7880" w:type="dxa"/>
            <w:vAlign w:val="bottom"/>
            <w:gridSpan w:val="5"/>
          </w:tcPr>
          <w:p>
            <w:pPr>
              <w:spacing w:after="0"/>
              <w:rPr>
                <w:rFonts w:ascii="Arial" w:cs="Arial" w:eastAsia="Arial" w:hAnsi="Arial"/>
                <w:sz w:val="18"/>
                <w:szCs w:val="18"/>
                <w:u w:val="single" w:color="auto"/>
                <w:color w:val="0000EE"/>
              </w:rPr>
            </w:pPr>
            <w:hyperlink w:anchor="page382">
              <w:r>
                <w:rPr>
                  <w:rFonts w:ascii="Arial" w:cs="Arial" w:eastAsia="Arial" w:hAnsi="Arial"/>
                  <w:sz w:val="18"/>
                  <w:szCs w:val="18"/>
                  <w:u w:val="single" w:color="auto"/>
                  <w:color w:val="0000EE"/>
                </w:rPr>
                <w:t>Repare Therapeutics Inc. Amended and Restated Option Plan.</w:t>
              </w:r>
            </w:hyperlink>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10.2+</w:t>
            </w:r>
          </w:p>
        </w:tc>
        <w:tc>
          <w:tcPr>
            <w:tcW w:w="620" w:type="dxa"/>
            <w:vAlign w:val="bottom"/>
          </w:tcPr>
          <w:p>
            <w:pPr>
              <w:spacing w:after="0"/>
              <w:rPr>
                <w:sz w:val="24"/>
                <w:szCs w:val="24"/>
                <w:color w:val="auto"/>
              </w:rPr>
            </w:pPr>
          </w:p>
        </w:tc>
        <w:tc>
          <w:tcPr>
            <w:tcW w:w="7880" w:type="dxa"/>
            <w:vAlign w:val="bottom"/>
            <w:gridSpan w:val="5"/>
          </w:tcPr>
          <w:p>
            <w:pPr>
              <w:spacing w:after="0"/>
              <w:rPr>
                <w:rFonts w:ascii="Arial" w:cs="Arial" w:eastAsia="Arial" w:hAnsi="Arial"/>
                <w:sz w:val="18"/>
                <w:szCs w:val="18"/>
                <w:u w:val="single" w:color="auto"/>
                <w:color w:val="0000EE"/>
                <w:w w:val="98"/>
              </w:rPr>
            </w:pPr>
            <w:hyperlink w:anchor="page398">
              <w:r>
                <w:rPr>
                  <w:rFonts w:ascii="Arial" w:cs="Arial" w:eastAsia="Arial" w:hAnsi="Arial"/>
                  <w:sz w:val="18"/>
                  <w:szCs w:val="18"/>
                  <w:u w:val="single" w:color="auto"/>
                  <w:color w:val="0000EE"/>
                  <w:w w:val="98"/>
                </w:rPr>
                <w:t>Form of Option Agreement under the Repare Therapeutics Inc. Amended and Restated Option Plan.</w:t>
              </w:r>
            </w:hyperlink>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10.3+*</w:t>
            </w:r>
          </w:p>
        </w:tc>
        <w:tc>
          <w:tcPr>
            <w:tcW w:w="620" w:type="dxa"/>
            <w:vAlign w:val="bottom"/>
          </w:tcPr>
          <w:p>
            <w:pPr>
              <w:spacing w:after="0"/>
              <w:rPr>
                <w:sz w:val="24"/>
                <w:szCs w:val="24"/>
                <w:color w:val="auto"/>
              </w:rPr>
            </w:pPr>
          </w:p>
        </w:tc>
        <w:tc>
          <w:tcPr>
            <w:tcW w:w="7880" w:type="dxa"/>
            <w:vAlign w:val="bottom"/>
            <w:gridSpan w:val="5"/>
          </w:tcPr>
          <w:p>
            <w:pPr>
              <w:spacing w:after="0"/>
              <w:rPr>
                <w:sz w:val="20"/>
                <w:szCs w:val="20"/>
                <w:color w:val="auto"/>
              </w:rPr>
            </w:pPr>
            <w:r>
              <w:rPr>
                <w:rFonts w:ascii="Arial" w:cs="Arial" w:eastAsia="Arial" w:hAnsi="Arial"/>
                <w:sz w:val="18"/>
                <w:szCs w:val="18"/>
                <w:color w:val="auto"/>
              </w:rPr>
              <w:t>Form of 2020 Equity Incentive Plan.</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10.4+*</w:t>
            </w:r>
          </w:p>
        </w:tc>
        <w:tc>
          <w:tcPr>
            <w:tcW w:w="620" w:type="dxa"/>
            <w:vAlign w:val="bottom"/>
          </w:tcPr>
          <w:p>
            <w:pPr>
              <w:spacing w:after="0"/>
              <w:rPr>
                <w:sz w:val="24"/>
                <w:szCs w:val="24"/>
                <w:color w:val="auto"/>
              </w:rPr>
            </w:pPr>
          </w:p>
        </w:tc>
        <w:tc>
          <w:tcPr>
            <w:tcW w:w="7880" w:type="dxa"/>
            <w:vAlign w:val="bottom"/>
            <w:gridSpan w:val="5"/>
          </w:tcPr>
          <w:p>
            <w:pPr>
              <w:spacing w:after="0"/>
              <w:rPr>
                <w:sz w:val="20"/>
                <w:szCs w:val="20"/>
                <w:color w:val="auto"/>
              </w:rPr>
            </w:pPr>
            <w:r>
              <w:rPr>
                <w:rFonts w:ascii="Arial" w:cs="Arial" w:eastAsia="Arial" w:hAnsi="Arial"/>
                <w:sz w:val="18"/>
                <w:szCs w:val="18"/>
                <w:color w:val="auto"/>
                <w:w w:val="95"/>
              </w:rPr>
              <w:t>Form of Share Option Grant Notice and Share Option Agreement under the 2020 Equity Incentive Plan.</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10.5+*</w:t>
            </w:r>
          </w:p>
        </w:tc>
        <w:tc>
          <w:tcPr>
            <w:tcW w:w="62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w w:val="96"/>
              </w:rPr>
              <w:t>Form of Restricted Share Unit Grant Notice and Restricted Share Unit Award Agreement under the 2020 Equity Incentive Plan.</w:t>
            </w: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10.6+*</w:t>
            </w:r>
          </w:p>
        </w:tc>
        <w:tc>
          <w:tcPr>
            <w:tcW w:w="620" w:type="dxa"/>
            <w:vAlign w:val="bottom"/>
          </w:tcPr>
          <w:p>
            <w:pPr>
              <w:spacing w:after="0"/>
              <w:rPr>
                <w:sz w:val="24"/>
                <w:szCs w:val="24"/>
                <w:color w:val="auto"/>
              </w:rPr>
            </w:pPr>
          </w:p>
        </w:tc>
        <w:tc>
          <w:tcPr>
            <w:tcW w:w="7880" w:type="dxa"/>
            <w:vAlign w:val="bottom"/>
            <w:gridSpan w:val="5"/>
          </w:tcPr>
          <w:p>
            <w:pPr>
              <w:spacing w:after="0"/>
              <w:rPr>
                <w:sz w:val="20"/>
                <w:szCs w:val="20"/>
                <w:color w:val="auto"/>
              </w:rPr>
            </w:pPr>
            <w:r>
              <w:rPr>
                <w:rFonts w:ascii="Arial" w:cs="Arial" w:eastAsia="Arial" w:hAnsi="Arial"/>
                <w:sz w:val="18"/>
                <w:szCs w:val="18"/>
                <w:color w:val="auto"/>
              </w:rPr>
              <w:t>Form of 2020 Employee Share Purchase Plan.</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10.7*</w:t>
            </w:r>
          </w:p>
        </w:tc>
        <w:tc>
          <w:tcPr>
            <w:tcW w:w="620" w:type="dxa"/>
            <w:vAlign w:val="bottom"/>
          </w:tcPr>
          <w:p>
            <w:pPr>
              <w:spacing w:after="0"/>
              <w:rPr>
                <w:sz w:val="24"/>
                <w:szCs w:val="24"/>
                <w:color w:val="auto"/>
              </w:rPr>
            </w:pPr>
          </w:p>
        </w:tc>
        <w:tc>
          <w:tcPr>
            <w:tcW w:w="7880" w:type="dxa"/>
            <w:vAlign w:val="bottom"/>
            <w:gridSpan w:val="5"/>
          </w:tcPr>
          <w:p>
            <w:pPr>
              <w:spacing w:after="0"/>
              <w:rPr>
                <w:sz w:val="20"/>
                <w:szCs w:val="20"/>
                <w:color w:val="auto"/>
              </w:rPr>
            </w:pPr>
            <w:r>
              <w:rPr>
                <w:rFonts w:ascii="Arial" w:cs="Arial" w:eastAsia="Arial" w:hAnsi="Arial"/>
                <w:sz w:val="18"/>
                <w:szCs w:val="18"/>
                <w:color w:val="auto"/>
              </w:rPr>
              <w:t>Form of Indemnity Agreement by and between the registrant and its directors and officers.</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10.8+*</w:t>
            </w:r>
          </w:p>
        </w:tc>
        <w:tc>
          <w:tcPr>
            <w:tcW w:w="620" w:type="dxa"/>
            <w:vAlign w:val="bottom"/>
          </w:tcPr>
          <w:p>
            <w:pPr>
              <w:spacing w:after="0"/>
              <w:rPr>
                <w:sz w:val="24"/>
                <w:szCs w:val="24"/>
                <w:color w:val="auto"/>
              </w:rPr>
            </w:pPr>
          </w:p>
        </w:tc>
        <w:tc>
          <w:tcPr>
            <w:tcW w:w="7880" w:type="dxa"/>
            <w:vAlign w:val="bottom"/>
            <w:gridSpan w:val="5"/>
          </w:tcPr>
          <w:p>
            <w:pPr>
              <w:spacing w:after="0"/>
              <w:rPr>
                <w:sz w:val="20"/>
                <w:szCs w:val="20"/>
                <w:color w:val="auto"/>
              </w:rPr>
            </w:pPr>
            <w:r>
              <w:rPr>
                <w:rFonts w:ascii="Arial" w:cs="Arial" w:eastAsia="Arial" w:hAnsi="Arial"/>
                <w:sz w:val="18"/>
                <w:szCs w:val="18"/>
                <w:color w:val="auto"/>
              </w:rPr>
              <w:t>Amended and Restated Employment Agreement between the registrant and Lloyd M. Segal, dated</w:t>
            </w:r>
          </w:p>
        </w:tc>
        <w:tc>
          <w:tcPr>
            <w:tcW w:w="1840" w:type="dxa"/>
            <w:vAlign w:val="bottom"/>
          </w:tcPr>
          <w:p>
            <w:pPr>
              <w:jc w:val="right"/>
              <w:ind w:right="157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10.9+*</w:t>
            </w:r>
          </w:p>
        </w:tc>
        <w:tc>
          <w:tcPr>
            <w:tcW w:w="620" w:type="dxa"/>
            <w:vAlign w:val="bottom"/>
          </w:tcPr>
          <w:p>
            <w:pPr>
              <w:spacing w:after="0"/>
              <w:rPr>
                <w:sz w:val="24"/>
                <w:szCs w:val="24"/>
                <w:color w:val="auto"/>
              </w:rPr>
            </w:pPr>
          </w:p>
        </w:tc>
        <w:tc>
          <w:tcPr>
            <w:tcW w:w="7880" w:type="dxa"/>
            <w:vAlign w:val="bottom"/>
            <w:gridSpan w:val="5"/>
          </w:tcPr>
          <w:p>
            <w:pPr>
              <w:spacing w:after="0"/>
              <w:rPr>
                <w:sz w:val="20"/>
                <w:szCs w:val="20"/>
                <w:color w:val="auto"/>
              </w:rPr>
            </w:pPr>
            <w:r>
              <w:rPr>
                <w:rFonts w:ascii="Arial" w:cs="Arial" w:eastAsia="Arial" w:hAnsi="Arial"/>
                <w:sz w:val="18"/>
                <w:szCs w:val="18"/>
                <w:color w:val="auto"/>
              </w:rPr>
              <w:t>Amended and Restated Employment Agreement between the registrant and Michael Zinda, dated</w:t>
            </w:r>
          </w:p>
        </w:tc>
        <w:tc>
          <w:tcPr>
            <w:tcW w:w="1840" w:type="dxa"/>
            <w:vAlign w:val="bottom"/>
          </w:tcPr>
          <w:p>
            <w:pPr>
              <w:jc w:val="right"/>
              <w:ind w:right="16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10.10+*</w:t>
            </w:r>
          </w:p>
        </w:tc>
        <w:tc>
          <w:tcPr>
            <w:tcW w:w="620" w:type="dxa"/>
            <w:vAlign w:val="bottom"/>
          </w:tcPr>
          <w:p>
            <w:pPr>
              <w:spacing w:after="0"/>
              <w:rPr>
                <w:sz w:val="24"/>
                <w:szCs w:val="24"/>
                <w:color w:val="auto"/>
              </w:rPr>
            </w:pPr>
          </w:p>
        </w:tc>
        <w:tc>
          <w:tcPr>
            <w:tcW w:w="7880" w:type="dxa"/>
            <w:vAlign w:val="bottom"/>
            <w:gridSpan w:val="5"/>
          </w:tcPr>
          <w:p>
            <w:pPr>
              <w:spacing w:after="0"/>
              <w:rPr>
                <w:sz w:val="20"/>
                <w:szCs w:val="20"/>
                <w:color w:val="auto"/>
              </w:rPr>
            </w:pPr>
            <w:r>
              <w:rPr>
                <w:rFonts w:ascii="Arial" w:cs="Arial" w:eastAsia="Arial" w:hAnsi="Arial"/>
                <w:sz w:val="18"/>
                <w:szCs w:val="18"/>
                <w:color w:val="auto"/>
              </w:rPr>
              <w:t>Amended and Restated Employment Agreement between the registrant and Maria Koehler, dated</w:t>
            </w:r>
          </w:p>
        </w:tc>
        <w:tc>
          <w:tcPr>
            <w:tcW w:w="1840" w:type="dxa"/>
            <w:vAlign w:val="bottom"/>
          </w:tcPr>
          <w:p>
            <w:pPr>
              <w:jc w:val="right"/>
              <w:ind w:right="16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10.11+</w:t>
            </w:r>
          </w:p>
        </w:tc>
        <w:tc>
          <w:tcPr>
            <w:tcW w:w="620" w:type="dxa"/>
            <w:vAlign w:val="bottom"/>
          </w:tcPr>
          <w:p>
            <w:pPr>
              <w:spacing w:after="0"/>
              <w:rPr>
                <w:sz w:val="24"/>
                <w:szCs w:val="24"/>
                <w:color w:val="auto"/>
              </w:rPr>
            </w:pPr>
          </w:p>
        </w:tc>
        <w:tc>
          <w:tcPr>
            <w:tcW w:w="7880" w:type="dxa"/>
            <w:vAlign w:val="bottom"/>
            <w:gridSpan w:val="5"/>
          </w:tcPr>
          <w:p>
            <w:pPr>
              <w:spacing w:after="0"/>
              <w:rPr>
                <w:rFonts w:ascii="Arial" w:cs="Arial" w:eastAsia="Arial" w:hAnsi="Arial"/>
                <w:sz w:val="18"/>
                <w:szCs w:val="18"/>
                <w:u w:val="single" w:color="auto"/>
                <w:color w:val="0000EE"/>
              </w:rPr>
            </w:pPr>
            <w:hyperlink w:anchor="page402">
              <w:r>
                <w:rPr>
                  <w:rFonts w:ascii="Arial" w:cs="Arial" w:eastAsia="Arial" w:hAnsi="Arial"/>
                  <w:sz w:val="18"/>
                  <w:szCs w:val="18"/>
                  <w:u w:val="single" w:color="auto"/>
                  <w:color w:val="0000EE"/>
                </w:rPr>
                <w:t>Separation Agreement between the registrant and Katina Dorton, dated October 21, 2019.</w:t>
              </w:r>
            </w:hyperlink>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40" w:type="dxa"/>
            <w:vAlign w:val="bottom"/>
            <w:gridSpan w:val="2"/>
          </w:tcPr>
          <w:p>
            <w:pPr>
              <w:spacing w:after="0"/>
              <w:rPr>
                <w:sz w:val="20"/>
                <w:szCs w:val="20"/>
                <w:color w:val="auto"/>
              </w:rPr>
            </w:pPr>
            <w:r>
              <w:rPr>
                <w:rFonts w:ascii="Arial" w:cs="Arial" w:eastAsia="Arial" w:hAnsi="Arial"/>
                <w:sz w:val="18"/>
                <w:szCs w:val="18"/>
                <w:color w:val="auto"/>
              </w:rPr>
              <w:t>10.12++</w:t>
            </w:r>
          </w:p>
        </w:tc>
        <w:tc>
          <w:tcPr>
            <w:tcW w:w="620" w:type="dxa"/>
            <w:vAlign w:val="bottom"/>
          </w:tcPr>
          <w:p>
            <w:pPr>
              <w:spacing w:after="0"/>
              <w:rPr>
                <w:sz w:val="24"/>
                <w:szCs w:val="24"/>
                <w:color w:val="auto"/>
              </w:rPr>
            </w:pPr>
          </w:p>
        </w:tc>
        <w:tc>
          <w:tcPr>
            <w:tcW w:w="97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17">
              <w:r>
                <w:rPr>
                  <w:rFonts w:ascii="Arial" w:cs="Arial" w:eastAsia="Arial" w:hAnsi="Arial"/>
                  <w:sz w:val="18"/>
                  <w:szCs w:val="18"/>
                  <w:color w:val="0000EE"/>
                  <w:w w:val="89"/>
                </w:rPr>
                <w:t>Lease by and between CIG III Technoparc Nominee Inc. and Pharmascience Inc., dated May 15, 2014, as amended November 24, 2016</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80" w:type="dxa"/>
            <w:vAlign w:val="bottom"/>
            <w:gridSpan w:val="5"/>
          </w:tcPr>
          <w:p>
            <w:pPr>
              <w:spacing w:after="0" w:line="196" w:lineRule="exact"/>
              <w:rPr>
                <w:rFonts w:ascii="Arial" w:cs="Arial" w:eastAsia="Arial" w:hAnsi="Arial"/>
                <w:sz w:val="18"/>
                <w:szCs w:val="18"/>
                <w:color w:val="0000EE"/>
              </w:rPr>
            </w:pPr>
            <w:hyperlink w:anchor="page417">
              <w:r>
                <w:rPr>
                  <w:rFonts w:ascii="Arial" w:cs="Arial" w:eastAsia="Arial" w:hAnsi="Arial"/>
                  <w:sz w:val="18"/>
                  <w:szCs w:val="18"/>
                  <w:color w:val="0000EE"/>
                </w:rPr>
                <w:t>and November 25, 2019.</w:t>
              </w:r>
            </w:hyperlink>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40" w:type="dxa"/>
            <w:vAlign w:val="bottom"/>
            <w:gridSpan w:val="2"/>
          </w:tcPr>
          <w:p>
            <w:pPr>
              <w:spacing w:after="0"/>
              <w:rPr>
                <w:sz w:val="20"/>
                <w:szCs w:val="20"/>
                <w:color w:val="auto"/>
              </w:rPr>
            </w:pPr>
            <w:r>
              <w:rPr>
                <w:rFonts w:ascii="Arial" w:cs="Arial" w:eastAsia="Arial" w:hAnsi="Arial"/>
                <w:sz w:val="18"/>
                <w:szCs w:val="18"/>
                <w:color w:val="auto"/>
              </w:rPr>
              <w:t>10.13++</w:t>
            </w:r>
          </w:p>
        </w:tc>
        <w:tc>
          <w:tcPr>
            <w:tcW w:w="620" w:type="dxa"/>
            <w:vAlign w:val="bottom"/>
          </w:tcPr>
          <w:p>
            <w:pPr>
              <w:spacing w:after="0"/>
              <w:rPr>
                <w:sz w:val="24"/>
                <w:szCs w:val="24"/>
                <w:color w:val="auto"/>
              </w:rPr>
            </w:pPr>
          </w:p>
        </w:tc>
        <w:tc>
          <w:tcPr>
            <w:tcW w:w="7880" w:type="dxa"/>
            <w:vAlign w:val="bottom"/>
            <w:gridSpan w:val="5"/>
          </w:tcPr>
          <w:p>
            <w:pPr>
              <w:spacing w:after="0"/>
              <w:rPr>
                <w:rFonts w:ascii="Arial" w:cs="Arial" w:eastAsia="Arial" w:hAnsi="Arial"/>
                <w:sz w:val="18"/>
                <w:szCs w:val="18"/>
                <w:color w:val="0000EE"/>
                <w:w w:val="92"/>
              </w:rPr>
            </w:pPr>
            <w:hyperlink w:anchor="page500">
              <w:r>
                <w:rPr>
                  <w:rFonts w:ascii="Arial" w:cs="Arial" w:eastAsia="Arial" w:hAnsi="Arial"/>
                  <w:sz w:val="18"/>
                  <w:szCs w:val="18"/>
                  <w:u w:val="single" w:color="auto"/>
                  <w:color w:val="0000EE"/>
                  <w:w w:val="92"/>
                </w:rPr>
                <w:t>Lease Assignment Agreement by and between the registrant and Pharmascience Inc., dated June 7, 2017</w:t>
              </w:r>
              <w:r>
                <w:rPr>
                  <w:rFonts w:ascii="Arial" w:cs="Arial" w:eastAsia="Arial" w:hAnsi="Arial"/>
                  <w:sz w:val="18"/>
                  <w:szCs w:val="18"/>
                  <w:color w:val="0000EE"/>
                  <w:w w:val="92"/>
                </w:rPr>
                <w:t>.</w:t>
              </w:r>
            </w:hyperlink>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10.14++</w:t>
            </w:r>
          </w:p>
        </w:tc>
        <w:tc>
          <w:tcPr>
            <w:tcW w:w="620" w:type="dxa"/>
            <w:vAlign w:val="bottom"/>
          </w:tcPr>
          <w:p>
            <w:pPr>
              <w:spacing w:after="0"/>
              <w:rPr>
                <w:sz w:val="24"/>
                <w:szCs w:val="24"/>
                <w:color w:val="auto"/>
              </w:rPr>
            </w:pPr>
          </w:p>
        </w:tc>
        <w:tc>
          <w:tcPr>
            <w:tcW w:w="7880" w:type="dxa"/>
            <w:vAlign w:val="bottom"/>
            <w:gridSpan w:val="5"/>
          </w:tcPr>
          <w:p>
            <w:pPr>
              <w:spacing w:after="0"/>
              <w:rPr>
                <w:rFonts w:ascii="Arial" w:cs="Arial" w:eastAsia="Arial" w:hAnsi="Arial"/>
                <w:sz w:val="18"/>
                <w:szCs w:val="18"/>
                <w:u w:val="single" w:color="auto"/>
                <w:color w:val="0000EE"/>
                <w:w w:val="98"/>
              </w:rPr>
            </w:pPr>
            <w:hyperlink w:anchor="page516">
              <w:r>
                <w:rPr>
                  <w:rFonts w:ascii="Arial" w:cs="Arial" w:eastAsia="Arial" w:hAnsi="Arial"/>
                  <w:sz w:val="18"/>
                  <w:szCs w:val="18"/>
                  <w:u w:val="single" w:color="auto"/>
                  <w:color w:val="0000EE"/>
                  <w:w w:val="98"/>
                </w:rPr>
                <w:t>Lease Agreement by and between the registrant and NEOMED Institute, dated November 26, 2019.</w:t>
              </w:r>
            </w:hyperlink>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100" w:type="dxa"/>
            <w:vAlign w:val="bottom"/>
            <w:gridSpan w:val="3"/>
          </w:tcPr>
          <w:p>
            <w:pPr>
              <w:ind w:left="2340"/>
              <w:spacing w:after="0"/>
              <w:rPr>
                <w:sz w:val="20"/>
                <w:szCs w:val="20"/>
                <w:color w:val="auto"/>
              </w:rPr>
            </w:pPr>
            <w:r>
              <w:rPr>
                <w:rFonts w:ascii="Arial" w:cs="Arial" w:eastAsia="Arial" w:hAnsi="Arial"/>
                <w:sz w:val="18"/>
                <w:szCs w:val="18"/>
                <w:color w:val="auto"/>
              </w:rPr>
              <w:t>II-4</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20" w:type="dxa"/>
            <w:vAlign w:val="bottom"/>
            <w:gridSpan w:val="4"/>
            <w:vMerge w:val="restart"/>
          </w:tcPr>
          <w:p>
            <w:pPr>
              <w:ind w:left="2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80" w:type="dxa"/>
            <w:vAlign w:val="bottom"/>
            <w:gridSpan w:val="2"/>
          </w:tcPr>
          <w:p>
            <w:pPr>
              <w:spacing w:after="0"/>
              <w:rPr>
                <w:sz w:val="20"/>
                <w:szCs w:val="20"/>
                <w:color w:val="auto"/>
              </w:rPr>
            </w:pPr>
            <w:r>
              <w:rPr>
                <w:rFonts w:ascii="Arial" w:cs="Arial" w:eastAsia="Arial" w:hAnsi="Arial"/>
                <w:sz w:val="18"/>
                <w:szCs w:val="18"/>
                <w:color w:val="auto"/>
              </w:rPr>
              <w:t>10.15†</w:t>
            </w:r>
          </w:p>
        </w:tc>
        <w:tc>
          <w:tcPr>
            <w:tcW w:w="680" w:type="dxa"/>
            <w:vAlign w:val="bottom"/>
          </w:tcPr>
          <w:p>
            <w:pPr>
              <w:spacing w:after="0"/>
              <w:rPr>
                <w:sz w:val="24"/>
                <w:szCs w:val="24"/>
                <w:color w:val="auto"/>
              </w:rPr>
            </w:pPr>
          </w:p>
        </w:tc>
        <w:tc>
          <w:tcPr>
            <w:tcW w:w="92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56">
              <w:r>
                <w:rPr>
                  <w:rFonts w:ascii="Arial" w:cs="Arial" w:eastAsia="Arial" w:hAnsi="Arial"/>
                  <w:sz w:val="18"/>
                  <w:szCs w:val="18"/>
                  <w:color w:val="0000EE"/>
                  <w:w w:val="89"/>
                </w:rPr>
                <w:t>Research Services, License and Collaboration Agreement by and between the registrant and Ono Pharmaceutical Co., Ltd., dated</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556">
              <w:r>
                <w:rPr>
                  <w:rFonts w:ascii="Arial" w:cs="Arial" w:eastAsia="Arial" w:hAnsi="Arial"/>
                  <w:sz w:val="18"/>
                  <w:szCs w:val="18"/>
                  <w:color w:val="0000EE"/>
                  <w:w w:val="87"/>
                </w:rPr>
                <w:t>January 31, 2019.</w:t>
              </w:r>
            </w:hyperlink>
          </w:p>
        </w:tc>
        <w:tc>
          <w:tcPr>
            <w:tcW w:w="80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gridSpan w:val="2"/>
          </w:tcPr>
          <w:p>
            <w:pPr>
              <w:spacing w:after="0"/>
              <w:rPr>
                <w:sz w:val="20"/>
                <w:szCs w:val="20"/>
                <w:color w:val="auto"/>
              </w:rPr>
            </w:pPr>
            <w:r>
              <w:rPr>
                <w:rFonts w:ascii="Arial" w:cs="Arial" w:eastAsia="Arial" w:hAnsi="Arial"/>
                <w:sz w:val="18"/>
                <w:szCs w:val="18"/>
                <w:color w:val="auto"/>
              </w:rPr>
              <w:t>10.16†</w:t>
            </w:r>
          </w:p>
        </w:tc>
        <w:tc>
          <w:tcPr>
            <w:tcW w:w="680" w:type="dxa"/>
            <w:vAlign w:val="bottom"/>
          </w:tcPr>
          <w:p>
            <w:pPr>
              <w:spacing w:after="0"/>
              <w:rPr>
                <w:sz w:val="24"/>
                <w:szCs w:val="24"/>
                <w:color w:val="auto"/>
              </w:rPr>
            </w:pPr>
          </w:p>
        </w:tc>
        <w:tc>
          <w:tcPr>
            <w:tcW w:w="9280" w:type="dxa"/>
            <w:vAlign w:val="bottom"/>
            <w:gridSpan w:val="6"/>
          </w:tcPr>
          <w:p>
            <w:pPr>
              <w:spacing w:after="0"/>
              <w:rPr>
                <w:rFonts w:ascii="Arial" w:cs="Arial" w:eastAsia="Arial" w:hAnsi="Arial"/>
                <w:sz w:val="18"/>
                <w:szCs w:val="18"/>
                <w:u w:val="single" w:color="auto"/>
                <w:color w:val="0000EE"/>
                <w:w w:val="96"/>
              </w:rPr>
            </w:pPr>
            <w:hyperlink w:anchor="page651">
              <w:r>
                <w:rPr>
                  <w:rFonts w:ascii="Arial" w:cs="Arial" w:eastAsia="Arial" w:hAnsi="Arial"/>
                  <w:sz w:val="18"/>
                  <w:szCs w:val="18"/>
                  <w:u w:val="single" w:color="auto"/>
                  <w:color w:val="0000EE"/>
                  <w:w w:val="96"/>
                </w:rPr>
                <w:t>Amended and Restated License Agreement by and between the registrant and New York University, dated July 9, 2018.</w:t>
              </w:r>
            </w:hyperlink>
          </w:p>
        </w:tc>
        <w:tc>
          <w:tcPr>
            <w:tcW w:w="0" w:type="dxa"/>
            <w:vAlign w:val="bottom"/>
          </w:tcPr>
          <w:p>
            <w:pPr>
              <w:spacing w:after="0"/>
              <w:rPr>
                <w:sz w:val="1"/>
                <w:szCs w:val="1"/>
                <w:color w:val="auto"/>
              </w:rPr>
            </w:pPr>
          </w:p>
        </w:tc>
      </w:tr>
      <w:tr>
        <w:trPr>
          <w:trHeight w:val="283"/>
        </w:trPr>
        <w:tc>
          <w:tcPr>
            <w:tcW w:w="680" w:type="dxa"/>
            <w:vAlign w:val="bottom"/>
            <w:gridSpan w:val="2"/>
          </w:tcPr>
          <w:p>
            <w:pPr>
              <w:spacing w:after="0"/>
              <w:rPr>
                <w:sz w:val="20"/>
                <w:szCs w:val="20"/>
                <w:color w:val="auto"/>
              </w:rPr>
            </w:pPr>
            <w:r>
              <w:rPr>
                <w:rFonts w:ascii="Arial" w:cs="Arial" w:eastAsia="Arial" w:hAnsi="Arial"/>
                <w:sz w:val="18"/>
                <w:szCs w:val="18"/>
                <w:color w:val="auto"/>
              </w:rPr>
              <w:t>10.17†</w:t>
            </w:r>
          </w:p>
        </w:tc>
        <w:tc>
          <w:tcPr>
            <w:tcW w:w="680" w:type="dxa"/>
            <w:vAlign w:val="bottom"/>
          </w:tcPr>
          <w:p>
            <w:pPr>
              <w:spacing w:after="0"/>
              <w:rPr>
                <w:sz w:val="24"/>
                <w:szCs w:val="24"/>
                <w:color w:val="auto"/>
              </w:rPr>
            </w:pPr>
          </w:p>
        </w:tc>
        <w:tc>
          <w:tcPr>
            <w:tcW w:w="91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676">
              <w:r>
                <w:rPr>
                  <w:rFonts w:ascii="Arial" w:cs="Arial" w:eastAsia="Arial" w:hAnsi="Arial"/>
                  <w:sz w:val="18"/>
                  <w:szCs w:val="18"/>
                  <w:color w:val="0000EE"/>
                  <w:w w:val="90"/>
                </w:rPr>
                <w:t>Collaboration and License Agreement by and between the registrant, Repare Therapeutics USA Inc. and Bristol-Myers Squibb</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80" w:type="dxa"/>
            <w:vAlign w:val="bottom"/>
            <w:gridSpan w:val="6"/>
          </w:tcPr>
          <w:p>
            <w:pPr>
              <w:spacing w:after="0" w:line="196" w:lineRule="exact"/>
              <w:rPr>
                <w:rFonts w:ascii="Arial" w:cs="Arial" w:eastAsia="Arial" w:hAnsi="Arial"/>
                <w:sz w:val="18"/>
                <w:szCs w:val="18"/>
                <w:color w:val="0000EE"/>
              </w:rPr>
            </w:pPr>
            <w:hyperlink w:anchor="page676">
              <w:r>
                <w:rPr>
                  <w:rFonts w:ascii="Arial" w:cs="Arial" w:eastAsia="Arial" w:hAnsi="Arial"/>
                  <w:sz w:val="18"/>
                  <w:szCs w:val="18"/>
                  <w:color w:val="0000EE"/>
                </w:rPr>
                <w:t>Company, dated May 26, 2020.</w:t>
              </w:r>
            </w:hyperlink>
          </w:p>
        </w:tc>
        <w:tc>
          <w:tcPr>
            <w:tcW w:w="0" w:type="dxa"/>
            <w:vAlign w:val="bottom"/>
          </w:tcPr>
          <w:p>
            <w:pPr>
              <w:spacing w:after="0"/>
              <w:rPr>
                <w:sz w:val="1"/>
                <w:szCs w:val="1"/>
                <w:color w:val="auto"/>
              </w:rPr>
            </w:pPr>
          </w:p>
        </w:tc>
      </w:tr>
      <w:tr>
        <w:trPr>
          <w:trHeight w:val="345"/>
        </w:trPr>
        <w:tc>
          <w:tcPr>
            <w:tcW w:w="680" w:type="dxa"/>
            <w:vAlign w:val="bottom"/>
            <w:gridSpan w:val="2"/>
          </w:tcPr>
          <w:p>
            <w:pPr>
              <w:spacing w:after="0"/>
              <w:rPr>
                <w:sz w:val="20"/>
                <w:szCs w:val="20"/>
                <w:color w:val="auto"/>
              </w:rPr>
            </w:pPr>
            <w:r>
              <w:rPr>
                <w:rFonts w:ascii="Arial" w:cs="Arial" w:eastAsia="Arial" w:hAnsi="Arial"/>
                <w:sz w:val="18"/>
                <w:szCs w:val="18"/>
                <w:color w:val="auto"/>
              </w:rPr>
              <w:t>21.1</w:t>
            </w:r>
          </w:p>
        </w:tc>
        <w:tc>
          <w:tcPr>
            <w:tcW w:w="680" w:type="dxa"/>
            <w:vAlign w:val="bottom"/>
          </w:tcPr>
          <w:p>
            <w:pPr>
              <w:spacing w:after="0"/>
              <w:rPr>
                <w:sz w:val="24"/>
                <w:szCs w:val="24"/>
                <w:color w:val="auto"/>
              </w:rPr>
            </w:pPr>
          </w:p>
        </w:tc>
        <w:tc>
          <w:tcPr>
            <w:tcW w:w="2260" w:type="dxa"/>
            <w:vAlign w:val="bottom"/>
            <w:tcBorders>
              <w:top w:val="single" w:sz="8" w:color="0000EE"/>
            </w:tcBorders>
            <w:gridSpan w:val="2"/>
          </w:tcPr>
          <w:p>
            <w:pPr>
              <w:spacing w:after="0"/>
              <w:rPr>
                <w:rFonts w:ascii="Arial" w:cs="Arial" w:eastAsia="Arial" w:hAnsi="Arial"/>
                <w:sz w:val="18"/>
                <w:szCs w:val="18"/>
                <w:u w:val="single" w:color="auto"/>
                <w:color w:val="0000EE"/>
                <w:w w:val="96"/>
              </w:rPr>
            </w:pPr>
            <w:hyperlink w:anchor="page773">
              <w:r>
                <w:rPr>
                  <w:rFonts w:ascii="Arial" w:cs="Arial" w:eastAsia="Arial" w:hAnsi="Arial"/>
                  <w:sz w:val="18"/>
                  <w:szCs w:val="18"/>
                  <w:u w:val="single" w:color="auto"/>
                  <w:color w:val="0000EE"/>
                  <w:w w:val="96"/>
                </w:rPr>
                <w:t>Subsidiaries of the registrant.</w:t>
              </w:r>
            </w:hyperlink>
          </w:p>
        </w:tc>
        <w:tc>
          <w:tcPr>
            <w:tcW w:w="70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 w:type="dxa"/>
            <w:vAlign w:val="bottom"/>
            <w:gridSpan w:val="2"/>
          </w:tcPr>
          <w:p>
            <w:pPr>
              <w:spacing w:after="0"/>
              <w:rPr>
                <w:sz w:val="20"/>
                <w:szCs w:val="20"/>
                <w:color w:val="auto"/>
              </w:rPr>
            </w:pPr>
            <w:r>
              <w:rPr>
                <w:rFonts w:ascii="Arial" w:cs="Arial" w:eastAsia="Arial" w:hAnsi="Arial"/>
                <w:sz w:val="18"/>
                <w:szCs w:val="18"/>
                <w:color w:val="auto"/>
              </w:rPr>
              <w:t>23.1</w:t>
            </w:r>
          </w:p>
        </w:tc>
        <w:tc>
          <w:tcPr>
            <w:tcW w:w="680" w:type="dxa"/>
            <w:vAlign w:val="bottom"/>
          </w:tcPr>
          <w:p>
            <w:pPr>
              <w:spacing w:after="0"/>
              <w:rPr>
                <w:sz w:val="24"/>
                <w:szCs w:val="24"/>
                <w:color w:val="auto"/>
              </w:rPr>
            </w:pPr>
          </w:p>
        </w:tc>
        <w:tc>
          <w:tcPr>
            <w:tcW w:w="9280" w:type="dxa"/>
            <w:vAlign w:val="bottom"/>
            <w:gridSpan w:val="6"/>
          </w:tcPr>
          <w:p>
            <w:pPr>
              <w:spacing w:after="0"/>
              <w:rPr>
                <w:rFonts w:ascii="Arial" w:cs="Arial" w:eastAsia="Arial" w:hAnsi="Arial"/>
                <w:sz w:val="18"/>
                <w:szCs w:val="18"/>
                <w:color w:val="0000EE"/>
              </w:rPr>
            </w:pPr>
            <w:hyperlink w:anchor="page774">
              <w:r>
                <w:rPr>
                  <w:rFonts w:ascii="Arial" w:cs="Arial" w:eastAsia="Arial" w:hAnsi="Arial"/>
                  <w:sz w:val="18"/>
                  <w:szCs w:val="18"/>
                  <w:u w:val="single" w:color="auto"/>
                  <w:color w:val="0000EE"/>
                </w:rPr>
                <w:t>Consent of Ernst &amp; Young LLP, an Independent Registered Public Accounting Firm</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680" w:type="dxa"/>
            <w:vAlign w:val="bottom"/>
            <w:gridSpan w:val="2"/>
          </w:tcPr>
          <w:p>
            <w:pPr>
              <w:spacing w:after="0"/>
              <w:rPr>
                <w:sz w:val="20"/>
                <w:szCs w:val="20"/>
                <w:color w:val="auto"/>
              </w:rPr>
            </w:pPr>
            <w:r>
              <w:rPr>
                <w:rFonts w:ascii="Arial" w:cs="Arial" w:eastAsia="Arial" w:hAnsi="Arial"/>
                <w:sz w:val="18"/>
                <w:szCs w:val="18"/>
                <w:color w:val="auto"/>
              </w:rPr>
              <w:t>23.2*</w:t>
            </w:r>
          </w:p>
        </w:tc>
        <w:tc>
          <w:tcPr>
            <w:tcW w:w="680" w:type="dxa"/>
            <w:vAlign w:val="bottom"/>
          </w:tcPr>
          <w:p>
            <w:pPr>
              <w:spacing w:after="0"/>
              <w:rPr>
                <w:sz w:val="24"/>
                <w:szCs w:val="24"/>
                <w:color w:val="auto"/>
              </w:rPr>
            </w:pPr>
          </w:p>
        </w:tc>
        <w:tc>
          <w:tcPr>
            <w:tcW w:w="9280" w:type="dxa"/>
            <w:vAlign w:val="bottom"/>
            <w:gridSpan w:val="6"/>
          </w:tcPr>
          <w:p>
            <w:pPr>
              <w:spacing w:after="0"/>
              <w:rPr>
                <w:sz w:val="20"/>
                <w:szCs w:val="20"/>
                <w:color w:val="auto"/>
              </w:rPr>
            </w:pPr>
            <w:r>
              <w:rPr>
                <w:rFonts w:ascii="Arial" w:cs="Arial" w:eastAsia="Arial" w:hAnsi="Arial"/>
                <w:sz w:val="18"/>
                <w:szCs w:val="18"/>
                <w:color w:val="auto"/>
              </w:rPr>
              <w:t>Consent of Stikeman Elliott LLP (included in Exhibit 5.1).</w:t>
            </w:r>
          </w:p>
        </w:tc>
        <w:tc>
          <w:tcPr>
            <w:tcW w:w="0" w:type="dxa"/>
            <w:vAlign w:val="bottom"/>
          </w:tcPr>
          <w:p>
            <w:pPr>
              <w:spacing w:after="0"/>
              <w:rPr>
                <w:sz w:val="1"/>
                <w:szCs w:val="1"/>
                <w:color w:val="auto"/>
              </w:rPr>
            </w:pPr>
          </w:p>
        </w:tc>
      </w:tr>
      <w:tr>
        <w:trPr>
          <w:trHeight w:val="324"/>
        </w:trPr>
        <w:tc>
          <w:tcPr>
            <w:tcW w:w="680" w:type="dxa"/>
            <w:vAlign w:val="bottom"/>
            <w:gridSpan w:val="2"/>
          </w:tcPr>
          <w:p>
            <w:pPr>
              <w:spacing w:after="0"/>
              <w:rPr>
                <w:sz w:val="20"/>
                <w:szCs w:val="20"/>
                <w:color w:val="auto"/>
              </w:rPr>
            </w:pPr>
            <w:r>
              <w:rPr>
                <w:rFonts w:ascii="Arial" w:cs="Arial" w:eastAsia="Arial" w:hAnsi="Arial"/>
                <w:sz w:val="18"/>
                <w:szCs w:val="18"/>
                <w:color w:val="auto"/>
              </w:rPr>
              <w:t>24.1</w:t>
            </w:r>
          </w:p>
        </w:tc>
        <w:tc>
          <w:tcPr>
            <w:tcW w:w="680" w:type="dxa"/>
            <w:vAlign w:val="bottom"/>
          </w:tcPr>
          <w:p>
            <w:pPr>
              <w:spacing w:after="0"/>
              <w:rPr>
                <w:sz w:val="24"/>
                <w:szCs w:val="24"/>
                <w:color w:val="auto"/>
              </w:rPr>
            </w:pPr>
          </w:p>
        </w:tc>
        <w:tc>
          <w:tcPr>
            <w:tcW w:w="9280" w:type="dxa"/>
            <w:vAlign w:val="bottom"/>
            <w:gridSpan w:val="6"/>
          </w:tcPr>
          <w:p>
            <w:pPr>
              <w:spacing w:after="0"/>
              <w:rPr>
                <w:rFonts w:ascii="Arial" w:cs="Arial" w:eastAsia="Arial" w:hAnsi="Arial"/>
                <w:sz w:val="18"/>
                <w:szCs w:val="18"/>
                <w:u w:val="single" w:color="auto"/>
                <w:color w:val="0000EE"/>
              </w:rPr>
            </w:pPr>
            <w:hyperlink w:anchor="page270">
              <w:r>
                <w:rPr>
                  <w:rFonts w:ascii="Arial" w:cs="Arial" w:eastAsia="Arial" w:hAnsi="Arial"/>
                  <w:sz w:val="18"/>
                  <w:szCs w:val="18"/>
                  <w:u w:val="single" w:color="auto"/>
                  <w:color w:val="0000EE"/>
                </w:rPr>
                <w:t>Power of Attorney (included on the signature page to this registration statement).</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9" w:lineRule="exact"/>
        <w:rPr>
          <w:sz w:val="20"/>
          <w:szCs w:val="20"/>
          <w:color w:val="auto"/>
        </w:rPr>
      </w:pPr>
    </w:p>
    <w:p>
      <w:pPr>
        <w:ind w:left="460" w:right="160" w:hanging="452"/>
        <w:spacing w:after="0" w:line="250" w:lineRule="auto"/>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Certain portions of this exhibit (indicated by asterisks) have been omitted because they are not material and would likely cause competitive harm to Repare Therapeutics Inc. if publicly disclosed.</w:t>
      </w:r>
    </w:p>
    <w:p>
      <w:pPr>
        <w:spacing w:after="0" w:line="1" w:lineRule="exact"/>
        <w:rPr>
          <w:sz w:val="20"/>
          <w:szCs w:val="20"/>
          <w:color w:val="auto"/>
        </w:rPr>
      </w:pPr>
    </w:p>
    <w:p>
      <w:pPr>
        <w:ind w:left="460" w:right="500" w:hanging="452"/>
        <w:spacing w:after="0" w:line="260" w:lineRule="auto"/>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Certain schedules and exhibits to this exhibit have been omitted pursuant to Item 601(a)(5) of Regulation S-K. A copy of any omitted schedule and/or exhibit will be furnished to the SEC upon request.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Financial Statement Schedules.</w:t>
      </w:r>
    </w:p>
    <w:p>
      <w:pPr>
        <w:spacing w:after="0" w:line="11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31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1000" w:right="60" w:hanging="357"/>
        <w:spacing w:after="0" w:line="291" w:lineRule="auto"/>
        <w:tabs>
          <w:tab w:leader="none" w:pos="10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00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27" w:lineRule="exact"/>
        <w:rPr>
          <w:rFonts w:ascii="Arial" w:cs="Arial" w:eastAsia="Arial" w:hAnsi="Arial"/>
          <w:sz w:val="16"/>
          <w:szCs w:val="16"/>
          <w:color w:val="auto"/>
        </w:rPr>
      </w:pPr>
    </w:p>
    <w:p>
      <w:pPr>
        <w:jc w:val="both"/>
        <w:ind w:left="1000" w:right="120" w:hanging="357"/>
        <w:spacing w:after="0" w:line="263" w:lineRule="auto"/>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459" w:right="3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449"/>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on Form S-1 to be signed on its behalf by the undersigned, thereunto duly authorized, in the City of Montréal, Province of Québec, Canada on May 29, 2020.</w:t>
      </w:r>
    </w:p>
    <w:p>
      <w:pPr>
        <w:spacing w:after="0" w:line="17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REPARE THERAPEUTICS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Lloyd M. Segal</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Lloyd M. Segal and Steve Forte,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or her substitute or substitutes, may lawfully do or cause to be done by virtue hereof.</w:t>
      </w:r>
    </w:p>
    <w:p>
      <w:pPr>
        <w:spacing w:after="0" w:line="181"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412"/>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Lloyd M. Segal</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President, Chief Executive Officer and 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May 29,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4"/>
              </w:rPr>
              <w:t>Lloyd M. Segal</w:t>
            </w:r>
          </w:p>
        </w:tc>
        <w:tc>
          <w:tcPr>
            <w:tcW w:w="120" w:type="dxa"/>
            <w:vAlign w:val="bottom"/>
          </w:tcPr>
          <w:p>
            <w:pPr>
              <w:spacing w:after="0"/>
              <w:rPr>
                <w:sz w:val="19"/>
                <w:szCs w:val="19"/>
                <w:color w:val="auto"/>
              </w:rPr>
            </w:pPr>
          </w:p>
        </w:tc>
        <w:tc>
          <w:tcPr>
            <w:tcW w:w="562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4"/>
              </w:rPr>
              <w:t>(Principal Executive Officer)</w:t>
            </w: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 Forte</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Executive Vice President, Chief Financial Officer</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May 29,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0"/>
              </w:rPr>
              <w:t>Steve Forte</w:t>
            </w:r>
          </w:p>
        </w:tc>
        <w:tc>
          <w:tcPr>
            <w:tcW w:w="120" w:type="dxa"/>
            <w:vAlign w:val="bottom"/>
          </w:tcPr>
          <w:p>
            <w:pPr>
              <w:spacing w:after="0"/>
              <w:rPr>
                <w:sz w:val="19"/>
                <w:szCs w:val="19"/>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5"/>
              </w:rPr>
              <w:t>(Principal Financial Officer and Principal Accounting Officer)</w:t>
            </w: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Jerel Davis, Ph.D.</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Chairman of the Board of Directors</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May 29,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Jerel Davis, Ph.D.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David Bonita, M.D.</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May 29,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5"/>
              </w:rPr>
              <w:t>David Bonita, M.D.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Todd Foley</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May 29,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Todd Foley</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Samarth Kulkarni, Ph.D.</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May 29,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3"/>
              </w:rPr>
              <w:t>Samarth Kulkarni, Ph.D.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320" w:top="459" w:right="3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412"/>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Briggs Morrison, M.D.</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May 29,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6"/>
              </w:rPr>
              <w:t>Briggs Morrison, M.D.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Kevin J. Raidy</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May 29,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3"/>
              </w:rPr>
              <w:t>Kevin J. Raidy</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Carol A. Schafer</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May 29,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0"/>
              </w:rPr>
              <w:t>Carol A. Schafer</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40"/>
          </w:cols>
          <w:pgMar w:left="320" w:top="459" w:right="3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 OF AUTHORIZED U.S. REPRESENTATIVE OF THE REGISTRANT</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Securities Act, the undersigned, the duly authorized representative in the United States of the registrant has signed this registration statement or amendment thereto on the 29</w:t>
      </w:r>
      <w:r>
        <w:rPr>
          <w:rFonts w:ascii="Arial" w:cs="Arial" w:eastAsia="Arial" w:hAnsi="Arial"/>
          <w:sz w:val="15"/>
          <w:szCs w:val="15"/>
          <w:color w:val="auto"/>
        </w:rPr>
        <w:t>th</w:t>
      </w:r>
      <w:r>
        <w:rPr>
          <w:rFonts w:ascii="Arial" w:cs="Arial" w:eastAsia="Arial" w:hAnsi="Arial"/>
          <w:sz w:val="18"/>
          <w:szCs w:val="18"/>
          <w:color w:val="auto"/>
        </w:rPr>
        <w:t xml:space="preserve"> day of May, 2020.</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REPARE THERAPEUTICS USA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Lloyd M. Segal</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0980"/>
          </w:cols>
          <w:pgMar w:left="320" w:top="459" w:right="59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171450</wp:posOffset>
            </wp:positionV>
            <wp:extent cx="6998970" cy="6011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8970" cy="601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620"/>
        <w:spacing w:after="0"/>
        <w:tabs>
          <w:tab w:leader="none" w:pos="7160" w:val="left"/>
        </w:tabs>
        <w:rPr>
          <w:sz w:val="20"/>
          <w:szCs w:val="20"/>
          <w:color w:val="auto"/>
        </w:rPr>
      </w:pPr>
      <w:r>
        <w:rPr>
          <w:rFonts w:ascii="Arial" w:cs="Arial" w:eastAsia="Arial" w:hAnsi="Arial"/>
          <w:sz w:val="18"/>
          <w:szCs w:val="18"/>
          <w:b w:val="1"/>
          <w:bCs w:val="1"/>
          <w:color w:val="auto"/>
        </w:rPr>
        <w:t>Certificate of Amendment</w:t>
      </w:r>
      <w:r>
        <w:rPr>
          <w:sz w:val="20"/>
          <w:szCs w:val="20"/>
          <w:color w:val="auto"/>
        </w:rPr>
        <w:tab/>
      </w:r>
      <w:r>
        <w:rPr>
          <w:rFonts w:ascii="Arial" w:cs="Arial" w:eastAsia="Arial" w:hAnsi="Arial"/>
          <w:sz w:val="16"/>
          <w:szCs w:val="16"/>
          <w:b w:val="1"/>
          <w:bCs w:val="1"/>
          <w:color w:val="auto"/>
        </w:rPr>
        <w:t>Certificat de modification</w:t>
      </w:r>
    </w:p>
    <w:p>
      <w:pPr>
        <w:spacing w:after="0" w:line="81" w:lineRule="exact"/>
        <w:rPr>
          <w:sz w:val="20"/>
          <w:szCs w:val="20"/>
          <w:color w:val="auto"/>
        </w:rPr>
      </w:pPr>
    </w:p>
    <w:p>
      <w:pPr>
        <w:ind w:left="1320"/>
        <w:spacing w:after="0"/>
        <w:tabs>
          <w:tab w:leader="none" w:pos="6560" w:val="left"/>
        </w:tabs>
        <w:rPr>
          <w:sz w:val="20"/>
          <w:szCs w:val="20"/>
          <w:color w:val="auto"/>
        </w:rPr>
      </w:pPr>
      <w:r>
        <w:rPr>
          <w:rFonts w:ascii="Arial" w:cs="Arial" w:eastAsia="Arial" w:hAnsi="Arial"/>
          <w:sz w:val="18"/>
          <w:szCs w:val="18"/>
          <w:b w:val="1"/>
          <w:bCs w:val="1"/>
          <w:i w:val="1"/>
          <w:iCs w:val="1"/>
          <w:color w:val="auto"/>
        </w:rPr>
        <w:t>Canada Business Corporations Act</w:t>
      </w:r>
      <w:r>
        <w:rPr>
          <w:sz w:val="20"/>
          <w:szCs w:val="20"/>
          <w:color w:val="auto"/>
        </w:rPr>
        <w:tab/>
      </w:r>
      <w:r>
        <w:rPr>
          <w:rFonts w:ascii="Arial" w:cs="Arial" w:eastAsia="Arial" w:hAnsi="Arial"/>
          <w:sz w:val="15"/>
          <w:szCs w:val="15"/>
          <w:b w:val="1"/>
          <w:bCs w:val="1"/>
          <w:i w:val="1"/>
          <w:iCs w:val="1"/>
          <w:color w:val="auto"/>
        </w:rPr>
        <w:t>Loi canadienne sur les sociétés par actions</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Repare Therapeutics Inc.</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Corporate name / Dénomination sociale</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989577-9</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Corporation number / Numéro de société</w:t>
      </w:r>
    </w:p>
    <w:p>
      <w:pPr>
        <w:sectPr>
          <w:pgSz w:w="11900" w:h="16838" w:orient="portrait"/>
          <w:cols w:equalWidth="0" w:num="1">
            <w:col w:w="10860"/>
          </w:cols>
          <w:pgMar w:left="600" w:top="121" w:right="439" w:bottom="1440" w:gutter="0" w:footer="0" w:header="0"/>
        </w:sectPr>
      </w:pPr>
    </w:p>
    <w:p>
      <w:pPr>
        <w:spacing w:after="0" w:line="29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I HEREBY CERTIFY that the articles of the above-named corporation are amended under section 178 of the </w:t>
      </w:r>
      <w:r>
        <w:rPr>
          <w:rFonts w:ascii="Arial" w:cs="Arial" w:eastAsia="Arial" w:hAnsi="Arial"/>
          <w:sz w:val="16"/>
          <w:szCs w:val="16"/>
          <w:i w:val="1"/>
          <w:iCs w:val="1"/>
          <w:color w:val="auto"/>
        </w:rPr>
        <w:t>Canada Business Corporations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 </w:t>
      </w:r>
      <w:r>
        <w:rPr>
          <w:rFonts w:ascii="Arial" w:cs="Arial" w:eastAsia="Arial" w:hAnsi="Arial"/>
          <w:sz w:val="16"/>
          <w:szCs w:val="16"/>
          <w:color w:val="auto"/>
        </w:rPr>
        <w:t>as set out in the attached articles of amendment.</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 xml:space="preserve">JE CERTIFIE que les statuts de la société susmentionnée sont modifiés aux termes de l’article 178 de la </w:t>
      </w:r>
      <w:r>
        <w:rPr>
          <w:rFonts w:ascii="Arial" w:cs="Arial" w:eastAsia="Arial" w:hAnsi="Arial"/>
          <w:sz w:val="16"/>
          <w:szCs w:val="16"/>
          <w:i w:val="1"/>
          <w:iCs w:val="1"/>
          <w:color w:val="auto"/>
        </w:rPr>
        <w:t>Loi canadienne sur les sociétés par</w:t>
      </w:r>
      <w:r>
        <w:rPr>
          <w:rFonts w:ascii="Arial" w:cs="Arial" w:eastAsia="Arial" w:hAnsi="Arial"/>
          <w:sz w:val="16"/>
          <w:szCs w:val="16"/>
          <w:color w:val="auto"/>
        </w:rPr>
        <w:t xml:space="preserve"> </w:t>
      </w:r>
      <w:r>
        <w:rPr>
          <w:rFonts w:ascii="Arial" w:cs="Arial" w:eastAsia="Arial" w:hAnsi="Arial"/>
          <w:sz w:val="16"/>
          <w:szCs w:val="16"/>
          <w:i w:val="1"/>
          <w:iCs w:val="1"/>
          <w:color w:val="auto"/>
        </w:rPr>
        <w:t>actions</w:t>
      </w:r>
      <w:r>
        <w:rPr>
          <w:rFonts w:ascii="Arial" w:cs="Arial" w:eastAsia="Arial" w:hAnsi="Arial"/>
          <w:sz w:val="16"/>
          <w:szCs w:val="16"/>
          <w:color w:val="auto"/>
        </w:rPr>
        <w:t>, tel qu’il est indiqué dans les clauses modificatrices ci-jointes.</w:t>
      </w:r>
    </w:p>
    <w:p>
      <w:pPr>
        <w:spacing w:after="0" w:line="200" w:lineRule="exact"/>
        <w:rPr>
          <w:sz w:val="20"/>
          <w:szCs w:val="20"/>
          <w:color w:val="auto"/>
        </w:rPr>
      </w:pPr>
    </w:p>
    <w:p>
      <w:pPr>
        <w:sectPr>
          <w:pgSz w:w="11900" w:h="16838" w:orient="portrait"/>
          <w:cols w:equalWidth="0" w:num="2">
            <w:col w:w="5100" w:space="360"/>
            <w:col w:w="5400"/>
          </w:cols>
          <w:pgMar w:left="600" w:top="121"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Raymond Edwards</w:t>
      </w:r>
    </w:p>
    <w:p>
      <w:pPr>
        <w:spacing w:after="0" w:line="6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Director / Directeur</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2019-08-28</w:t>
      </w:r>
    </w:p>
    <w:p>
      <w:pPr>
        <w:spacing w:after="0" w:line="63"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Date of amendment (YYYY-MM-DD)</w:t>
      </w:r>
    </w:p>
    <w:p>
      <w:pPr>
        <w:spacing w:after="0" w:line="35"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Date de modification (AAAA-MM-JJ)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5819140</wp:posOffset>
            </wp:positionH>
            <wp:positionV relativeFrom="paragraph">
              <wp:posOffset>2113280</wp:posOffset>
            </wp:positionV>
            <wp:extent cx="1071880" cy="3346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071880" cy="334645"/>
                    </a:xfrm>
                    <a:prstGeom prst="rect">
                      <a:avLst/>
                    </a:prstGeom>
                    <a:noFill/>
                  </pic:spPr>
                </pic:pic>
              </a:graphicData>
            </a:graphic>
          </wp:anchor>
        </w:drawing>
      </w:r>
    </w:p>
    <w:p>
      <w:pPr>
        <w:sectPr>
          <w:pgSz w:w="11900" w:h="16838" w:orient="portrait"/>
          <w:cols w:equalWidth="0" w:num="1">
            <w:col w:w="10860"/>
          </w:cols>
          <w:pgMar w:left="600" w:top="121" w:right="439" w:bottom="1440" w:gutter="0" w:footer="0" w:header="0"/>
          <w:type w:val="continuous"/>
        </w:sectPr>
      </w:pPr>
    </w:p>
    <w:bookmarkStart w:id="273" w:name="page274"/>
    <w:bookmarkEnd w:id="273"/>
    <w:tbl>
      <w:tblPr>
        <w:tblLayout w:type="fixed"/>
        <w:tblInd w:w="4364" w:type="dxa"/>
        <w:tblCellMar>
          <w:top w:w="0" w:type="dxa"/>
          <w:left w:w="0" w:type="dxa"/>
          <w:bottom w:w="0" w:type="dxa"/>
          <w:right w:w="0" w:type="dxa"/>
        </w:tblCellMar>
      </w:tblPr>
      <w:tr>
        <w:trPr>
          <w:trHeight w:val="216"/>
        </w:trPr>
        <w:tc>
          <w:tcPr>
            <w:tcW w:w="3120" w:type="dxa"/>
            <w:vAlign w:val="bottom"/>
          </w:tcPr>
          <w:p>
            <w:pPr>
              <w:jc w:val="center"/>
              <w:ind w:right="470"/>
              <w:spacing w:after="0"/>
              <w:rPr>
                <w:sz w:val="20"/>
                <w:szCs w:val="20"/>
                <w:color w:val="auto"/>
              </w:rPr>
            </w:pPr>
            <w:r>
              <w:rPr>
                <w:rFonts w:ascii="Arial" w:cs="Arial" w:eastAsia="Arial" w:hAnsi="Arial"/>
                <w:sz w:val="18"/>
                <w:szCs w:val="18"/>
                <w:b w:val="1"/>
                <w:bCs w:val="1"/>
                <w:color w:val="auto"/>
                <w:w w:val="93"/>
              </w:rPr>
              <w:t>Form 4</w:t>
            </w:r>
          </w:p>
        </w:tc>
        <w:tc>
          <w:tcPr>
            <w:tcW w:w="3100" w:type="dxa"/>
            <w:vAlign w:val="bottom"/>
          </w:tcPr>
          <w:p>
            <w:pPr>
              <w:jc w:val="center"/>
              <w:ind w:left="470"/>
              <w:spacing w:after="0"/>
              <w:rPr>
                <w:sz w:val="20"/>
                <w:szCs w:val="20"/>
                <w:color w:val="auto"/>
              </w:rPr>
            </w:pPr>
            <w:r>
              <w:rPr>
                <w:rFonts w:ascii="Arial" w:cs="Arial" w:eastAsia="Arial" w:hAnsi="Arial"/>
                <w:sz w:val="18"/>
                <w:szCs w:val="18"/>
                <w:b w:val="1"/>
                <w:bCs w:val="1"/>
                <w:color w:val="auto"/>
                <w:w w:val="94"/>
              </w:rPr>
              <w:t>Formulaire 4</w:t>
            </w:r>
          </w:p>
        </w:tc>
      </w:tr>
      <w:tr>
        <w:trPr>
          <w:trHeight w:val="220"/>
        </w:trPr>
        <w:tc>
          <w:tcPr>
            <w:tcW w:w="312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Articles of Amendment</w:t>
            </w:r>
          </w:p>
        </w:tc>
        <w:tc>
          <w:tcPr>
            <w:tcW w:w="3100" w:type="dxa"/>
            <w:vAlign w:val="bottom"/>
          </w:tcPr>
          <w:p>
            <w:pPr>
              <w:jc w:val="center"/>
              <w:ind w:left="470"/>
              <w:spacing w:after="0"/>
              <w:rPr>
                <w:sz w:val="20"/>
                <w:szCs w:val="20"/>
                <w:color w:val="auto"/>
              </w:rPr>
            </w:pPr>
            <w:r>
              <w:rPr>
                <w:rFonts w:ascii="Arial" w:cs="Arial" w:eastAsia="Arial" w:hAnsi="Arial"/>
                <w:sz w:val="18"/>
                <w:szCs w:val="18"/>
                <w:b w:val="1"/>
                <w:bCs w:val="1"/>
                <w:color w:val="auto"/>
                <w:w w:val="88"/>
              </w:rPr>
              <w:t>Clauses modificatrices</w:t>
            </w:r>
          </w:p>
        </w:tc>
      </w:tr>
      <w:tr>
        <w:trPr>
          <w:trHeight w:val="216"/>
        </w:trPr>
        <w:tc>
          <w:tcPr>
            <w:tcW w:w="3120" w:type="dxa"/>
            <w:vAlign w:val="bottom"/>
          </w:tcPr>
          <w:p>
            <w:pPr>
              <w:jc w:val="center"/>
              <w:ind w:right="490"/>
              <w:spacing w:after="0"/>
              <w:rPr>
                <w:sz w:val="20"/>
                <w:szCs w:val="20"/>
                <w:color w:val="auto"/>
              </w:rPr>
            </w:pPr>
            <w:r>
              <w:rPr>
                <w:rFonts w:ascii="Arial" w:cs="Arial" w:eastAsia="Arial" w:hAnsi="Arial"/>
                <w:sz w:val="18"/>
                <w:szCs w:val="18"/>
                <w:i w:val="1"/>
                <w:iCs w:val="1"/>
                <w:color w:val="auto"/>
                <w:w w:val="90"/>
              </w:rPr>
              <w:t>Canada Business Corporations Act</w:t>
            </w:r>
          </w:p>
        </w:tc>
        <w:tc>
          <w:tcPr>
            <w:tcW w:w="3100" w:type="dxa"/>
            <w:vAlign w:val="bottom"/>
          </w:tcPr>
          <w:p>
            <w:pPr>
              <w:jc w:val="center"/>
              <w:ind w:left="470"/>
              <w:spacing w:after="0"/>
              <w:rPr>
                <w:sz w:val="20"/>
                <w:szCs w:val="20"/>
                <w:color w:val="auto"/>
              </w:rPr>
            </w:pPr>
            <w:r>
              <w:rPr>
                <w:rFonts w:ascii="Arial" w:cs="Arial" w:eastAsia="Arial" w:hAnsi="Arial"/>
                <w:sz w:val="18"/>
                <w:szCs w:val="18"/>
                <w:i w:val="1"/>
                <w:iCs w:val="1"/>
                <w:color w:val="auto"/>
                <w:w w:val="90"/>
              </w:rPr>
              <w:t>Loi canadienne sur les sociétés par</w:t>
            </w:r>
          </w:p>
        </w:tc>
      </w:tr>
      <w:tr>
        <w:trPr>
          <w:trHeight w:val="230"/>
        </w:trPr>
        <w:tc>
          <w:tcPr>
            <w:tcW w:w="3120" w:type="dxa"/>
            <w:vAlign w:val="bottom"/>
          </w:tcPr>
          <w:p>
            <w:pPr>
              <w:jc w:val="center"/>
              <w:ind w:right="470"/>
              <w:spacing w:after="0"/>
              <w:rPr>
                <w:sz w:val="20"/>
                <w:szCs w:val="20"/>
                <w:color w:val="auto"/>
              </w:rPr>
            </w:pPr>
            <w:r>
              <w:rPr>
                <w:rFonts w:ascii="Arial" w:cs="Arial" w:eastAsia="Arial" w:hAnsi="Arial"/>
                <w:sz w:val="18"/>
                <w:szCs w:val="18"/>
                <w:i w:val="1"/>
                <w:iCs w:val="1"/>
                <w:color w:val="auto"/>
                <w:w w:val="91"/>
              </w:rPr>
              <w:t>(CBCA) (s. 27 or 177)</w:t>
            </w:r>
          </w:p>
        </w:tc>
        <w:tc>
          <w:tcPr>
            <w:tcW w:w="3100" w:type="dxa"/>
            <w:vAlign w:val="bottom"/>
          </w:tcPr>
          <w:p>
            <w:pPr>
              <w:jc w:val="center"/>
              <w:ind w:left="470"/>
              <w:spacing w:after="0"/>
              <w:rPr>
                <w:sz w:val="20"/>
                <w:szCs w:val="20"/>
                <w:color w:val="auto"/>
              </w:rPr>
            </w:pPr>
            <w:r>
              <w:rPr>
                <w:rFonts w:ascii="Arial" w:cs="Arial" w:eastAsia="Arial" w:hAnsi="Arial"/>
                <w:sz w:val="18"/>
                <w:szCs w:val="18"/>
                <w:i w:val="1"/>
                <w:iCs w:val="1"/>
                <w:color w:val="auto"/>
                <w:w w:val="92"/>
              </w:rPr>
              <w:t>actions (LCSA) (art. 27 ou 177)</w:t>
            </w:r>
          </w:p>
        </w:tc>
      </w:tr>
    </w:tbl>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3437255" cy="3689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clrChange>
                        <a:clrFrom>
                          <a:srgbClr val="FFFFFF"/>
                        </a:clrFrom>
                        <a:clrTo>
                          <a:srgbClr val="FFFFFF">
                            <a:alpha val="0"/>
                          </a:srgbClr>
                        </a:clrTo>
                      </a:clrChange>
                      <a:extLst>
                        <a:ext uri="{28A0092B-C50C-407E-A947-70E740481C1C}"/>
                      </a:extLst>
                    </a:blip>
                    <a:srcRect/>
                    <a:stretch>
                      <a:fillRect/>
                    </a:stretch>
                  </pic:blipFill>
                  <pic:spPr bwMode="auto">
                    <a:xfrm>
                      <a:off x="0" y="0"/>
                      <a:ext cx="3437255" cy="368935"/>
                    </a:xfrm>
                    <a:prstGeom prst="rect">
                      <a:avLst/>
                    </a:prstGeom>
                    <a:noFill/>
                  </pic:spPr>
                </pic:pic>
              </a:graphicData>
            </a:graphic>
          </wp:anchor>
        </w:drawing>
      </w:r>
    </w:p>
    <w:p>
      <w:pPr>
        <w:ind w:left="224" w:right="9000" w:hanging="224"/>
        <w:spacing w:after="0" w:line="220" w:lineRule="auto"/>
        <w:tabs>
          <w:tab w:leader="none" w:pos="224" w:val="left"/>
        </w:tabs>
        <w:numPr>
          <w:ilvl w:val="0"/>
          <w:numId w:val="152"/>
        </w:numPr>
        <w:rPr>
          <w:rFonts w:ascii="Arial" w:cs="Arial" w:eastAsia="Arial" w:hAnsi="Arial"/>
          <w:sz w:val="32"/>
          <w:szCs w:val="32"/>
          <w:color w:val="auto"/>
          <w:vertAlign w:val="superscript"/>
        </w:rPr>
      </w:pPr>
      <w:r>
        <w:rPr>
          <w:rFonts w:ascii="Arial" w:cs="Arial" w:eastAsia="Arial" w:hAnsi="Arial"/>
          <w:sz w:val="16"/>
          <w:szCs w:val="16"/>
          <w:color w:val="auto"/>
        </w:rPr>
        <w:t>Corporate name Dénomination sociale Repare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-452755</wp:posOffset>
            </wp:positionV>
            <wp:extent cx="684911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34" w:lineRule="exact"/>
        <w:rPr>
          <w:sz w:val="20"/>
          <w:szCs w:val="20"/>
          <w:color w:val="auto"/>
        </w:rPr>
      </w:pPr>
    </w:p>
    <w:p>
      <w:pPr>
        <w:jc w:val="both"/>
        <w:ind w:left="224" w:right="9280" w:hanging="224"/>
        <w:spacing w:after="0" w:line="207" w:lineRule="auto"/>
        <w:tabs>
          <w:tab w:leader="none" w:pos="224" w:val="left"/>
        </w:tabs>
        <w:numPr>
          <w:ilvl w:val="0"/>
          <w:numId w:val="153"/>
        </w:numPr>
        <w:rPr>
          <w:rFonts w:ascii="Arial" w:cs="Arial" w:eastAsia="Arial" w:hAnsi="Arial"/>
          <w:sz w:val="34"/>
          <w:szCs w:val="34"/>
          <w:color w:val="auto"/>
          <w:vertAlign w:val="superscript"/>
        </w:rPr>
      </w:pPr>
      <w:r>
        <w:rPr>
          <w:rFonts w:ascii="Arial" w:cs="Arial" w:eastAsia="Arial" w:hAnsi="Arial"/>
          <w:sz w:val="17"/>
          <w:szCs w:val="17"/>
          <w:color w:val="auto"/>
        </w:rPr>
        <w:t>Corporation number Numéro de la société 989577-9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-452755</wp:posOffset>
            </wp:positionV>
            <wp:extent cx="684911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ind w:left="224" w:hanging="224"/>
        <w:spacing w:after="0" w:line="180" w:lineRule="auto"/>
        <w:tabs>
          <w:tab w:leader="none" w:pos="224" w:val="left"/>
        </w:tabs>
        <w:numPr>
          <w:ilvl w:val="0"/>
          <w:numId w:val="154"/>
        </w:numPr>
        <w:rPr>
          <w:rFonts w:ascii="Arial" w:cs="Arial" w:eastAsia="Arial" w:hAnsi="Arial"/>
          <w:sz w:val="33"/>
          <w:szCs w:val="33"/>
          <w:color w:val="auto"/>
          <w:vertAlign w:val="superscript"/>
        </w:rPr>
      </w:pPr>
      <w:r>
        <w:rPr>
          <w:rFonts w:ascii="Arial" w:cs="Arial" w:eastAsia="Arial" w:hAnsi="Arial"/>
          <w:sz w:val="17"/>
          <w:szCs w:val="17"/>
          <w:color w:val="auto"/>
        </w:rPr>
        <w:t>The articles are amended as follows</w:t>
      </w:r>
    </w:p>
    <w:p>
      <w:pPr>
        <w:spacing w:after="0" w:line="15" w:lineRule="exact"/>
        <w:rPr>
          <w:rFonts w:ascii="Arial" w:cs="Arial" w:eastAsia="Arial" w:hAnsi="Arial"/>
          <w:sz w:val="33"/>
          <w:szCs w:val="33"/>
          <w:color w:val="auto"/>
          <w:vertAlign w:val="superscript"/>
        </w:rPr>
      </w:pPr>
    </w:p>
    <w:p>
      <w:pPr>
        <w:ind w:left="224"/>
        <w:spacing w:after="0"/>
        <w:rPr>
          <w:rFonts w:ascii="Arial" w:cs="Arial" w:eastAsia="Arial" w:hAnsi="Arial"/>
          <w:sz w:val="33"/>
          <w:szCs w:val="33"/>
          <w:color w:val="auto"/>
          <w:vertAlign w:val="superscript"/>
        </w:rPr>
      </w:pPr>
      <w:r>
        <w:rPr>
          <w:rFonts w:ascii="Arial" w:cs="Arial" w:eastAsia="Arial" w:hAnsi="Arial"/>
          <w:sz w:val="18"/>
          <w:szCs w:val="18"/>
          <w:color w:val="auto"/>
        </w:rPr>
        <w:t>Les statuts sont modifiés de la façon suivante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-311785</wp:posOffset>
            </wp:positionV>
            <wp:extent cx="684911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49110" cy="8890"/>
                    </a:xfrm>
                    <a:prstGeom prst="rect">
                      <a:avLst/>
                    </a:prstGeom>
                    <a:noFill/>
                  </pic:spPr>
                </pic:pic>
              </a:graphicData>
            </a:graphic>
          </wp:anchor>
        </w:drawing>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attached schedule / Voir l’annexe ci-jointe</w:t>
      </w:r>
    </w:p>
    <w:p>
      <w:pPr>
        <w:spacing w:after="0" w:line="392" w:lineRule="exact"/>
        <w:rPr>
          <w:sz w:val="20"/>
          <w:szCs w:val="20"/>
          <w:color w:val="auto"/>
        </w:rPr>
      </w:pPr>
    </w:p>
    <w:p>
      <w:pPr>
        <w:ind w:left="224" w:hanging="224"/>
        <w:spacing w:after="0"/>
        <w:tabs>
          <w:tab w:leader="none" w:pos="224" w:val="left"/>
        </w:tabs>
        <w:numPr>
          <w:ilvl w:val="0"/>
          <w:numId w:val="155"/>
        </w:numPr>
        <w:rPr>
          <w:rFonts w:ascii="Arial" w:cs="Arial" w:eastAsia="Arial" w:hAnsi="Arial"/>
          <w:sz w:val="36"/>
          <w:szCs w:val="36"/>
          <w:color w:val="auto"/>
          <w:vertAlign w:val="superscript"/>
        </w:rPr>
      </w:pPr>
      <w:r>
        <w:rPr>
          <w:rFonts w:ascii="Arial" w:cs="Arial" w:eastAsia="Arial" w:hAnsi="Arial"/>
          <w:sz w:val="18"/>
          <w:szCs w:val="18"/>
          <w:color w:val="auto"/>
        </w:rPr>
        <w:t>Declaration: I certify that I am a director or an officer of the corporation.</w:t>
      </w:r>
    </w:p>
    <w:p>
      <w:pPr>
        <w:spacing w:after="0" w:line="15" w:lineRule="exact"/>
        <w:rPr>
          <w:rFonts w:ascii="Arial" w:cs="Arial" w:eastAsia="Arial" w:hAnsi="Arial"/>
          <w:sz w:val="36"/>
          <w:szCs w:val="36"/>
          <w:color w:val="auto"/>
          <w:vertAlign w:val="superscript"/>
        </w:rPr>
      </w:pPr>
    </w:p>
    <w:p>
      <w:pPr>
        <w:ind w:left="224"/>
        <w:spacing w:after="0"/>
        <w:rPr>
          <w:rFonts w:ascii="Arial" w:cs="Arial" w:eastAsia="Arial" w:hAnsi="Arial"/>
          <w:sz w:val="36"/>
          <w:szCs w:val="36"/>
          <w:color w:val="auto"/>
          <w:vertAlign w:val="superscript"/>
        </w:rPr>
      </w:pPr>
      <w:r>
        <w:rPr>
          <w:rFonts w:ascii="Arial" w:cs="Arial" w:eastAsia="Arial" w:hAnsi="Arial"/>
          <w:sz w:val="18"/>
          <w:szCs w:val="18"/>
          <w:color w:val="auto"/>
        </w:rPr>
        <w:t>Déclaration : J’atteste que je suis un administrateur ou un dirigeant de la société.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-311785</wp:posOffset>
            </wp:positionV>
            <wp:extent cx="684911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216"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Original signed by / Original signé par</w:t>
      </w:r>
    </w:p>
    <w:p>
      <w:pPr>
        <w:spacing w:after="0" w:line="23"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5715</wp:posOffset>
            </wp:positionV>
            <wp:extent cx="27946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 w:lineRule="exact"/>
        <w:rPr>
          <w:sz w:val="20"/>
          <w:szCs w:val="20"/>
          <w:color w:val="auto"/>
        </w:rPr>
      </w:pPr>
    </w:p>
    <w:p>
      <w:pPr>
        <w:ind w:left="8244"/>
        <w:spacing w:after="0"/>
        <w:rPr>
          <w:sz w:val="20"/>
          <w:szCs w:val="20"/>
          <w:color w:val="auto"/>
        </w:rPr>
      </w:pPr>
      <w:r>
        <w:rPr>
          <w:rFonts w:ascii="Arial" w:cs="Arial" w:eastAsia="Arial" w:hAnsi="Arial"/>
          <w:sz w:val="18"/>
          <w:szCs w:val="18"/>
          <w:color w:val="auto"/>
        </w:rPr>
        <w:t>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Misrepresentation constitutes an offence and, on summary conviction, a person is liable to a fine not exceeding $5000 or to imprisonment for a term not exceeding six months or both (subsection 250 (1) of the CBCA).</w:t>
      </w:r>
    </w:p>
    <w:p>
      <w:pPr>
        <w:spacing w:after="0" w:line="170" w:lineRule="exact"/>
        <w:rPr>
          <w:sz w:val="20"/>
          <w:szCs w:val="20"/>
          <w:color w:val="auto"/>
        </w:rPr>
      </w:pPr>
    </w:p>
    <w:p>
      <w:pPr>
        <w:ind w:left="4" w:right="360"/>
        <w:spacing w:after="0" w:line="308" w:lineRule="auto"/>
        <w:rPr>
          <w:sz w:val="20"/>
          <w:szCs w:val="20"/>
          <w:color w:val="auto"/>
        </w:rPr>
      </w:pPr>
      <w:r>
        <w:rPr>
          <w:rFonts w:ascii="Arial" w:cs="Arial" w:eastAsia="Arial" w:hAnsi="Arial"/>
          <w:sz w:val="17"/>
          <w:szCs w:val="17"/>
          <w:color w:val="auto"/>
        </w:rPr>
        <w:t>Faire une fausse déclaration constitue une infraction et son auteur, sur déclaration de culpabilité par procédure sommaire, est passible d’une amende maximale de 5 000 $ et d’un emprisonnement maximal de six mois, ou l’une de ces peines (paragraphe 250(1) de la LCSA).</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You are providing information required by the CBCA. Note that both the CBCA and the </w:t>
      </w:r>
      <w:r>
        <w:rPr>
          <w:rFonts w:ascii="Arial" w:cs="Arial" w:eastAsia="Arial" w:hAnsi="Arial"/>
          <w:sz w:val="16"/>
          <w:szCs w:val="16"/>
          <w:i w:val="1"/>
          <w:iCs w:val="1"/>
          <w:color w:val="auto"/>
        </w:rPr>
        <w:t>Privacy Act</w:t>
      </w:r>
      <w:r>
        <w:rPr>
          <w:rFonts w:ascii="Arial" w:cs="Arial" w:eastAsia="Arial" w:hAnsi="Arial"/>
          <w:sz w:val="16"/>
          <w:szCs w:val="16"/>
          <w:color w:val="auto"/>
        </w:rPr>
        <w:t xml:space="preserve"> allow this information to be disclosed to the public.</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It will be stored in personal information bank number IC/PPU-049.</w:t>
      </w:r>
    </w:p>
    <w:p>
      <w:pPr>
        <w:spacing w:after="0" w:line="211" w:lineRule="exact"/>
        <w:rPr>
          <w:sz w:val="20"/>
          <w:szCs w:val="20"/>
          <w:color w:val="auto"/>
        </w:rPr>
      </w:pPr>
    </w:p>
    <w:p>
      <w:pPr>
        <w:ind w:left="4" w:right="240"/>
        <w:spacing w:after="0" w:line="308" w:lineRule="auto"/>
        <w:rPr>
          <w:sz w:val="20"/>
          <w:szCs w:val="20"/>
          <w:color w:val="auto"/>
        </w:rPr>
      </w:pPr>
      <w:r>
        <w:rPr>
          <w:rFonts w:ascii="Arial" w:cs="Arial" w:eastAsia="Arial" w:hAnsi="Arial"/>
          <w:sz w:val="17"/>
          <w:szCs w:val="17"/>
          <w:color w:val="auto"/>
        </w:rPr>
        <w:t xml:space="preserve">Vous fournissez des renseignements exigés par la LCSA. Il est à noter que la LCSA et la </w:t>
      </w:r>
      <w:r>
        <w:rPr>
          <w:rFonts w:ascii="Arial" w:cs="Arial" w:eastAsia="Arial" w:hAnsi="Arial"/>
          <w:sz w:val="17"/>
          <w:szCs w:val="17"/>
          <w:i w:val="1"/>
          <w:iCs w:val="1"/>
          <w:color w:val="auto"/>
        </w:rPr>
        <w:t>Loi sur les renseignements personnels</w:t>
      </w:r>
      <w:r>
        <w:rPr>
          <w:rFonts w:ascii="Arial" w:cs="Arial" w:eastAsia="Arial" w:hAnsi="Arial"/>
          <w:sz w:val="17"/>
          <w:szCs w:val="17"/>
          <w:color w:val="auto"/>
        </w:rPr>
        <w:t xml:space="preserve"> permettent que de tels renseignements soient divulgués au public. Ils seront stockés dans la banque de renseignements personnels numéro IC/PPU-049.</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IC 3069 (2008/04)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071245" cy="3340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071245" cy="334010"/>
                    </a:xfrm>
                    <a:prstGeom prst="rect">
                      <a:avLst/>
                    </a:prstGeom>
                    <a:noFill/>
                  </pic:spPr>
                </pic:pic>
              </a:graphicData>
            </a:graphic>
          </wp:anchor>
        </w:drawing>
      </w:r>
    </w:p>
    <w:p>
      <w:pPr>
        <w:sectPr>
          <w:pgSz w:w="11900" w:h="16838" w:orient="portrait"/>
          <w:cols w:equalWidth="0" w:num="1">
            <w:col w:w="11024"/>
          </w:cols>
          <w:pgMar w:left="436" w:top="1093" w:right="439" w:bottom="1440" w:gutter="0" w:footer="0" w:header="0"/>
        </w:sectPr>
      </w:pPr>
    </w:p>
    <w:bookmarkStart w:id="274" w:name="page275"/>
    <w:bookmarkEnd w:id="274"/>
    <w:p>
      <w:pPr>
        <w:jc w:val="center"/>
        <w:ind w:right="-1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articles of the Corporation are amended as follows:</w:t>
      </w:r>
    </w:p>
    <w:p>
      <w:pPr>
        <w:spacing w:after="0" w:line="131" w:lineRule="exact"/>
        <w:rPr>
          <w:sz w:val="20"/>
          <w:szCs w:val="20"/>
          <w:color w:val="auto"/>
        </w:rPr>
      </w:pPr>
    </w:p>
    <w:p>
      <w:pPr>
        <w:ind w:left="424" w:right="220" w:hanging="424"/>
        <w:spacing w:after="0" w:line="277" w:lineRule="auto"/>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 unlimited number of Class B convertible preferred shares, having the rights, privileges, restrictions and conditions set forth in the attached Schedule A, are created.</w:t>
      </w:r>
    </w:p>
    <w:p>
      <w:pPr>
        <w:spacing w:after="0" w:line="75" w:lineRule="exact"/>
        <w:rPr>
          <w:rFonts w:ascii="Arial" w:cs="Arial" w:eastAsia="Arial" w:hAnsi="Arial"/>
          <w:sz w:val="18"/>
          <w:szCs w:val="18"/>
          <w:color w:val="auto"/>
        </w:rPr>
      </w:pPr>
    </w:p>
    <w:p>
      <w:pPr>
        <w:ind w:left="424" w:right="280" w:hanging="424"/>
        <w:spacing w:after="0" w:line="277" w:lineRule="auto"/>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rights, privileges, restrictions and conditions attached to the Class A convertible preferred shares are amended with the rights, privileges, restrictions and conditions with the attached Schedule A.</w:t>
      </w:r>
    </w:p>
    <w:p>
      <w:pPr>
        <w:spacing w:after="0" w:line="75" w:lineRule="exact"/>
        <w:rPr>
          <w:rFonts w:ascii="Arial" w:cs="Arial" w:eastAsia="Arial" w:hAnsi="Arial"/>
          <w:sz w:val="18"/>
          <w:szCs w:val="18"/>
          <w:color w:val="auto"/>
        </w:rPr>
      </w:pPr>
    </w:p>
    <w:p>
      <w:pPr>
        <w:ind w:left="424" w:right="600" w:hanging="424"/>
        <w:spacing w:after="0" w:line="277" w:lineRule="auto"/>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rights, privileges, restrictions and conditions attached to the common shares are amended with the rights, privileges, restrictions and conditions with the attached Schedule A.</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After giving effect to the foregoing, the authorized capital of the Corporation shall consist of:</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Unlimited number of Class A convertible preferred shares;</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Unlimited number of Class B convertible preferred shares; and</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Unlimited number of common shares.</w:t>
      </w:r>
    </w:p>
    <w:p>
      <w:pPr>
        <w:spacing w:after="0" w:line="116" w:lineRule="exact"/>
        <w:rPr>
          <w:sz w:val="20"/>
          <w:szCs w:val="20"/>
          <w:color w:val="auto"/>
        </w:rPr>
      </w:pPr>
    </w:p>
    <w:p>
      <w:pPr>
        <w:ind w:left="424" w:hanging="424"/>
        <w:spacing w:after="0" w:line="277" w:lineRule="auto"/>
        <w:tabs>
          <w:tab w:leader="none" w:pos="42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schedule to the articles of amendment attached to the certificate of amendment dated June 21, 2017 is deleted and replaced with the attached Schedule A.</w:t>
      </w:r>
    </w:p>
    <w:p>
      <w:pPr>
        <w:sectPr>
          <w:pgSz w:w="11900" w:h="16838" w:orient="portrait"/>
          <w:cols w:equalWidth="0" w:num="1">
            <w:col w:w="10864"/>
          </w:cols>
          <w:pgMar w:left="436" w:top="270" w:right="599" w:bottom="1440" w:gutter="0" w:footer="0" w:header="0"/>
        </w:sectPr>
      </w:pPr>
    </w:p>
    <w:bookmarkStart w:id="275" w:name="page276"/>
    <w:bookmarkEnd w:id="27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25" w:lineRule="exact"/>
        <w:rPr>
          <w:sz w:val="20"/>
          <w:szCs w:val="20"/>
          <w:color w:val="auto"/>
        </w:rPr>
      </w:pPr>
    </w:p>
    <w:p>
      <w:pPr>
        <w:ind w:left="3984"/>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Corporation is authorized to issue each of the following classes of shares:</w:t>
      </w:r>
    </w:p>
    <w:p>
      <w:pPr>
        <w:spacing w:after="0" w:line="127" w:lineRule="exact"/>
        <w:rPr>
          <w:sz w:val="20"/>
          <w:szCs w:val="20"/>
          <w:color w:val="auto"/>
        </w:rPr>
      </w:pPr>
    </w:p>
    <w:p>
      <w:pPr>
        <w:ind w:left="964" w:hanging="532"/>
        <w:spacing w:after="0"/>
        <w:tabs>
          <w:tab w:leader="none" w:pos="96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 unlimited number of Class A convertible preferred shares (the “</w:t>
      </w:r>
      <w:r>
        <w:rPr>
          <w:rFonts w:ascii="Arial" w:cs="Arial" w:eastAsia="Arial" w:hAnsi="Arial"/>
          <w:sz w:val="18"/>
          <w:szCs w:val="18"/>
          <w:b w:val="1"/>
          <w:bCs w:val="1"/>
          <w:color w:val="auto"/>
        </w:rPr>
        <w:t>Class A Preferred Shares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200" w:hanging="532"/>
        <w:spacing w:after="0" w:line="282" w:lineRule="auto"/>
        <w:tabs>
          <w:tab w:leader="none" w:pos="96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 unlimited number of Class B convertible preferred shares (the “</w:t>
      </w:r>
      <w:r>
        <w:rPr>
          <w:rFonts w:ascii="Arial" w:cs="Arial" w:eastAsia="Arial" w:hAnsi="Arial"/>
          <w:sz w:val="18"/>
          <w:szCs w:val="18"/>
          <w:b w:val="1"/>
          <w:bCs w:val="1"/>
          <w:color w:val="auto"/>
        </w:rPr>
        <w:t>Class B Preferred Shares</w:t>
      </w:r>
      <w:r>
        <w:rPr>
          <w:rFonts w:ascii="Arial" w:cs="Arial" w:eastAsia="Arial" w:hAnsi="Arial"/>
          <w:sz w:val="18"/>
          <w:szCs w:val="18"/>
          <w:color w:val="auto"/>
        </w:rPr>
        <w:t>”, and, together with the Class A Preferred Shares, the “</w:t>
      </w:r>
      <w:r>
        <w:rPr>
          <w:rFonts w:ascii="Arial" w:cs="Arial" w:eastAsia="Arial" w:hAnsi="Arial"/>
          <w:sz w:val="18"/>
          <w:szCs w:val="18"/>
          <w:b w:val="1"/>
          <w:bCs w:val="1"/>
          <w:color w:val="auto"/>
        </w:rPr>
        <w:t>Preferred Shares</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964" w:hanging="532"/>
        <w:spacing w:after="0"/>
        <w:tabs>
          <w:tab w:leader="none" w:pos="96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 unlimited number of common shares (the “</w:t>
      </w:r>
      <w:r>
        <w:rPr>
          <w:rFonts w:ascii="Arial" w:cs="Arial" w:eastAsia="Arial" w:hAnsi="Arial"/>
          <w:sz w:val="18"/>
          <w:szCs w:val="18"/>
          <w:b w:val="1"/>
          <w:bCs w:val="1"/>
          <w:color w:val="auto"/>
        </w:rPr>
        <w:t>Common Shares</w:t>
      </w:r>
      <w:r>
        <w:rPr>
          <w:rFonts w:ascii="Arial" w:cs="Arial" w:eastAsia="Arial" w:hAnsi="Arial"/>
          <w:sz w:val="18"/>
          <w:szCs w:val="18"/>
          <w:color w:val="auto"/>
        </w:rPr>
        <w:t>”, and, together with the Preferred Shares,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rights, privileges, restrictions and conditions attached to each class of Shares are as follows:</w:t>
      </w:r>
    </w:p>
    <w:p>
      <w:pPr>
        <w:spacing w:after="0" w:line="127" w:lineRule="exact"/>
        <w:rPr>
          <w:sz w:val="20"/>
          <w:szCs w:val="20"/>
          <w:color w:val="auto"/>
        </w:rPr>
      </w:pPr>
    </w:p>
    <w:p>
      <w:pPr>
        <w:ind w:left="544" w:hanging="544"/>
        <w:spacing w:after="0"/>
        <w:tabs>
          <w:tab w:leader="none" w:pos="544"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the purposes of this Schedule A:</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Consideration</w:t>
      </w:r>
      <w:r>
        <w:rPr>
          <w:rFonts w:ascii="Arial" w:cs="Arial" w:eastAsia="Arial" w:hAnsi="Arial"/>
          <w:sz w:val="18"/>
          <w:szCs w:val="18"/>
          <w:color w:val="auto"/>
        </w:rPr>
        <w:t>” has the meaning given in section 2.4.4;</w:t>
      </w:r>
    </w:p>
    <w:p>
      <w:pPr>
        <w:spacing w:after="0" w:line="117" w:lineRule="exact"/>
        <w:rPr>
          <w:sz w:val="20"/>
          <w:szCs w:val="20"/>
          <w:color w:val="auto"/>
        </w:rPr>
      </w:pPr>
    </w:p>
    <w:p>
      <w:pPr>
        <w:ind w:left="444"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w:t>
      </w:r>
      <w:r>
        <w:rPr>
          <w:rFonts w:ascii="Arial" w:cs="Arial" w:eastAsia="Arial" w:hAnsi="Arial"/>
          <w:sz w:val="18"/>
          <w:szCs w:val="18"/>
          <w:color w:val="auto"/>
        </w:rPr>
        <w:t>” means all Shares and Convertible Securities issued by the Corporation or deemed to be issued pursuant to sections 2.3.9 and 3.3.9, other than the Excluded Securities;</w:t>
      </w:r>
    </w:p>
    <w:p>
      <w:pPr>
        <w:spacing w:after="0" w:line="54" w:lineRule="exact"/>
        <w:rPr>
          <w:sz w:val="20"/>
          <w:szCs w:val="20"/>
          <w:color w:val="auto"/>
        </w:rPr>
      </w:pPr>
    </w:p>
    <w:p>
      <w:pPr>
        <w:ind w:left="44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Affiliates</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the specified Person, or any venture capital fund, investment fund and separate account now or hereafter existing that is controlled by one or more general partners or managing members of, or shares the same management company with, such Person. As used in this definition, “</w:t>
      </w:r>
      <w:r>
        <w:rPr>
          <w:rFonts w:ascii="Arial" w:cs="Arial" w:eastAsia="Arial" w:hAnsi="Arial"/>
          <w:sz w:val="18"/>
          <w:szCs w:val="18"/>
          <w:b w:val="1"/>
          <w:bCs w:val="1"/>
          <w:color w:val="auto"/>
        </w:rPr>
        <w:t>control</w:t>
      </w:r>
      <w:r>
        <w:rPr>
          <w:rFonts w:ascii="Arial" w:cs="Arial" w:eastAsia="Arial" w:hAnsi="Arial"/>
          <w:sz w:val="18"/>
          <w:szCs w:val="18"/>
          <w:color w:val="auto"/>
        </w:rPr>
        <w:t>”, “</w:t>
      </w:r>
      <w:r>
        <w:rPr>
          <w:rFonts w:ascii="Arial" w:cs="Arial" w:eastAsia="Arial" w:hAnsi="Arial"/>
          <w:sz w:val="18"/>
          <w:szCs w:val="18"/>
          <w:b w:val="1"/>
          <w:b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color w:val="auto"/>
        </w:rPr>
        <w:t>under common control with</w:t>
      </w:r>
      <w:r>
        <w:rPr>
          <w:rFonts w:ascii="Arial" w:cs="Arial" w:eastAsia="Arial" w:hAnsi="Arial"/>
          <w:sz w:val="18"/>
          <w:szCs w:val="18"/>
          <w:color w:val="auto"/>
        </w:rPr>
        <w:t>” means possession, directly or indirectly, of power to direct or cause the direction of management or policies of such Person (whether through ownership of securities or other partnership or ownership interests, as trustee, personal representative or executive or by contract, credit agreement or otherwise), provided that in any event, any Person which owns directly, indirectly or beneficially 50% or more of the securities having voting power for the election of directors or other governing body of a corporation or 50% or more of the partnership interests or other ownership interests of any other Person will be deemed to control such Person;</w:t>
      </w:r>
    </w:p>
    <w:p>
      <w:pPr>
        <w:sectPr>
          <w:pgSz w:w="11900" w:h="16838" w:orient="portrait"/>
          <w:cols w:equalWidth="0" w:num="1">
            <w:col w:w="11004"/>
          </w:cols>
          <w:pgMar w:left="436" w:top="270" w:right="459" w:bottom="1440" w:gutter="0" w:footer="0" w:header="0"/>
        </w:sectPr>
      </w:pPr>
    </w:p>
    <w:bookmarkStart w:id="276" w:name="page277"/>
    <w:bookmarkEnd w:id="276"/>
    <w:p>
      <w:pPr>
        <w:ind w:right="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As-Converted Basis</w:t>
      </w:r>
      <w:r>
        <w:rPr>
          <w:rFonts w:ascii="Arial" w:cs="Arial" w:eastAsia="Arial" w:hAnsi="Arial"/>
          <w:sz w:val="18"/>
          <w:szCs w:val="18"/>
          <w:color w:val="auto"/>
        </w:rPr>
        <w:t>” means the number of Common Shares that would be issued and outstanding should the Preferred Shares be converted into Common Shares of the Corporation in accordance with their respective terms;</w:t>
      </w:r>
    </w:p>
    <w:p>
      <w:pPr>
        <w:spacing w:after="0" w:line="54"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any sale, exchange, merger, amalgamation, consolidation, reorganization, arrangement, business combination, conveyance or similar transaction or other disposition of securities of the Corporation (other than through the issuance of equity securities by the Corporation as part of a financing transaction), in a transaction or series of related transactions after giving effect to which more than 50% of the voting power of securityholders of the Corporation is held by securityholders of the Corporation who were not voting securityholders (or Affiliates thereof) immediately prior to the first of such transactions;</w:t>
      </w:r>
    </w:p>
    <w:p>
      <w:pPr>
        <w:spacing w:after="0" w:line="7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Conversion Price</w:t>
      </w:r>
      <w:r>
        <w:rPr>
          <w:rFonts w:ascii="Arial" w:cs="Arial" w:eastAsia="Arial" w:hAnsi="Arial"/>
          <w:sz w:val="18"/>
          <w:szCs w:val="18"/>
          <w:color w:val="auto"/>
        </w:rPr>
        <w:t>” at any particular time means the price used to calculate the number of Common Shares resulting from the conversion of Class A Preferred Shares at such time; the Class A Conversion Price shall initially be equal to the Class A Initial Issue Price, as adjusted from time to time pursuant to the provisions hereof;</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Conversion Rate</w:t>
      </w:r>
      <w:r>
        <w:rPr>
          <w:rFonts w:ascii="Arial" w:cs="Arial" w:eastAsia="Arial" w:hAnsi="Arial"/>
          <w:sz w:val="18"/>
          <w:szCs w:val="18"/>
          <w:color w:val="auto"/>
        </w:rPr>
        <w:t>” has the meaning given in section 2.3.3;</w:t>
      </w:r>
    </w:p>
    <w:p>
      <w:pPr>
        <w:spacing w:after="0" w:line="11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Initial Issue Price</w:t>
      </w:r>
      <w:r>
        <w:rPr>
          <w:rFonts w:ascii="Arial" w:cs="Arial" w:eastAsia="Arial" w:hAnsi="Arial"/>
          <w:sz w:val="18"/>
          <w:szCs w:val="18"/>
          <w:color w:val="auto"/>
        </w:rPr>
        <w:t>” means US$0.81 per Class A Preferred Share (subject to adjustments for stock dividends, splits, combinations and similar events);</w:t>
      </w:r>
    </w:p>
    <w:p>
      <w:pPr>
        <w:spacing w:after="0" w:line="54" w:lineRule="exact"/>
        <w:rPr>
          <w:sz w:val="20"/>
          <w:szCs w:val="20"/>
          <w:color w:val="auto"/>
        </w:rPr>
      </w:pPr>
    </w:p>
    <w:p>
      <w:pPr>
        <w:ind w:right="100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Original Issue Date</w:t>
      </w:r>
      <w:r>
        <w:rPr>
          <w:rFonts w:ascii="Arial" w:cs="Arial" w:eastAsia="Arial" w:hAnsi="Arial"/>
          <w:sz w:val="18"/>
          <w:szCs w:val="18"/>
          <w:color w:val="auto"/>
        </w:rPr>
        <w:t>” means the date the first Class A Preferred Share was issued by the Corporation, being June 22, 2017; “</w:t>
      </w:r>
      <w:r>
        <w:rPr>
          <w:rFonts w:ascii="Arial" w:cs="Arial" w:eastAsia="Arial" w:hAnsi="Arial"/>
          <w:sz w:val="18"/>
          <w:szCs w:val="18"/>
          <w:b w:val="1"/>
          <w:bCs w:val="1"/>
          <w:color w:val="auto"/>
        </w:rPr>
        <w:t>Class A Preferred Dividends</w:t>
      </w:r>
      <w:r>
        <w:rPr>
          <w:rFonts w:ascii="Arial" w:cs="Arial" w:eastAsia="Arial" w:hAnsi="Arial"/>
          <w:sz w:val="18"/>
          <w:szCs w:val="18"/>
          <w:color w:val="auto"/>
        </w:rPr>
        <w:t>” has the meaning given in section 2.2.1;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Preferred Dividend Obligations</w:t>
      </w:r>
      <w:r>
        <w:rPr>
          <w:rFonts w:ascii="Arial" w:cs="Arial" w:eastAsia="Arial" w:hAnsi="Arial"/>
          <w:sz w:val="18"/>
          <w:szCs w:val="18"/>
          <w:color w:val="auto"/>
        </w:rPr>
        <w:t>” has the meaning given in section 2.2.1;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Preferred Shares Conversion Date</w:t>
      </w:r>
      <w:r>
        <w:rPr>
          <w:rFonts w:ascii="Arial" w:cs="Arial" w:eastAsia="Arial" w:hAnsi="Arial"/>
          <w:sz w:val="18"/>
          <w:szCs w:val="18"/>
          <w:color w:val="auto"/>
        </w:rPr>
        <w:t>” has the meaning given in section 2.3.1;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Preferred Shares Conversion Privilege</w:t>
      </w:r>
      <w:r>
        <w:rPr>
          <w:rFonts w:ascii="Arial" w:cs="Arial" w:eastAsia="Arial" w:hAnsi="Arial"/>
          <w:sz w:val="18"/>
          <w:szCs w:val="18"/>
          <w:color w:val="auto"/>
        </w:rPr>
        <w:t>” has the meaning given in section 2.3.1;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Preferred Shares Liquidation Preference</w:t>
      </w:r>
      <w:r>
        <w:rPr>
          <w:rFonts w:ascii="Arial" w:cs="Arial" w:eastAsia="Arial" w:hAnsi="Arial"/>
          <w:sz w:val="18"/>
          <w:szCs w:val="18"/>
          <w:color w:val="auto"/>
        </w:rPr>
        <w:t>” has the meaning given in section 2.4.1;</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Conversion Price</w:t>
      </w:r>
      <w:r>
        <w:rPr>
          <w:rFonts w:ascii="Arial" w:cs="Arial" w:eastAsia="Arial" w:hAnsi="Arial"/>
          <w:sz w:val="18"/>
          <w:szCs w:val="18"/>
          <w:color w:val="auto"/>
        </w:rPr>
        <w:t>” at any particular time means the price used to calculate the number of Common Shares resulting from the conversion of Class B Preferred Shares at such time; the Class B Conversion Price shall initially be equal to the Class B Initial Issue Price, as adjusted from time to time pursuant to the provisions hereof;</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880" w:top="270" w:right="45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Class B Conversion Rate</w:t>
      </w:r>
      <w:r>
        <w:rPr>
          <w:rFonts w:ascii="Arial" w:cs="Arial" w:eastAsia="Arial" w:hAnsi="Arial"/>
          <w:sz w:val="18"/>
          <w:szCs w:val="18"/>
          <w:color w:val="auto"/>
        </w:rPr>
        <w:t>” has the meaning given in section 3.3.3;</w:t>
      </w:r>
    </w:p>
    <w:p>
      <w:pPr>
        <w:spacing w:after="0" w:line="11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Initial Issue Price</w:t>
      </w:r>
      <w:r>
        <w:rPr>
          <w:rFonts w:ascii="Arial" w:cs="Arial" w:eastAsia="Arial" w:hAnsi="Arial"/>
          <w:sz w:val="18"/>
          <w:szCs w:val="18"/>
          <w:color w:val="auto"/>
        </w:rPr>
        <w:t>” means US$1.30 per Class B Preferred Share (subject to adjustments for stock dividends, splits, combinations and similar events);</w:t>
      </w:r>
    </w:p>
    <w:p>
      <w:pPr>
        <w:spacing w:after="0" w:line="54" w:lineRule="exact"/>
        <w:rPr>
          <w:sz w:val="20"/>
          <w:szCs w:val="20"/>
          <w:color w:val="auto"/>
        </w:rPr>
      </w:pPr>
    </w:p>
    <w:p>
      <w:pPr>
        <w:ind w:right="80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Original Issue Date</w:t>
      </w:r>
      <w:r>
        <w:rPr>
          <w:rFonts w:ascii="Arial" w:cs="Arial" w:eastAsia="Arial" w:hAnsi="Arial"/>
          <w:sz w:val="18"/>
          <w:szCs w:val="18"/>
          <w:color w:val="auto"/>
        </w:rPr>
        <w:t>” means the date the first Class B Preferred Share is issued by the Corporation, being September 3, 2019; “</w:t>
      </w:r>
      <w:r>
        <w:rPr>
          <w:rFonts w:ascii="Arial" w:cs="Arial" w:eastAsia="Arial" w:hAnsi="Arial"/>
          <w:sz w:val="18"/>
          <w:szCs w:val="18"/>
          <w:b w:val="1"/>
          <w:bCs w:val="1"/>
          <w:color w:val="auto"/>
        </w:rPr>
        <w:t>Class B Preferred Dividends</w:t>
      </w:r>
      <w:r>
        <w:rPr>
          <w:rFonts w:ascii="Arial" w:cs="Arial" w:eastAsia="Arial" w:hAnsi="Arial"/>
          <w:sz w:val="18"/>
          <w:szCs w:val="18"/>
          <w:color w:val="auto"/>
        </w:rPr>
        <w:t>” has the meaning given in section 3.2.1;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Preferred Dividend Obligations</w:t>
      </w:r>
      <w:r>
        <w:rPr>
          <w:rFonts w:ascii="Arial" w:cs="Arial" w:eastAsia="Arial" w:hAnsi="Arial"/>
          <w:sz w:val="18"/>
          <w:szCs w:val="18"/>
          <w:color w:val="auto"/>
        </w:rPr>
        <w:t>” has the meaning given in section 3.2.1;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Preferred Shares Conversion Date</w:t>
      </w:r>
      <w:r>
        <w:rPr>
          <w:rFonts w:ascii="Arial" w:cs="Arial" w:eastAsia="Arial" w:hAnsi="Arial"/>
          <w:sz w:val="18"/>
          <w:szCs w:val="18"/>
          <w:color w:val="auto"/>
        </w:rPr>
        <w:t>” has the meaning given in section 3.3.1;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Preferred Shares Conversion Privilege</w:t>
      </w:r>
      <w:r>
        <w:rPr>
          <w:rFonts w:ascii="Arial" w:cs="Arial" w:eastAsia="Arial" w:hAnsi="Arial"/>
          <w:sz w:val="18"/>
          <w:szCs w:val="18"/>
          <w:color w:val="auto"/>
        </w:rPr>
        <w:t>” has the meaning given in section 3.3.1;</w:t>
      </w:r>
    </w:p>
    <w:p>
      <w:pPr>
        <w:spacing w:after="0" w:line="117" w:lineRule="exact"/>
        <w:rPr>
          <w:sz w:val="20"/>
          <w:szCs w:val="20"/>
          <w:color w:val="auto"/>
        </w:rPr>
      </w:pPr>
    </w:p>
    <w:p>
      <w:pPr>
        <w:ind w:right="3800"/>
        <w:spacing w:after="0" w:line="3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Class B Preferred Shares Liquidation Preference</w:t>
      </w:r>
      <w:r>
        <w:rPr>
          <w:rFonts w:ascii="Arial" w:cs="Arial" w:eastAsia="Arial" w:hAnsi="Arial"/>
          <w:sz w:val="17"/>
          <w:szCs w:val="17"/>
          <w:color w:val="auto"/>
        </w:rPr>
        <w:t>” has the meaning given in section 3.4.1; “</w:t>
      </w:r>
      <w:r>
        <w:rPr>
          <w:rFonts w:ascii="Arial" w:cs="Arial" w:eastAsia="Arial" w:hAnsi="Arial"/>
          <w:sz w:val="17"/>
          <w:szCs w:val="17"/>
          <w:b w:val="1"/>
          <w:bCs w:val="1"/>
          <w:color w:val="auto"/>
        </w:rPr>
        <w:t>Converted Class A Preferred Shares</w:t>
      </w:r>
      <w:r>
        <w:rPr>
          <w:rFonts w:ascii="Arial" w:cs="Arial" w:eastAsia="Arial" w:hAnsi="Arial"/>
          <w:sz w:val="17"/>
          <w:szCs w:val="17"/>
          <w:color w:val="auto"/>
        </w:rPr>
        <w:t>” has the meaning given in section 2.3.1; “</w:t>
      </w:r>
      <w:r>
        <w:rPr>
          <w:rFonts w:ascii="Arial" w:cs="Arial" w:eastAsia="Arial" w:hAnsi="Arial"/>
          <w:sz w:val="17"/>
          <w:szCs w:val="17"/>
          <w:b w:val="1"/>
          <w:bCs w:val="1"/>
          <w:color w:val="auto"/>
        </w:rPr>
        <w:t>Converted Class B Preferred Shares</w:t>
      </w:r>
      <w:r>
        <w:rPr>
          <w:rFonts w:ascii="Arial" w:cs="Arial" w:eastAsia="Arial" w:hAnsi="Arial"/>
          <w:sz w:val="17"/>
          <w:szCs w:val="17"/>
          <w:color w:val="auto"/>
        </w:rPr>
        <w:t>” has the meaning given in section 3.3.1;</w:t>
      </w:r>
    </w:p>
    <w:p>
      <w:pPr>
        <w:spacing w:after="0" w:line="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right, unit, option, warrant or any other security, including, without limitation, any debenture, loan, note or any other instrument or agreement evidencing indebtedness of the Corporation, which may be converted or exchanged into shares in the capital of the Corporation or which carries a right to acquire shares in the capital of the Corporation;</w:t>
      </w:r>
    </w:p>
    <w:p>
      <w:pPr>
        <w:spacing w:after="0" w:line="68"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Price</w:t>
      </w:r>
      <w:r>
        <w:rPr>
          <w:rFonts w:ascii="Arial" w:cs="Arial" w:eastAsia="Arial" w:hAnsi="Arial"/>
          <w:sz w:val="17"/>
          <w:szCs w:val="17"/>
          <w:color w:val="auto"/>
        </w:rPr>
        <w:t>” of Additional Shares means the quotient determined by dividing the total number of Additional Shares issued or sold, or deemed to have been issued or sold by the Corporation under section 2.3.9 or 3.3.9, into the aggregate consideration received, or deemed to have been received by the Corporation for such issue under section 2.3.9 or 3.3.9 for such Additional Shares;</w:t>
      </w:r>
    </w:p>
    <w:p>
      <w:pPr>
        <w:spacing w:after="0" w:line="50"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Securities</w:t>
      </w:r>
      <w:r>
        <w:rPr>
          <w:rFonts w:ascii="Arial" w:cs="Arial" w:eastAsia="Arial" w:hAnsi="Arial"/>
          <w:sz w:val="17"/>
          <w:szCs w:val="17"/>
          <w:color w:val="auto"/>
        </w:rPr>
        <w:t>” means (i) any securities of the Corporation offered to the public pursuant to a Qualified IPO, (ii) any securities or options to subscribe for securities of the Corporation issued to employees, officers, directors or consultants of the Corporation pursuant to an incentive stock option plan, an employment or consulting agreement or such other incentive program duly adopted</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0" w:right="459" w:bottom="1440" w:gutter="0" w:footer="0" w:header="0"/>
        </w:sectPr>
      </w:pPr>
    </w:p>
    <w:bookmarkStart w:id="278" w:name="page279"/>
    <w:bookmarkEnd w:id="278"/>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the Corporation with Requisite Board Majority, (iii) Common Shares issuable upon the conversion of Preferred Shares, (iv) any securities of the Corporation issued to holders of Shares in connection with (a) any stock split, share dividend or similar transactions approved with the Requisite Board Majority, or (b) any other adjustment set forth in sections 2.3 and 3.3, (v) any securities of the Corporation issued as consideration in an acquisition of any business or assets, mergers, licenses, strategic partnerships or corporate partnering agreements or similar transactions which (a) are not part of a financing transaction and (b) have been approved by the Requisite Board Majority, (vi) any securities of the Corporation issued to financial institutions or lessors in connection with commercial credit arrangements, equipment financings, commercial property leases or similar transactions which have been approved by the Requisite Board Majority, (vii) any securities of the Corporation issued or issuable upon conversion, exercise or exchange of securities covered by (i)-(vi) above or that are outstanding on the Class B Original Issue Date, or (viii) any securities of the Corporation deemed to be Excluded Securities at the time of issuance by the Requisite Majority Preferred Shareholders;</w:t>
      </w:r>
    </w:p>
    <w:p>
      <w:pPr>
        <w:spacing w:after="0" w:line="82" w:lineRule="exact"/>
        <w:rPr>
          <w:sz w:val="20"/>
          <w:szCs w:val="20"/>
          <w:color w:val="auto"/>
        </w:rPr>
      </w:pPr>
    </w:p>
    <w:p>
      <w:pPr>
        <w:jc w:val="both"/>
        <w:ind w:right="3600"/>
        <w:spacing w:after="0" w:line="4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Forced Class A Preferred Shares Conversion Date</w:t>
      </w:r>
      <w:r>
        <w:rPr>
          <w:rFonts w:ascii="Arial" w:cs="Arial" w:eastAsia="Arial" w:hAnsi="Arial"/>
          <w:sz w:val="16"/>
          <w:szCs w:val="16"/>
          <w:color w:val="auto"/>
        </w:rPr>
        <w:t>” has the meaning given in section 2.3.2.1; “</w:t>
      </w:r>
      <w:r>
        <w:rPr>
          <w:rFonts w:ascii="Arial" w:cs="Arial" w:eastAsia="Arial" w:hAnsi="Arial"/>
          <w:sz w:val="16"/>
          <w:szCs w:val="16"/>
          <w:b w:val="1"/>
          <w:bCs w:val="1"/>
          <w:color w:val="auto"/>
        </w:rPr>
        <w:t>Forced Class B Preferred Shares Conversion Date</w:t>
      </w:r>
      <w:r>
        <w:rPr>
          <w:rFonts w:ascii="Arial" w:cs="Arial" w:eastAsia="Arial" w:hAnsi="Arial"/>
          <w:sz w:val="16"/>
          <w:szCs w:val="16"/>
          <w:color w:val="auto"/>
        </w:rPr>
        <w:t>” has the meaning given in section 3.3.2.1;</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Forced Preferred Shares Conversion Event</w:t>
      </w:r>
      <w:r>
        <w:rPr>
          <w:rFonts w:ascii="Arial" w:cs="Arial" w:eastAsia="Arial" w:hAnsi="Arial"/>
          <w:sz w:val="18"/>
          <w:szCs w:val="18"/>
          <w:color w:val="auto"/>
        </w:rPr>
        <w:t>” means (i) a conversion of the Preferred Shares requested and approved in writing by the Requisite Majority Preferred Shareholders (which shall, for purposes of a forced conversion of the Class B Preferred Shares in an event other than a Public Offering only, include at least one of Cowen Healthcare Investments II L.P. or OrbiMed Private Investments VII, LP), or (ii) the closing of a Qualified IPO;</w:t>
      </w:r>
    </w:p>
    <w:p>
      <w:pPr>
        <w:spacing w:after="0" w:line="7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w:t>
      </w:r>
      <w:r>
        <w:rPr>
          <w:rFonts w:ascii="Arial" w:cs="Arial" w:eastAsia="Arial" w:hAnsi="Arial"/>
          <w:sz w:val="18"/>
          <w:szCs w:val="18"/>
          <w:b w:val="1"/>
          <w:bCs w:val="1"/>
          <w:color w:val="auto"/>
        </w:rPr>
        <w:t>securityholder</w:t>
      </w:r>
      <w:r>
        <w:rPr>
          <w:rFonts w:ascii="Arial" w:cs="Arial" w:eastAsia="Arial" w:hAnsi="Arial"/>
          <w:sz w:val="18"/>
          <w:szCs w:val="18"/>
          <w:color w:val="auto"/>
        </w:rPr>
        <w:t>” or “</w:t>
      </w:r>
      <w:r>
        <w:rPr>
          <w:rFonts w:ascii="Arial" w:cs="Arial" w:eastAsia="Arial" w:hAnsi="Arial"/>
          <w:sz w:val="18"/>
          <w:szCs w:val="18"/>
          <w:b w:val="1"/>
          <w:bCs w:val="1"/>
          <w:color w:val="auto"/>
        </w:rPr>
        <w:t>registered holder</w:t>
      </w:r>
      <w:r>
        <w:rPr>
          <w:rFonts w:ascii="Arial" w:cs="Arial" w:eastAsia="Arial" w:hAnsi="Arial"/>
          <w:sz w:val="18"/>
          <w:szCs w:val="18"/>
          <w:color w:val="auto"/>
        </w:rPr>
        <w:t>” means a person who is registered on the securities register of a body corporate as the owner of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Consideration</w:t>
      </w:r>
      <w:r>
        <w:rPr>
          <w:rFonts w:ascii="Arial" w:cs="Arial" w:eastAsia="Arial" w:hAnsi="Arial"/>
          <w:sz w:val="18"/>
          <w:szCs w:val="18"/>
          <w:color w:val="auto"/>
        </w:rPr>
        <w:t>” has the meaning given in section 2.4.4;</w:t>
      </w:r>
    </w:p>
    <w:p>
      <w:pPr>
        <w:spacing w:after="0" w:line="117"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 Event</w:t>
      </w:r>
      <w:r>
        <w:rPr>
          <w:rFonts w:ascii="Arial" w:cs="Arial" w:eastAsia="Arial" w:hAnsi="Arial"/>
          <w:sz w:val="18"/>
          <w:szCs w:val="18"/>
          <w:color w:val="auto"/>
        </w:rPr>
        <w:t>” means the liquidation, dissolution or winding-up of the affairs of the Corporation or, unless waived by the Requisite Majority Preferred Shareholders, a Sale of the Corporation;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has the meaning given in section 2.4.3;</w:t>
      </w:r>
    </w:p>
    <w:p>
      <w:pPr>
        <w:spacing w:after="0" w:line="117"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partnership, limited partnership, joint venture, syndicate, sole proprietorship, company or corporation with or without share capital, unincorporated association, trust, trustee, executor, administrator or other legal personal representative, regulatory body or agency, government or governmental agency, authority or entity however designated or constituted;</w:t>
      </w:r>
    </w:p>
    <w:p>
      <w:pPr>
        <w:spacing w:after="0" w:line="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80" w:top="274" w:right="439" w:bottom="1440" w:gutter="0" w:footer="0" w:header="0"/>
        </w:sectPr>
      </w:pPr>
    </w:p>
    <w:bookmarkStart w:id="279" w:name="page280"/>
    <w:bookmarkEnd w:id="279"/>
    <w:p>
      <w:pPr>
        <w:ind w:right="5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Preferred Shares Liquidation Preference</w:t>
      </w:r>
      <w:r>
        <w:rPr>
          <w:rFonts w:ascii="Arial" w:cs="Arial" w:eastAsia="Arial" w:hAnsi="Arial"/>
          <w:sz w:val="18"/>
          <w:szCs w:val="18"/>
          <w:color w:val="auto"/>
        </w:rPr>
        <w:t>” means the Class A Preferred Shares Liquidation Preference and the Class B Preferred Shares Liquidation Preference;</w:t>
      </w:r>
    </w:p>
    <w:p>
      <w:pPr>
        <w:spacing w:after="0" w:line="54" w:lineRule="exact"/>
        <w:rPr>
          <w:sz w:val="20"/>
          <w:szCs w:val="20"/>
          <w:color w:val="auto"/>
        </w:rPr>
      </w:pPr>
    </w:p>
    <w:p>
      <w:pPr>
        <w:ind w:right="4900"/>
        <w:spacing w:after="0" w:line="3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Shares Triggering Event</w:t>
      </w:r>
      <w:r>
        <w:rPr>
          <w:rFonts w:ascii="Arial" w:cs="Arial" w:eastAsia="Arial" w:hAnsi="Arial"/>
          <w:sz w:val="18"/>
          <w:szCs w:val="18"/>
          <w:color w:val="auto"/>
        </w:rPr>
        <w:t>” has the meaning given in section 2.3.6; “</w:t>
      </w:r>
      <w:r>
        <w:rPr>
          <w:rFonts w:ascii="Arial" w:cs="Arial" w:eastAsia="Arial" w:hAnsi="Arial"/>
          <w:sz w:val="18"/>
          <w:szCs w:val="18"/>
          <w:b w:val="1"/>
          <w:bCs w:val="1"/>
          <w:color w:val="auto"/>
        </w:rPr>
        <w:t>Public Offering</w:t>
      </w:r>
      <w:r>
        <w:rPr>
          <w:rFonts w:ascii="Arial" w:cs="Arial" w:eastAsia="Arial" w:hAnsi="Arial"/>
          <w:sz w:val="18"/>
          <w:szCs w:val="18"/>
          <w:color w:val="auto"/>
        </w:rPr>
        <w:t>” means:</w:t>
      </w:r>
    </w:p>
    <w:p>
      <w:pPr>
        <w:spacing w:after="0" w:line="1" w:lineRule="exact"/>
        <w:rPr>
          <w:sz w:val="20"/>
          <w:szCs w:val="20"/>
          <w:color w:val="auto"/>
        </w:rPr>
      </w:pPr>
    </w:p>
    <w:p>
      <w:pPr>
        <w:ind w:left="980" w:right="280" w:hanging="439"/>
        <w:spacing w:after="0" w:line="277" w:lineRule="auto"/>
        <w:tabs>
          <w:tab w:leader="none" w:pos="9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filing by the Corporation of a prospectus with the securities regulatory authority in any province of Canada for the purpose of qualifying a distribution of securities; or</w:t>
      </w:r>
    </w:p>
    <w:p>
      <w:pPr>
        <w:spacing w:after="0" w:line="75" w:lineRule="exact"/>
        <w:rPr>
          <w:rFonts w:ascii="Arial" w:cs="Arial" w:eastAsia="Arial" w:hAnsi="Arial"/>
          <w:sz w:val="18"/>
          <w:szCs w:val="18"/>
          <w:color w:val="auto"/>
        </w:rPr>
      </w:pPr>
    </w:p>
    <w:p>
      <w:pPr>
        <w:ind w:left="980" w:right="540" w:hanging="439"/>
        <w:spacing w:after="0" w:line="277" w:lineRule="auto"/>
        <w:tabs>
          <w:tab w:leader="none" w:pos="9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filing by the Corporation of a registration statement with the Securities and Exchange Commission of the United States of America for the purpose of qualifying a distribution of securities;</w:t>
      </w:r>
    </w:p>
    <w:p>
      <w:pPr>
        <w:spacing w:after="0" w:line="5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IPO</w:t>
      </w:r>
      <w:r>
        <w:rPr>
          <w:rFonts w:ascii="Arial" w:cs="Arial" w:eastAsia="Arial" w:hAnsi="Arial"/>
          <w:sz w:val="18"/>
          <w:szCs w:val="18"/>
          <w:color w:val="auto"/>
        </w:rPr>
        <w:t>” means a firm commitment underwritten Public Offering (i) with a price per share not less than two times the Class B Initial Issue Price, (ii) that results in gross proceeds to the Corporation of not less than US$50,000,000 (before deduction of underwriters’ commission and expenses), and (iii) is accompanied by a listing of Common Shares on a recognized stock exchange acceptable to the Requisite Majority Preferred Shareholders;</w:t>
      </w:r>
    </w:p>
    <w:p>
      <w:pPr>
        <w:spacing w:after="0" w:line="72"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Requisite Board Majority</w:t>
      </w:r>
      <w:r>
        <w:rPr>
          <w:rFonts w:ascii="Arial" w:cs="Arial" w:eastAsia="Arial" w:hAnsi="Arial"/>
          <w:sz w:val="16"/>
          <w:szCs w:val="16"/>
          <w:color w:val="auto"/>
        </w:rPr>
        <w:t>” means the majority of the Board of Directors of the Corporation, including at least three (3) of the Preferred Directors (as defined in the Unanimous Shareholders’ Agreement), provided they are not prevented from voting in accordance with the Act (or if at least three (3) Preferred Directors are prevented from voting in accordance with the Act, then the majority of the non-interested directors);</w:t>
      </w:r>
    </w:p>
    <w:p>
      <w:pPr>
        <w:spacing w:after="0" w:line="3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Requisite Majority Preferred Shareholders</w:t>
      </w:r>
      <w:r>
        <w:rPr>
          <w:rFonts w:ascii="Arial" w:cs="Arial" w:eastAsia="Arial" w:hAnsi="Arial"/>
          <w:sz w:val="18"/>
          <w:szCs w:val="18"/>
          <w:color w:val="auto"/>
        </w:rPr>
        <w:t>” means at any relevant time the shareholders of record holding at least 70% of the issued and outstanding Preferred Shares;</w:t>
      </w:r>
    </w:p>
    <w:p>
      <w:pPr>
        <w:spacing w:after="0" w:line="54"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Sale of the Corporation</w:t>
      </w:r>
      <w:r>
        <w:rPr>
          <w:rFonts w:ascii="Arial" w:cs="Arial" w:eastAsia="Arial" w:hAnsi="Arial"/>
          <w:sz w:val="17"/>
          <w:szCs w:val="17"/>
          <w:color w:val="auto"/>
        </w:rPr>
        <w:t>” means any merger, amalgamation, consolidation, reorganization, arrangement, business combination or similar transaction that results in a Change of Control or a sale, lease, exclusive license, transfer or other disposition of all or substantially all of the assets or intellectual property of the Corporation and its respective subsidiaries, taken as a whole (except to an Affiliate);</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0" w:right="459" w:bottom="1440" w:gutter="0" w:footer="0" w:header="0"/>
        </w:sectPr>
      </w:pPr>
    </w:p>
    <w:bookmarkStart w:id="280" w:name="page281"/>
    <w:bookmarkEnd w:id="280"/>
    <w:p>
      <w:pPr>
        <w:ind w:left="444" w:right="8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Unanimous Shareholders’ Agreement</w:t>
      </w:r>
      <w:r>
        <w:rPr>
          <w:rFonts w:ascii="Arial" w:cs="Arial" w:eastAsia="Arial" w:hAnsi="Arial"/>
          <w:sz w:val="16"/>
          <w:szCs w:val="16"/>
          <w:color w:val="auto"/>
        </w:rPr>
        <w:t>” means the second amended and restated unanimous shareholders’ agreement dated September 3, 2019, and entered into among the Corporation and all of its shareholders, as amended, supplemented, restated or replaced from time to time.</w:t>
      </w:r>
    </w:p>
    <w:p>
      <w:pPr>
        <w:spacing w:after="0" w:line="21" w:lineRule="exact"/>
        <w:rPr>
          <w:sz w:val="20"/>
          <w:szCs w:val="20"/>
          <w:color w:val="auto"/>
        </w:rPr>
      </w:pPr>
    </w:p>
    <w:p>
      <w:pPr>
        <w:ind w:left="544" w:hanging="544"/>
        <w:spacing w:after="0"/>
        <w:tabs>
          <w:tab w:leader="none" w:pos="544"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CLASS A PREFERRED SHARES</w:t>
      </w:r>
    </w:p>
    <w:p>
      <w:pPr>
        <w:spacing w:after="0" w:line="131"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Voting Rights.</w:t>
      </w:r>
    </w:p>
    <w:p>
      <w:pPr>
        <w:spacing w:after="0" w:line="121" w:lineRule="exact"/>
        <w:rPr>
          <w:sz w:val="20"/>
          <w:szCs w:val="20"/>
          <w:color w:val="auto"/>
        </w:rPr>
      </w:pPr>
    </w:p>
    <w:p>
      <w:pPr>
        <w:ind w:left="984" w:right="120"/>
        <w:spacing w:after="0" w:line="277" w:lineRule="auto"/>
        <w:rPr>
          <w:sz w:val="20"/>
          <w:szCs w:val="20"/>
          <w:color w:val="auto"/>
        </w:rPr>
      </w:pPr>
      <w:r>
        <w:rPr>
          <w:rFonts w:ascii="Arial" w:cs="Arial" w:eastAsia="Arial" w:hAnsi="Arial"/>
          <w:sz w:val="18"/>
          <w:szCs w:val="18"/>
          <w:color w:val="auto"/>
        </w:rPr>
        <w:t>2.1.1 The holders of Class A Preferred Shares shall be entitled to receive notice of, attend and vote at all meetings of shareholders, except meetings at which only holders of another specified class of Shares are entitled to vote.</w:t>
      </w:r>
    </w:p>
    <w:p>
      <w:pPr>
        <w:spacing w:after="0" w:line="62" w:lineRule="exact"/>
        <w:rPr>
          <w:sz w:val="20"/>
          <w:szCs w:val="20"/>
          <w:color w:val="auto"/>
        </w:rPr>
      </w:pPr>
    </w:p>
    <w:p>
      <w:pPr>
        <w:ind w:left="984" w:right="60"/>
        <w:spacing w:after="0" w:line="257" w:lineRule="auto"/>
        <w:rPr>
          <w:sz w:val="20"/>
          <w:szCs w:val="20"/>
          <w:color w:val="auto"/>
        </w:rPr>
      </w:pPr>
      <w:r>
        <w:rPr>
          <w:rFonts w:ascii="Arial" w:cs="Arial" w:eastAsia="Arial" w:hAnsi="Arial"/>
          <w:sz w:val="18"/>
          <w:szCs w:val="18"/>
          <w:color w:val="auto"/>
        </w:rPr>
        <w:t>2.1.2 The holders of Class A Preferred Shares, the holders of Class B Preferred Shares and the holders of Common Shares shall vote as a single class, except for meetings at which only holders of another specified class of Shares are entitled to vote. Each Class A Preferred Share shall entitle its holder to such number of votes equal to the number of Common Shares issuable upon the exercise of any conversion rights attaching to the Class A Preferred Shares at the date of such vote, using the Class A Conversion Rate as determined reasonably and in good faith by the board of directors of the Corporation.</w:t>
      </w:r>
    </w:p>
    <w:p>
      <w:pPr>
        <w:spacing w:after="0" w:line="80" w:lineRule="exact"/>
        <w:rPr>
          <w:sz w:val="20"/>
          <w:szCs w:val="20"/>
          <w:color w:val="auto"/>
        </w:rPr>
      </w:pPr>
    </w:p>
    <w:p>
      <w:pPr>
        <w:ind w:left="984" w:right="140"/>
        <w:spacing w:after="0" w:line="255" w:lineRule="auto"/>
        <w:rPr>
          <w:sz w:val="20"/>
          <w:szCs w:val="20"/>
          <w:color w:val="auto"/>
        </w:rPr>
      </w:pPr>
      <w:r>
        <w:rPr>
          <w:rFonts w:ascii="Arial" w:cs="Arial" w:eastAsia="Arial" w:hAnsi="Arial"/>
          <w:sz w:val="18"/>
          <w:szCs w:val="18"/>
          <w:color w:val="auto"/>
        </w:rPr>
        <w:t>2.1.3 Holders of Preferred Shares of any class shall not be entitled to vote separately as a class, or to exercise dissent rights under section 190 of the Act, upon a proposal to amend the articles (whether by articles of amendment or articles of amalgamation) of the Corporation to: (i) increase or decrease any maximum number of authorized Shares of such class, or increase any maximum number of authorized shares of a class having rights or privileges equal or superior to the Shares of such class; (ii) effect an exchange, reclassification or cancellation of all or part of the Shares of such class and (iii) create a new class or series of shares equal or superior to the Shares of such class.</w:t>
      </w:r>
    </w:p>
    <w:p>
      <w:pPr>
        <w:spacing w:after="0" w:line="94"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Dividends.</w:t>
      </w:r>
    </w:p>
    <w:p>
      <w:pPr>
        <w:spacing w:after="0" w:line="121" w:lineRule="exact"/>
        <w:rPr>
          <w:sz w:val="20"/>
          <w:szCs w:val="20"/>
          <w:color w:val="auto"/>
        </w:rPr>
      </w:pPr>
    </w:p>
    <w:p>
      <w:pPr>
        <w:ind w:left="984"/>
        <w:spacing w:after="0" w:line="257" w:lineRule="auto"/>
        <w:rPr>
          <w:sz w:val="20"/>
          <w:szCs w:val="20"/>
          <w:color w:val="auto"/>
        </w:rPr>
      </w:pPr>
      <w:r>
        <w:rPr>
          <w:rFonts w:ascii="Arial" w:cs="Arial" w:eastAsia="Arial" w:hAnsi="Arial"/>
          <w:sz w:val="18"/>
          <w:szCs w:val="18"/>
          <w:color w:val="auto"/>
        </w:rPr>
        <w:t xml:space="preserve">2.2.1 The holders of Class A Preferred Shares shall be entitled,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holders of Class B Preferred Shares, to receive fixed preferential and non-cumulative dividends prior and in preference to any declaration or payment of any dividend on the Common Shares, as and when declared by the directors of the Corporation, payable on each anniversary of the Class A Original Issue Date on each Class A Preferred Share at the rate of eight percent (8%) per annum payable on the sum of (i) the Class A Initial Issue Price of such Class A Preferred Share and (ii) all declared but unpaid</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0" w:right="459" w:bottom="1440" w:gutter="0" w:footer="0" w:header="0"/>
        </w:sectPr>
      </w:pPr>
    </w:p>
    <w:bookmarkStart w:id="281" w:name="page282"/>
    <w:bookmarkEnd w:id="281"/>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dividends accrued thereon pursuant to this section 2.2.1 (the “</w:t>
      </w:r>
      <w:r>
        <w:rPr>
          <w:rFonts w:ascii="Arial" w:cs="Arial" w:eastAsia="Arial" w:hAnsi="Arial"/>
          <w:sz w:val="17"/>
          <w:szCs w:val="17"/>
          <w:b w:val="1"/>
          <w:bCs w:val="1"/>
          <w:color w:val="auto"/>
        </w:rPr>
        <w:t>Class A Preferred Dividends</w:t>
      </w:r>
      <w:r>
        <w:rPr>
          <w:rFonts w:ascii="Arial" w:cs="Arial" w:eastAsia="Arial" w:hAnsi="Arial"/>
          <w:sz w:val="17"/>
          <w:szCs w:val="17"/>
          <w:color w:val="auto"/>
        </w:rPr>
        <w:t>” and the total amount of dividends declared and payable and the rights and preferences provided under this section 2.2.1 to all holders of Class A Preferred Shares at any time are herein referred to as the “</w:t>
      </w:r>
      <w:r>
        <w:rPr>
          <w:rFonts w:ascii="Arial" w:cs="Arial" w:eastAsia="Arial" w:hAnsi="Arial"/>
          <w:sz w:val="17"/>
          <w:szCs w:val="17"/>
          <w:b w:val="1"/>
          <w:bCs w:val="1"/>
          <w:color w:val="auto"/>
        </w:rPr>
        <w:t>Class A Preferred Dividend Obligations</w:t>
      </w:r>
      <w:r>
        <w:rPr>
          <w:rFonts w:ascii="Arial" w:cs="Arial" w:eastAsia="Arial" w:hAnsi="Arial"/>
          <w:sz w:val="17"/>
          <w:szCs w:val="17"/>
          <w:color w:val="auto"/>
        </w:rPr>
        <w:t xml:space="preserve">”). Such Class A Preferred Dividends shall be payable out of the monies legally available for this purpose. Except as otherwise provided herein, if at any time the Corporation pays less than the total amount of dividends then declared but unpaid with respect to the Class A Preferred Shares, such payment shall be distributed ratably among the holders of Class A Preferred Shares on a pro rata basis. No other dividend declared by the Corporation shall be paid on the Common Shares, in respect of any year ending on the anniversary of the Class A Original Issue Date where no preferential dividend was declared in respect of the Class A Preferred Shares or where the Class A Preferred Dividend Obligations for such year have not been fully satisfied (unless such obligations are waived in whole or in part pursuant to a prior written consent of the Requisite Majority Preferred Shareholders). Subject to the Act, any Class A Preferred Dividends declared but not yet paid shall be paid in cash,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holders of Class B Preferred Shares, in priority to any distribution of the property or assets of the Corporation or any distribution of funds to the holders of Common Shares upon the occurrence of a Liquidation Event, and prior to the payment of dividends on the Common Shares. Upon the exercise by any holder of Class A Preferred Shares of such holder’s Class A Preferred Shares Conversion Privilege, any further entitlement of such holder of Class A Preferred Shares associated with the converted Class A Preferred Shares shall automatically be cancelled.</w:t>
      </w:r>
    </w:p>
    <w:p>
      <w:pPr>
        <w:spacing w:after="0" w:line="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2.2.2 In addition to the Class A Preferred Dividends, each Class A Preferred Share entitles the holder to receive,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holders of Class B Preferred Shares, any dividend declared and paid on the Common Shares whether payable in cash, in kind or by way of issuance of fully-paid shares at such times and in such manner as the directors may determine in their discretion, ratably and on an As-Converted Basis with the holders of Class B Preferred Shares and Common Shares.</w:t>
      </w:r>
    </w:p>
    <w:p>
      <w:pPr>
        <w:spacing w:after="0" w:line="63"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2.2.3 All dividends on the Class A Preferred Shares and the Class B Preferred Shares shall be declared and paid at the same time, payable in the same form, whether in cash, in kind or by the issue of fully paid shares of the Corporation, and on a ratable basis if the full amount of the dividend is not being paid in respect of the year in question (determined by reference to the fraction which the aggregate Class A Preferred Shares Liquidation Preference or Class B Preferred Shares Liquidation Preference, as the case may be, bears to the Preferred Shares Liquidation Preference), unless otherwise approved by the Requisite Majority Preferred Shareholders.</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980"/>
          </w:cols>
          <w:pgMar w:left="1420" w:top="270" w:right="499" w:bottom="1440" w:gutter="0" w:footer="0" w:header="0"/>
        </w:sectPr>
      </w:pPr>
    </w:p>
    <w:bookmarkStart w:id="282" w:name="page283"/>
    <w:bookmarkEnd w:id="282"/>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2.3</w:t>
      </w:r>
      <w:r>
        <w:rPr>
          <w:sz w:val="20"/>
          <w:szCs w:val="20"/>
          <w:color w:val="auto"/>
        </w:rPr>
        <w:tab/>
      </w:r>
      <w:r>
        <w:rPr>
          <w:rFonts w:ascii="Arial" w:cs="Arial" w:eastAsia="Arial" w:hAnsi="Arial"/>
          <w:sz w:val="16"/>
          <w:szCs w:val="16"/>
          <w:b w:val="1"/>
          <w:bCs w:val="1"/>
          <w:color w:val="auto"/>
        </w:rPr>
        <w:t>Conversion into Common Shares.</w:t>
      </w:r>
    </w:p>
    <w:p>
      <w:pPr>
        <w:spacing w:after="0" w:line="121" w:lineRule="exact"/>
        <w:rPr>
          <w:sz w:val="20"/>
          <w:szCs w:val="20"/>
          <w:color w:val="auto"/>
        </w:rPr>
      </w:pPr>
    </w:p>
    <w:p>
      <w:pPr>
        <w:ind w:left="560"/>
        <w:spacing w:after="0" w:line="28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i w:val="1"/>
          <w:iCs w:val="1"/>
          <w:color w:val="auto"/>
        </w:rPr>
        <w:t>Class A Preferred Shares Conversion Privilege.</w:t>
      </w:r>
      <w:r>
        <w:rPr>
          <w:rFonts w:ascii="Arial" w:cs="Arial" w:eastAsia="Arial" w:hAnsi="Arial"/>
          <w:sz w:val="16"/>
          <w:szCs w:val="16"/>
          <w:color w:val="auto"/>
        </w:rPr>
        <w:t xml:space="preserve"> Subject to the terms and conditions hereof, each holder of Class A Preferred Shares shall have the right, at any time and from time to time, at the holder’s discretion, to convert, without payment of any additional consideration, in whole or in part, such holder’s Class A Preferred Shares into fully-paid and non-assessable Common Shares in accordance with the provisions set forth in this section 2.3 at the then applicable Class A Conversion Rate (the “</w:t>
      </w:r>
      <w:r>
        <w:rPr>
          <w:rFonts w:ascii="Arial" w:cs="Arial" w:eastAsia="Arial" w:hAnsi="Arial"/>
          <w:sz w:val="16"/>
          <w:szCs w:val="16"/>
          <w:b w:val="1"/>
          <w:bCs w:val="1"/>
          <w:color w:val="auto"/>
        </w:rPr>
        <w:t>Class A Preferred Shares</w:t>
      </w:r>
      <w:r>
        <w:rPr>
          <w:rFonts w:ascii="Arial" w:cs="Arial" w:eastAsia="Arial" w:hAnsi="Arial"/>
          <w:sz w:val="16"/>
          <w:szCs w:val="16"/>
          <w:color w:val="auto"/>
        </w:rPr>
        <w:t xml:space="preserve"> </w:t>
      </w:r>
      <w:r>
        <w:rPr>
          <w:rFonts w:ascii="Arial" w:cs="Arial" w:eastAsia="Arial" w:hAnsi="Arial"/>
          <w:sz w:val="16"/>
          <w:szCs w:val="16"/>
          <w:b w:val="1"/>
          <w:bCs w:val="1"/>
          <w:color w:val="auto"/>
        </w:rPr>
        <w:t>Conversion Privilege</w:t>
      </w:r>
      <w:r>
        <w:rPr>
          <w:rFonts w:ascii="Arial" w:cs="Arial" w:eastAsia="Arial" w:hAnsi="Arial"/>
          <w:sz w:val="16"/>
          <w:szCs w:val="16"/>
          <w:color w:val="auto"/>
        </w:rPr>
        <w:t>”). The Class A Preferred Shares Conversion Privilege may be exercised by notice in writing to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accompanied by a certificate or certificates representing the Class A Preferred Shares in respect of which the holder thereof desires to exercise such right of conversion. Such notice shall be signed by the holder of the Class A Preferred Shares in respect of which such right is being exercised and shall specify the number of Class A Preferred Shares which the holder desires to have converted (the “</w:t>
      </w:r>
      <w:r>
        <w:rPr>
          <w:rFonts w:ascii="Arial" w:cs="Arial" w:eastAsia="Arial" w:hAnsi="Arial"/>
          <w:sz w:val="16"/>
          <w:szCs w:val="16"/>
          <w:b w:val="1"/>
          <w:bCs w:val="1"/>
          <w:color w:val="auto"/>
        </w:rPr>
        <w:t>Converted</w:t>
      </w:r>
      <w:r>
        <w:rPr>
          <w:rFonts w:ascii="Arial" w:cs="Arial" w:eastAsia="Arial" w:hAnsi="Arial"/>
          <w:sz w:val="16"/>
          <w:szCs w:val="16"/>
          <w:color w:val="auto"/>
        </w:rPr>
        <w:t xml:space="preserve"> </w:t>
      </w:r>
      <w:r>
        <w:rPr>
          <w:rFonts w:ascii="Arial" w:cs="Arial" w:eastAsia="Arial" w:hAnsi="Arial"/>
          <w:sz w:val="16"/>
          <w:szCs w:val="16"/>
          <w:b w:val="1"/>
          <w:bCs w:val="1"/>
          <w:color w:val="auto"/>
        </w:rPr>
        <w:t>Class A Preferred Shares</w:t>
      </w:r>
      <w:r>
        <w:rPr>
          <w:rFonts w:ascii="Arial" w:cs="Arial" w:eastAsia="Arial" w:hAnsi="Arial"/>
          <w:sz w:val="16"/>
          <w:szCs w:val="16"/>
          <w:color w:val="auto"/>
        </w:rPr>
        <w:t>”). Upon receipt of such notice by the Corporation, the Converted Class A Preferred Shares shall be irrevocably</w:t>
      </w:r>
      <w:r>
        <w:rPr>
          <w:rFonts w:ascii="Arial" w:cs="Arial" w:eastAsia="Arial" w:hAnsi="Arial"/>
          <w:sz w:val="16"/>
          <w:szCs w:val="16"/>
          <w:b w:val="1"/>
          <w:bCs w:val="1"/>
          <w:color w:val="auto"/>
        </w:rPr>
        <w:t xml:space="preserve"> </w:t>
      </w:r>
      <w:r>
        <w:rPr>
          <w:rFonts w:ascii="Arial" w:cs="Arial" w:eastAsia="Arial" w:hAnsi="Arial"/>
          <w:sz w:val="16"/>
          <w:szCs w:val="16"/>
          <w:color w:val="auto"/>
        </w:rPr>
        <w:t>cancelled and the corresponding fully-paid and non-assessable Common Shares issued, and the Corporation shall issue certificates representing such Common Shares upon the basis herein prescribed and in accordance with the provisions hereof to the holder of Class A Preferred Shares represented by the certificate or certificates accompanying such notice. Such conversion shall be deemed to have been made immediately prior to the close of business on the date of such surrender of the certificates representing the Class A Preferred Shares to be converted (the “</w:t>
      </w:r>
      <w:r>
        <w:rPr>
          <w:rFonts w:ascii="Arial" w:cs="Arial" w:eastAsia="Arial" w:hAnsi="Arial"/>
          <w:sz w:val="16"/>
          <w:szCs w:val="16"/>
          <w:b w:val="1"/>
          <w:bCs w:val="1"/>
          <w:color w:val="auto"/>
        </w:rPr>
        <w:t>Class A Preferred Shares Conversion Date</w:t>
      </w:r>
      <w:r>
        <w:rPr>
          <w:rFonts w:ascii="Arial" w:cs="Arial" w:eastAsia="Arial" w:hAnsi="Arial"/>
          <w:sz w:val="16"/>
          <w:szCs w:val="16"/>
          <w:color w:val="auto"/>
        </w:rPr>
        <w:t>”), and the person or persons entitled to receive the Common Shares issuable upon such conversion shall be treated for all purposes as the holder or holders of record of such Common Shares as of such date. If fewer than all of the Class A Preferred Shares represented by any certificate are to be converted, the holder shall be entitled to receive a new certificate for the Class A Preferred Shares representing the shares comprised in the original certificate which are not to be converted. All Class A Preferred Shares that shall have been surrendered for conversion as herein provided shall no longer be deemed to be outstanding, and all rights with respect to such shares, including the rights, if any, to receive notices and to vote, shall immediately cease and terminate on the Class A Preferred Shares Conversion Date, except only the right of the holders thereof to receive Common Shares in exchange therefor. Any Class A Preferred Shares so converted shall be retired and cancelled.</w:t>
      </w:r>
    </w:p>
    <w:p>
      <w:pPr>
        <w:spacing w:after="0" w:line="11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60" w:top="270" w:right="479" w:bottom="1440" w:gutter="0" w:footer="0" w:header="0"/>
        </w:sectPr>
      </w:pPr>
    </w:p>
    <w:bookmarkStart w:id="283" w:name="page284"/>
    <w:bookmarkEnd w:id="283"/>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2.3.2 </w:t>
      </w:r>
      <w:r>
        <w:rPr>
          <w:rFonts w:ascii="Arial" w:cs="Arial" w:eastAsia="Arial" w:hAnsi="Arial"/>
          <w:sz w:val="16"/>
          <w:szCs w:val="16"/>
          <w:i w:val="1"/>
          <w:iCs w:val="1"/>
          <w:color w:val="auto"/>
        </w:rPr>
        <w:t>Forced Class A Preferred Shares Conversion.</w:t>
      </w:r>
      <w:r>
        <w:rPr>
          <w:rFonts w:ascii="Arial" w:cs="Arial" w:eastAsia="Arial" w:hAnsi="Arial"/>
          <w:sz w:val="16"/>
          <w:szCs w:val="16"/>
          <w:color w:val="auto"/>
        </w:rPr>
        <w:t xml:space="preserve"> Subject to the terms and conditions hereof, Class A Preferred Shares shall be converted automatically into Common Shares at the then applicable Class A Conversion Rate, without payment of any additional consideration, in accordance with the provisions set forth in this section 2.3.2, upon the occurrence of a Forced Preferred Shares Conversion Event.</w:t>
      </w:r>
    </w:p>
    <w:p>
      <w:pPr>
        <w:spacing w:after="0" w:line="41" w:lineRule="exact"/>
        <w:rPr>
          <w:sz w:val="20"/>
          <w:szCs w:val="20"/>
          <w:color w:val="auto"/>
        </w:rPr>
      </w:pPr>
    </w:p>
    <w:p>
      <w:pPr>
        <w:ind w:left="440" w:right="20"/>
        <w:spacing w:after="0" w:line="288" w:lineRule="auto"/>
        <w:rPr>
          <w:sz w:val="20"/>
          <w:szCs w:val="20"/>
          <w:color w:val="auto"/>
        </w:rPr>
      </w:pPr>
      <w:r>
        <w:rPr>
          <w:rFonts w:ascii="Arial" w:cs="Arial" w:eastAsia="Arial" w:hAnsi="Arial"/>
          <w:sz w:val="16"/>
          <w:szCs w:val="16"/>
          <w:color w:val="auto"/>
        </w:rPr>
        <w:t>2.3.2.1 Upon the occurrence of a Forced Preferred Shares Conversion Event, all the then issued and outstanding Class A Preferred Shares shall be converted automatically without any further action by the holders thereof and whether or not the certificates representing such shares are surrendered to the Corporation or its transfer agent; provided, however, that all holders of Class A Preferred Shares being converted shall be given written notice of the occurrence of a Forced Preferred Shares Conversion Event, including the date such event occurred or is scheduled to occur (in the case of a Qualified IPO) (the “</w:t>
      </w:r>
      <w:r>
        <w:rPr>
          <w:rFonts w:ascii="Arial" w:cs="Arial" w:eastAsia="Arial" w:hAnsi="Arial"/>
          <w:sz w:val="16"/>
          <w:szCs w:val="16"/>
          <w:b w:val="1"/>
          <w:bCs w:val="1"/>
          <w:color w:val="auto"/>
        </w:rPr>
        <w:t>Forced Class A Preferred</w:t>
      </w:r>
      <w:r>
        <w:rPr>
          <w:rFonts w:ascii="Arial" w:cs="Arial" w:eastAsia="Arial" w:hAnsi="Arial"/>
          <w:sz w:val="16"/>
          <w:szCs w:val="16"/>
          <w:color w:val="auto"/>
        </w:rPr>
        <w:t xml:space="preserve"> </w:t>
      </w:r>
      <w:r>
        <w:rPr>
          <w:rFonts w:ascii="Arial" w:cs="Arial" w:eastAsia="Arial" w:hAnsi="Arial"/>
          <w:sz w:val="16"/>
          <w:szCs w:val="16"/>
          <w:b w:val="1"/>
          <w:bCs w:val="1"/>
          <w:color w:val="auto"/>
        </w:rPr>
        <w:t>Shares Conversion Date</w:t>
      </w:r>
      <w:r>
        <w:rPr>
          <w:rFonts w:ascii="Arial" w:cs="Arial" w:eastAsia="Arial" w:hAnsi="Arial"/>
          <w:sz w:val="16"/>
          <w:szCs w:val="16"/>
          <w:color w:val="auto"/>
        </w:rPr>
        <w:t>”), and the Corporation shall not be obligated to issue certificates evidencing the Common Shares issuable</w:t>
      </w:r>
      <w:r>
        <w:rPr>
          <w:rFonts w:ascii="Arial" w:cs="Arial" w:eastAsia="Arial" w:hAnsi="Arial"/>
          <w:sz w:val="16"/>
          <w:szCs w:val="16"/>
          <w:b w:val="1"/>
          <w:bCs w:val="1"/>
          <w:color w:val="auto"/>
        </w:rPr>
        <w:t xml:space="preserve"> </w:t>
      </w:r>
      <w:r>
        <w:rPr>
          <w:rFonts w:ascii="Arial" w:cs="Arial" w:eastAsia="Arial" w:hAnsi="Arial"/>
          <w:sz w:val="16"/>
          <w:szCs w:val="16"/>
          <w:color w:val="auto"/>
        </w:rPr>
        <w:t>upon such conversion unless certificates evidencing such Class A Preferred Shares being converted are either delivered to the Corporation, or its transfer agent, or the holder notifies the Corporation, or its transfer agent, that such certificates have been lost, stolen or destroyed and executes an agreement satisfactory to the Corporation to indemnify the Corporation (and its transfer agent (if applicable)) from any loss incurred by it in connection therewith.</w:t>
      </w:r>
    </w:p>
    <w:p>
      <w:pPr>
        <w:spacing w:after="0" w:line="60" w:lineRule="exact"/>
        <w:rPr>
          <w:sz w:val="20"/>
          <w:szCs w:val="20"/>
          <w:color w:val="auto"/>
        </w:rPr>
      </w:pPr>
    </w:p>
    <w:p>
      <w:pPr>
        <w:ind w:left="440" w:right="180"/>
        <w:spacing w:after="0" w:line="254" w:lineRule="auto"/>
        <w:rPr>
          <w:sz w:val="20"/>
          <w:szCs w:val="20"/>
          <w:color w:val="auto"/>
        </w:rPr>
      </w:pPr>
      <w:r>
        <w:rPr>
          <w:rFonts w:ascii="Arial" w:cs="Arial" w:eastAsia="Arial" w:hAnsi="Arial"/>
          <w:sz w:val="18"/>
          <w:szCs w:val="18"/>
          <w:color w:val="auto"/>
        </w:rPr>
        <w:t>On the Forced Class A Preferred Shares Conversion Date, all rights with respect to the Class A Preferred Shares so converted shall terminate, except for any of the rights of the holder thereof, upon surrender of the holder’s certificate or certificates therefor, to receive certificates for the number of Common Shares into which such Class A Preferred Shares have been converted. Upon the automatic conversion of the Class A Preferred Shares, the holders of such Class A Preferred Shares shall surrender the certificates representing such shares at the registered office of the Corporation or of its transfer agent. Upon surrender of such certificates, the Corporation shall promptly issue and deliver to such holder, in such holder’s name as shown on such surrendered certificate or certificates, a</w:t>
      </w:r>
    </w:p>
    <w:p>
      <w:pPr>
        <w:spacing w:after="0" w:line="1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20"/>
          </w:cols>
          <w:pgMar w:left="1420" w:top="274" w:right="459" w:bottom="1440" w:gutter="0" w:footer="0" w:header="0"/>
        </w:sectPr>
      </w:pPr>
    </w:p>
    <w:bookmarkStart w:id="284" w:name="page285"/>
    <w:bookmarkEnd w:id="284"/>
    <w:p>
      <w:pPr>
        <w:ind w:left="440"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or certificates for the number of Common Shares into which the Class A Preferred Shares surrendered were converted on the Forced Class A Preferred Shares Conversion Date. Such conversion shall be deemed to have been made upon the occurrence of the Forced Preferred Shares Conversion Event and the person or persons entitled to receive the Common Shares issuable upon conversion shall be treated for all purposes as the record holder or holders of such Common Shares at such time.</w:t>
      </w:r>
    </w:p>
    <w:p>
      <w:pPr>
        <w:spacing w:after="0" w:line="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i w:val="1"/>
          <w:iCs w:val="1"/>
          <w:color w:val="auto"/>
        </w:rPr>
        <w:t>Class A Conversion Rate.</w:t>
      </w:r>
      <w:r>
        <w:rPr>
          <w:rFonts w:ascii="Arial" w:cs="Arial" w:eastAsia="Arial" w:hAnsi="Arial"/>
          <w:sz w:val="18"/>
          <w:szCs w:val="18"/>
          <w:color w:val="auto"/>
        </w:rPr>
        <w:t xml:space="preserve"> Unless and until adjusted as provided for in this section 2.3, the Class A Preferred Shares shall be converted into that number of Common Shares determined by multiplying the number of Class A Preferred Shares being converted by the quotient of (i) the Class A Initial Issue Price, plus any declared but unpaid dividends on each Class A Preferred Share being converted, divided by (ii) the Class A Conversion Price (as determined reasonably and in good faith by the board of directors of the Corporation) in effect at the time of conversion (the “</w:t>
      </w:r>
      <w:r>
        <w:rPr>
          <w:rFonts w:ascii="Arial" w:cs="Arial" w:eastAsia="Arial" w:hAnsi="Arial"/>
          <w:sz w:val="18"/>
          <w:szCs w:val="18"/>
          <w:b w:val="1"/>
          <w:bCs w:val="1"/>
          <w:color w:val="auto"/>
        </w:rPr>
        <w:t>Class A Conversion Rate</w:t>
      </w:r>
      <w:r>
        <w:rPr>
          <w:rFonts w:ascii="Arial" w:cs="Arial" w:eastAsia="Arial" w:hAnsi="Arial"/>
          <w:sz w:val="18"/>
          <w:szCs w:val="18"/>
          <w:color w:val="auto"/>
        </w:rPr>
        <w:t>”).</w:t>
      </w:r>
    </w:p>
    <w:p>
      <w:pPr>
        <w:spacing w:after="0" w:line="8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i w:val="1"/>
          <w:iCs w:val="1"/>
          <w:color w:val="auto"/>
        </w:rPr>
        <w:t>Fractional Shares.</w:t>
      </w:r>
      <w:r>
        <w:rPr>
          <w:rFonts w:ascii="Arial" w:cs="Arial" w:eastAsia="Arial" w:hAnsi="Arial"/>
          <w:sz w:val="18"/>
          <w:szCs w:val="18"/>
          <w:color w:val="auto"/>
        </w:rPr>
        <w:t xml:space="preserve"> No fractional Common Shares shall be issued upon conversion of the Class A Preferred Shares pursuant to this section 2.3. All Common Shares (including fractions thereof) issuable upon conversion of more than one Class A Preferred Share by a holder thereof shall be aggregated for the purpose of determining whether the conversion would result in the issuance of any fractional share. If, after the aforementioned aggregation, the conversion would result in the issuance of any fractional Common Share, the Corporation shall, in lieu of issuing such fractional share, pay cash in an amount equal to the product of such fraction multiplied by the then applicable Class A Conversion Rate.</w:t>
      </w:r>
    </w:p>
    <w:p>
      <w:pPr>
        <w:spacing w:after="0" w:line="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2.3.5 </w:t>
      </w:r>
      <w:r>
        <w:rPr>
          <w:rFonts w:ascii="Arial" w:cs="Arial" w:eastAsia="Arial" w:hAnsi="Arial"/>
          <w:sz w:val="17"/>
          <w:szCs w:val="17"/>
          <w:i w:val="1"/>
          <w:iCs w:val="1"/>
          <w:color w:val="auto"/>
        </w:rPr>
        <w:t>Adjustment for Stock Splits and Combinations.</w:t>
      </w:r>
      <w:r>
        <w:rPr>
          <w:rFonts w:ascii="Arial" w:cs="Arial" w:eastAsia="Arial" w:hAnsi="Arial"/>
          <w:sz w:val="17"/>
          <w:szCs w:val="17"/>
          <w:color w:val="auto"/>
        </w:rPr>
        <w:t xml:space="preserve"> If the Corporation shall at any time or from time to time effect a subdivision of the outstanding Common Shares, the Class A Conversion Price in effect immediately before that subdivision shall be proportionately decreased. If the Corporation shall at any time or from time to time combine the outstanding Common Shares, the Class A Conversion Price in effect immediately before the combination shall be proportionately increased. Any adjustment under this paragraph shall become effective at the close of business on the date the subdivision or combination becomes effective.</w:t>
      </w:r>
    </w:p>
    <w:p>
      <w:pPr>
        <w:spacing w:after="0" w:line="10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940"/>
          </w:cols>
          <w:pgMar w:left="1420" w:top="274" w:right="539" w:bottom="1440" w:gutter="0" w:footer="0" w:header="0"/>
        </w:sectPr>
      </w:pPr>
    </w:p>
    <w:bookmarkStart w:id="285" w:name="page286"/>
    <w:bookmarkEnd w:id="28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2.3.6 </w:t>
      </w:r>
      <w:r>
        <w:rPr>
          <w:rFonts w:ascii="Arial" w:cs="Arial" w:eastAsia="Arial" w:hAnsi="Arial"/>
          <w:sz w:val="18"/>
          <w:szCs w:val="18"/>
          <w:i w:val="1"/>
          <w:iCs w:val="1"/>
          <w:color w:val="auto"/>
        </w:rPr>
        <w:t>Adjustment for Certain Dividends and Distributions.</w:t>
      </w:r>
      <w:r>
        <w:rPr>
          <w:rFonts w:ascii="Arial" w:cs="Arial" w:eastAsia="Arial" w:hAnsi="Arial"/>
          <w:sz w:val="18"/>
          <w:szCs w:val="18"/>
          <w:color w:val="auto"/>
        </w:rPr>
        <w:t xml:space="preserve"> In the event the Corporation at any time or from time to time shall make or issue, or fix a record date for the determination of holders of Common Shares entitled to receive, a dividend or other distribution payable in additional Common Shares (for the purposes of this Section 2.3.6 and Section 3.3.6, a “</w:t>
      </w:r>
      <w:r>
        <w:rPr>
          <w:rFonts w:ascii="Arial" w:cs="Arial" w:eastAsia="Arial" w:hAnsi="Arial"/>
          <w:sz w:val="18"/>
          <w:szCs w:val="18"/>
          <w:b w:val="1"/>
          <w:bCs w:val="1"/>
          <w:color w:val="auto"/>
        </w:rPr>
        <w:t>Preferred Shares Triggering Event</w:t>
      </w:r>
      <w:r>
        <w:rPr>
          <w:rFonts w:ascii="Arial" w:cs="Arial" w:eastAsia="Arial" w:hAnsi="Arial"/>
          <w:sz w:val="18"/>
          <w:szCs w:val="18"/>
          <w:color w:val="auto"/>
        </w:rPr>
        <w:t>”), then and in each such event, the Class A Conversion Price in effect immediately before such event shall be decreased as of the time of such issuance or, in the event such a record date shall have been fixed, as of the close of business on such record date, by multiplying the Class A Conversion Price then in effect by a fraction:</w:t>
      </w:r>
    </w:p>
    <w:p>
      <w:pPr>
        <w:spacing w:after="0" w:line="84" w:lineRule="exact"/>
        <w:rPr>
          <w:sz w:val="20"/>
          <w:szCs w:val="20"/>
          <w:color w:val="auto"/>
        </w:rPr>
      </w:pPr>
    </w:p>
    <w:p>
      <w:pPr>
        <w:ind w:left="440" w:right="380"/>
        <w:spacing w:after="0" w:line="277" w:lineRule="auto"/>
        <w:rPr>
          <w:sz w:val="20"/>
          <w:szCs w:val="20"/>
          <w:color w:val="auto"/>
        </w:rPr>
      </w:pPr>
      <w:r>
        <w:rPr>
          <w:rFonts w:ascii="Arial" w:cs="Arial" w:eastAsia="Arial" w:hAnsi="Arial"/>
          <w:sz w:val="18"/>
          <w:szCs w:val="18"/>
          <w:color w:val="auto"/>
        </w:rPr>
        <w:t>2.3.6.1 the numerator of which shall be the total number of Common Shares issued and outstanding, on an As-Converted Basis, immediately prior to the time of the Preferred Shares Triggering Event, and</w:t>
      </w:r>
    </w:p>
    <w:p>
      <w:pPr>
        <w:spacing w:after="0" w:line="62" w:lineRule="exact"/>
        <w:rPr>
          <w:sz w:val="20"/>
          <w:szCs w:val="20"/>
          <w:color w:val="auto"/>
        </w:rPr>
      </w:pPr>
    </w:p>
    <w:p>
      <w:pPr>
        <w:ind w:left="440" w:right="80"/>
        <w:spacing w:after="0" w:line="263" w:lineRule="auto"/>
        <w:rPr>
          <w:sz w:val="20"/>
          <w:szCs w:val="20"/>
          <w:color w:val="auto"/>
        </w:rPr>
      </w:pPr>
      <w:r>
        <w:rPr>
          <w:rFonts w:ascii="Arial" w:cs="Arial" w:eastAsia="Arial" w:hAnsi="Arial"/>
          <w:sz w:val="18"/>
          <w:szCs w:val="18"/>
          <w:color w:val="auto"/>
        </w:rPr>
        <w:t>2.3.6.2 the denominator of which shall be the total number of Common Shares issued and outstanding, on an As-Converted Basis, immediately prior to the time of such Preferred Shares Triggering Event plus the number of Common Shares issuable in payment of such dividend or distribution, on an As-Converted Basis.</w:t>
      </w:r>
    </w:p>
    <w:p>
      <w:pPr>
        <w:spacing w:after="0" w:line="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2.3.7 </w:t>
      </w:r>
      <w:r>
        <w:rPr>
          <w:rFonts w:ascii="Arial" w:cs="Arial" w:eastAsia="Arial" w:hAnsi="Arial"/>
          <w:sz w:val="17"/>
          <w:szCs w:val="17"/>
          <w:i w:val="1"/>
          <w:iCs w:val="1"/>
          <w:color w:val="auto"/>
        </w:rPr>
        <w:t>Adjustment for Reclassification, Exchange, or Substitution.</w:t>
      </w:r>
      <w:r>
        <w:rPr>
          <w:rFonts w:ascii="Arial" w:cs="Arial" w:eastAsia="Arial" w:hAnsi="Arial"/>
          <w:sz w:val="17"/>
          <w:szCs w:val="17"/>
          <w:color w:val="auto"/>
        </w:rPr>
        <w:t xml:space="preserve"> If the Common Shares of the Corporation shall be changed into the same or a different number of shares of any class, whether by capital reorganization, reclassification, or otherwise (other than a subdivision or combination of shares or stock dividend provided for above, or a reorganization, merger, amalgamation, arrangement, consolidation, business combination or sale of assets provided for below), then and in each such event, holders of Class A Preferred Shares shall have the right thereafter to convert such shares into the kind and amount of shares or other securities or property receivable, upon such reorganization, reclassification or other change, that would have otherwise been receivable by the holders of the number of Common Shares into which such Class A Preferred Shares would have been converted immediately prior to such reorganization, reclassification or change, all subject to further adjustment as provided herein.</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2.3.8 </w:t>
      </w:r>
      <w:r>
        <w:rPr>
          <w:rFonts w:ascii="Arial" w:cs="Arial" w:eastAsia="Arial" w:hAnsi="Arial"/>
          <w:sz w:val="18"/>
          <w:szCs w:val="18"/>
          <w:i w:val="1"/>
          <w:iCs w:val="1"/>
          <w:color w:val="auto"/>
        </w:rPr>
        <w:t>Adjustment for Merger or Reorganization, etc.</w:t>
      </w:r>
      <w:r>
        <w:rPr>
          <w:rFonts w:ascii="Arial" w:cs="Arial" w:eastAsia="Arial" w:hAnsi="Arial"/>
          <w:sz w:val="18"/>
          <w:szCs w:val="18"/>
          <w:color w:val="auto"/>
        </w:rPr>
        <w:t xml:space="preserve"> In case of any merger, amalgamation, consolidation, arrangement, reorganization or other business combination involving the Corporation and any other corporation or other entity or person (other than a Liquidation Event), each Class A Preferred Share shall thereafter be convertible (or shall be converted into a security which shall be convertible) into the kind and amount of shares or other securities or property to which a holder of the number of Common Shares of the Corporation that would have otherwise been deliverable upon conversion of such Class A</w:t>
      </w:r>
    </w:p>
    <w:p>
      <w:pPr>
        <w:spacing w:after="0" w:line="12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20"/>
          </w:cols>
          <w:pgMar w:left="1420" w:top="274" w:right="459" w:bottom="1440" w:gutter="0" w:footer="0" w:header="0"/>
        </w:sectPr>
      </w:pPr>
    </w:p>
    <w:bookmarkStart w:id="286" w:name="page287"/>
    <w:bookmarkEnd w:id="286"/>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Preferred Shares would have been entitled upon such event; and, in such case, appropriate adjustment (as determined in good faith by the board of directors of the Corporation) shall be made in the application of the provisions in this section 2.3 set forth with respect to the rights and interest thereafter of the holders of the Class A Preferred Shares, to the end that the provisions set forth in this section 2.3 (including provisions with respect to changes in and other adjustments of the Class A Conversion Price) shall thereafter be applicable, as nearly as reasonably may be, in relation to any shares or other securities or property thereafter deliverable upon the conversion of the Class A Preferred Shares.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2.3.9 </w:t>
      </w:r>
      <w:r>
        <w:rPr>
          <w:rFonts w:ascii="Arial" w:cs="Arial" w:eastAsia="Arial" w:hAnsi="Arial"/>
          <w:sz w:val="18"/>
          <w:szCs w:val="18"/>
          <w:i w:val="1"/>
          <w:iCs w:val="1"/>
          <w:color w:val="auto"/>
        </w:rPr>
        <w:t>Anti-Dilution.</w:t>
      </w:r>
    </w:p>
    <w:p>
      <w:pPr>
        <w:spacing w:after="0" w:line="117" w:lineRule="exact"/>
        <w:rPr>
          <w:sz w:val="20"/>
          <w:szCs w:val="20"/>
          <w:color w:val="auto"/>
        </w:rPr>
      </w:pPr>
    </w:p>
    <w:p>
      <w:pPr>
        <w:ind w:left="440" w:right="120"/>
        <w:spacing w:after="0" w:line="293" w:lineRule="auto"/>
        <w:rPr>
          <w:sz w:val="20"/>
          <w:szCs w:val="20"/>
          <w:color w:val="auto"/>
        </w:rPr>
      </w:pPr>
      <w:r>
        <w:rPr>
          <w:rFonts w:ascii="Arial" w:cs="Arial" w:eastAsia="Arial" w:hAnsi="Arial"/>
          <w:sz w:val="16"/>
          <w:szCs w:val="16"/>
          <w:color w:val="auto"/>
        </w:rPr>
        <w:t>2.3.9.1 Unless otherwise agreed by the Requisite Majority Preferred Shareholders, if, at any time or from time to time, the Corporation issues or sells, or is deemed by the express provisions of this section 2.3.9 to have issued or sold, Additional Shares other than in connection with an event referred to in sections 2.3.5, 2.3.6, 2.3.7 and 2.3.8 above and except for Excluded Securities, at an Effective Price which is less than the Class A Conversion Price in effect prior to such issuance or sale, then and in each such case, the then effective Class A Conversion Price shall be reduced as of the opening of business on the date of such issue or sale, to an amount (calculated to the nearest one-hundredth of a cent) determined in accordance with the following formula:</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CP2 = CP1* (A + B) ÷ (A + 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117" w:lineRule="exact"/>
        <w:rPr>
          <w:sz w:val="20"/>
          <w:szCs w:val="20"/>
          <w:color w:val="auto"/>
        </w:rPr>
      </w:pPr>
    </w:p>
    <w:p>
      <w:pPr>
        <w:ind w:left="440" w:right="2000"/>
        <w:spacing w:after="0" w:line="422" w:lineRule="auto"/>
        <w:rPr>
          <w:sz w:val="20"/>
          <w:szCs w:val="20"/>
          <w:color w:val="auto"/>
        </w:rPr>
      </w:pPr>
      <w:r>
        <w:rPr>
          <w:rFonts w:ascii="Arial" w:cs="Arial" w:eastAsia="Arial" w:hAnsi="Arial"/>
          <w:sz w:val="16"/>
          <w:szCs w:val="16"/>
          <w:color w:val="auto"/>
        </w:rPr>
        <w:t>“CP2” means the Class A Conversion Price in effect immediately after such issue of Additional Shares; “CP1” means the Class A Conversion Price in effect immediately before such issue of Additional Shares;</w:t>
      </w:r>
    </w:p>
    <w:p>
      <w:pPr>
        <w:spacing w:after="0" w:line="1"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“A” means the number of Common Shares outstanding immediately before such issue of Additional Shares (treating for this purpose as outstanding all Common Shares issuable upon exercise and/or conversion of Convertible Securities outstanding immediately before such issue (including the Preferred Shares outstanding immediately before such issue));</w:t>
      </w:r>
    </w:p>
    <w:p>
      <w:pPr>
        <w:spacing w:after="0" w:line="1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020"/>
          </w:cols>
          <w:pgMar w:left="1420" w:top="274" w:right="459" w:bottom="1440" w:gutter="0" w:footer="0" w:header="0"/>
        </w:sectPr>
      </w:pPr>
    </w:p>
    <w:bookmarkStart w:id="287" w:name="page288"/>
    <w:bookmarkEnd w:id="287"/>
    <w:p>
      <w:pPr>
        <w:jc w:val="both"/>
        <w:ind w:left="420" w:right="4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 means the number of Common Shares that would have been issued if such Additional Shares had been issued at a price per share equal to CP1 (determined by dividing the aggregate consideration received by the Corporation in respect of such issue by CP1); and</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 means the number of such Additional Shares issued in such transaction.</w:t>
      </w:r>
    </w:p>
    <w:p>
      <w:pPr>
        <w:spacing w:after="0" w:line="117" w:lineRule="exact"/>
        <w:rPr>
          <w:sz w:val="20"/>
          <w:szCs w:val="20"/>
          <w:color w:val="auto"/>
        </w:rPr>
      </w:pPr>
    </w:p>
    <w:p>
      <w:pPr>
        <w:ind w:left="420"/>
        <w:spacing w:after="0" w:line="253" w:lineRule="auto"/>
        <w:rPr>
          <w:sz w:val="20"/>
          <w:szCs w:val="20"/>
          <w:color w:val="auto"/>
        </w:rPr>
      </w:pPr>
      <w:r>
        <w:rPr>
          <w:rFonts w:ascii="Arial" w:cs="Arial" w:eastAsia="Arial" w:hAnsi="Arial"/>
          <w:sz w:val="18"/>
          <w:szCs w:val="18"/>
          <w:color w:val="auto"/>
        </w:rPr>
        <w:t>2.3.9.2 For the purpose of making any adjustment required under this section 2.3.9, the consideration received by the Corporation for any issue or sale of securities shall (A) to the extent it consists of cash, be computed at the net amount of cash received by the Corporation after deduction of any underwriting or similar commissions, compensation or concessions paid or allowed by the Corporation in connection with such issue or sale but without deduction of any other expenses payable by the Corporation, (B) to the extent it consists of property other than cash, be computed at the fair value of that property as determined in good faith by the board of directors of the Corporation, and (C) to the extent that Additional Shares are issued or sold together with other shares or securities or other assets of the Corporation for a consideration which covers both, be computed at the portion of the consideration so received that may be reasonably determined in good faith by the board of directors of the Corporation to be allocable to such Additional Shares.</w:t>
      </w:r>
    </w:p>
    <w:p>
      <w:pPr>
        <w:spacing w:after="0" w:line="88" w:lineRule="exact"/>
        <w:rPr>
          <w:sz w:val="20"/>
          <w:szCs w:val="20"/>
          <w:color w:val="auto"/>
        </w:rPr>
      </w:pPr>
    </w:p>
    <w:p>
      <w:pPr>
        <w:ind w:left="420" w:right="20"/>
        <w:spacing w:after="0" w:line="270" w:lineRule="auto"/>
        <w:rPr>
          <w:sz w:val="20"/>
          <w:szCs w:val="20"/>
          <w:color w:val="auto"/>
        </w:rPr>
      </w:pPr>
      <w:r>
        <w:rPr>
          <w:rFonts w:ascii="Arial" w:cs="Arial" w:eastAsia="Arial" w:hAnsi="Arial"/>
          <w:sz w:val="17"/>
          <w:szCs w:val="17"/>
          <w:color w:val="auto"/>
        </w:rPr>
        <w:t xml:space="preserve">2.3.9.3 For the purpose of the adjustment required under this section 2.3.9, if the Corporation issues or sells shares or other Convertible Securities convertible into Additional Shares, in each case other than in connection with an event referred to in sections 2.3.5, 2.3.6, 2.3.7 and 2.3.8 above and except for Excluded Securities, and if the Effective Price of such Additional Shares is less than the Class A Conversion Price then in effect, in each case the Corporation shall be deemed to have issued at the time of the issuance of such Convertible Securities the maximum number of Additional Shares issuable upon exercise or conversion thereof and to have received as consideration for the issuance of such shares an amount equal to the total amount of the consideration, if any, received by the Corporation for the issuance of such Convertible Securities, plus the minimum amounts of consideration, if any, payable to the Corporation upon the conversion thereof;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the minimum amount of consideration payable to the Corporation upon the exercise or conversion of Convertible Securities is</w:t>
      </w:r>
    </w:p>
    <w:p>
      <w:pPr>
        <w:spacing w:after="0" w:line="11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000"/>
          </w:cols>
          <w:pgMar w:left="1440" w:top="274" w:right="459" w:bottom="1440" w:gutter="0" w:footer="0" w:header="0"/>
        </w:sectPr>
      </w:pPr>
    </w:p>
    <w:bookmarkStart w:id="288" w:name="page289"/>
    <w:bookmarkEnd w:id="288"/>
    <w:p>
      <w:pPr>
        <w:ind w:left="440"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reduced over time or on the occurrence or non-occurrence of specified events other than by reason of anti-dilution adjustments, the Effective Price shall be recalculated using the number to which such minimum amount of consideration is reduced;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minimum amount of consideration payable to the Corporation upon the exercise or conversion of such Convertible Securities is subsequently increased, the Effective Price shall be recalculated using the increased minimum amount of consideration payable to the Corporation upon the exercise or conversion of such Convertible Securities;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a Class A Conversion Price be adjusted above the Class A Conversion Price in effect immediately prior to the particular adjustment required under this section 2.3.9. No further adjustment of a Class A Conversion Price as adjusted upon the issuance of such Convertible Securities shall be made as a result of the actual issuance of Additional Shares on the exercise or conversion of any such Convertible Securities. If any such conversion privilege represented by any such Convertible Securities shall expire without having been exercised, the Class A Conversion Price as adjusted upon the issuance of such Convertible Securities shall be readjusted to the Class A Conversion Price which would have been in effect had an adjustment been made on the basis that the only Additional Shares so issued were the Additional Shares, if any, actually issued or sold on the exercise of such rights of conversion of such Convertible Securities, and such Additional Shares, if any, were issued or sold for: (A) the consideration, if any, actually received by the Corporation upon the exercise or conversion of such Convertible Securities, plus (B) the consideration, if any, actually received by the Corporation for the granting or the issue and sale of the Convertible Securities, whether or not exercised or converted, provided that such readjustment shall not apply to prior conversions of Class A Preferred Shares.</w:t>
      </w:r>
    </w:p>
    <w:p>
      <w:pPr>
        <w:spacing w:after="0" w:line="6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2.3.10 </w:t>
      </w:r>
      <w:r>
        <w:rPr>
          <w:rFonts w:ascii="Arial" w:cs="Arial" w:eastAsia="Arial" w:hAnsi="Arial"/>
          <w:sz w:val="17"/>
          <w:szCs w:val="17"/>
          <w:i w:val="1"/>
          <w:iCs w:val="1"/>
          <w:color w:val="auto"/>
        </w:rPr>
        <w:t>Certificate of Adjustment.</w:t>
      </w:r>
      <w:r>
        <w:rPr>
          <w:rFonts w:ascii="Arial" w:cs="Arial" w:eastAsia="Arial" w:hAnsi="Arial"/>
          <w:sz w:val="17"/>
          <w:szCs w:val="17"/>
          <w:color w:val="auto"/>
        </w:rPr>
        <w:t xml:space="preserve"> In each case of an adjustment or readjustment of a Class A Conversion Price, as the case may be, or the number of Common Shares or other securities issuable upon conversion of the Class A Preferred Shares, the Corporation, at its expense, shall compute such adjustment or readjustment in accordance with the provisions hereof and prepare a certificate showing such adjustment or readjustment, and shall mail such certificate, by first class mail, postage prepaid, to each registered holder of Class A Preferred Shares at the holder’s address as shown in the Corporation’s books. The certificate shall set forth such adjustment or readjustment showing in reasonable detail the facts upon which such adjustment or readjustment is based.</w:t>
      </w:r>
    </w:p>
    <w:p>
      <w:pPr>
        <w:spacing w:after="0" w:line="11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40"/>
          </w:cols>
          <w:pgMar w:left="1420" w:top="274" w:right="439" w:bottom="1440" w:gutter="0" w:footer="0" w:header="0"/>
        </w:sectPr>
      </w:pPr>
    </w:p>
    <w:bookmarkStart w:id="289" w:name="page290"/>
    <w:bookmarkEnd w:id="289"/>
    <w:p>
      <w:pPr>
        <w:ind w:left="560" w:right="1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2.3.11 </w:t>
      </w:r>
      <w:r>
        <w:rPr>
          <w:rFonts w:ascii="Arial" w:cs="Arial" w:eastAsia="Arial" w:hAnsi="Arial"/>
          <w:sz w:val="16"/>
          <w:szCs w:val="16"/>
          <w:i w:val="1"/>
          <w:iCs w:val="1"/>
          <w:color w:val="auto"/>
        </w:rPr>
        <w:t>Effect of Conversion.</w:t>
      </w:r>
      <w:r>
        <w:rPr>
          <w:rFonts w:ascii="Arial" w:cs="Arial" w:eastAsia="Arial" w:hAnsi="Arial"/>
          <w:sz w:val="16"/>
          <w:szCs w:val="16"/>
          <w:color w:val="auto"/>
        </w:rPr>
        <w:t xml:space="preserve"> All Class A Preferred Shares that shall have been surrendered for conversion as herein provided shall no longer be deemed to be outstanding, and all rights with respect to such shares, including the rights, if any, to receive notices and to vote, shall immediately cease and terminate on the Class A Preferred Shares Conversion Date, except only the right of the holders thereof to receive Common Shares in exchange therefor. Any Class A Preferred Shares so converted shall be retired and cancelled.</w:t>
      </w:r>
    </w:p>
    <w:p>
      <w:pPr>
        <w:spacing w:after="0" w:line="5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Liquidation Event.</w:t>
      </w:r>
    </w:p>
    <w:p>
      <w:pPr>
        <w:spacing w:after="0" w:line="121"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 xml:space="preserve">2.4.1 In the event of a Liquidation Event, each holder of outstanding Class A Preferred Shares shall be entitled,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holders of Class B Preferred Shares, to receive, in priority to any distribution of the property or assets of the Corporation to the holders of Common Shares, out of the assets of the Corporation legally available for distribution to the holders of Shares of the capital of the Corporation an amount per Class A Preferred Share in cash (the “</w:t>
      </w:r>
      <w:r>
        <w:rPr>
          <w:rFonts w:ascii="Arial" w:cs="Arial" w:eastAsia="Arial" w:hAnsi="Arial"/>
          <w:sz w:val="18"/>
          <w:szCs w:val="18"/>
          <w:b w:val="1"/>
          <w:bCs w:val="1"/>
          <w:color w:val="auto"/>
        </w:rPr>
        <w:t>Class A Preferred Shares Liquidation Preference</w:t>
      </w:r>
      <w:r>
        <w:rPr>
          <w:rFonts w:ascii="Arial" w:cs="Arial" w:eastAsia="Arial" w:hAnsi="Arial"/>
          <w:sz w:val="18"/>
          <w:szCs w:val="18"/>
          <w:color w:val="auto"/>
        </w:rPr>
        <w:t>”) calculated as follows:</w:t>
      </w:r>
    </w:p>
    <w:p>
      <w:pPr>
        <w:spacing w:after="0" w:line="8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Class A Preferred Shares Liquidation Preference = A + B</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where:</w:t>
      </w:r>
    </w:p>
    <w:p>
      <w:pPr>
        <w:spacing w:after="0" w:line="113" w:lineRule="exact"/>
        <w:rPr>
          <w:sz w:val="20"/>
          <w:szCs w:val="20"/>
          <w:color w:val="auto"/>
        </w:rPr>
      </w:pPr>
    </w:p>
    <w:p>
      <w:pPr>
        <w:ind w:left="1000"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 means the aggregate of all declared but unpaid dividends on said Class A Preferred Share up to and including the date of said Liquidation Event;</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w:t>
      </w:r>
      <w:r>
        <w:rPr>
          <w:rFonts w:ascii="Arial" w:cs="Arial" w:eastAsia="Arial" w:hAnsi="Arial"/>
          <w:sz w:val="18"/>
          <w:szCs w:val="18"/>
          <w:color w:val="auto"/>
        </w:rPr>
        <w:t>” means the Class A Initial Issue Price of said Class A Preferred Share.</w:t>
      </w:r>
    </w:p>
    <w:p>
      <w:pPr>
        <w:spacing w:after="0" w:line="121" w:lineRule="exact"/>
        <w:rPr>
          <w:sz w:val="20"/>
          <w:szCs w:val="20"/>
          <w:color w:val="auto"/>
        </w:rPr>
      </w:pPr>
    </w:p>
    <w:p>
      <w:pPr>
        <w:ind w:left="560" w:right="20"/>
        <w:spacing w:after="0" w:line="257" w:lineRule="auto"/>
        <w:rPr>
          <w:sz w:val="20"/>
          <w:szCs w:val="20"/>
          <w:color w:val="auto"/>
        </w:rPr>
      </w:pPr>
      <w:r>
        <w:rPr>
          <w:rFonts w:ascii="Arial" w:cs="Arial" w:eastAsia="Arial" w:hAnsi="Arial"/>
          <w:sz w:val="18"/>
          <w:szCs w:val="18"/>
          <w:color w:val="auto"/>
        </w:rPr>
        <w:t xml:space="preserve">If, upon any Liquidation Event, the amount available for distribution among the holders of all outstanding Preferred Shares is insufficient to permit the payment of the Preferred Shares Liquidation Preference in full, then the amount available for distribution shall be distributed among holders of the Preferred Shares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and pro rata basis determined by reference to the fraction which the aggregate Class A Preferred Shares Liquidation Preference or Class B Preferred Shares Liquidation Preference, as the case may be, bears to the Preferred Shares Liquidation Preference.</w:t>
      </w:r>
    </w:p>
    <w:p>
      <w:pPr>
        <w:spacing w:after="0" w:line="80" w:lineRule="exact"/>
        <w:rPr>
          <w:sz w:val="20"/>
          <w:szCs w:val="20"/>
          <w:color w:val="auto"/>
        </w:rPr>
      </w:pPr>
    </w:p>
    <w:p>
      <w:pPr>
        <w:ind w:left="560" w:right="260"/>
        <w:spacing w:after="0" w:line="263" w:lineRule="auto"/>
        <w:rPr>
          <w:sz w:val="20"/>
          <w:szCs w:val="20"/>
          <w:color w:val="auto"/>
        </w:rPr>
      </w:pPr>
      <w:r>
        <w:rPr>
          <w:rFonts w:ascii="Arial" w:cs="Arial" w:eastAsia="Arial" w:hAnsi="Arial"/>
          <w:sz w:val="18"/>
          <w:szCs w:val="18"/>
          <w:color w:val="auto"/>
        </w:rPr>
        <w:t>2.4.2 After satisfying the Preferred Shares Liquidation Preference, the holders of record of Class A Preferred Shares shall be entitled to receive ratably with the holders of Class B Preferred Shares and Common Shares the residual assets of the Corporation upon the occurrence of a Liquidation Event on an As-Converted Basis.</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40"/>
          </w:cols>
          <w:pgMar w:left="860" w:top="274" w:right="499" w:bottom="1440" w:gutter="0" w:footer="0" w:header="0"/>
        </w:sectPr>
      </w:pPr>
    </w:p>
    <w:bookmarkStart w:id="290" w:name="page291"/>
    <w:bookmarkEnd w:id="290"/>
    <w:p>
      <w:pPr>
        <w:jc w:val="both"/>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2.4.3 The Corporation shall not have the power to effect a Liquidation Event that constitutes a merger, amalgamation, arrangement or consolidation in which the Corporation is a constituent party unless the agreement or plan of merger, arrangement or consolidation for such transaction (the “</w:t>
      </w:r>
      <w:r>
        <w:rPr>
          <w:rFonts w:ascii="Arial" w:cs="Arial" w:eastAsia="Arial" w:hAnsi="Arial"/>
          <w:sz w:val="18"/>
          <w:szCs w:val="18"/>
          <w:b w:val="1"/>
          <w:bCs w:val="1"/>
          <w:color w:val="auto"/>
        </w:rPr>
        <w:t>Merger Agreement</w:t>
      </w:r>
      <w:r>
        <w:rPr>
          <w:rFonts w:ascii="Arial" w:cs="Arial" w:eastAsia="Arial" w:hAnsi="Arial"/>
          <w:sz w:val="18"/>
          <w:szCs w:val="18"/>
          <w:color w:val="auto"/>
        </w:rPr>
        <w:t>”) provides that the consideration payable to the Shareholders shall be allocated among the Shareholders in accordance with this section 2.4.</w:t>
      </w:r>
    </w:p>
    <w:p>
      <w:pPr>
        <w:spacing w:after="0" w:line="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2.4.4 In the event of a Liquidation Event pursuant to this section 2.4, if any portion of the consideration payable to the Shareholders is payable only upon satisfaction of contingencies (the “</w:t>
      </w:r>
      <w:r>
        <w:rPr>
          <w:rFonts w:ascii="Arial" w:cs="Arial" w:eastAsia="Arial" w:hAnsi="Arial"/>
          <w:sz w:val="17"/>
          <w:szCs w:val="17"/>
          <w:b w:val="1"/>
          <w:bCs w:val="1"/>
          <w:color w:val="auto"/>
        </w:rPr>
        <w:t>Additional Consideration</w:t>
      </w:r>
      <w:r>
        <w:rPr>
          <w:rFonts w:ascii="Arial" w:cs="Arial" w:eastAsia="Arial" w:hAnsi="Arial"/>
          <w:sz w:val="17"/>
          <w:szCs w:val="17"/>
          <w:color w:val="auto"/>
        </w:rPr>
        <w:t>”), the Merger Agreement shall provide that (i) the portion of such consideration that is not Additional Consideration (such portion, the “</w:t>
      </w:r>
      <w:r>
        <w:rPr>
          <w:rFonts w:ascii="Arial" w:cs="Arial" w:eastAsia="Arial" w:hAnsi="Arial"/>
          <w:sz w:val="17"/>
          <w:szCs w:val="17"/>
          <w:b w:val="1"/>
          <w:bCs w:val="1"/>
          <w:color w:val="auto"/>
        </w:rPr>
        <w:t>Initial Consideration</w:t>
      </w:r>
      <w:r>
        <w:rPr>
          <w:rFonts w:ascii="Arial" w:cs="Arial" w:eastAsia="Arial" w:hAnsi="Arial"/>
          <w:sz w:val="17"/>
          <w:szCs w:val="17"/>
          <w:color w:val="auto"/>
        </w:rPr>
        <w:t>”) shall be allocated among the Shareholders in accordance with section 2.4.1 as if the Initial Consideration were the only consideration payable in connection with such Liquidation Event; and (ii) any Additional Consideration which becomes payable to the Shareholders upon satisfaction of such contingencies shall be allocated among the Shareholders in accordance with section 2.4 after taking into account the previous payment of the Initial Consideration as part of the same transaction. For the purposes of this section 2.4.4, consideration placed into escrow or retained as a holdback to be available for satisfaction of indemnification or similar obligations in connection with such Liquidation Event shall be deemed to be Additional Consideration.</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2.4.5 After payment has been made in full as provided in sections 2.4.1 and 2.4.2, the Corporation shall have satisfied its obligations with respect to the Class A Preferred Shares Liquidation Preference.</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2.4.6 In the event of a Liquidation Event, no dividend or other distribution of any amount shall be made in respect of Common Shares until the Corporation has satisfied its obligations with respect to the Preferred Shares Liquidation Preference.</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2.4.7 In the event of distribution of property and assets other than cash pursuant to any provision of this Schedule A, the valuation of such property and assets shall be determined in good faith by the board of directors of the Corporation.</w:t>
      </w:r>
    </w:p>
    <w:p>
      <w:pPr>
        <w:spacing w:after="0" w:line="1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020"/>
          </w:cols>
          <w:pgMar w:left="1420" w:top="274" w:right="459" w:bottom="1440" w:gutter="0" w:footer="0" w:header="0"/>
        </w:sectPr>
      </w:pPr>
    </w:p>
    <w:bookmarkStart w:id="291" w:name="page292"/>
    <w:bookmarkEnd w:id="291"/>
    <w:p>
      <w:pPr>
        <w:ind w:left="544" w:hanging="544"/>
        <w:spacing w:after="0"/>
        <w:tabs>
          <w:tab w:leader="none" w:pos="544"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CLASS B PREFERRED SHARES</w:t>
      </w:r>
    </w:p>
    <w:p>
      <w:pPr>
        <w:spacing w:after="0" w:line="131"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Voting Rights.</w:t>
      </w:r>
    </w:p>
    <w:p>
      <w:pPr>
        <w:spacing w:after="0" w:line="121" w:lineRule="exact"/>
        <w:rPr>
          <w:sz w:val="20"/>
          <w:szCs w:val="20"/>
          <w:color w:val="auto"/>
        </w:rPr>
      </w:pPr>
    </w:p>
    <w:p>
      <w:pPr>
        <w:ind w:left="984" w:right="120"/>
        <w:spacing w:after="0" w:line="277" w:lineRule="auto"/>
        <w:rPr>
          <w:sz w:val="20"/>
          <w:szCs w:val="20"/>
          <w:color w:val="auto"/>
        </w:rPr>
      </w:pPr>
      <w:r>
        <w:rPr>
          <w:rFonts w:ascii="Arial" w:cs="Arial" w:eastAsia="Arial" w:hAnsi="Arial"/>
          <w:sz w:val="18"/>
          <w:szCs w:val="18"/>
          <w:color w:val="auto"/>
        </w:rPr>
        <w:t>3.1.1 The holders of Class B Preferred Shares shall be entitled to receive notice of, attend and vote at all meetings of shareholders, except meetings at which only holders of another specified class of Shares are entitled to vote.</w:t>
      </w:r>
    </w:p>
    <w:p>
      <w:pPr>
        <w:spacing w:after="0" w:line="62" w:lineRule="exact"/>
        <w:rPr>
          <w:sz w:val="20"/>
          <w:szCs w:val="20"/>
          <w:color w:val="auto"/>
        </w:rPr>
      </w:pPr>
    </w:p>
    <w:p>
      <w:pPr>
        <w:ind w:left="984" w:right="60"/>
        <w:spacing w:after="0" w:line="257" w:lineRule="auto"/>
        <w:rPr>
          <w:sz w:val="20"/>
          <w:szCs w:val="20"/>
          <w:color w:val="auto"/>
        </w:rPr>
      </w:pPr>
      <w:r>
        <w:rPr>
          <w:rFonts w:ascii="Arial" w:cs="Arial" w:eastAsia="Arial" w:hAnsi="Arial"/>
          <w:sz w:val="18"/>
          <w:szCs w:val="18"/>
          <w:color w:val="auto"/>
        </w:rPr>
        <w:t>3.1.2 The holders of Class B Preferred Shares, the holders of Class A Preferred Shares and the holders of Common Shares shall vote as a single class, except for meetings at which only holders of another specified class of Shares are entitled to vote. Each Class B Preferred Share shall entitle its holder to such number of votes equal to the number of Common Shares issuable upon the exercise of any conversion rights attaching to the Class B Preferred Shares at the date of such vote, using the Class B Conversion Rate as determined reasonably and in good faith by the board of directors of the Corporation.</w:t>
      </w:r>
    </w:p>
    <w:p>
      <w:pPr>
        <w:spacing w:after="0" w:line="80" w:lineRule="exact"/>
        <w:rPr>
          <w:sz w:val="20"/>
          <w:szCs w:val="20"/>
          <w:color w:val="auto"/>
        </w:rPr>
      </w:pPr>
    </w:p>
    <w:p>
      <w:pPr>
        <w:ind w:left="984" w:right="140"/>
        <w:spacing w:after="0" w:line="255" w:lineRule="auto"/>
        <w:rPr>
          <w:sz w:val="20"/>
          <w:szCs w:val="20"/>
          <w:color w:val="auto"/>
        </w:rPr>
      </w:pPr>
      <w:r>
        <w:rPr>
          <w:rFonts w:ascii="Arial" w:cs="Arial" w:eastAsia="Arial" w:hAnsi="Arial"/>
          <w:sz w:val="18"/>
          <w:szCs w:val="18"/>
          <w:color w:val="auto"/>
        </w:rPr>
        <w:t>3.1.3 Holders of Preferred Shares of any class shall not be entitled to vote separately as a class, or to exercise dissent rights under section 190 of the Act, upon a proposal to amend the articles (whether by articles of amendment or articles of amalgamation) of the Corporation to: (i) increase or decrease any maximum number of authorized Shares of such class, or increase any maximum number of authorized shares of a class having rights or privileges equal or superior to the Shares of such class; (ii) effect an exchange, reclassification or cancellation of all or part of the Shares of such class and (iii) create a new class or series of shares equal or superior to the Shares of such class.</w:t>
      </w:r>
    </w:p>
    <w:p>
      <w:pPr>
        <w:spacing w:after="0" w:line="94"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Dividends.</w:t>
      </w:r>
    </w:p>
    <w:p>
      <w:pPr>
        <w:spacing w:after="0" w:line="121" w:lineRule="exact"/>
        <w:rPr>
          <w:sz w:val="20"/>
          <w:szCs w:val="20"/>
          <w:color w:val="auto"/>
        </w:rPr>
      </w:pPr>
    </w:p>
    <w:p>
      <w:pPr>
        <w:ind w:left="984"/>
        <w:spacing w:after="0" w:line="284" w:lineRule="auto"/>
        <w:rPr>
          <w:sz w:val="20"/>
          <w:szCs w:val="20"/>
          <w:color w:val="auto"/>
        </w:rPr>
      </w:pPr>
      <w:r>
        <w:rPr>
          <w:rFonts w:ascii="Arial" w:cs="Arial" w:eastAsia="Arial" w:hAnsi="Arial"/>
          <w:sz w:val="16"/>
          <w:szCs w:val="16"/>
          <w:color w:val="auto"/>
        </w:rPr>
        <w:t xml:space="preserve">3.2.1 The holders of Class B Preferred Shares shall be entitled,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holders of Class A Preferred Shares, to receive fixed preferential and non-cumulative dividends prior and in preference to any declaration or payment of any dividend on the Common Shares, as and when declared by the directors of the Corporation, payable on each anniversary of the Class B Original Issue Date on each Class B Preferred Share at the rate of eight percent (8%) per annum payable on the sum of (i) the Class B Initial Issue Price of such Class B Preferred Share and (ii) all declared but unpaid dividends accrued thereon pursuant to this section 3.2.1 (the “</w:t>
      </w:r>
      <w:r>
        <w:rPr>
          <w:rFonts w:ascii="Arial" w:cs="Arial" w:eastAsia="Arial" w:hAnsi="Arial"/>
          <w:sz w:val="16"/>
          <w:szCs w:val="16"/>
          <w:b w:val="1"/>
          <w:bCs w:val="1"/>
          <w:color w:val="auto"/>
        </w:rPr>
        <w:t>Class B</w:t>
      </w:r>
      <w:r>
        <w:rPr>
          <w:rFonts w:ascii="Arial" w:cs="Arial" w:eastAsia="Arial" w:hAnsi="Arial"/>
          <w:sz w:val="16"/>
          <w:szCs w:val="16"/>
          <w:color w:val="auto"/>
        </w:rPr>
        <w:t xml:space="preserve"> </w:t>
      </w:r>
      <w:r>
        <w:rPr>
          <w:rFonts w:ascii="Arial" w:cs="Arial" w:eastAsia="Arial" w:hAnsi="Arial"/>
          <w:sz w:val="16"/>
          <w:szCs w:val="16"/>
          <w:b w:val="1"/>
          <w:bCs w:val="1"/>
          <w:color w:val="auto"/>
        </w:rPr>
        <w:t>Preferred Dividends</w:t>
      </w:r>
      <w:r>
        <w:rPr>
          <w:rFonts w:ascii="Arial" w:cs="Arial" w:eastAsia="Arial" w:hAnsi="Arial"/>
          <w:sz w:val="16"/>
          <w:szCs w:val="16"/>
          <w:color w:val="auto"/>
        </w:rPr>
        <w:t>” and the total amount of dividends declared and payable and the rights and preferences provided under this section</w:t>
      </w:r>
    </w:p>
    <w:p>
      <w:pPr>
        <w:spacing w:after="0" w:line="4" w:lineRule="exact"/>
        <w:rPr>
          <w:sz w:val="20"/>
          <w:szCs w:val="20"/>
          <w:color w:val="auto"/>
        </w:rPr>
      </w:pPr>
    </w:p>
    <w:p>
      <w:pPr>
        <w:ind w:left="984"/>
        <w:spacing w:after="0"/>
        <w:rPr>
          <w:sz w:val="20"/>
          <w:szCs w:val="20"/>
          <w:color w:val="auto"/>
        </w:rPr>
      </w:pPr>
      <w:r>
        <w:rPr>
          <w:rFonts w:ascii="Arial" w:cs="Arial" w:eastAsia="Arial" w:hAnsi="Arial"/>
          <w:sz w:val="16"/>
          <w:szCs w:val="16"/>
          <w:color w:val="auto"/>
        </w:rPr>
        <w:t>3.2.1 to all holders of Class B Preferred Shares at any time are herein referred to as the “</w:t>
      </w:r>
      <w:r>
        <w:rPr>
          <w:rFonts w:ascii="Arial" w:cs="Arial" w:eastAsia="Arial" w:hAnsi="Arial"/>
          <w:sz w:val="16"/>
          <w:szCs w:val="16"/>
          <w:b w:val="1"/>
          <w:bCs w:val="1"/>
          <w:color w:val="auto"/>
        </w:rPr>
        <w:t>Class B Preferred Dividend Obligations</w:t>
      </w:r>
      <w:r>
        <w:rPr>
          <w:rFonts w:ascii="Arial" w:cs="Arial" w:eastAsia="Arial" w:hAnsi="Arial"/>
          <w:sz w:val="16"/>
          <w:szCs w:val="16"/>
          <w:color w:val="auto"/>
        </w:rPr>
        <w:t>”). Such</w:t>
      </w:r>
    </w:p>
    <w:p>
      <w:pPr>
        <w:spacing w:after="0" w:line="166"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0" w:right="459" w:bottom="1440" w:gutter="0" w:footer="0" w:header="0"/>
        </w:sectPr>
      </w:pPr>
    </w:p>
    <w:bookmarkStart w:id="292" w:name="page293"/>
    <w:bookmarkEnd w:id="29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Class B Preferred Dividends shall be payable out of the monies legally available for this purpose. Except as otherwise provided herein, if at any time the Corporation pays less than the total amount of dividends then declared but unpaid with respect to the Class B Preferred Shares, such payment shall be distributed ratably among the holders of Class B Preferred Shares on a pro rata basis. No other dividend declared by the Corporation shall be paid on the Common Shares, in respect of any year ending on the anniversary of the Class B Original Issue Date where no preferential dividend was declared in respect of the Class B Preferred Shares or where the Class B Preferred Dividend Obligations for such year have not been fully satisfied (unless such obligations are waived in whole or in part pursuant to a prior written consent of the Requisite Majority Preferred Shareholders). Subject to the Act, any Class B Preferred Dividends declared but not yet paid shall be paid in cash,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holders of Class A Preferred Shares, in priority to any distribution of the property or assets of the Corporation or any distribution of funds to the holders of Common Shares upon the occurrence of a Liquidation Event, and prior to the payment of dividends on the Common Shares. Upon the exercise by any holder of Class B Preferred Shares of such holder’s Class B Preferred Shares Conversion Privilege, any further entitlement of such holder of Class B Preferred Shares associated with the converted Class B Preferred Shares shall automatically be cancelled.</w:t>
      </w:r>
    </w:p>
    <w:p>
      <w:pPr>
        <w:spacing w:after="0" w:line="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3.2.2 In addition to the Class B Preferred Dividends, each Class B Preferred Share entitles the holder to receive,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holders of Class A Preferred Shares, any dividend declared and paid on the Common Shares whether payable in cash, in kind or by way of issuance of fully-paid shares at such times and in such manner as the directors may determine in their discretion, ratably and on an As-Converted Basis with the holders of Class A Preferred Shares and Common Shares.</w:t>
      </w:r>
    </w:p>
    <w:p>
      <w:pPr>
        <w:spacing w:after="0" w:line="63"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3.2.3 All dividends on the Class A Preferred Shares and the Class B Preferred Shares shall be declared and paid at the same time, payable in the same form, whether in cash, in kind or by the issue of fully paid shares of the Corporation, and on a ratable basis if the full amount of the dividend is not being paid in respect of the year in question (determined by reference to the fraction which the aggregate Class A Preferred Shares Liquidation Preference or Class B Preferred Shares Liquidation Preference, as the case may be, bears to the Preferred Shares Liquidation Preference), unless otherwise approved by the Requisite Majority Preferred Shareholders.</w:t>
      </w:r>
    </w:p>
    <w:p>
      <w:pPr>
        <w:spacing w:after="0" w:line="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020"/>
          </w:cols>
          <w:pgMar w:left="1420" w:top="274" w:right="459" w:bottom="1440" w:gutter="0" w:footer="0" w:header="0"/>
        </w:sectPr>
      </w:pPr>
    </w:p>
    <w:bookmarkStart w:id="293" w:name="page294"/>
    <w:bookmarkEnd w:id="293"/>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3.3</w:t>
      </w:r>
      <w:r>
        <w:rPr>
          <w:sz w:val="20"/>
          <w:szCs w:val="20"/>
          <w:color w:val="auto"/>
        </w:rPr>
        <w:tab/>
      </w:r>
      <w:r>
        <w:rPr>
          <w:rFonts w:ascii="Arial" w:cs="Arial" w:eastAsia="Arial" w:hAnsi="Arial"/>
          <w:sz w:val="16"/>
          <w:szCs w:val="16"/>
          <w:b w:val="1"/>
          <w:bCs w:val="1"/>
          <w:color w:val="auto"/>
        </w:rPr>
        <w:t>Conversion into Common Shares.</w:t>
      </w:r>
    </w:p>
    <w:p>
      <w:pPr>
        <w:spacing w:after="0" w:line="121" w:lineRule="exact"/>
        <w:rPr>
          <w:sz w:val="20"/>
          <w:szCs w:val="20"/>
          <w:color w:val="auto"/>
        </w:rPr>
      </w:pPr>
    </w:p>
    <w:p>
      <w:pPr>
        <w:ind w:left="560"/>
        <w:spacing w:after="0" w:line="284" w:lineRule="auto"/>
        <w:rPr>
          <w:sz w:val="20"/>
          <w:szCs w:val="20"/>
          <w:color w:val="auto"/>
        </w:rPr>
      </w:pPr>
      <w:r>
        <w:rPr>
          <w:rFonts w:ascii="Arial" w:cs="Arial" w:eastAsia="Arial" w:hAnsi="Arial"/>
          <w:sz w:val="16"/>
          <w:szCs w:val="16"/>
          <w:color w:val="auto"/>
        </w:rPr>
        <w:t xml:space="preserve">3.3.1 </w:t>
      </w:r>
      <w:r>
        <w:rPr>
          <w:rFonts w:ascii="Arial" w:cs="Arial" w:eastAsia="Arial" w:hAnsi="Arial"/>
          <w:sz w:val="16"/>
          <w:szCs w:val="16"/>
          <w:i w:val="1"/>
          <w:iCs w:val="1"/>
          <w:color w:val="auto"/>
        </w:rPr>
        <w:t>Class B Preferred Shares Conversion Privilege.</w:t>
      </w:r>
      <w:r>
        <w:rPr>
          <w:rFonts w:ascii="Arial" w:cs="Arial" w:eastAsia="Arial" w:hAnsi="Arial"/>
          <w:sz w:val="16"/>
          <w:szCs w:val="16"/>
          <w:color w:val="auto"/>
        </w:rPr>
        <w:t xml:space="preserve"> Subject to the terms and conditions hereof, each holder of Class B Preferred Shares shall have the right, at any time and from time to time, at the holder’s discretion, to convert, without payment of any additional consideration, in whole or in part, such holder’s Class B Preferred Shares into fully-paid and non-assessable Common Shares in accordance with the provisions set forth in this section 3.3 at the then applicable Class B Conversion Rate (the “</w:t>
      </w:r>
      <w:r>
        <w:rPr>
          <w:rFonts w:ascii="Arial" w:cs="Arial" w:eastAsia="Arial" w:hAnsi="Arial"/>
          <w:sz w:val="16"/>
          <w:szCs w:val="16"/>
          <w:b w:val="1"/>
          <w:bCs w:val="1"/>
          <w:color w:val="auto"/>
        </w:rPr>
        <w:t>Class B Preferred Shares</w:t>
      </w:r>
      <w:r>
        <w:rPr>
          <w:rFonts w:ascii="Arial" w:cs="Arial" w:eastAsia="Arial" w:hAnsi="Arial"/>
          <w:sz w:val="16"/>
          <w:szCs w:val="16"/>
          <w:color w:val="auto"/>
        </w:rPr>
        <w:t xml:space="preserve"> </w:t>
      </w:r>
      <w:r>
        <w:rPr>
          <w:rFonts w:ascii="Arial" w:cs="Arial" w:eastAsia="Arial" w:hAnsi="Arial"/>
          <w:sz w:val="16"/>
          <w:szCs w:val="16"/>
          <w:b w:val="1"/>
          <w:bCs w:val="1"/>
          <w:color w:val="auto"/>
        </w:rPr>
        <w:t>Conversion Privilege</w:t>
      </w:r>
      <w:r>
        <w:rPr>
          <w:rFonts w:ascii="Arial" w:cs="Arial" w:eastAsia="Arial" w:hAnsi="Arial"/>
          <w:sz w:val="16"/>
          <w:szCs w:val="16"/>
          <w:color w:val="auto"/>
        </w:rPr>
        <w:t>”). The Class B Preferred Shares Conversion Privilege may be exercised by notice in writing to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accompanied by a certificate or certificates representing the Class B Preferred Shares in respect of which the holder thereof desires to exercise such right of conversion. Such notice shall be signed by the holder of the Class B Preferred Shares in respect of which such right is being exercised and shall specify the number of Class B Preferred Shares which the holder desires to have converted (the “</w:t>
      </w:r>
      <w:r>
        <w:rPr>
          <w:rFonts w:ascii="Arial" w:cs="Arial" w:eastAsia="Arial" w:hAnsi="Arial"/>
          <w:sz w:val="16"/>
          <w:szCs w:val="16"/>
          <w:b w:val="1"/>
          <w:bCs w:val="1"/>
          <w:color w:val="auto"/>
        </w:rPr>
        <w:t>Converted</w:t>
      </w:r>
      <w:r>
        <w:rPr>
          <w:rFonts w:ascii="Arial" w:cs="Arial" w:eastAsia="Arial" w:hAnsi="Arial"/>
          <w:sz w:val="16"/>
          <w:szCs w:val="16"/>
          <w:color w:val="auto"/>
        </w:rPr>
        <w:t xml:space="preserve"> </w:t>
      </w:r>
      <w:r>
        <w:rPr>
          <w:rFonts w:ascii="Arial" w:cs="Arial" w:eastAsia="Arial" w:hAnsi="Arial"/>
          <w:sz w:val="16"/>
          <w:szCs w:val="16"/>
          <w:b w:val="1"/>
          <w:bCs w:val="1"/>
          <w:color w:val="auto"/>
        </w:rPr>
        <w:t>Class B Preferred Shares</w:t>
      </w:r>
      <w:r>
        <w:rPr>
          <w:rFonts w:ascii="Arial" w:cs="Arial" w:eastAsia="Arial" w:hAnsi="Arial"/>
          <w:sz w:val="16"/>
          <w:szCs w:val="16"/>
          <w:color w:val="auto"/>
        </w:rPr>
        <w:t>”). Upon receipt of such notice by the Corporation, the Converted Class B Preferred Shares shall be irrevocably</w:t>
      </w:r>
      <w:r>
        <w:rPr>
          <w:rFonts w:ascii="Arial" w:cs="Arial" w:eastAsia="Arial" w:hAnsi="Arial"/>
          <w:sz w:val="16"/>
          <w:szCs w:val="16"/>
          <w:b w:val="1"/>
          <w:bCs w:val="1"/>
          <w:color w:val="auto"/>
        </w:rPr>
        <w:t xml:space="preserve"> </w:t>
      </w:r>
      <w:r>
        <w:rPr>
          <w:rFonts w:ascii="Arial" w:cs="Arial" w:eastAsia="Arial" w:hAnsi="Arial"/>
          <w:sz w:val="16"/>
          <w:szCs w:val="16"/>
          <w:color w:val="auto"/>
        </w:rPr>
        <w:t>cancelled and the corresponding fully-paid and non-assessable Common Shares issued, and the Corporation shall issue certificates representing such Common Shares upon the basis herein prescribed and in accordance with the provisions hereof to the holder of Class B Preferred Shares represented by the certificate or certificates accompanying such notice. Such conversion shall be deemed to have been made immediately prior to the close of business on the date of such surrender of the certificates representing the Class B Preferred Shares to be converted (the “</w:t>
      </w:r>
      <w:r>
        <w:rPr>
          <w:rFonts w:ascii="Arial" w:cs="Arial" w:eastAsia="Arial" w:hAnsi="Arial"/>
          <w:sz w:val="16"/>
          <w:szCs w:val="16"/>
          <w:b w:val="1"/>
          <w:bCs w:val="1"/>
          <w:color w:val="auto"/>
        </w:rPr>
        <w:t>Class B Preferred Shares Conversion Date</w:t>
      </w:r>
      <w:r>
        <w:rPr>
          <w:rFonts w:ascii="Arial" w:cs="Arial" w:eastAsia="Arial" w:hAnsi="Arial"/>
          <w:sz w:val="16"/>
          <w:szCs w:val="16"/>
          <w:color w:val="auto"/>
        </w:rPr>
        <w:t>”), and the person or persons entitled to receive the Common Shares issuable upon such conversion shall be treated for all purposes as the holder or holders of record of such Common Shares as of such date. If fewer than all of the Class B Preferred Shares represented by any certificate are to be converted, the holder shall be entitled to receive a new certificate for the Class B Preferred Shares representing the shares comprised in the original certificate which are not to be converted. All Class B Preferred Shares that shall have been surrendered for conversion as herein provided shall no longer be deemed to be outstanding, and all rights with respect to such shares, including the rights, if any, to receive notices and to vote, shall immediately cease and terminate on the Class B Preferred Shares Conversion Date, except only the right of the holders thereof to receive Common Shares in exchange therefor. Any Class B Preferred Shares so converted shall be retired and cancelled.</w:t>
      </w:r>
    </w:p>
    <w:p>
      <w:pPr>
        <w:spacing w:after="0" w:line="11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60"/>
          </w:cols>
          <w:pgMar w:left="860" w:top="270" w:right="479" w:bottom="1440" w:gutter="0" w:footer="0" w:header="0"/>
        </w:sectPr>
      </w:pPr>
    </w:p>
    <w:bookmarkStart w:id="294" w:name="page295"/>
    <w:bookmarkEnd w:id="294"/>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3.3.2 </w:t>
      </w:r>
      <w:r>
        <w:rPr>
          <w:rFonts w:ascii="Arial" w:cs="Arial" w:eastAsia="Arial" w:hAnsi="Arial"/>
          <w:sz w:val="16"/>
          <w:szCs w:val="16"/>
          <w:i w:val="1"/>
          <w:iCs w:val="1"/>
          <w:color w:val="auto"/>
        </w:rPr>
        <w:t>Forced Class B Preferred Shares Conversion.</w:t>
      </w:r>
      <w:r>
        <w:rPr>
          <w:rFonts w:ascii="Arial" w:cs="Arial" w:eastAsia="Arial" w:hAnsi="Arial"/>
          <w:sz w:val="16"/>
          <w:szCs w:val="16"/>
          <w:color w:val="auto"/>
        </w:rPr>
        <w:t xml:space="preserve"> Subject to the terms and conditions hereof, Class B Preferred Shares shall be converted automatically into Common Shares at the then applicable Class B Conversion Rate, without payment of any additional consideration, in accordance with the provisions set forth in this section 3.3.2, upon the occurrence of a Forced Preferred Shares Conversion Event.</w:t>
      </w:r>
    </w:p>
    <w:p>
      <w:pPr>
        <w:spacing w:after="0" w:line="41" w:lineRule="exact"/>
        <w:rPr>
          <w:sz w:val="20"/>
          <w:szCs w:val="20"/>
          <w:color w:val="auto"/>
        </w:rPr>
      </w:pPr>
    </w:p>
    <w:p>
      <w:pPr>
        <w:ind w:left="440" w:right="20"/>
        <w:spacing w:after="0" w:line="288" w:lineRule="auto"/>
        <w:rPr>
          <w:sz w:val="20"/>
          <w:szCs w:val="20"/>
          <w:color w:val="auto"/>
        </w:rPr>
      </w:pPr>
      <w:r>
        <w:rPr>
          <w:rFonts w:ascii="Arial" w:cs="Arial" w:eastAsia="Arial" w:hAnsi="Arial"/>
          <w:sz w:val="16"/>
          <w:szCs w:val="16"/>
          <w:color w:val="auto"/>
        </w:rPr>
        <w:t>3.3.2.1 Upon the occurrence of a Forced Preferred Shares Conversion Event, all the then issued and outstanding Class B Preferred Shares shall be converted automatically without any further action by the holders thereof and whether or not the certificates representing such shares are surrendered to the Corporation or its transfer agent; provided, however, that all holders of Class B Preferred Shares being converted shall be given written notice of the occurrence of a Forced Preferred Shares Conversion Event, including the date such event occurred or is scheduled to occur (in the case of a Qualified IPO) (the “</w:t>
      </w:r>
      <w:r>
        <w:rPr>
          <w:rFonts w:ascii="Arial" w:cs="Arial" w:eastAsia="Arial" w:hAnsi="Arial"/>
          <w:sz w:val="16"/>
          <w:szCs w:val="16"/>
          <w:b w:val="1"/>
          <w:bCs w:val="1"/>
          <w:color w:val="auto"/>
        </w:rPr>
        <w:t>Forced Class B Preferred</w:t>
      </w:r>
      <w:r>
        <w:rPr>
          <w:rFonts w:ascii="Arial" w:cs="Arial" w:eastAsia="Arial" w:hAnsi="Arial"/>
          <w:sz w:val="16"/>
          <w:szCs w:val="16"/>
          <w:color w:val="auto"/>
        </w:rPr>
        <w:t xml:space="preserve"> </w:t>
      </w:r>
      <w:r>
        <w:rPr>
          <w:rFonts w:ascii="Arial" w:cs="Arial" w:eastAsia="Arial" w:hAnsi="Arial"/>
          <w:sz w:val="16"/>
          <w:szCs w:val="16"/>
          <w:b w:val="1"/>
          <w:bCs w:val="1"/>
          <w:color w:val="auto"/>
        </w:rPr>
        <w:t>Shares Conversion Date</w:t>
      </w:r>
      <w:r>
        <w:rPr>
          <w:rFonts w:ascii="Arial" w:cs="Arial" w:eastAsia="Arial" w:hAnsi="Arial"/>
          <w:sz w:val="16"/>
          <w:szCs w:val="16"/>
          <w:color w:val="auto"/>
        </w:rPr>
        <w:t>”), and the Corporation shall not be obligated to issue certificates evidencing the Common Shares issuable</w:t>
      </w:r>
      <w:r>
        <w:rPr>
          <w:rFonts w:ascii="Arial" w:cs="Arial" w:eastAsia="Arial" w:hAnsi="Arial"/>
          <w:sz w:val="16"/>
          <w:szCs w:val="16"/>
          <w:b w:val="1"/>
          <w:bCs w:val="1"/>
          <w:color w:val="auto"/>
        </w:rPr>
        <w:t xml:space="preserve"> </w:t>
      </w:r>
      <w:r>
        <w:rPr>
          <w:rFonts w:ascii="Arial" w:cs="Arial" w:eastAsia="Arial" w:hAnsi="Arial"/>
          <w:sz w:val="16"/>
          <w:szCs w:val="16"/>
          <w:color w:val="auto"/>
        </w:rPr>
        <w:t>upon such conversion unless certificates evidencing such Class B Preferred Shares being converted are either delivered to the Corporation, or its transfer agent, or the holder notifies the Corporation, or its transfer agent, that such certificates have been lost, stolen or destroyed and executes an agreement satisfactory to the Corporation to indemnify the Corporation (and its transfer agent (if applicable)) from any loss incurred by it in connection therewith.</w:t>
      </w:r>
    </w:p>
    <w:p>
      <w:pPr>
        <w:spacing w:after="0" w:line="60" w:lineRule="exact"/>
        <w:rPr>
          <w:sz w:val="20"/>
          <w:szCs w:val="20"/>
          <w:color w:val="auto"/>
        </w:rPr>
      </w:pPr>
    </w:p>
    <w:p>
      <w:pPr>
        <w:ind w:left="440" w:right="60"/>
        <w:spacing w:after="0" w:line="288" w:lineRule="auto"/>
        <w:rPr>
          <w:sz w:val="20"/>
          <w:szCs w:val="20"/>
          <w:color w:val="auto"/>
        </w:rPr>
      </w:pPr>
      <w:r>
        <w:rPr>
          <w:rFonts w:ascii="Arial" w:cs="Arial" w:eastAsia="Arial" w:hAnsi="Arial"/>
          <w:sz w:val="16"/>
          <w:szCs w:val="16"/>
          <w:color w:val="auto"/>
        </w:rPr>
        <w:t>On the Forced Class B Preferred Shares Conversion Date, all rights with respect to the Class B Preferred Shares so converted shall terminate, except for any of the rights of the holder thereof, upon surrender of the holder’s certificate or certificates therefor, to receive certificates for the number of Common Shares into which such Class B Preferred Shares have been converted. Upon the automatic conversion of the Class B Preferred Shares, the holders of such Class B Preferred Shares shall surrender the certificates representing such shares at the registered office of the Corporation or of its transfer agent. Upon surrender of such certificates, the Corporation shall promptly issue and deliver to such holder, in such holder’s name as shown on such surrendered certificate or certificates, a certificate or certificates for the number of Common Shares into which the Class B Preferred Shares surrendered were converted on the Forced Class B Preferred Shares Conversion Date. Such conversion shall be deemed to have been made upon the occurrence of the Forced Preferred Shares Conversion Event and the person or persons entitled to receive the Common Shares issuable upon conversion shall be treated for all purposes as the record holder or holders of such Common Shares at such time.</w:t>
      </w:r>
    </w:p>
    <w:p>
      <w:pPr>
        <w:spacing w:after="0" w:line="10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020"/>
          </w:cols>
          <w:pgMar w:left="1420" w:top="274" w:right="459" w:bottom="1440" w:gutter="0" w:footer="0" w:header="0"/>
        </w:sectPr>
      </w:pPr>
    </w:p>
    <w:bookmarkStart w:id="295" w:name="page296"/>
    <w:bookmarkEnd w:id="29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3.3.3 </w:t>
      </w:r>
      <w:r>
        <w:rPr>
          <w:rFonts w:ascii="Arial" w:cs="Arial" w:eastAsia="Arial" w:hAnsi="Arial"/>
          <w:sz w:val="18"/>
          <w:szCs w:val="18"/>
          <w:i w:val="1"/>
          <w:iCs w:val="1"/>
          <w:color w:val="auto"/>
        </w:rPr>
        <w:t>Class B Conversion Rate.</w:t>
      </w:r>
      <w:r>
        <w:rPr>
          <w:rFonts w:ascii="Arial" w:cs="Arial" w:eastAsia="Arial" w:hAnsi="Arial"/>
          <w:sz w:val="18"/>
          <w:szCs w:val="18"/>
          <w:color w:val="auto"/>
        </w:rPr>
        <w:t xml:space="preserve"> Unless and until adjusted as provided for in this section 3.3, the Class B Preferred Shares shall be converted into that number of Common Shares determined by multiplying the number of Class B Preferred Shares being converted by the quotient of (i) the Class B Initial Issue Price, plus any declared but unpaid dividends on each Class B Preferred Share being converted, divided by (ii) the Class B Conversion Price (as determined reasonably and in good faith by the board of directors of the Corporation) in effect at the time of conversion (the “</w:t>
      </w:r>
      <w:r>
        <w:rPr>
          <w:rFonts w:ascii="Arial" w:cs="Arial" w:eastAsia="Arial" w:hAnsi="Arial"/>
          <w:sz w:val="18"/>
          <w:szCs w:val="18"/>
          <w:b w:val="1"/>
          <w:bCs w:val="1"/>
          <w:color w:val="auto"/>
        </w:rPr>
        <w:t>Class B Conversion Rate</w:t>
      </w:r>
      <w:r>
        <w:rPr>
          <w:rFonts w:ascii="Arial" w:cs="Arial" w:eastAsia="Arial" w:hAnsi="Arial"/>
          <w:sz w:val="18"/>
          <w:szCs w:val="18"/>
          <w:color w:val="auto"/>
        </w:rPr>
        <w:t>”).</w:t>
      </w:r>
    </w:p>
    <w:p>
      <w:pPr>
        <w:spacing w:after="0" w:line="8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3.3.4 </w:t>
      </w:r>
      <w:r>
        <w:rPr>
          <w:rFonts w:ascii="Arial" w:cs="Arial" w:eastAsia="Arial" w:hAnsi="Arial"/>
          <w:sz w:val="18"/>
          <w:szCs w:val="18"/>
          <w:i w:val="1"/>
          <w:iCs w:val="1"/>
          <w:color w:val="auto"/>
        </w:rPr>
        <w:t>Fractional Shares.</w:t>
      </w:r>
      <w:r>
        <w:rPr>
          <w:rFonts w:ascii="Arial" w:cs="Arial" w:eastAsia="Arial" w:hAnsi="Arial"/>
          <w:sz w:val="18"/>
          <w:szCs w:val="18"/>
          <w:color w:val="auto"/>
        </w:rPr>
        <w:t xml:space="preserve"> No fractional Common Shares shall be issued upon conversion of the Class B Preferred Shares pursuant to this section 3.3. All Common Shares (including fractions thereof) issuable upon conversion of more than one Class B Preferred Share by a holder thereof shall be aggregated for the purpose of determining whether the conversion would result in the issuance of any fractional share. If, after the aforementioned aggregation, the conversion would result in the issuance of any fractional Common Share, the Corporation shall, in lieu of issuing such fractional share, pay cash in an amount equal to the product of such fraction multiplied by the then applicable Class B Conversion Rate.</w:t>
      </w:r>
    </w:p>
    <w:p>
      <w:pPr>
        <w:spacing w:after="0" w:line="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3.3.5 </w:t>
      </w:r>
      <w:r>
        <w:rPr>
          <w:rFonts w:ascii="Arial" w:cs="Arial" w:eastAsia="Arial" w:hAnsi="Arial"/>
          <w:sz w:val="17"/>
          <w:szCs w:val="17"/>
          <w:i w:val="1"/>
          <w:iCs w:val="1"/>
          <w:color w:val="auto"/>
        </w:rPr>
        <w:t>Adjustment for Stock Splits and Combinations.</w:t>
      </w:r>
      <w:r>
        <w:rPr>
          <w:rFonts w:ascii="Arial" w:cs="Arial" w:eastAsia="Arial" w:hAnsi="Arial"/>
          <w:sz w:val="17"/>
          <w:szCs w:val="17"/>
          <w:color w:val="auto"/>
        </w:rPr>
        <w:t xml:space="preserve"> If the Corporation shall at any time or from time to time effect a subdivision of the outstanding Common Shares, the Class B Conversion Price in effect immediately before that subdivision shall be proportionately decreased. If the Corporation shall at any time or from time to time combine the outstanding Common Shares, the Class B Conversion Price in effect immediately before the combination shall be proportionately increased. Any adjustment under this paragraph shall become effective at the close of business on the date the subdivision or combination becomes effective.</w:t>
      </w:r>
    </w:p>
    <w:p>
      <w:pPr>
        <w:spacing w:after="0" w:line="6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i w:val="1"/>
          <w:iCs w:val="1"/>
          <w:color w:val="auto"/>
        </w:rPr>
        <w:t>Adjustment for Certain Dividends and Distributions.</w:t>
      </w:r>
      <w:r>
        <w:rPr>
          <w:rFonts w:ascii="Arial" w:cs="Arial" w:eastAsia="Arial" w:hAnsi="Arial"/>
          <w:sz w:val="18"/>
          <w:szCs w:val="18"/>
          <w:color w:val="auto"/>
        </w:rPr>
        <w:t xml:space="preserve"> Upon the occurrence of a Preferred Shares Triggering Event, then and in each such event, the Class B Conversion Price in effect immediately before such event shall be decreased as of the time of such issuance or, in the event such a record date shall have been fixed, as of the close of business on such record date, by multiplying the Class B Conversion Price then in effect by a fraction:</w:t>
      </w:r>
    </w:p>
    <w:p>
      <w:pPr>
        <w:spacing w:after="0" w:line="79" w:lineRule="exact"/>
        <w:rPr>
          <w:sz w:val="20"/>
          <w:szCs w:val="20"/>
          <w:color w:val="auto"/>
        </w:rPr>
      </w:pPr>
    </w:p>
    <w:p>
      <w:pPr>
        <w:ind w:left="440" w:right="300"/>
        <w:spacing w:after="0" w:line="277" w:lineRule="auto"/>
        <w:rPr>
          <w:sz w:val="20"/>
          <w:szCs w:val="20"/>
          <w:color w:val="auto"/>
        </w:rPr>
      </w:pPr>
      <w:r>
        <w:rPr>
          <w:rFonts w:ascii="Arial" w:cs="Arial" w:eastAsia="Arial" w:hAnsi="Arial"/>
          <w:sz w:val="18"/>
          <w:szCs w:val="18"/>
          <w:color w:val="auto"/>
        </w:rPr>
        <w:t>3.3.6.1 the numerator of which shall be the total number of Common Shares issued and outstanding, on an As-Converted Basis, immediately prior to the time of the Preferred Shares Triggering Event, and</w:t>
      </w:r>
    </w:p>
    <w:p>
      <w:pPr>
        <w:spacing w:after="0" w:line="1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940"/>
          </w:cols>
          <w:pgMar w:left="1420" w:top="274" w:right="539" w:bottom="1440" w:gutter="0" w:footer="0" w:header="0"/>
        </w:sectPr>
      </w:pPr>
    </w:p>
    <w:bookmarkStart w:id="296" w:name="page297"/>
    <w:bookmarkEnd w:id="296"/>
    <w:p>
      <w:pPr>
        <w:ind w:left="44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3.3.6.2 the denominator of which shall be the total number of Common Shares issued and outstanding, on an As-Converted Basis, immediately prior to the time of such Preferred Shares Triggering Event plus the number of Common Shares issuable in payment of such dividend or distribution, on an As-Converted Basis.</w:t>
      </w:r>
    </w:p>
    <w:p>
      <w:pPr>
        <w:spacing w:after="0" w:line="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3.3.7 </w:t>
      </w:r>
      <w:r>
        <w:rPr>
          <w:rFonts w:ascii="Arial" w:cs="Arial" w:eastAsia="Arial" w:hAnsi="Arial"/>
          <w:sz w:val="17"/>
          <w:szCs w:val="17"/>
          <w:i w:val="1"/>
          <w:iCs w:val="1"/>
          <w:color w:val="auto"/>
        </w:rPr>
        <w:t>Adjustment for Reclassification, Exchange, or Substitution.</w:t>
      </w:r>
      <w:r>
        <w:rPr>
          <w:rFonts w:ascii="Arial" w:cs="Arial" w:eastAsia="Arial" w:hAnsi="Arial"/>
          <w:sz w:val="17"/>
          <w:szCs w:val="17"/>
          <w:color w:val="auto"/>
        </w:rPr>
        <w:t xml:space="preserve"> If the Common Shares of the Corporation shall be changed into the same or a different number of shares of any class, whether by capital reorganization, reclassification, or otherwise (other than a subdivision or combination of shares or stock dividend provided for above, or a reorganization, merger, amalgamation, arrangement, consolidation, business combination or sale of assets provided for below), then and in each such event holders of Class B Preferred Shares shall have the right thereafter to convert such shares into the kind and amount of shares or other securities or property receivable, upon such reorganization, reclassification or other change, that would have otherwise been receivable by the holders of the number of Common Shares into which such Class B Preferred Shares would have been converted immediately prior to such reorganization, reclassification or change, all subject to further adjustment as provided herein.</w:t>
      </w:r>
    </w:p>
    <w:p>
      <w:pPr>
        <w:spacing w:after="0" w:line="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3.3.8 </w:t>
      </w:r>
      <w:r>
        <w:rPr>
          <w:rFonts w:ascii="Arial" w:cs="Arial" w:eastAsia="Arial" w:hAnsi="Arial"/>
          <w:sz w:val="16"/>
          <w:szCs w:val="16"/>
          <w:i w:val="1"/>
          <w:iCs w:val="1"/>
          <w:color w:val="auto"/>
        </w:rPr>
        <w:t>Adjustment for Merger or Reorganization, etc.</w:t>
      </w:r>
      <w:r>
        <w:rPr>
          <w:rFonts w:ascii="Arial" w:cs="Arial" w:eastAsia="Arial" w:hAnsi="Arial"/>
          <w:sz w:val="16"/>
          <w:szCs w:val="16"/>
          <w:color w:val="auto"/>
        </w:rPr>
        <w:t xml:space="preserve"> In case of any merger, amalgamation, consolidation, arrangement, reorganization or other business combination involving the Corporation and any other corporation or other entity or person (other than a Liquidation Event), each Class B Preferred Share shall thereafter be convertible (or shall be converted into a security which shall be convertible) into the kind and amount of shares or other securities or property to which a holder of the number of Common Shares of the Corporation that would have otherwise been deliverable upon conversion of such Class B Preferred Shares would have been entitled upon such event; and, in such case, appropriate adjustment (as determined in good faith by the board of directors of the Corporation) shall be made in the application of the provisions in this section 3.3 set forth with respect to the rights and interest thereafter of the holders of the Class B Preferred Shares, to the end that the provisions set forth in this section 3.3 (including provisions with respect to changes in and other adjustments of the Class B Conversion Price) shall thereafter be applicable, as nearly as reasonably may be, in relation to any shares or other securities or property thereafter deliverable upon the conversion of the Class B Preferred Shares.</w:t>
      </w:r>
    </w:p>
    <w:p>
      <w:pPr>
        <w:spacing w:after="0" w:line="10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000"/>
          </w:cols>
          <w:pgMar w:left="1420" w:top="274" w:right="47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3.3.9 </w:t>
      </w:r>
      <w:r>
        <w:rPr>
          <w:rFonts w:ascii="Arial" w:cs="Arial" w:eastAsia="Arial" w:hAnsi="Arial"/>
          <w:sz w:val="18"/>
          <w:szCs w:val="18"/>
          <w:i w:val="1"/>
          <w:iCs w:val="1"/>
          <w:color w:val="auto"/>
        </w:rPr>
        <w:t>Anti-Dilution.</w:t>
      </w:r>
    </w:p>
    <w:p>
      <w:pPr>
        <w:spacing w:after="0" w:line="117" w:lineRule="exact"/>
        <w:rPr>
          <w:sz w:val="20"/>
          <w:szCs w:val="20"/>
          <w:color w:val="auto"/>
        </w:rPr>
      </w:pPr>
    </w:p>
    <w:p>
      <w:pPr>
        <w:ind w:left="440" w:right="120"/>
        <w:spacing w:after="0" w:line="293" w:lineRule="auto"/>
        <w:rPr>
          <w:sz w:val="20"/>
          <w:szCs w:val="20"/>
          <w:color w:val="auto"/>
        </w:rPr>
      </w:pPr>
      <w:r>
        <w:rPr>
          <w:rFonts w:ascii="Arial" w:cs="Arial" w:eastAsia="Arial" w:hAnsi="Arial"/>
          <w:sz w:val="16"/>
          <w:szCs w:val="16"/>
          <w:color w:val="auto"/>
        </w:rPr>
        <w:t>3.3.9.1 Unless otherwise agreed by the Requisite Majority Preferred Shareholders, if, at any time or from time to time, the Corporation issues or sells, or is deemed by the express provisions of this section 3.3.9 to have issued or sold, Additional Shares other than in connection with an event referred to in sections 3.3.5, 3.3.6, 3.3.7 and 3.3.8 above and except for Excluded Securities, at an Effective Price which is less than the Class B Conversion Price in effect prior to such issuance or sale, then and in each such case, the then effective Class B Conversion Price shall be reduced as of the opening of business on the date of such issue or sale, to an amount (calculated to the nearest one-hundredth of a cent) determined in accordance with the following formula:</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CP2 = CP1* (A + B) ÷ (A + 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117" w:lineRule="exact"/>
        <w:rPr>
          <w:sz w:val="20"/>
          <w:szCs w:val="20"/>
          <w:color w:val="auto"/>
        </w:rPr>
      </w:pPr>
    </w:p>
    <w:p>
      <w:pPr>
        <w:ind w:left="440" w:right="2000"/>
        <w:spacing w:after="0" w:line="422" w:lineRule="auto"/>
        <w:rPr>
          <w:sz w:val="20"/>
          <w:szCs w:val="20"/>
          <w:color w:val="auto"/>
        </w:rPr>
      </w:pPr>
      <w:r>
        <w:rPr>
          <w:rFonts w:ascii="Arial" w:cs="Arial" w:eastAsia="Arial" w:hAnsi="Arial"/>
          <w:sz w:val="16"/>
          <w:szCs w:val="16"/>
          <w:color w:val="auto"/>
        </w:rPr>
        <w:t>“CP2” means the Class B Conversion Price in effect immediately after such issue of Additional Shares; “CP1” means the Class B Conversion Price in effect immediately before such issue of Additional Shares;</w:t>
      </w:r>
    </w:p>
    <w:p>
      <w:pPr>
        <w:spacing w:after="0" w:line="1"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“A” means the number of Common Shares outstanding immediately before such issue of Additional Shares (treating for this purpose as outstanding all Common Shares issuable upon exercise and/or conversion of Convertible Securities outstanding immediately before such issue (including the Preferred Shares outstanding immediately before such issue));</w:t>
      </w:r>
    </w:p>
    <w:p>
      <w:pPr>
        <w:spacing w:after="0" w:line="76" w:lineRule="exact"/>
        <w:rPr>
          <w:sz w:val="20"/>
          <w:szCs w:val="20"/>
          <w:color w:val="auto"/>
        </w:rPr>
      </w:pPr>
    </w:p>
    <w:p>
      <w:pPr>
        <w:jc w:val="both"/>
        <w:ind w:left="440" w:right="380"/>
        <w:spacing w:after="0" w:line="263" w:lineRule="auto"/>
        <w:rPr>
          <w:sz w:val="20"/>
          <w:szCs w:val="20"/>
          <w:color w:val="auto"/>
        </w:rPr>
      </w:pPr>
      <w:r>
        <w:rPr>
          <w:rFonts w:ascii="Arial" w:cs="Arial" w:eastAsia="Arial" w:hAnsi="Arial"/>
          <w:sz w:val="18"/>
          <w:szCs w:val="18"/>
          <w:color w:val="auto"/>
        </w:rPr>
        <w:t>“B” means the number of Common Shares that would have been issued if such Additional Shares had been issued at a price per share equal to CP1 (determined by dividing the aggregate consideration received by the Corporation in respect of such issue by CP1); and</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means the number of such Additional Shares issued in such transaction.</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020"/>
          </w:cols>
          <w:pgMar w:left="1420" w:top="274" w:right="459" w:bottom="1440" w:gutter="0" w:footer="0" w:header="0"/>
        </w:sectPr>
      </w:pPr>
    </w:p>
    <w:bookmarkStart w:id="298" w:name="page299"/>
    <w:bookmarkEnd w:id="298"/>
    <w:p>
      <w:pPr>
        <w:ind w:left="4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3.3.9.2 For the purpose of making any adjustment required under this section 3.3.9, the consideration received by the Corporation for any issue or sale of securities shall (A) to the extent it consists of cash, be computed at the net amount of cash received by the Corporation after deduction of any underwriting or similar commissions, compensation or concessions paid or allowed by the Corporation in connection with such issue or sale but without deduction of any other expenses payable by the Corporation, (B) to the extent it consists of property other than cash, be computed at the fair value of that property as determined in good faith by the board of directors of the Corporation, and (C) to the extent that Additional Shares are issued or sold together with other shares or securities or other assets of the Corporation for a consideration which covers both, be computed at the portion of the consideration so received that may be reasonably determined in good faith by the board of directors of the Corporation to be allocable to such Additional Shares.</w:t>
      </w:r>
    </w:p>
    <w:p>
      <w:pPr>
        <w:spacing w:after="0" w:line="88" w:lineRule="exact"/>
        <w:rPr>
          <w:sz w:val="20"/>
          <w:szCs w:val="20"/>
          <w:color w:val="auto"/>
        </w:rPr>
      </w:pPr>
    </w:p>
    <w:p>
      <w:pPr>
        <w:ind w:left="420" w:right="20"/>
        <w:spacing w:after="0" w:line="286" w:lineRule="auto"/>
        <w:rPr>
          <w:sz w:val="20"/>
          <w:szCs w:val="20"/>
          <w:color w:val="auto"/>
        </w:rPr>
      </w:pPr>
      <w:r>
        <w:rPr>
          <w:rFonts w:ascii="Arial" w:cs="Arial" w:eastAsia="Arial" w:hAnsi="Arial"/>
          <w:sz w:val="16"/>
          <w:szCs w:val="16"/>
          <w:color w:val="auto"/>
        </w:rPr>
        <w:t xml:space="preserve">3.3.9.3 For the purpose of the adjustment required under this section 3.3.9, if the Corporation issues or sells shares or other Convertible Securities convertible into Additional Shares, in each case other than in connection with an event referred to in sections 3.3.5, 3.3.6, 3.3.7 and 3.3.8 above and except for Excluded Securities, and if the Effective Price of such Additional Shares is less than the Class B Conversion Price then in effect, in each case the Corporation shall be deemed to have issued at the time of the issuance of such Convertible Securities the maximum number of Additional Shares issuable upon exercise or conversion thereof and to have received as consideration for the issuance of such shares an amount equal to the total amount of the consideration, if any, received by the Corporation for the issuance of such Convertible Securities, plus the minimum amounts of consideration, if any, payable to the Corporation upon the conversion thereof;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the minimum amount of consideration payable to the Corporation upon the exercise or conversion of Convertible Securities is reduced over time or on the occurrence or non-occurrence of specified events other than by reason of anti-dilution adjustments, the Effective Price shall be recalculated using the number to which such minimum amount of consideration is reduced;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minimum amount of consideration payable to the Corporation upon the exercise or conversion of such Convertible Securities is subsequently increased, the Effective Price shall be recalculated using the increased minimum amount of consideration payable to the Corporation upon the</w:t>
      </w:r>
    </w:p>
    <w:p>
      <w:pPr>
        <w:spacing w:after="0" w:line="10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000"/>
          </w:cols>
          <w:pgMar w:left="1440" w:top="274" w:right="459" w:bottom="1440" w:gutter="0" w:footer="0" w:header="0"/>
        </w:sectPr>
      </w:pPr>
    </w:p>
    <w:bookmarkStart w:id="299" w:name="page300"/>
    <w:bookmarkEnd w:id="299"/>
    <w:p>
      <w:pPr>
        <w:ind w:left="440"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exercise or conversion of such Convertible Securities;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a Class B Conversion Price be adjusted above the Class B Conversion Price in effect immediately prior to the particular adjustment required under this section 3.3.9. No further adjustment of a Class B Conversion Price as adjusted upon the issuance of such Convertible Securities shall be made as a result of the actual issuance of Additional Shares on the exercise or conversion of any such Convertible Securities. If any such conversion privilege represented by any such Convertible Securities shall expire without having been exercised, the Class B Conversion Price as adjusted upon the issuance of such Convertible Securities shall be readjusted to the Class B Conversion Price which would have been in effect had an adjustment been made on the basis that the only Additional Shares so issued were the Additional Shares, if any, actually issued or sold on the exercise of such rights of conversion of such Convertible Securities, and such Additional Shares, if any, were issued or sold for: (A) the consideration, if any, actually received by the Corporation upon the exercise or conversion of such Convertible Securities, plus (B) the consideration, if any, actually received by the Corporation for the granting or the issue and sale of the Convertible Securities, whether or not exercised or converted, provided that such readjustment shall not apply to prior conversions of Class B Preferred Shares.</w:t>
      </w:r>
    </w:p>
    <w:p>
      <w:pPr>
        <w:spacing w:after="0" w:line="6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3.3.10 </w:t>
      </w:r>
      <w:r>
        <w:rPr>
          <w:rFonts w:ascii="Arial" w:cs="Arial" w:eastAsia="Arial" w:hAnsi="Arial"/>
          <w:sz w:val="17"/>
          <w:szCs w:val="17"/>
          <w:i w:val="1"/>
          <w:iCs w:val="1"/>
          <w:color w:val="auto"/>
        </w:rPr>
        <w:t>Certificate of Adjustment.</w:t>
      </w:r>
      <w:r>
        <w:rPr>
          <w:rFonts w:ascii="Arial" w:cs="Arial" w:eastAsia="Arial" w:hAnsi="Arial"/>
          <w:sz w:val="17"/>
          <w:szCs w:val="17"/>
          <w:color w:val="auto"/>
        </w:rPr>
        <w:t xml:space="preserve"> In each case of an adjustment or readjustment of a Class B Conversion Price, as the case may be, or the number of Common Shares or other securities issuable upon conversion of the Class B Preferred Shares, the Corporation, at its expense, shall compute such adjustment or readjustment in accordance with the provisions hereof and prepare a certificate showing such adjustment or readjustment, and shall mail such certificate, by first class mail, postage prepaid, to each registered holder of Class B Preferred Shares at the holder’s address as shown in the Corporation’s books. The certificate shall set forth such adjustment or readjustment showing in reasonable detail the facts upon which such adjustment or readjustment is based.</w:t>
      </w:r>
    </w:p>
    <w:p>
      <w:pPr>
        <w:spacing w:after="0" w:line="70"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 xml:space="preserve">3.3.11 </w:t>
      </w:r>
      <w:r>
        <w:rPr>
          <w:rFonts w:ascii="Arial" w:cs="Arial" w:eastAsia="Arial" w:hAnsi="Arial"/>
          <w:sz w:val="16"/>
          <w:szCs w:val="16"/>
          <w:i w:val="1"/>
          <w:iCs w:val="1"/>
          <w:color w:val="auto"/>
        </w:rPr>
        <w:t>Effect of Conversion.</w:t>
      </w:r>
      <w:r>
        <w:rPr>
          <w:rFonts w:ascii="Arial" w:cs="Arial" w:eastAsia="Arial" w:hAnsi="Arial"/>
          <w:sz w:val="16"/>
          <w:szCs w:val="16"/>
          <w:color w:val="auto"/>
        </w:rPr>
        <w:t xml:space="preserve"> All Class B Preferred Shares that shall have been surrendered for conversion as herein provided shall no longer be deemed to be outstanding, and all rights with respect to such shares, including the rights, if any, to receive notices and to vote, shall immediately cease and terminate on the Class B Preferred Shares Conversion Date, except only the right of the holders thereof to receive Common Shares in exchange therefor. Any Class B Preferred Shares so converted shall be retired and cancelled.</w:t>
      </w:r>
    </w:p>
    <w:p>
      <w:pPr>
        <w:spacing w:after="0" w:line="9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040"/>
          </w:cols>
          <w:pgMar w:left="1420" w:top="274" w:right="439" w:bottom="1440" w:gutter="0" w:footer="0" w:header="0"/>
        </w:sectPr>
      </w:pPr>
    </w:p>
    <w:bookmarkStart w:id="300" w:name="page301"/>
    <w:bookmarkEnd w:id="300"/>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3.4</w:t>
      </w:r>
      <w:r>
        <w:rPr>
          <w:sz w:val="20"/>
          <w:szCs w:val="20"/>
          <w:color w:val="auto"/>
        </w:rPr>
        <w:tab/>
      </w:r>
      <w:r>
        <w:rPr>
          <w:rFonts w:ascii="Arial" w:cs="Arial" w:eastAsia="Arial" w:hAnsi="Arial"/>
          <w:sz w:val="16"/>
          <w:szCs w:val="16"/>
          <w:b w:val="1"/>
          <w:bCs w:val="1"/>
          <w:color w:val="auto"/>
        </w:rPr>
        <w:t>Liquidation Event.</w:t>
      </w:r>
    </w:p>
    <w:p>
      <w:pPr>
        <w:spacing w:after="0" w:line="121"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 xml:space="preserve">3.4.1 In the event of a Liquidation Event, each holder of outstanding Class B Preferred Shares shall be entitled,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holders of Class A Preferred Shares, to receive, in priority to any distribution of the property or assets of the Corporation to the holders of Common Shares, out of the assets of the Corporation legally available for distribution to the holders of Shares of the capital of the Corporation an amount per Class B Preferred Share in cash (the “</w:t>
      </w:r>
      <w:r>
        <w:rPr>
          <w:rFonts w:ascii="Arial" w:cs="Arial" w:eastAsia="Arial" w:hAnsi="Arial"/>
          <w:sz w:val="18"/>
          <w:szCs w:val="18"/>
          <w:b w:val="1"/>
          <w:bCs w:val="1"/>
          <w:color w:val="auto"/>
        </w:rPr>
        <w:t>Class B Preferred Shares Liquidation Preference</w:t>
      </w:r>
      <w:r>
        <w:rPr>
          <w:rFonts w:ascii="Arial" w:cs="Arial" w:eastAsia="Arial" w:hAnsi="Arial"/>
          <w:sz w:val="18"/>
          <w:szCs w:val="18"/>
          <w:color w:val="auto"/>
        </w:rPr>
        <w:t>”) calculated as follows:</w:t>
      </w:r>
    </w:p>
    <w:p>
      <w:pPr>
        <w:spacing w:after="0" w:line="8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Class B Preferred Shares Liquidation Preference = A + B</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where:</w:t>
      </w:r>
    </w:p>
    <w:p>
      <w:pPr>
        <w:spacing w:after="0" w:line="113" w:lineRule="exact"/>
        <w:rPr>
          <w:sz w:val="20"/>
          <w:szCs w:val="20"/>
          <w:color w:val="auto"/>
        </w:rPr>
      </w:pPr>
    </w:p>
    <w:p>
      <w:pPr>
        <w:ind w:left="1000"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 means the aggregate of all declared but unpaid dividends on said Class B Preferred Share up to and including the date of said Liquidation Event;</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w:t>
      </w:r>
      <w:r>
        <w:rPr>
          <w:rFonts w:ascii="Arial" w:cs="Arial" w:eastAsia="Arial" w:hAnsi="Arial"/>
          <w:sz w:val="18"/>
          <w:szCs w:val="18"/>
          <w:color w:val="auto"/>
        </w:rPr>
        <w:t>” means the Class B Initial Issue Price of said Class B Preferred Share.</w:t>
      </w:r>
    </w:p>
    <w:p>
      <w:pPr>
        <w:spacing w:after="0" w:line="121" w:lineRule="exact"/>
        <w:rPr>
          <w:sz w:val="20"/>
          <w:szCs w:val="20"/>
          <w:color w:val="auto"/>
        </w:rPr>
      </w:pPr>
    </w:p>
    <w:p>
      <w:pPr>
        <w:ind w:left="560" w:right="20"/>
        <w:spacing w:after="0" w:line="257" w:lineRule="auto"/>
        <w:rPr>
          <w:sz w:val="20"/>
          <w:szCs w:val="20"/>
          <w:color w:val="auto"/>
        </w:rPr>
      </w:pPr>
      <w:r>
        <w:rPr>
          <w:rFonts w:ascii="Arial" w:cs="Arial" w:eastAsia="Arial" w:hAnsi="Arial"/>
          <w:sz w:val="18"/>
          <w:szCs w:val="18"/>
          <w:color w:val="auto"/>
        </w:rPr>
        <w:t xml:space="preserve">If, upon any Liquidation Event, the amount available for distribution among the holders of all outstanding Preferred Shares is insufficient to permit the payment of the Preferred Shares Liquidation Preference in full, then the amount available for distribution shall be distributed among holders of the Preferred Shares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and pro rata basis determined by reference to the fraction which the aggregate Class A Preferred Shares Liquidation Preference or Class B Preferred Shares Liquidation Preference, as the case may be, bears to the Preferred Shares Liquidation Preference.</w:t>
      </w:r>
    </w:p>
    <w:p>
      <w:pPr>
        <w:spacing w:after="0" w:line="80" w:lineRule="exact"/>
        <w:rPr>
          <w:sz w:val="20"/>
          <w:szCs w:val="20"/>
          <w:color w:val="auto"/>
        </w:rPr>
      </w:pPr>
    </w:p>
    <w:p>
      <w:pPr>
        <w:ind w:left="560" w:right="260"/>
        <w:spacing w:after="0" w:line="263" w:lineRule="auto"/>
        <w:rPr>
          <w:sz w:val="20"/>
          <w:szCs w:val="20"/>
          <w:color w:val="auto"/>
        </w:rPr>
      </w:pPr>
      <w:r>
        <w:rPr>
          <w:rFonts w:ascii="Arial" w:cs="Arial" w:eastAsia="Arial" w:hAnsi="Arial"/>
          <w:sz w:val="18"/>
          <w:szCs w:val="18"/>
          <w:color w:val="auto"/>
        </w:rPr>
        <w:t>3.4.2 After satisfying the Preferred Shares Liquidation Preference, the holders of record of Class B Preferred Shares shall be entitled to receive ratably with the holders of Class A Preferred Shares and Common Shares the residual assets of the Corporation upon the occurrence of a Liquidation Event on an As-Converted Basis.</w:t>
      </w:r>
    </w:p>
    <w:p>
      <w:pPr>
        <w:spacing w:after="0" w:line="76" w:lineRule="exact"/>
        <w:rPr>
          <w:sz w:val="20"/>
          <w:szCs w:val="20"/>
          <w:color w:val="auto"/>
        </w:rPr>
      </w:pPr>
    </w:p>
    <w:p>
      <w:pPr>
        <w:ind w:left="560" w:right="120"/>
        <w:spacing w:after="0" w:line="263" w:lineRule="auto"/>
        <w:rPr>
          <w:sz w:val="20"/>
          <w:szCs w:val="20"/>
          <w:color w:val="auto"/>
        </w:rPr>
      </w:pPr>
      <w:r>
        <w:rPr>
          <w:rFonts w:ascii="Arial" w:cs="Arial" w:eastAsia="Arial" w:hAnsi="Arial"/>
          <w:sz w:val="18"/>
          <w:szCs w:val="18"/>
          <w:color w:val="auto"/>
        </w:rPr>
        <w:t>3.4.3 The Corporation shall not have the power to effect a Liquidation Event that constitutes a merger, amalgamation, arrangement or consolidation in which the Corporation is a constituent party unless the Merger Agreement provides that the consideration payable to the Shareholders shall be allocated among the Shareholders in accordance with this section 3.4.</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40"/>
          </w:cols>
          <w:pgMar w:left="860" w:top="270" w:right="499" w:bottom="1440" w:gutter="0" w:footer="0" w:header="0"/>
        </w:sectPr>
      </w:pPr>
    </w:p>
    <w:bookmarkStart w:id="301" w:name="page302"/>
    <w:bookmarkEnd w:id="301"/>
    <w:p>
      <w:pPr>
        <w:ind w:left="984"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3.4.4 In the event of a Liquidation Event pursuant to this section 3.4, if any Additional Consideration is payable to the Shareholders only upon satisfaction of contingencies, the Merger Agreement shall provide that (i) the Initial Consideration shall be allocated among the Shareholders in accordance with section 3.4.1 as if the Initial Consideration were the only consideration payable in connection with such Liquidation Event; and (ii) any Additional Consideration which becomes payable to the Shareholders upon satisfaction of such contingencies shall be allocated among the Shareholders in accordance with section 3.4 after taking into account the previous payment of the Initial Consideration as part of the same transaction. For the purposes of this section 3.4.4, consideration placed into escrow or retained as a holdback to be available for satisfaction of indemnification or similar obligations in connection with such Liquidation Event shall be deemed to be Additional Consideration.</w:t>
      </w:r>
    </w:p>
    <w:p>
      <w:pPr>
        <w:spacing w:after="0" w:line="70" w:lineRule="exact"/>
        <w:rPr>
          <w:sz w:val="20"/>
          <w:szCs w:val="20"/>
          <w:color w:val="auto"/>
        </w:rPr>
      </w:pPr>
    </w:p>
    <w:p>
      <w:pPr>
        <w:ind w:left="984" w:right="120"/>
        <w:spacing w:after="0" w:line="277" w:lineRule="auto"/>
        <w:rPr>
          <w:sz w:val="20"/>
          <w:szCs w:val="20"/>
          <w:color w:val="auto"/>
        </w:rPr>
      </w:pPr>
      <w:r>
        <w:rPr>
          <w:rFonts w:ascii="Arial" w:cs="Arial" w:eastAsia="Arial" w:hAnsi="Arial"/>
          <w:sz w:val="18"/>
          <w:szCs w:val="18"/>
          <w:color w:val="auto"/>
        </w:rPr>
        <w:t>3.4.5 After payment has been made in full as provided in sections 3.4.1 and 3.4.2, the Corporation shall have satisfied its obligations with respect to the Class B Preferred Shares Liquidation Preference.</w:t>
      </w:r>
    </w:p>
    <w:p>
      <w:pPr>
        <w:spacing w:after="0" w:line="62" w:lineRule="exact"/>
        <w:rPr>
          <w:sz w:val="20"/>
          <w:szCs w:val="20"/>
          <w:color w:val="auto"/>
        </w:rPr>
      </w:pPr>
    </w:p>
    <w:p>
      <w:pPr>
        <w:ind w:left="984"/>
        <w:spacing w:after="0" w:line="277" w:lineRule="auto"/>
        <w:rPr>
          <w:sz w:val="20"/>
          <w:szCs w:val="20"/>
          <w:color w:val="auto"/>
        </w:rPr>
      </w:pPr>
      <w:r>
        <w:rPr>
          <w:rFonts w:ascii="Arial" w:cs="Arial" w:eastAsia="Arial" w:hAnsi="Arial"/>
          <w:sz w:val="18"/>
          <w:szCs w:val="18"/>
          <w:color w:val="auto"/>
        </w:rPr>
        <w:t>3.4.6 In the event of a Liquidation Event, no dividend or other distribution of any amount shall be made in respect of Common Shares until the Corporation has satisfied its obligations with respect to the Preferred Shares Liquidation Preference.</w:t>
      </w:r>
    </w:p>
    <w:p>
      <w:pPr>
        <w:spacing w:after="0" w:line="62" w:lineRule="exact"/>
        <w:rPr>
          <w:sz w:val="20"/>
          <w:szCs w:val="20"/>
          <w:color w:val="auto"/>
        </w:rPr>
      </w:pPr>
    </w:p>
    <w:p>
      <w:pPr>
        <w:ind w:left="984" w:right="80"/>
        <w:spacing w:after="0" w:line="277" w:lineRule="auto"/>
        <w:rPr>
          <w:sz w:val="20"/>
          <w:szCs w:val="20"/>
          <w:color w:val="auto"/>
        </w:rPr>
      </w:pPr>
      <w:r>
        <w:rPr>
          <w:rFonts w:ascii="Arial" w:cs="Arial" w:eastAsia="Arial" w:hAnsi="Arial"/>
          <w:sz w:val="18"/>
          <w:szCs w:val="18"/>
          <w:color w:val="auto"/>
        </w:rPr>
        <w:t>3.4.7 In the event of distribution of property and assets other than cash pursuant to any provision of this Schedule A, the valuation of such property and assets shall be determined in good faith by the board of directors of the Corporation.</w:t>
      </w:r>
    </w:p>
    <w:p>
      <w:pPr>
        <w:spacing w:after="0" w:line="315" w:lineRule="exact"/>
        <w:rPr>
          <w:sz w:val="20"/>
          <w:szCs w:val="20"/>
          <w:color w:val="auto"/>
        </w:rPr>
      </w:pPr>
    </w:p>
    <w:p>
      <w:pPr>
        <w:ind w:left="544" w:hanging="544"/>
        <w:spacing w:after="0"/>
        <w:tabs>
          <w:tab w:leader="none" w:pos="544"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COMMON SHARES</w:t>
      </w:r>
    </w:p>
    <w:p>
      <w:pPr>
        <w:spacing w:after="0" w:line="131"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Voting Rights.</w:t>
      </w:r>
    </w:p>
    <w:p>
      <w:pPr>
        <w:spacing w:after="0" w:line="121" w:lineRule="exact"/>
        <w:rPr>
          <w:sz w:val="20"/>
          <w:szCs w:val="20"/>
          <w:color w:val="auto"/>
        </w:rPr>
      </w:pPr>
    </w:p>
    <w:p>
      <w:pPr>
        <w:ind w:left="984" w:right="60"/>
        <w:spacing w:after="0" w:line="277" w:lineRule="auto"/>
        <w:rPr>
          <w:sz w:val="20"/>
          <w:szCs w:val="20"/>
          <w:color w:val="auto"/>
        </w:rPr>
      </w:pPr>
      <w:r>
        <w:rPr>
          <w:rFonts w:ascii="Arial" w:cs="Arial" w:eastAsia="Arial" w:hAnsi="Arial"/>
          <w:sz w:val="18"/>
          <w:szCs w:val="18"/>
          <w:color w:val="auto"/>
        </w:rPr>
        <w:t>4.1.1 The holders of Common Shares shall be entitled to receive notice of attend and vote at all meetings of shareholders, except meetings at which only holders of another specified class of Shares are entitled to vote.</w:t>
      </w:r>
    </w:p>
    <w:p>
      <w:pPr>
        <w:spacing w:after="0" w:line="62" w:lineRule="exact"/>
        <w:rPr>
          <w:sz w:val="20"/>
          <w:szCs w:val="20"/>
          <w:color w:val="auto"/>
        </w:rPr>
      </w:pPr>
    </w:p>
    <w:p>
      <w:pPr>
        <w:ind w:left="984" w:right="280"/>
        <w:spacing w:after="0" w:line="308" w:lineRule="auto"/>
        <w:rPr>
          <w:sz w:val="20"/>
          <w:szCs w:val="20"/>
          <w:color w:val="auto"/>
        </w:rPr>
      </w:pPr>
      <w:r>
        <w:rPr>
          <w:rFonts w:ascii="Arial" w:cs="Arial" w:eastAsia="Arial" w:hAnsi="Arial"/>
          <w:sz w:val="17"/>
          <w:szCs w:val="17"/>
          <w:color w:val="auto"/>
        </w:rPr>
        <w:t>4.1.2 The holders of Preferred Shares and the holders of Common Shares shall vote as a single class, except for meetings at which only holders of a specified class of shares are entitled to vote. Each Common Share shall entitle its holder to one vote.</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302" w:name="page303"/>
    <w:bookmarkEnd w:id="302"/>
    <w:p>
      <w:pPr>
        <w:ind w:left="984"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4.1.3 Holders of Common Shares of any class shall not be entitled to vote separately as a class, or to exercise dissent rights under section 190 of the Act, upon a proposal to amend the articles (whether by articles of amendment or articles of amalgamation) of the Corporation to: (i) increase or decrease any maximum number of authorized Shares of such class, or increase any maximum number of authorized shares of a class having rights or privileges equal or superior to the Shares of such class; (ii) effect an exchange, reclassification or cancellation of all or part of the Shares of such class and (iii) create a new class or series of shares equal or superior to the Shares of such class.</w:t>
      </w:r>
    </w:p>
    <w:p>
      <w:pPr>
        <w:spacing w:after="0" w:line="94"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Dividends.</w:t>
      </w:r>
    </w:p>
    <w:p>
      <w:pPr>
        <w:spacing w:after="0" w:line="121" w:lineRule="exact"/>
        <w:rPr>
          <w:sz w:val="20"/>
          <w:szCs w:val="20"/>
          <w:color w:val="auto"/>
        </w:rPr>
      </w:pPr>
    </w:p>
    <w:p>
      <w:pPr>
        <w:ind w:left="444" w:firstLine="423"/>
        <w:spacing w:after="0" w:line="272" w:lineRule="auto"/>
        <w:rPr>
          <w:sz w:val="20"/>
          <w:szCs w:val="20"/>
          <w:color w:val="auto"/>
        </w:rPr>
      </w:pPr>
      <w:r>
        <w:rPr>
          <w:rFonts w:ascii="Arial" w:cs="Arial" w:eastAsia="Arial" w:hAnsi="Arial"/>
          <w:sz w:val="17"/>
          <w:szCs w:val="17"/>
          <w:color w:val="auto"/>
        </w:rPr>
        <w:t>Subject to the Class A Preferred Dividend Obligations and Class B Preferred Dividend Obligations, the holders of Common Shares shall be entitled to receive any dividends payable in cash, in kind or by way of issuance of fully-paid shares at such times and in such manner as the board of directors may determine in their discretion ratably and on an As-Converted Basis with the holders of Preferred Shares. For the avoidance of doubt, no dividend shall be paid on the Common Shares unless (a) the payment of any outstanding Class A Preferred Dividend Obligations and Class B Preferred Dividend Obligations has been fully satisfied (unless such obligations are waived in whole or in part pursuant to a prior written consent of the Requisite Majority Preferred Shareholders), and (b) the dividends are at the same time paid with respect to the Common Shares and the Preferred Shares on an As-Converted Basis.</w:t>
      </w:r>
    </w:p>
    <w:p>
      <w:pPr>
        <w:spacing w:after="0" w:line="79"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Liquidation.</w:t>
      </w:r>
    </w:p>
    <w:p>
      <w:pPr>
        <w:spacing w:after="0" w:line="121" w:lineRule="exact"/>
        <w:rPr>
          <w:sz w:val="20"/>
          <w:szCs w:val="20"/>
          <w:color w:val="auto"/>
        </w:rPr>
      </w:pPr>
    </w:p>
    <w:p>
      <w:pPr>
        <w:ind w:left="444" w:right="40" w:firstLine="423"/>
        <w:spacing w:after="0" w:line="342" w:lineRule="auto"/>
        <w:rPr>
          <w:sz w:val="20"/>
          <w:szCs w:val="20"/>
          <w:color w:val="auto"/>
        </w:rPr>
      </w:pPr>
      <w:r>
        <w:rPr>
          <w:rFonts w:ascii="Arial" w:cs="Arial" w:eastAsia="Arial" w:hAnsi="Arial"/>
          <w:sz w:val="16"/>
          <w:szCs w:val="16"/>
          <w:color w:val="auto"/>
        </w:rPr>
        <w:t>Subject to the Preferred Shares Liquidation Preference, the holders of record of Preferred Shares shall be entitled to receive ratably with the holders record of Common Shares the residual assets of the Corporation upon the occurrence of a Liquidation Event on an As-Converted Basis.</w:t>
      </w:r>
    </w:p>
    <w:p>
      <w:pPr>
        <w:spacing w:after="0" w:line="268" w:lineRule="exact"/>
        <w:rPr>
          <w:sz w:val="20"/>
          <w:szCs w:val="20"/>
          <w:color w:val="auto"/>
        </w:rPr>
      </w:pPr>
    </w:p>
    <w:p>
      <w:pPr>
        <w:ind w:left="544" w:hanging="544"/>
        <w:spacing w:after="0"/>
        <w:tabs>
          <w:tab w:leader="none" w:pos="544"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LIQUIDATION OF PROPERTY</w:t>
      </w:r>
    </w:p>
    <w:p>
      <w:pPr>
        <w:spacing w:after="0" w:line="121"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In the event of distribution of property and assets other than cash pursuant to any provision of this Schedule A, the valuation of such property and assets shall be determined in good faith by the board of directors of the Corporation.</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4"/>
          </w:cols>
          <w:pgMar w:left="436" w:top="274" w:right="49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07" w:lineRule="exact"/>
        <w:rPr>
          <w:sz w:val="20"/>
          <w:szCs w:val="20"/>
          <w:color w:val="auto"/>
        </w:rPr>
      </w:pPr>
    </w:p>
    <w:p>
      <w:pPr>
        <w:ind w:left="4780" w:hanging="172"/>
        <w:spacing w:after="0"/>
        <w:tabs>
          <w:tab w:leader="none" w:pos="478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INTERPRETATION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 Expressions used in this By-law shall have the same meanings as corresponding expressions in the </w:t>
      </w:r>
      <w:r>
        <w:rPr>
          <w:rFonts w:ascii="Arial" w:cs="Arial" w:eastAsia="Arial" w:hAnsi="Arial"/>
          <w:sz w:val="16"/>
          <w:szCs w:val="16"/>
          <w:i w:val="1"/>
          <w:iCs w:val="1"/>
          <w:color w:val="auto"/>
        </w:rPr>
        <w:t>Canada Business Corporations Act</w:t>
      </w:r>
      <w:r>
        <w:rPr>
          <w:rFonts w:ascii="Arial" w:cs="Arial" w:eastAsia="Arial" w:hAnsi="Arial"/>
          <w:sz w:val="16"/>
          <w:szCs w:val="16"/>
          <w:color w:val="auto"/>
        </w:rPr>
        <w:t xml:space="preserve"> (the “Act”).</w:t>
      </w:r>
    </w:p>
    <w:p>
      <w:pPr>
        <w:spacing w:after="0" w:line="352" w:lineRule="exact"/>
        <w:rPr>
          <w:sz w:val="20"/>
          <w:szCs w:val="20"/>
          <w:color w:val="auto"/>
        </w:rPr>
      </w:pPr>
    </w:p>
    <w:p>
      <w:pPr>
        <w:ind w:left="4760" w:hanging="172"/>
        <w:spacing w:after="0"/>
        <w:tabs>
          <w:tab w:leader="none" w:pos="476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CORPORATE SEAL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2.1 The directors may, but need not, adopt a corporate seal, and may change a corporate seal that is adopted.</w:t>
      </w:r>
    </w:p>
    <w:p>
      <w:pPr>
        <w:spacing w:after="0" w:line="329" w:lineRule="exact"/>
        <w:rPr>
          <w:sz w:val="20"/>
          <w:szCs w:val="20"/>
          <w:color w:val="auto"/>
        </w:rPr>
      </w:pPr>
    </w:p>
    <w:p>
      <w:pPr>
        <w:ind w:left="4800" w:hanging="173"/>
        <w:spacing w:after="0"/>
        <w:tabs>
          <w:tab w:leader="none" w:pos="480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FINANCIAL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3.1 Until changed by the directors, the financial year of the Corporation shall end on the last day of December in each year.</w:t>
      </w:r>
    </w:p>
    <w:p>
      <w:pPr>
        <w:spacing w:after="0" w:line="329" w:lineRule="exact"/>
        <w:rPr>
          <w:sz w:val="20"/>
          <w:szCs w:val="20"/>
          <w:color w:val="auto"/>
        </w:rPr>
      </w:pPr>
    </w:p>
    <w:p>
      <w:pPr>
        <w:ind w:left="5060" w:hanging="179"/>
        <w:spacing w:after="0"/>
        <w:tabs>
          <w:tab w:leader="none" w:pos="506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Number</w:t>
      </w:r>
      <w:r>
        <w:rPr>
          <w:rFonts w:ascii="Arial" w:cs="Arial" w:eastAsia="Arial" w:hAnsi="Arial"/>
          <w:sz w:val="16"/>
          <w:szCs w:val="16"/>
          <w:color w:val="auto"/>
        </w:rPr>
        <w:t>. The number of directors shall be not fewer than the minimum and not more than the maximum provided in the articles. At each election of directors the number elected shall be the number of directors then in office unless the directors or the shareholders otherwise determine.</w:t>
      </w:r>
    </w:p>
    <w:p>
      <w:pPr>
        <w:spacing w:after="0" w:line="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Quorum</w:t>
      </w:r>
      <w:r>
        <w:rPr>
          <w:rFonts w:ascii="Arial" w:cs="Arial" w:eastAsia="Arial" w:hAnsi="Arial"/>
          <w:sz w:val="18"/>
          <w:szCs w:val="18"/>
          <w:color w:val="auto"/>
        </w:rPr>
        <w:t>. A quorum of directors shall be a majority of directors or, such greater or lesser number as the directors or shareholders may from time to time determine.</w:t>
      </w:r>
    </w:p>
    <w:p>
      <w:pPr>
        <w:spacing w:after="0" w:line="5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Calling of Meetings</w:t>
      </w:r>
      <w:r>
        <w:rPr>
          <w:rFonts w:ascii="Arial" w:cs="Arial" w:eastAsia="Arial" w:hAnsi="Arial"/>
          <w:sz w:val="18"/>
          <w:szCs w:val="18"/>
          <w:color w:val="auto"/>
        </w:rPr>
        <w:t>. Meetings of the directors shall be held at such time and place as the Chair of the Board, the President or any two directors may determine.</w:t>
      </w:r>
    </w:p>
    <w:p>
      <w:pPr>
        <w:spacing w:after="0" w:line="5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u w:val="single" w:color="auto"/>
          <w:color w:val="auto"/>
        </w:rPr>
        <w:t>Notice of Meeting</w:t>
      </w:r>
      <w:r>
        <w:rPr>
          <w:rFonts w:ascii="Arial" w:cs="Arial" w:eastAsia="Arial" w:hAnsi="Arial"/>
          <w:sz w:val="18"/>
          <w:szCs w:val="18"/>
          <w:color w:val="auto"/>
        </w:rPr>
        <w:t>. Notice of the time and place of each meeting of directors shall be given to each director by telephone not less than 48 hours before the time of the meeting or by written notice not less than four days before the date of the meeting, provided that the first meeting immediately following a meeting of shareholders at which directors are elected may be held without notice if a quorum is present. Meetings may be held without notice if the directors waive or are deemed to waive notice.</w:t>
      </w:r>
    </w:p>
    <w:p>
      <w:pPr>
        <w:spacing w:after="0" w:line="72" w:lineRule="exact"/>
        <w:rPr>
          <w:sz w:val="20"/>
          <w:szCs w:val="20"/>
          <w:color w:val="auto"/>
        </w:rPr>
      </w:pPr>
    </w:p>
    <w:p>
      <w:pPr>
        <w:jc w:val="both"/>
        <w:ind w:right="140"/>
        <w:spacing w:after="0" w:line="28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b w:val="1"/>
          <w:bCs w:val="1"/>
          <w:u w:val="single" w:color="auto"/>
          <w:color w:val="auto"/>
        </w:rPr>
        <w:t>Meeting by Telephonic or Electronic Facility</w:t>
      </w:r>
      <w:r>
        <w:rPr>
          <w:rFonts w:ascii="Arial" w:cs="Arial" w:eastAsia="Arial" w:hAnsi="Arial"/>
          <w:sz w:val="17"/>
          <w:szCs w:val="17"/>
          <w:color w:val="auto"/>
        </w:rPr>
        <w:t>. If all the directors of the Corporation consent, a meeting of directors or of a committee of directors may be held by means of a telephonic, electronic or other communication facility that permits all persons participating in the meeting to communicate adequately with each other, and a director participating in a meeting by such means is deemed to be present at that meeting.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04" w:name="page305"/>
    <w:bookmarkEnd w:id="304"/>
    <w:p>
      <w:pPr>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4.6 </w:t>
      </w:r>
      <w:r>
        <w:rPr>
          <w:rFonts w:ascii="Arial" w:cs="Arial" w:eastAsia="Arial" w:hAnsi="Arial"/>
          <w:sz w:val="18"/>
          <w:szCs w:val="18"/>
          <w:b w:val="1"/>
          <w:bCs w:val="1"/>
          <w:u w:val="single" w:color="auto"/>
          <w:color w:val="auto"/>
        </w:rPr>
        <w:t>Chair</w:t>
      </w:r>
      <w:r>
        <w:rPr>
          <w:rFonts w:ascii="Arial" w:cs="Arial" w:eastAsia="Arial" w:hAnsi="Arial"/>
          <w:sz w:val="18"/>
          <w:szCs w:val="18"/>
          <w:color w:val="auto"/>
        </w:rPr>
        <w:t>. The Chair of the Board, or in the Chair’s absence the President if a director, or in the President’s absence a director chosen by the directors at the meeting, shall be chair of any meeting of directors.</w:t>
      </w:r>
    </w:p>
    <w:p>
      <w:pPr>
        <w:spacing w:after="0" w:line="5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u w:val="single" w:color="auto"/>
          <w:color w:val="auto"/>
        </w:rPr>
        <w:t>Voting at Meetings</w:t>
      </w:r>
      <w:r>
        <w:rPr>
          <w:rFonts w:ascii="Arial" w:cs="Arial" w:eastAsia="Arial" w:hAnsi="Arial"/>
          <w:sz w:val="18"/>
          <w:szCs w:val="18"/>
          <w:color w:val="auto"/>
        </w:rPr>
        <w:t>. At meetings of directors each director shall have one vote and questions shall be decided by a majority of votes. In case of an equality of votes, the chair of the meeting shall not have a second or casting vote.</w:t>
      </w:r>
    </w:p>
    <w:p>
      <w:pPr>
        <w:spacing w:after="0" w:line="270" w:lineRule="exact"/>
        <w:rPr>
          <w:sz w:val="20"/>
          <w:szCs w:val="20"/>
          <w:color w:val="auto"/>
        </w:rPr>
      </w:pPr>
    </w:p>
    <w:p>
      <w:pPr>
        <w:ind w:left="5140" w:hanging="181"/>
        <w:spacing w:after="0"/>
        <w:tabs>
          <w:tab w:leader="none" w:pos="514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General</w:t>
      </w:r>
      <w:r>
        <w:rPr>
          <w:rFonts w:ascii="Arial" w:cs="Arial" w:eastAsia="Arial" w:hAnsi="Arial"/>
          <w:sz w:val="18"/>
          <w:szCs w:val="18"/>
          <w:color w:val="auto"/>
        </w:rPr>
        <w:t>. The directors may from time to time appoint a Chair of the Board, a President, one or more Vice-Presidents, a Secretary, a Treasurer and such other officers as the directors may determine.</w:t>
      </w:r>
    </w:p>
    <w:p>
      <w:pPr>
        <w:spacing w:after="0" w:line="5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Chair of the Board</w:t>
      </w:r>
      <w:r>
        <w:rPr>
          <w:rFonts w:ascii="Arial" w:cs="Arial" w:eastAsia="Arial" w:hAnsi="Arial"/>
          <w:sz w:val="18"/>
          <w:szCs w:val="18"/>
          <w:color w:val="auto"/>
        </w:rPr>
        <w:t>. The Chair of the Board, if any, shall be appointed from among the directors and when present shall be chair of meetings of directors and shareholders and shall have such other powers and duties as the directors may determine.</w:t>
      </w:r>
    </w:p>
    <w:p>
      <w:pPr>
        <w:spacing w:after="0" w:line="5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The President</w:t>
      </w:r>
      <w:r>
        <w:rPr>
          <w:rFonts w:ascii="Arial" w:cs="Arial" w:eastAsia="Arial" w:hAnsi="Arial"/>
          <w:sz w:val="18"/>
          <w:szCs w:val="18"/>
          <w:color w:val="auto"/>
        </w:rPr>
        <w:t>. Unless the directors otherwise determine, the President shall be appointed from among the directors and shall be the chief executive officer of the Corporation and shall have general supervision of its business and affairs and in the absence of a Chair of the Board shall be chair at meetings of directors and shareholders when present.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Vice-President</w:t>
      </w:r>
      <w:r>
        <w:rPr>
          <w:rFonts w:ascii="Arial" w:cs="Arial" w:eastAsia="Arial" w:hAnsi="Arial"/>
          <w:sz w:val="18"/>
          <w:szCs w:val="18"/>
          <w:color w:val="auto"/>
        </w:rPr>
        <w:t>. A Vice-President shall have such powers and duties as the directors or the chief executive officer may determine.</w:t>
      </w:r>
    </w:p>
    <w:p>
      <w:pPr>
        <w:spacing w:after="0" w:line="117"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u w:val="single" w:color="auto"/>
          <w:color w:val="auto"/>
        </w:rPr>
        <w:t>Secretary</w:t>
      </w:r>
      <w:r>
        <w:rPr>
          <w:rFonts w:ascii="Arial" w:cs="Arial" w:eastAsia="Arial" w:hAnsi="Arial"/>
          <w:sz w:val="16"/>
          <w:szCs w:val="16"/>
          <w:color w:val="auto"/>
        </w:rPr>
        <w:t>. The Secretary shall give required notices to shareholders, directors, auditors and members of committees; act as secretary of meetings of directors and shareholders when present, keep and enter minutes of such meetings, maintain the corporate records of the Corporation, have custody of the corporate seal, if any, and shall have such other powers and duties as the directors or the chief executive officer may determine.</w:t>
      </w:r>
    </w:p>
    <w:p>
      <w:pPr>
        <w:spacing w:after="0" w:line="34"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u w:val="single" w:color="auto"/>
          <w:color w:val="auto"/>
        </w:rPr>
        <w:t>Treasurer</w:t>
      </w:r>
      <w:r>
        <w:rPr>
          <w:rFonts w:ascii="Arial" w:cs="Arial" w:eastAsia="Arial" w:hAnsi="Arial"/>
          <w:sz w:val="18"/>
          <w:szCs w:val="18"/>
          <w:color w:val="auto"/>
        </w:rPr>
        <w:t>. The Treasurer shall keep proper accounting records in accordance with the Act, have supervision over the safekeeping of securities and the deposit and disbursement of funds of the Corporation; report as required on the financial position of the Corporation; and have such other powers and duties as the directors or the chief executive officer may determine.</w:t>
      </w:r>
    </w:p>
    <w:p>
      <w:pPr>
        <w:spacing w:after="0" w:line="6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u w:val="single" w:color="auto"/>
          <w:color w:val="auto"/>
        </w:rPr>
        <w:t>Assistants</w:t>
      </w:r>
      <w:r>
        <w:rPr>
          <w:rFonts w:ascii="Arial" w:cs="Arial" w:eastAsia="Arial" w:hAnsi="Arial"/>
          <w:sz w:val="18"/>
          <w:szCs w:val="18"/>
          <w:color w:val="auto"/>
        </w:rPr>
        <w:t>. Any of the powers and duties of an officer to whom an assistant has been appointed may be exercised and performed by such assistant unless the directors or the chief executive officer otherwise direct.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u w:val="single" w:color="auto"/>
          <w:color w:val="auto"/>
        </w:rPr>
        <w:t>Variation of Duties</w:t>
      </w:r>
      <w:r>
        <w:rPr>
          <w:rFonts w:ascii="Arial" w:cs="Arial" w:eastAsia="Arial" w:hAnsi="Arial"/>
          <w:sz w:val="18"/>
          <w:szCs w:val="18"/>
          <w:color w:val="auto"/>
        </w:rPr>
        <w:t>. The directors may, from time to time, vary, add to or limit the powers and duties of any officer.</w:t>
      </w:r>
    </w:p>
    <w:p>
      <w:pPr>
        <w:spacing w:after="0" w:line="117" w:lineRule="exact"/>
        <w:rPr>
          <w:sz w:val="20"/>
          <w:szCs w:val="20"/>
          <w:color w:val="auto"/>
        </w:rPr>
      </w:pPr>
    </w:p>
    <w:p>
      <w:pPr>
        <w:ind w:right="420"/>
        <w:spacing w:after="0" w:line="347"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b w:val="1"/>
          <w:bCs w:val="1"/>
          <w:u w:val="single" w:color="auto"/>
          <w:color w:val="auto"/>
        </w:rPr>
        <w:t>Term of Office</w:t>
      </w:r>
      <w:r>
        <w:rPr>
          <w:rFonts w:ascii="Arial" w:cs="Arial" w:eastAsia="Arial" w:hAnsi="Arial"/>
          <w:sz w:val="16"/>
          <w:szCs w:val="16"/>
          <w:color w:val="auto"/>
        </w:rPr>
        <w:t>. Each officer shall hold office until the officer’s successor is elected or appointed, provided that the directors may at any time remove any officer from office but such removal shall not affect the rights of such officer under any contract of employment with the Corporation.</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305" w:name="page306"/>
    <w:bookmarkEnd w:id="305"/>
    <w:p>
      <w:pPr>
        <w:ind w:left="3960" w:hanging="174"/>
        <w:spacing w:after="0"/>
        <w:tabs>
          <w:tab w:leader="none" w:pos="396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INDEMNIFICATION AND INSURANCE</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u w:val="single" w:color="auto"/>
          <w:color w:val="auto"/>
        </w:rPr>
        <w:t>Indemnification of Directors and Officers</w:t>
      </w:r>
      <w:r>
        <w:rPr>
          <w:rFonts w:ascii="Arial" w:cs="Arial" w:eastAsia="Arial" w:hAnsi="Arial"/>
          <w:sz w:val="18"/>
          <w:szCs w:val="18"/>
          <w:color w:val="auto"/>
        </w:rPr>
        <w:t>. The Corporation shall indemnify a director or officer, a former director or officer, or another individual who acts or acted at the Corporation’s request as a director or officer, or in a similar capacity of another entity, and the heirs and legal representatives of such individual to the extent permitted by the Act.</w:t>
      </w:r>
    </w:p>
    <w:p>
      <w:pPr>
        <w:spacing w:after="0" w:line="6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The Corporation may purchase and maintain insurance for the benefit of any person referred to in Section 6.1 to the extent permitted by the Act.</w:t>
      </w:r>
    </w:p>
    <w:p>
      <w:pPr>
        <w:spacing w:after="0" w:line="270" w:lineRule="exact"/>
        <w:rPr>
          <w:sz w:val="20"/>
          <w:szCs w:val="20"/>
          <w:color w:val="auto"/>
        </w:rPr>
      </w:pPr>
    </w:p>
    <w:p>
      <w:pPr>
        <w:ind w:left="4840" w:hanging="176"/>
        <w:spacing w:after="0"/>
        <w:tabs>
          <w:tab w:leader="none" w:pos="4840"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SHAREHOLDERS</w:t>
      </w:r>
    </w:p>
    <w:p>
      <w:pPr>
        <w:spacing w:after="0" w:line="225"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Quorum</w:t>
      </w:r>
      <w:r>
        <w:rPr>
          <w:rFonts w:ascii="Arial" w:cs="Arial" w:eastAsia="Arial" w:hAnsi="Arial"/>
          <w:sz w:val="18"/>
          <w:szCs w:val="18"/>
          <w:color w:val="auto"/>
        </w:rPr>
        <w:t>. A quorum for the transaction of business at a meeting of shareholders shall be two persons present and each entitled to vote at the meeting.</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u w:val="single" w:color="auto"/>
          <w:color w:val="auto"/>
        </w:rPr>
        <w:t>Casting Vote</w:t>
      </w:r>
      <w:r>
        <w:rPr>
          <w:rFonts w:ascii="Arial" w:cs="Arial" w:eastAsia="Arial" w:hAnsi="Arial"/>
          <w:sz w:val="17"/>
          <w:szCs w:val="17"/>
          <w:color w:val="auto"/>
        </w:rPr>
        <w:t>. In case of an equality of votes at a meeting of shareholders the Chair of the meeting shall not have a second or casting vote.</w:t>
      </w:r>
    </w:p>
    <w:p>
      <w:pPr>
        <w:spacing w:after="0" w:line="129"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u w:val="single" w:color="auto"/>
          <w:color w:val="auto"/>
        </w:rPr>
        <w:t>Scrutineers</w:t>
      </w:r>
      <w:r>
        <w:rPr>
          <w:rFonts w:ascii="Arial" w:cs="Arial" w:eastAsia="Arial" w:hAnsi="Arial"/>
          <w:sz w:val="18"/>
          <w:szCs w:val="18"/>
          <w:color w:val="auto"/>
        </w:rPr>
        <w:t>. The Chair at any meeting of shareholders may appoint one or more persons (who need not be shareholders) to act as scrutineer or scrutineers at the meeting.</w:t>
      </w:r>
    </w:p>
    <w:p>
      <w:pPr>
        <w:spacing w:after="0" w:line="270" w:lineRule="exact"/>
        <w:rPr>
          <w:sz w:val="20"/>
          <w:szCs w:val="20"/>
          <w:color w:val="auto"/>
        </w:rPr>
      </w:pPr>
    </w:p>
    <w:p>
      <w:pPr>
        <w:ind w:left="4500" w:hanging="181"/>
        <w:spacing w:after="0"/>
        <w:tabs>
          <w:tab w:leader="none" w:pos="450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DIVIDENDS AND RIGHTS</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u w:val="single" w:color="auto"/>
          <w:color w:val="auto"/>
        </w:rPr>
        <w:t>Declaration of Dividends</w:t>
      </w:r>
      <w:r>
        <w:rPr>
          <w:rFonts w:ascii="Arial" w:cs="Arial" w:eastAsia="Arial" w:hAnsi="Arial"/>
          <w:sz w:val="18"/>
          <w:szCs w:val="18"/>
          <w:color w:val="auto"/>
        </w:rPr>
        <w:t>. Subject to the Act, the directors may from time to time declare dividends payable to the shareholders according to their respective rights and interests in the Corporation.</w:t>
      </w:r>
    </w:p>
    <w:p>
      <w:pPr>
        <w:spacing w:after="0" w:line="54"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b w:val="1"/>
          <w:bCs w:val="1"/>
          <w:u w:val="single" w:color="auto"/>
          <w:color w:val="auto"/>
        </w:rPr>
        <w:t>Cheques</w:t>
      </w:r>
      <w:r>
        <w:rPr>
          <w:rFonts w:ascii="Arial" w:cs="Arial" w:eastAsia="Arial" w:hAnsi="Arial"/>
          <w:sz w:val="17"/>
          <w:szCs w:val="17"/>
          <w:color w:val="auto"/>
        </w:rPr>
        <w:t>. A dividend payable in money shall be paid by cheque to the order of each registered holder of shares of the class or series in respect of which it has been declared and mailed by prepaid ordinary mail to such registered holder at the address of such holder in the Corporation’s securities register, unless such holder otherwise directs. In the case of joint holders the cheque shall, unless such joint holders otherwise direct, be made payable to the order of all such joint holders and mailed to them at their address in the Corporation’s securities register. The mailing of such cheque as aforesaid, unless the same is not paid on due presentation, shall satisfy and discharge the liability for the dividend to the extent of the sum represented thereby plus the amount of any tax which the Corporation is required to and does withhold.</w:t>
      </w:r>
    </w:p>
    <w:p>
      <w:pPr>
        <w:spacing w:after="0" w:line="65"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b w:val="1"/>
          <w:bCs w:val="1"/>
          <w:u w:val="single" w:color="auto"/>
          <w:color w:val="auto"/>
        </w:rPr>
        <w:t>Non-Receipt of Cheques</w:t>
      </w:r>
      <w:r>
        <w:rPr>
          <w:rFonts w:ascii="Arial" w:cs="Arial" w:eastAsia="Arial" w:hAnsi="Arial"/>
          <w:sz w:val="17"/>
          <w:szCs w:val="17"/>
          <w:color w:val="auto"/>
        </w:rPr>
        <w:t>. In the event of non-receipt of any dividend cheque by the person to whom it is sent as aforesaid, the Corporation shall issue to such person a replacement cheque for a like amount on such terms as to indemnity, reimbursement of expenses and evidence of non-receipt and of title as the directors may from time to time prescribe, whether generally or in any particular case.</w:t>
      </w:r>
    </w:p>
    <w:p>
      <w:pPr>
        <w:spacing w:after="0" w:line="5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u w:val="single" w:color="auto"/>
          <w:color w:val="auto"/>
        </w:rPr>
        <w:t>Unclaimed Dividends</w:t>
      </w:r>
      <w:r>
        <w:rPr>
          <w:rFonts w:ascii="Arial" w:cs="Arial" w:eastAsia="Arial" w:hAnsi="Arial"/>
          <w:sz w:val="18"/>
          <w:szCs w:val="18"/>
          <w:color w:val="auto"/>
        </w:rPr>
        <w:t>. To the extent permitted by applicable law, any dividends unclaimed after a period of two years from the date on which the same has been declared to be payable shall be forfeited and shall revert to the Corporation.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306" w:name="page307"/>
    <w:bookmarkEnd w:id="306"/>
    <w:p>
      <w:pPr>
        <w:ind w:left="4220" w:hanging="181"/>
        <w:spacing w:after="0"/>
        <w:tabs>
          <w:tab w:leader="none" w:pos="4220"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 OF INSTRUMENTS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9.1 Deeds, transfers, assignments, agreements, proxies and other instruments may be signed on behalf of the Corporation by any two directors or by a director and an officer or by one of the Chair of the Board, the President and a Vice-President together with one of the Secretary and the Treasurer or in such other manner as the directors may determine.</w:t>
      </w:r>
    </w:p>
    <w:p>
      <w:pPr>
        <w:spacing w:after="0" w:line="288" w:lineRule="exact"/>
        <w:rPr>
          <w:sz w:val="20"/>
          <w:szCs w:val="20"/>
          <w:color w:val="auto"/>
        </w:rPr>
      </w:pPr>
    </w:p>
    <w:p>
      <w:pPr>
        <w:ind w:left="5240" w:hanging="276"/>
        <w:spacing w:after="0"/>
        <w:tabs>
          <w:tab w:leader="none" w:pos="524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jc w:val="both"/>
        <w:ind w:right="220"/>
        <w:spacing w:after="0" w:line="347"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u w:val="single" w:color="auto"/>
          <w:color w:val="auto"/>
        </w:rPr>
        <w:t>Omissions and Errors</w:t>
      </w:r>
      <w:r>
        <w:rPr>
          <w:rFonts w:ascii="Arial" w:cs="Arial" w:eastAsia="Arial" w:hAnsi="Arial"/>
          <w:sz w:val="16"/>
          <w:szCs w:val="16"/>
          <w:color w:val="auto"/>
        </w:rPr>
        <w:t>. Accidental omission to give any notice to any shareholder, director, auditor or member of a committee, or non-receipt of any notice or any error in a notice not affecting the substance thereof shall not invalidate any action taken at any meeting held pursuant to such notice.</w:t>
      </w:r>
    </w:p>
    <w:p>
      <w:pPr>
        <w:spacing w:after="0" w:line="11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RESOLVED THAT </w:t>
      </w:r>
      <w:r>
        <w:rPr>
          <w:rFonts w:ascii="Arial" w:cs="Arial" w:eastAsia="Arial" w:hAnsi="Arial"/>
          <w:sz w:val="18"/>
          <w:szCs w:val="18"/>
          <w:color w:val="auto"/>
        </w:rPr>
        <w:t>the foregoing by-law is made a by-law of the Corporation by the signatures hereto of all the directors of the Corporation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 this 6th day of September, 2016.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 Lloyd M. Segal</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/s/ Jerel C. Davis</w:t>
            </w:r>
          </w:p>
        </w:tc>
      </w:tr>
      <w:tr>
        <w:trPr>
          <w:trHeight w:val="224"/>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Lloyd M. Segal</w:t>
            </w:r>
          </w:p>
        </w:tc>
        <w:tc>
          <w:tcPr>
            <w:tcW w:w="66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Jerel Davis</w:t>
            </w:r>
          </w:p>
        </w:tc>
      </w:tr>
    </w:tbl>
    <w:p>
      <w:pPr>
        <w:spacing w:after="0" w:line="19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RESOLVED THAT </w:t>
      </w:r>
      <w:r>
        <w:rPr>
          <w:rFonts w:ascii="Arial" w:cs="Arial" w:eastAsia="Arial" w:hAnsi="Arial"/>
          <w:sz w:val="18"/>
          <w:szCs w:val="18"/>
          <w:color w:val="auto"/>
        </w:rPr>
        <w:t>the foregoing by-law is confirmed as a by-law of the Corporation by the signature hereto of the sole shareholder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 this 6th day of September, 2016.</w:t>
      </w:r>
    </w:p>
    <w:p>
      <w:pPr>
        <w:spacing w:after="0" w:line="19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Jerel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Jerel Davis, in trust for Versant Venture Capital V, L.P.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41"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REPARE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197485</wp:posOffset>
            </wp:positionV>
            <wp:extent cx="69951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186055</wp:posOffset>
            </wp:positionV>
            <wp:extent cx="699516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September 3, 2019</w:t>
      </w:r>
    </w:p>
    <w:p>
      <w:pPr>
        <w:sectPr>
          <w:pgSz w:w="11900" w:h="16838" w:orient="portrait"/>
          <w:cols w:equalWidth="0" w:num="1">
            <w:col w:w="10020"/>
          </w:cols>
          <w:pgMar w:left="1440" w:top="121" w:right="439" w:bottom="1440" w:gutter="0" w:footer="0" w:header="0"/>
        </w:sectPr>
      </w:pPr>
    </w:p>
    <w:bookmarkStart w:id="308" w:name="page309"/>
    <w:bookmarkEnd w:id="308"/>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7900" w:type="dxa"/>
            <w:vAlign w:val="bottom"/>
          </w:tcPr>
          <w:p>
            <w:pPr>
              <w:ind w:left="388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377"/>
        </w:trPr>
        <w:tc>
          <w:tcPr>
            <w:tcW w:w="6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ARTICLE 1 INTERPRETATION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7900" w:type="dxa"/>
            <w:vAlign w:val="bottom"/>
          </w:tcPr>
          <w:p>
            <w:pPr>
              <w:ind w:left="80"/>
              <w:spacing w:after="0"/>
              <w:rPr>
                <w:sz w:val="20"/>
                <w:szCs w:val="20"/>
                <w:color w:val="auto"/>
              </w:rPr>
            </w:pPr>
            <w:r>
              <w:rPr>
                <w:rFonts w:ascii="Arial" w:cs="Arial" w:eastAsia="Arial" w:hAnsi="Arial"/>
                <w:sz w:val="18"/>
                <w:szCs w:val="18"/>
                <w:color w:val="auto"/>
              </w:rPr>
              <w:t>Construction</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790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7900" w:type="dxa"/>
            <w:vAlign w:val="bottom"/>
          </w:tcPr>
          <w:p>
            <w:pPr>
              <w:ind w:left="80"/>
              <w:spacing w:after="0"/>
              <w:rPr>
                <w:sz w:val="20"/>
                <w:szCs w:val="20"/>
                <w:color w:val="auto"/>
              </w:rPr>
            </w:pPr>
            <w:r>
              <w:rPr>
                <w:rFonts w:ascii="Arial" w:cs="Arial" w:eastAsia="Arial" w:hAnsi="Arial"/>
                <w:sz w:val="18"/>
                <w:szCs w:val="18"/>
                <w:color w:val="auto"/>
              </w:rPr>
              <w:t>Governing Laws</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2 CERTAIN DEFINITIONS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790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3 REGISTRATIONS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7900" w:type="dxa"/>
            <w:vAlign w:val="bottom"/>
          </w:tcPr>
          <w:p>
            <w:pPr>
              <w:ind w:left="80"/>
              <w:spacing w:after="0"/>
              <w:rPr>
                <w:sz w:val="20"/>
                <w:szCs w:val="20"/>
                <w:color w:val="auto"/>
              </w:rPr>
            </w:pPr>
            <w:r>
              <w:rPr>
                <w:rFonts w:ascii="Arial" w:cs="Arial" w:eastAsia="Arial" w:hAnsi="Arial"/>
                <w:sz w:val="18"/>
                <w:szCs w:val="18"/>
                <w:color w:val="auto"/>
              </w:rPr>
              <w:t>Demand Registrations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7900" w:type="dxa"/>
            <w:vAlign w:val="bottom"/>
          </w:tcPr>
          <w:p>
            <w:pPr>
              <w:ind w:left="80"/>
              <w:spacing w:after="0"/>
              <w:rPr>
                <w:sz w:val="20"/>
                <w:szCs w:val="20"/>
                <w:color w:val="auto"/>
              </w:rPr>
            </w:pPr>
            <w:r>
              <w:rPr>
                <w:rFonts w:ascii="Arial" w:cs="Arial" w:eastAsia="Arial" w:hAnsi="Arial"/>
                <w:sz w:val="18"/>
                <w:szCs w:val="18"/>
                <w:color w:val="auto"/>
              </w:rPr>
              <w:t>Short Form Registrations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7900" w:type="dxa"/>
            <w:vAlign w:val="bottom"/>
          </w:tcPr>
          <w:p>
            <w:pPr>
              <w:ind w:left="80"/>
              <w:spacing w:after="0"/>
              <w:rPr>
                <w:sz w:val="20"/>
                <w:szCs w:val="20"/>
                <w:color w:val="auto"/>
              </w:rPr>
            </w:pPr>
            <w:r>
              <w:rPr>
                <w:rFonts w:ascii="Arial" w:cs="Arial" w:eastAsia="Arial" w:hAnsi="Arial"/>
                <w:sz w:val="18"/>
                <w:szCs w:val="18"/>
                <w:color w:val="auto"/>
              </w:rPr>
              <w:t>Piggy-Back Registrations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7900" w:type="dxa"/>
            <w:vAlign w:val="bottom"/>
          </w:tcPr>
          <w:p>
            <w:pPr>
              <w:ind w:left="80"/>
              <w:spacing w:after="0"/>
              <w:rPr>
                <w:sz w:val="20"/>
                <w:szCs w:val="20"/>
                <w:color w:val="auto"/>
              </w:rPr>
            </w:pPr>
            <w:r>
              <w:rPr>
                <w:rFonts w:ascii="Arial" w:cs="Arial" w:eastAsia="Arial" w:hAnsi="Arial"/>
                <w:sz w:val="18"/>
                <w:szCs w:val="18"/>
                <w:color w:val="auto"/>
              </w:rPr>
              <w:t>Transfer of Registration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7900" w:type="dxa"/>
            <w:vAlign w:val="bottom"/>
          </w:tcPr>
          <w:p>
            <w:pPr>
              <w:ind w:left="80"/>
              <w:spacing w:after="0"/>
              <w:rPr>
                <w:sz w:val="20"/>
                <w:szCs w:val="20"/>
                <w:color w:val="auto"/>
              </w:rPr>
            </w:pPr>
            <w:r>
              <w:rPr>
                <w:rFonts w:ascii="Arial" w:cs="Arial" w:eastAsia="Arial" w:hAnsi="Arial"/>
                <w:sz w:val="18"/>
                <w:szCs w:val="18"/>
                <w:color w:val="auto"/>
              </w:rPr>
              <w:t>Co-operation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7900" w:type="dxa"/>
            <w:vAlign w:val="bottom"/>
          </w:tcPr>
          <w:p>
            <w:pPr>
              <w:ind w:left="80"/>
              <w:spacing w:after="0"/>
              <w:rPr>
                <w:sz w:val="20"/>
                <w:szCs w:val="20"/>
                <w:color w:val="auto"/>
              </w:rPr>
            </w:pPr>
            <w:r>
              <w:rPr>
                <w:rFonts w:ascii="Arial" w:cs="Arial" w:eastAsia="Arial" w:hAnsi="Arial"/>
                <w:sz w:val="18"/>
                <w:szCs w:val="18"/>
                <w:color w:val="auto"/>
              </w:rPr>
              <w:t>Termination of Registration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7900" w:type="dxa"/>
            <w:vAlign w:val="bottom"/>
          </w:tcPr>
          <w:p>
            <w:pPr>
              <w:ind w:left="80"/>
              <w:spacing w:after="0"/>
              <w:rPr>
                <w:sz w:val="20"/>
                <w:szCs w:val="20"/>
                <w:color w:val="auto"/>
              </w:rPr>
            </w:pPr>
            <w:r>
              <w:rPr>
                <w:rFonts w:ascii="Arial" w:cs="Arial" w:eastAsia="Arial" w:hAnsi="Arial"/>
                <w:sz w:val="18"/>
                <w:szCs w:val="18"/>
                <w:color w:val="auto"/>
              </w:rPr>
              <w:t>Limitations on Subsequent Registration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4 ADDITIONAL PROVISIONS FOR REGISTRATIONS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7900" w:type="dxa"/>
            <w:vAlign w:val="bottom"/>
          </w:tcPr>
          <w:p>
            <w:pPr>
              <w:ind w:left="80"/>
              <w:spacing w:after="0"/>
              <w:rPr>
                <w:sz w:val="20"/>
                <w:szCs w:val="20"/>
                <w:color w:val="auto"/>
              </w:rPr>
            </w:pPr>
            <w:r>
              <w:rPr>
                <w:rFonts w:ascii="Arial" w:cs="Arial" w:eastAsia="Arial" w:hAnsi="Arial"/>
                <w:sz w:val="18"/>
                <w:szCs w:val="18"/>
                <w:color w:val="auto"/>
              </w:rPr>
              <w:t>Rule 144 Reporting and Form S-3, Form F-3 and Form F-10 Requirements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7900" w:type="dxa"/>
            <w:vAlign w:val="bottom"/>
          </w:tcPr>
          <w:p>
            <w:pPr>
              <w:ind w:left="80"/>
              <w:spacing w:after="0"/>
              <w:rPr>
                <w:sz w:val="20"/>
                <w:szCs w:val="20"/>
                <w:color w:val="auto"/>
              </w:rPr>
            </w:pPr>
            <w:r>
              <w:rPr>
                <w:rFonts w:ascii="Arial" w:cs="Arial" w:eastAsia="Arial" w:hAnsi="Arial"/>
                <w:sz w:val="18"/>
                <w:szCs w:val="18"/>
                <w:color w:val="auto"/>
              </w:rPr>
              <w:t>NI 44-101 and NI 51-102 Requirements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5 REGISTRATION PROCEDURES AND EXPENSES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7900" w:type="dxa"/>
            <w:vAlign w:val="bottom"/>
          </w:tcPr>
          <w:p>
            <w:pPr>
              <w:ind w:left="80"/>
              <w:spacing w:after="0"/>
              <w:rPr>
                <w:sz w:val="20"/>
                <w:szCs w:val="20"/>
                <w:color w:val="auto"/>
              </w:rPr>
            </w:pPr>
            <w:r>
              <w:rPr>
                <w:rFonts w:ascii="Arial" w:cs="Arial" w:eastAsia="Arial" w:hAnsi="Arial"/>
                <w:sz w:val="18"/>
                <w:szCs w:val="18"/>
                <w:color w:val="auto"/>
              </w:rPr>
              <w:t>Registration Procedures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7900" w:type="dxa"/>
            <w:vAlign w:val="bottom"/>
          </w:tcPr>
          <w:p>
            <w:pPr>
              <w:ind w:left="80"/>
              <w:spacing w:after="0"/>
              <w:rPr>
                <w:sz w:val="20"/>
                <w:szCs w:val="20"/>
                <w:color w:val="auto"/>
              </w:rPr>
            </w:pPr>
            <w:r>
              <w:rPr>
                <w:rFonts w:ascii="Arial" w:cs="Arial" w:eastAsia="Arial" w:hAnsi="Arial"/>
                <w:sz w:val="18"/>
                <w:szCs w:val="18"/>
                <w:color w:val="auto"/>
              </w:rPr>
              <w:t>Expenses of Registration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6 INDEMNIFICATION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7900" w:type="dxa"/>
            <w:vAlign w:val="bottom"/>
          </w:tcPr>
          <w:p>
            <w:pPr>
              <w:ind w:left="80"/>
              <w:spacing w:after="0"/>
              <w:rPr>
                <w:sz w:val="20"/>
                <w:szCs w:val="20"/>
                <w:color w:val="auto"/>
              </w:rPr>
            </w:pPr>
            <w:r>
              <w:rPr>
                <w:rFonts w:ascii="Arial" w:cs="Arial" w:eastAsia="Arial" w:hAnsi="Arial"/>
                <w:sz w:val="18"/>
                <w:szCs w:val="18"/>
                <w:color w:val="auto"/>
              </w:rPr>
              <w:t>Indemnification Provided by the Corporation in Favour of the 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7900" w:type="dxa"/>
            <w:vAlign w:val="bottom"/>
          </w:tcPr>
          <w:p>
            <w:pPr>
              <w:ind w:left="80"/>
              <w:spacing w:after="0"/>
              <w:rPr>
                <w:sz w:val="20"/>
                <w:szCs w:val="20"/>
                <w:color w:val="auto"/>
              </w:rPr>
            </w:pPr>
            <w:r>
              <w:rPr>
                <w:rFonts w:ascii="Arial" w:cs="Arial" w:eastAsia="Arial" w:hAnsi="Arial"/>
                <w:sz w:val="18"/>
                <w:szCs w:val="18"/>
                <w:color w:val="auto"/>
              </w:rPr>
              <w:t>Indemnification Provided by the Holders in Favour of the Corporation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7900" w:type="dxa"/>
            <w:vAlign w:val="bottom"/>
          </w:tcPr>
          <w:p>
            <w:pPr>
              <w:ind w:left="80"/>
              <w:spacing w:after="0"/>
              <w:rPr>
                <w:sz w:val="20"/>
                <w:szCs w:val="20"/>
                <w:color w:val="auto"/>
              </w:rPr>
            </w:pPr>
            <w:r>
              <w:rPr>
                <w:rFonts w:ascii="Arial" w:cs="Arial" w:eastAsia="Arial" w:hAnsi="Arial"/>
                <w:sz w:val="18"/>
                <w:szCs w:val="18"/>
                <w:color w:val="auto"/>
              </w:rPr>
              <w:t>Indemnification Procedure</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7 GENERAL PROVISIONS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7.1</w:t>
            </w:r>
          </w:p>
        </w:tc>
        <w:tc>
          <w:tcPr>
            <w:tcW w:w="7900" w:type="dxa"/>
            <w:vAlign w:val="bottom"/>
          </w:tcPr>
          <w:p>
            <w:pPr>
              <w:ind w:left="80"/>
              <w:spacing w:after="0"/>
              <w:rPr>
                <w:sz w:val="20"/>
                <w:szCs w:val="20"/>
                <w:color w:val="auto"/>
              </w:rPr>
            </w:pPr>
            <w:r>
              <w:rPr>
                <w:rFonts w:ascii="Arial" w:cs="Arial" w:eastAsia="Arial" w:hAnsi="Arial"/>
                <w:sz w:val="18"/>
                <w:szCs w:val="18"/>
                <w:color w:val="auto"/>
              </w:rPr>
              <w:t>Notices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7900" w:type="dxa"/>
            <w:vAlign w:val="bottom"/>
          </w:tcPr>
          <w:p>
            <w:pPr>
              <w:ind w:left="80"/>
              <w:spacing w:after="0"/>
              <w:rPr>
                <w:sz w:val="20"/>
                <w:szCs w:val="20"/>
                <w:color w:val="auto"/>
              </w:rPr>
            </w:pPr>
            <w:r>
              <w:rPr>
                <w:rFonts w:ascii="Arial" w:cs="Arial" w:eastAsia="Arial" w:hAnsi="Arial"/>
                <w:sz w:val="18"/>
                <w:szCs w:val="18"/>
                <w:color w:val="auto"/>
              </w:rPr>
              <w:t>Enurement</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7.3</w:t>
            </w:r>
          </w:p>
        </w:tc>
        <w:tc>
          <w:tcPr>
            <w:tcW w:w="790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7900" w:type="dxa"/>
            <w:vAlign w:val="bottom"/>
          </w:tcPr>
          <w:p>
            <w:pPr>
              <w:ind w:left="80"/>
              <w:spacing w:after="0"/>
              <w:rPr>
                <w:sz w:val="20"/>
                <w:szCs w:val="20"/>
                <w:color w:val="auto"/>
              </w:rPr>
            </w:pPr>
            <w:r>
              <w:rPr>
                <w:rFonts w:ascii="Arial" w:cs="Arial" w:eastAsia="Arial" w:hAnsi="Arial"/>
                <w:sz w:val="18"/>
                <w:szCs w:val="18"/>
                <w:color w:val="auto"/>
              </w:rPr>
              <w:t>Assignment</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7900" w:type="dxa"/>
            <w:vAlign w:val="bottom"/>
          </w:tcPr>
          <w:p>
            <w:pPr>
              <w:ind w:left="80"/>
              <w:spacing w:after="0"/>
              <w:rPr>
                <w:sz w:val="20"/>
                <w:szCs w:val="20"/>
                <w:color w:val="auto"/>
              </w:rPr>
            </w:pPr>
            <w:r>
              <w:rPr>
                <w:rFonts w:ascii="Arial" w:cs="Arial" w:eastAsia="Arial" w:hAnsi="Arial"/>
                <w:sz w:val="18"/>
                <w:szCs w:val="18"/>
                <w:color w:val="auto"/>
              </w:rPr>
              <w:t>Entire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7.6</w:t>
            </w:r>
          </w:p>
        </w:tc>
        <w:tc>
          <w:tcPr>
            <w:tcW w:w="7900" w:type="dxa"/>
            <w:vAlign w:val="bottom"/>
          </w:tcPr>
          <w:p>
            <w:pPr>
              <w:ind w:left="80"/>
              <w:spacing w:after="0"/>
              <w:rPr>
                <w:sz w:val="20"/>
                <w:szCs w:val="20"/>
                <w:color w:val="auto"/>
              </w:rPr>
            </w:pPr>
            <w:r>
              <w:rPr>
                <w:rFonts w:ascii="Arial" w:cs="Arial" w:eastAsia="Arial" w:hAnsi="Arial"/>
                <w:sz w:val="18"/>
                <w:szCs w:val="18"/>
                <w:color w:val="auto"/>
              </w:rPr>
              <w:t>Amendments, Modifications, etc.</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7900" w:type="dxa"/>
            <w:vAlign w:val="bottom"/>
          </w:tcPr>
          <w:p>
            <w:pPr>
              <w:ind w:left="80"/>
              <w:spacing w:after="0"/>
              <w:rPr>
                <w:sz w:val="20"/>
                <w:szCs w:val="20"/>
                <w:color w:val="auto"/>
              </w:rPr>
            </w:pPr>
            <w:r>
              <w:rPr>
                <w:rFonts w:ascii="Arial" w:cs="Arial" w:eastAsia="Arial" w:hAnsi="Arial"/>
                <w:sz w:val="18"/>
                <w:szCs w:val="18"/>
                <w:color w:val="auto"/>
              </w:rPr>
              <w:t>Additional Parties</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7.8</w:t>
            </w:r>
          </w:p>
        </w:tc>
        <w:tc>
          <w:tcPr>
            <w:tcW w:w="7900" w:type="dxa"/>
            <w:vAlign w:val="bottom"/>
          </w:tcPr>
          <w:p>
            <w:pPr>
              <w:ind w:left="80"/>
              <w:spacing w:after="0"/>
              <w:rPr>
                <w:sz w:val="20"/>
                <w:szCs w:val="20"/>
                <w:color w:val="auto"/>
              </w:rPr>
            </w:pPr>
            <w:r>
              <w:rPr>
                <w:rFonts w:ascii="Arial" w:cs="Arial" w:eastAsia="Arial" w:hAnsi="Arial"/>
                <w:sz w:val="18"/>
                <w:szCs w:val="18"/>
                <w:color w:val="auto"/>
              </w:rPr>
              <w:t>Further Assurances</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7900" w:type="dxa"/>
            <w:vAlign w:val="bottom"/>
          </w:tcPr>
          <w:p>
            <w:pPr>
              <w:ind w:left="80"/>
              <w:spacing w:after="0"/>
              <w:rPr>
                <w:sz w:val="20"/>
                <w:szCs w:val="20"/>
                <w:color w:val="auto"/>
              </w:rPr>
            </w:pPr>
            <w:r>
              <w:rPr>
                <w:rFonts w:ascii="Arial" w:cs="Arial" w:eastAsia="Arial" w:hAnsi="Arial"/>
                <w:sz w:val="18"/>
                <w:szCs w:val="18"/>
                <w:color w:val="auto"/>
              </w:rPr>
              <w:t>Specific Performance</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309" w:name="page310"/>
    <w:bookmarkEnd w:id="309"/>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AMENDED AND RESTATED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REGISTRATION RIGHTS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made as of the 3rd day of September,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AMONG:</w:t>
      </w:r>
    </w:p>
    <w:p>
      <w:pPr>
        <w:spacing w:after="0" w:line="117" w:lineRule="exact"/>
        <w:rPr>
          <w:sz w:val="20"/>
          <w:szCs w:val="20"/>
          <w:color w:val="auto"/>
        </w:rPr>
      </w:pPr>
    </w:p>
    <w:p>
      <w:pPr>
        <w:ind w:left="980" w:right="400"/>
        <w:spacing w:after="0" w:line="375" w:lineRule="auto"/>
        <w:rPr>
          <w:sz w:val="20"/>
          <w:szCs w:val="20"/>
          <w:color w:val="auto"/>
        </w:rPr>
      </w:pPr>
      <w:r>
        <w:rPr>
          <w:rFonts w:ascii="Arial" w:cs="Arial" w:eastAsia="Arial" w:hAnsi="Arial"/>
          <w:sz w:val="18"/>
          <w:szCs w:val="18"/>
          <w:b w:val="1"/>
          <w:bCs w:val="1"/>
          <w:color w:val="auto"/>
        </w:rPr>
        <w:t>REPARE THERAPEUTICS INC.</w:t>
      </w:r>
      <w:r>
        <w:rPr>
          <w:rFonts w:ascii="Arial" w:cs="Arial" w:eastAsia="Arial" w:hAnsi="Arial"/>
          <w:sz w:val="18"/>
          <w:szCs w:val="18"/>
          <w:color w:val="auto"/>
        </w:rPr>
        <w:t>, a corporation incorporated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under the Canada 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Corporation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w:t>
      </w:r>
    </w:p>
    <w:p>
      <w:pPr>
        <w:spacing w:after="0" w:line="1" w:lineRule="exact"/>
        <w:rPr>
          <w:sz w:val="20"/>
          <w:szCs w:val="20"/>
          <w:color w:val="auto"/>
        </w:rPr>
      </w:pPr>
    </w:p>
    <w:p>
      <w:pPr>
        <w:ind w:left="980" w:right="400"/>
        <w:spacing w:after="0" w:line="282" w:lineRule="auto"/>
        <w:rPr>
          <w:sz w:val="20"/>
          <w:szCs w:val="20"/>
          <w:color w:val="auto"/>
        </w:rPr>
      </w:pPr>
      <w:r>
        <w:rPr>
          <w:rFonts w:ascii="Arial" w:cs="Arial" w:eastAsia="Arial" w:hAnsi="Arial"/>
          <w:sz w:val="18"/>
          <w:szCs w:val="18"/>
          <w:color w:val="auto"/>
        </w:rPr>
        <w:t>Each of the Persons listed on Schedule A (the “</w:t>
      </w:r>
      <w:r>
        <w:rPr>
          <w:rFonts w:ascii="Arial" w:cs="Arial" w:eastAsia="Arial" w:hAnsi="Arial"/>
          <w:sz w:val="18"/>
          <w:szCs w:val="18"/>
          <w:b w:val="1"/>
          <w:bCs w:val="1"/>
          <w:color w:val="auto"/>
        </w:rPr>
        <w:t>Class A Investors</w:t>
      </w:r>
      <w:r>
        <w:rPr>
          <w:rFonts w:ascii="Arial" w:cs="Arial" w:eastAsia="Arial" w:hAnsi="Arial"/>
          <w:sz w:val="18"/>
          <w:szCs w:val="18"/>
          <w:color w:val="auto"/>
        </w:rPr>
        <w:t>”) and Schedule B (the “</w:t>
      </w:r>
      <w:r>
        <w:rPr>
          <w:rFonts w:ascii="Arial" w:cs="Arial" w:eastAsia="Arial" w:hAnsi="Arial"/>
          <w:sz w:val="18"/>
          <w:szCs w:val="18"/>
          <w:b w:val="1"/>
          <w:bCs w:val="1"/>
          <w:color w:val="auto"/>
        </w:rPr>
        <w:t>Class B Investors</w:t>
      </w:r>
      <w:r>
        <w:rPr>
          <w:rFonts w:ascii="Arial" w:cs="Arial" w:eastAsia="Arial" w:hAnsi="Arial"/>
          <w:sz w:val="18"/>
          <w:szCs w:val="18"/>
          <w:color w:val="auto"/>
        </w:rPr>
        <w:t>”) and any Person who becomes a party pursuant to Section 7.7 (collectively, the “</w:t>
      </w:r>
      <w:r>
        <w:rPr>
          <w:rFonts w:ascii="Arial" w:cs="Arial" w:eastAsia="Arial" w:hAnsi="Arial"/>
          <w:sz w:val="18"/>
          <w:szCs w:val="18"/>
          <w:b w:val="1"/>
          <w:bCs w:val="1"/>
          <w:color w:val="auto"/>
        </w:rPr>
        <w:t>Investors</w:t>
      </w:r>
      <w:r>
        <w:rPr>
          <w:rFonts w:ascii="Arial" w:cs="Arial" w:eastAsia="Arial" w:hAnsi="Arial"/>
          <w:sz w:val="18"/>
          <w:szCs w:val="18"/>
          <w:color w:val="auto"/>
        </w:rPr>
        <w:t>” and individually, an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62" w:lineRule="exact"/>
        <w:rPr>
          <w:sz w:val="20"/>
          <w:szCs w:val="20"/>
          <w:color w:val="auto"/>
        </w:rPr>
      </w:pPr>
    </w:p>
    <w:p>
      <w:pPr>
        <w:ind w:right="66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Class A Investors and the Corporation are parties to a registration rights agreement dated June 22, 2017 (the “</w:t>
      </w:r>
      <w:r>
        <w:rPr>
          <w:rFonts w:ascii="Arial" w:cs="Arial" w:eastAsia="Arial" w:hAnsi="Arial"/>
          <w:sz w:val="18"/>
          <w:szCs w:val="18"/>
          <w:b w:val="1"/>
          <w:bCs w:val="1"/>
          <w:color w:val="auto"/>
        </w:rPr>
        <w:t>Original Registration Rights Agreement</w:t>
      </w:r>
      <w:r>
        <w:rPr>
          <w:rFonts w:ascii="Arial" w:cs="Arial" w:eastAsia="Arial" w:hAnsi="Arial"/>
          <w:sz w:val="18"/>
          <w:szCs w:val="18"/>
          <w:color w:val="auto"/>
        </w:rPr>
        <w:t>”);</w:t>
      </w:r>
    </w:p>
    <w:p>
      <w:pPr>
        <w:spacing w:after="0" w:line="162"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Class B Investors have agreed to purchase Class B Preferred Shares as set out and pursuant to a Class B Share subscription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August 27, 2019 (the “</w:t>
      </w:r>
      <w:r>
        <w:rPr>
          <w:rFonts w:ascii="Arial" w:cs="Arial" w:eastAsia="Arial" w:hAnsi="Arial"/>
          <w:sz w:val="18"/>
          <w:szCs w:val="18"/>
          <w:b w:val="1"/>
          <w:bCs w:val="1"/>
          <w:color w:val="auto"/>
        </w:rPr>
        <w:t>Class B Share Subscription Agreement</w:t>
      </w:r>
      <w:r>
        <w:rPr>
          <w:rFonts w:ascii="Arial" w:cs="Arial" w:eastAsia="Arial" w:hAnsi="Arial"/>
          <w:sz w:val="18"/>
          <w:szCs w:val="18"/>
          <w:color w:val="auto"/>
        </w:rPr>
        <w:t>”);</w:t>
      </w:r>
    </w:p>
    <w:p>
      <w:pPr>
        <w:spacing w:after="0" w:line="162" w:lineRule="exact"/>
        <w:rPr>
          <w:sz w:val="20"/>
          <w:szCs w:val="20"/>
          <w:color w:val="auto"/>
        </w:rPr>
      </w:pPr>
    </w:p>
    <w:p>
      <w:pPr>
        <w:ind w:firstLine="440"/>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as an inducement to the Class B Investors to complete the transactions contemplated by the Class B Share Subscription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and the Class A Investors have agreed to amend and restate the Original Registration Rights Agreement as herein provided for;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AND WHEREAS </w:t>
      </w:r>
      <w:r>
        <w:rPr>
          <w:rFonts w:ascii="Arial" w:cs="Arial" w:eastAsia="Arial" w:hAnsi="Arial"/>
          <w:sz w:val="16"/>
          <w:szCs w:val="16"/>
          <w:color w:val="auto"/>
        </w:rPr>
        <w:t>the parties hereto desire to amend and restate the Original Registration Rights Agreement and to enter into this Agreement,</w:t>
      </w:r>
    </w:p>
    <w:p>
      <w:pPr>
        <w:spacing w:after="0" w:line="248"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 xml:space="preserve">NOW THEREFORE IN CONSIDERATION </w:t>
      </w:r>
      <w:r>
        <w:rPr>
          <w:rFonts w:ascii="Arial" w:cs="Arial" w:eastAsia="Arial" w:hAnsi="Arial"/>
          <w:sz w:val="18"/>
          <w:szCs w:val="18"/>
          <w:color w:val="auto"/>
        </w:rPr>
        <w:t>of the mutual covenants and agreements contained in this Agreement and for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are acknowledged), the parties hereto agree as follows:</w:t>
      </w:r>
    </w:p>
    <w:p>
      <w:pPr>
        <w:spacing w:after="0" w:line="37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INTERPRETATION</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Construction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this Agreement, except as otherwise expressly provided:</w:t>
      </w:r>
    </w:p>
    <w:p>
      <w:pPr>
        <w:spacing w:after="0" w:line="131" w:lineRule="exact"/>
        <w:rPr>
          <w:sz w:val="20"/>
          <w:szCs w:val="20"/>
          <w:color w:val="auto"/>
        </w:rPr>
      </w:pPr>
    </w:p>
    <w:p>
      <w:pPr>
        <w:ind w:left="960" w:hanging="532"/>
        <w:spacing w:after="0"/>
        <w:tabs>
          <w:tab w:leader="none" w:pos="9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words denoting the singular only shall include the plural and vice versa and words denoting any gender shall include all genders;</w:t>
      </w:r>
    </w:p>
    <w:p>
      <w:pPr>
        <w:sectPr>
          <w:pgSz w:w="11900" w:h="16838" w:orient="portrait"/>
          <w:cols w:equalWidth="0" w:num="1">
            <w:col w:w="10860"/>
          </w:cols>
          <w:pgMar w:left="440" w:top="270" w:right="599" w:bottom="1440" w:gutter="0" w:footer="0" w:header="0"/>
        </w:sectPr>
      </w:pPr>
    </w:p>
    <w:bookmarkStart w:id="310" w:name="page311"/>
    <w:bookmarkEnd w:id="310"/>
    <w:p>
      <w:pPr>
        <w:ind w:left="960" w:right="200" w:hanging="532"/>
        <w:spacing w:after="0" w:line="257" w:lineRule="auto"/>
        <w:tabs>
          <w:tab w:leader="none" w:pos="9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words importing persons shall include individuals, partnerships, associations, joint ventures, syndicates, sole proprietorships, trusts, unincorporated organizations, limited liability companies, corporations, trustees, executors, administrators or other legal personal regulatory bodies and agencies, governments or governmental agencies, authorities and entities however designated or constituted, and unless the context otherwise requires, any reference in this Agreement to a person shall include, and be deemed to be a reference also to, any successor or assign of such person;</w:t>
      </w:r>
    </w:p>
    <w:p>
      <w:pPr>
        <w:spacing w:after="0" w:line="93" w:lineRule="exact"/>
        <w:rPr>
          <w:rFonts w:ascii="Arial" w:cs="Arial" w:eastAsia="Arial" w:hAnsi="Arial"/>
          <w:sz w:val="18"/>
          <w:szCs w:val="18"/>
          <w:color w:val="auto"/>
        </w:rPr>
      </w:pPr>
    </w:p>
    <w:p>
      <w:pPr>
        <w:ind w:left="960" w:hanging="532"/>
        <w:spacing w:after="0"/>
        <w:tabs>
          <w:tab w:leader="none" w:pos="9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except as otherwise provided, all amounts in this Agreement are stated and shall be paid in the currency of the United States of America;</w:t>
      </w:r>
    </w:p>
    <w:p>
      <w:pPr>
        <w:spacing w:after="0" w:line="153" w:lineRule="exact"/>
        <w:rPr>
          <w:rFonts w:ascii="Arial" w:cs="Arial" w:eastAsia="Arial" w:hAnsi="Arial"/>
          <w:sz w:val="16"/>
          <w:szCs w:val="16"/>
          <w:color w:val="auto"/>
        </w:rPr>
      </w:pPr>
    </w:p>
    <w:p>
      <w:pPr>
        <w:ind w:left="960" w:hanging="532"/>
        <w:spacing w:after="0" w:line="263" w:lineRule="auto"/>
        <w:tabs>
          <w:tab w:leader="none" w:pos="9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division of this Agreement into Articles and Sections and the insertion of headings are for convenience of reference only and shall not affect the construction or interpretation of this Agreement. Unless the subject matter or context requires otherwise, references to Articles or Sections are to Articles and Sections of this Agreement;</w:t>
      </w:r>
    </w:p>
    <w:p>
      <w:pPr>
        <w:spacing w:after="0" w:line="89"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references to “herein”, “hereby”, “hereunder”, “hereof” and similar expressions are references to this Agreement and not to any particular Article or Section of this Agreement;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word “including” shall mean “including without limitation” and “includes” shall mean “includes without limitation”;</w:t>
      </w:r>
    </w:p>
    <w:p>
      <w:pPr>
        <w:spacing w:after="0" w:line="130" w:lineRule="exact"/>
        <w:rPr>
          <w:rFonts w:ascii="Arial" w:cs="Arial" w:eastAsia="Arial" w:hAnsi="Arial"/>
          <w:sz w:val="18"/>
          <w:szCs w:val="18"/>
          <w:color w:val="auto"/>
        </w:rPr>
      </w:pPr>
    </w:p>
    <w:p>
      <w:pPr>
        <w:ind w:left="960" w:right="260" w:hanging="532"/>
        <w:spacing w:after="0" w:line="277" w:lineRule="auto"/>
        <w:tabs>
          <w:tab w:leader="none" w:pos="9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expressions “the aggregate”, “the total”, “the sum”, “collectively” and expressions of similar meaning shall mean “the aggregate (or total or sum) without duplication”;</w:t>
      </w:r>
    </w:p>
    <w:p>
      <w:pPr>
        <w:spacing w:after="0" w:line="75" w:lineRule="exact"/>
        <w:rPr>
          <w:rFonts w:ascii="Arial" w:cs="Arial" w:eastAsia="Arial" w:hAnsi="Arial"/>
          <w:sz w:val="18"/>
          <w:szCs w:val="18"/>
          <w:color w:val="auto"/>
        </w:rPr>
      </w:pPr>
    </w:p>
    <w:p>
      <w:pPr>
        <w:ind w:left="960" w:right="240" w:hanging="532"/>
        <w:spacing w:after="0" w:line="277" w:lineRule="auto"/>
        <w:tabs>
          <w:tab w:leader="none" w:pos="9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the computation of periods of time, unless otherwise expressly provided, the word “from” means “from and including” and the words “to” and “until” mean “to but excluding”;</w:t>
      </w:r>
    </w:p>
    <w:p>
      <w:pPr>
        <w:spacing w:after="0" w:line="75" w:lineRule="exact"/>
        <w:rPr>
          <w:rFonts w:ascii="Arial" w:cs="Arial" w:eastAsia="Arial" w:hAnsi="Arial"/>
          <w:sz w:val="18"/>
          <w:szCs w:val="18"/>
          <w:color w:val="auto"/>
        </w:rPr>
      </w:pPr>
    </w:p>
    <w:p>
      <w:pPr>
        <w:ind w:left="960" w:right="420" w:hanging="532"/>
        <w:spacing w:after="0" w:line="263" w:lineRule="auto"/>
        <w:tabs>
          <w:tab w:leader="none" w:pos="9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whenever a provision of this Agreement requires an approval or consent by a party and notification of such approval or consent is not delivered within the applicable time limit, then, unless otherwise specified, the party whose consent or approval is required shall be conclusively deemed to have withheld its consent or approval; and</w:t>
      </w:r>
    </w:p>
    <w:p>
      <w:pPr>
        <w:spacing w:after="0" w:line="89" w:lineRule="exact"/>
        <w:rPr>
          <w:rFonts w:ascii="Arial" w:cs="Arial" w:eastAsia="Arial" w:hAnsi="Arial"/>
          <w:sz w:val="18"/>
          <w:szCs w:val="18"/>
          <w:color w:val="auto"/>
        </w:rPr>
      </w:pPr>
    </w:p>
    <w:p>
      <w:pPr>
        <w:ind w:left="960" w:right="420" w:hanging="532"/>
        <w:spacing w:after="0" w:line="263" w:lineRule="auto"/>
        <w:tabs>
          <w:tab w:leader="none" w:pos="9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whenever any payment is to be made or action to be taken under this Agreement is required to be made or taken on a day other than a Business Day, then such payment shall be made or action shall be taken on or before the requisite time on the next Business Day immediately following.</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Severability</w:t>
      </w:r>
    </w:p>
    <w:p>
      <w:pPr>
        <w:spacing w:after="0" w:line="12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If any provision of this Agreement is, or becomes, illegal, invalid or unenforceable, such provision shall be severed from this Agreement and be ineffective to the extent of such illegality, invalidity or unenforceability. The remaining provisions hereof shall be unaffected by such provision and shall continue to be valid and enforceable.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11" w:name="page312"/>
    <w:bookmarkEnd w:id="311"/>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1.3</w:t>
      </w:r>
      <w:r>
        <w:rPr>
          <w:sz w:val="20"/>
          <w:szCs w:val="20"/>
          <w:color w:val="auto"/>
        </w:rPr>
        <w:tab/>
      </w:r>
      <w:r>
        <w:rPr>
          <w:rFonts w:ascii="Arial" w:cs="Arial" w:eastAsia="Arial" w:hAnsi="Arial"/>
          <w:sz w:val="16"/>
          <w:szCs w:val="16"/>
          <w:b w:val="1"/>
          <w:bCs w:val="1"/>
          <w:color w:val="auto"/>
        </w:rPr>
        <w:t>Governing Laws</w:t>
      </w:r>
    </w:p>
    <w:p>
      <w:pPr>
        <w:spacing w:after="0" w:line="135" w:lineRule="exact"/>
        <w:rPr>
          <w:sz w:val="20"/>
          <w:szCs w:val="20"/>
          <w:color w:val="auto"/>
        </w:rPr>
      </w:pPr>
    </w:p>
    <w:p>
      <w:pPr>
        <w:ind w:left="960" w:right="340" w:hanging="532"/>
        <w:spacing w:after="0" w:line="277" w:lineRule="auto"/>
        <w:tabs>
          <w:tab w:leader="none" w:pos="9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This Agreement shall be governed by, and interpreted in accordance with, the Laws of the Province of Ontario and the federal Laws of Canada applicable therein.</w:t>
      </w:r>
    </w:p>
    <w:p>
      <w:pPr>
        <w:spacing w:after="0" w:line="76" w:lineRule="exact"/>
        <w:rPr>
          <w:sz w:val="20"/>
          <w:szCs w:val="20"/>
          <w:color w:val="auto"/>
        </w:rPr>
      </w:pPr>
    </w:p>
    <w:p>
      <w:pPr>
        <w:ind w:left="960" w:right="180" w:hanging="532"/>
        <w:spacing w:after="0" w:line="277" w:lineRule="auto"/>
        <w:tabs>
          <w:tab w:leader="none" w:pos="9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parties hereby irrevocably attorn and submit to the non-exclusive jurisdiction of the courts of the Province of Ontario with respect to any matter arising under or related to this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DEFINITIONS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Agreement, the following terms shall have the following respective meanings: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Parties</w:t>
      </w:r>
      <w:r>
        <w:rPr>
          <w:rFonts w:ascii="Arial" w:cs="Arial" w:eastAsia="Arial" w:hAnsi="Arial"/>
          <w:sz w:val="18"/>
          <w:szCs w:val="18"/>
          <w:color w:val="auto"/>
        </w:rPr>
        <w:t>” has the meaning given to that term in Section 7.7.</w:t>
      </w:r>
    </w:p>
    <w:p>
      <w:pPr>
        <w:spacing w:after="0" w:line="225"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any other Person that directly, or indirectly through one or more intermediaries, controls, is controlled by or is under common control with the specified Person, or any venture capital fund, investment fund and separate account now or hereafter existing that is controlled by one or more general partners or managing members of, or shares the same management company with, such Person. As used in this definition, “control”, “controlled by” and “under common control with” means possession, directly or indirectly, of power to direct or cause the direction of management or policies of such Person (whether through ownership of securities or other partnership or ownership interests, as trustee, personal representative or executive or by contract, credit agreement or otherwise), provided that in any event, any Person which owns directly, indirectly or beneficially 50% or more of the securities having voting power for the election of directors or other governing body of a corporation or 50% or more of the partnership interests or other ownership interests of any other Person will be deemed to control such Person.</w:t>
      </w:r>
    </w:p>
    <w:p>
      <w:pPr>
        <w:spacing w:after="0" w:line="159"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As-Converted Basis</w:t>
      </w:r>
      <w:r>
        <w:rPr>
          <w:rFonts w:ascii="Arial" w:cs="Arial" w:eastAsia="Arial" w:hAnsi="Arial"/>
          <w:sz w:val="18"/>
          <w:szCs w:val="18"/>
          <w:color w:val="auto"/>
        </w:rPr>
        <w:t>” means, for the purposes of this Agreement, that if a calculation of a number of securities is to be made on an “as-converted basis’’, the number of securities is determined as the number of Common Shares that would be held by the applicable Holder if all securities held by such Holder that are, directly or indirectly, exercisable or exchangeable for or convertible into Common Shares are so exercised, exchanged or converted.</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 of Incorporation</w:t>
      </w:r>
      <w:r>
        <w:rPr>
          <w:rFonts w:ascii="Arial" w:cs="Arial" w:eastAsia="Arial" w:hAnsi="Arial"/>
          <w:sz w:val="18"/>
          <w:szCs w:val="18"/>
          <w:color w:val="auto"/>
        </w:rPr>
        <w:t>” means the articles of incorporation of the Corporation, as amended and restated from time to time.</w:t>
      </w:r>
    </w:p>
    <w:p>
      <w:pPr>
        <w:spacing w:after="0" w:line="225"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on which banks are generally open for business, other than a Saturday, a Sunday or a statutory holiday in the Provinces of Quebec and Ontario or the State of New York.</w:t>
      </w:r>
    </w:p>
    <w:p>
      <w:pPr>
        <w:spacing w:after="0" w:line="162"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Prospectus</w:t>
      </w:r>
      <w:r>
        <w:rPr>
          <w:rFonts w:ascii="Arial" w:cs="Arial" w:eastAsia="Arial" w:hAnsi="Arial"/>
          <w:sz w:val="18"/>
          <w:szCs w:val="18"/>
          <w:color w:val="auto"/>
        </w:rPr>
        <w:t>” means a preliminary prospectus and a final prospectus (including the short forms thereof) prepared in accordance with applicable Canadian Securities Laws for the purposes of qualifying securities for distribution or distribution to the public, as the case may be, in any province or territory of Canada, including all amendments and supplements thereto.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312" w:name="page313"/>
    <w:bookmarkEnd w:id="312"/>
    <w:p>
      <w:pPr>
        <w:ind w:firstLine="440"/>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b w:val="1"/>
          <w:bCs w:val="1"/>
          <w:color w:val="auto"/>
        </w:rPr>
        <w:t>Canadian Securities Laws</w:t>
      </w:r>
      <w:r>
        <w:rPr>
          <w:rFonts w:ascii="Arial" w:cs="Arial" w:eastAsia="Arial" w:hAnsi="Arial"/>
          <w:sz w:val="16"/>
          <w:szCs w:val="16"/>
          <w:color w:val="auto"/>
        </w:rPr>
        <w:t>” means statutes and regulations applicable to the trading of securities in any province or territory of Canada including applicable rules, instruments, rulings, policy statements, blanket rulings, orders, communiqués and interpretation notes issued thereunder or in relation thereto, promulgated by the Commissions in Canada, as the same may hereinafter be amended from time to time or replaced.</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Investors</w:t>
      </w:r>
      <w:r>
        <w:rPr>
          <w:rFonts w:ascii="Arial" w:cs="Arial" w:eastAsia="Arial" w:hAnsi="Arial"/>
          <w:sz w:val="18"/>
          <w:szCs w:val="18"/>
          <w:color w:val="auto"/>
        </w:rPr>
        <w:t>” has the meaning given to that term in the preamble.</w:t>
      </w:r>
    </w:p>
    <w:p>
      <w:pPr>
        <w:spacing w:after="0" w:line="225" w:lineRule="exact"/>
        <w:rPr>
          <w:sz w:val="20"/>
          <w:szCs w:val="20"/>
          <w:color w:val="auto"/>
        </w:rPr>
      </w:pPr>
    </w:p>
    <w:p>
      <w:pPr>
        <w:ind w:right="24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A Preferred Shares</w:t>
      </w:r>
      <w:r>
        <w:rPr>
          <w:rFonts w:ascii="Arial" w:cs="Arial" w:eastAsia="Arial" w:hAnsi="Arial"/>
          <w:sz w:val="16"/>
          <w:szCs w:val="16"/>
          <w:color w:val="auto"/>
        </w:rPr>
        <w:t>” means the Class A convertible preferred shares in the capital of the Corporation and any other securities issued or issuable thereon or in respect thereof (whether by way of a share dividend or share split or in exchange for or upon conversion of such shares or otherwise in connection with a combination of shares, distribution, recapitalization, merger, consolidation or other corporate reorganization), and for greater certainty, a reference to Class A Preferred Shares includes Common Shares issued on conversion of such Class A Preferred Shares.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Investors</w:t>
      </w:r>
      <w:r>
        <w:rPr>
          <w:rFonts w:ascii="Arial" w:cs="Arial" w:eastAsia="Arial" w:hAnsi="Arial"/>
          <w:sz w:val="18"/>
          <w:szCs w:val="18"/>
          <w:color w:val="auto"/>
        </w:rPr>
        <w:t>” has the meaning given to that term in the preamble.</w:t>
      </w:r>
    </w:p>
    <w:p>
      <w:pPr>
        <w:spacing w:after="0" w:line="225" w:lineRule="exact"/>
        <w:rPr>
          <w:sz w:val="20"/>
          <w:szCs w:val="20"/>
          <w:color w:val="auto"/>
        </w:rPr>
      </w:pPr>
    </w:p>
    <w:p>
      <w:pPr>
        <w:ind w:right="24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B Preferred Shares</w:t>
      </w:r>
      <w:r>
        <w:rPr>
          <w:rFonts w:ascii="Arial" w:cs="Arial" w:eastAsia="Arial" w:hAnsi="Arial"/>
          <w:sz w:val="16"/>
          <w:szCs w:val="16"/>
          <w:color w:val="auto"/>
        </w:rPr>
        <w:t>” means the Class B convertible preferred shares in the capital of the Corporation and any other securities issued or issuable thereon or in respect thereof (whether by way of a share dividend or share split or in exchange for or upon conversion of such shares or otherwise in connection with a combination of shares, distribution, recapitalization, merger, consolidation or other corporate reorganization), and for greater certainty, a reference to Class B Preferred Shares includes Common Shares issued on conversion of such Class B Preferred Shares.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Share Subscription Agreement</w:t>
      </w:r>
      <w:r>
        <w:rPr>
          <w:rFonts w:ascii="Arial" w:cs="Arial" w:eastAsia="Arial" w:hAnsi="Arial"/>
          <w:sz w:val="18"/>
          <w:szCs w:val="18"/>
          <w:color w:val="auto"/>
        </w:rPr>
        <w:t>” has the meaning given to that term in the recitals.</w:t>
      </w:r>
    </w:p>
    <w:p>
      <w:pPr>
        <w:spacing w:after="0" w:line="225" w:lineRule="exact"/>
        <w:rPr>
          <w:sz w:val="20"/>
          <w:szCs w:val="20"/>
          <w:color w:val="auto"/>
        </w:rPr>
      </w:pPr>
    </w:p>
    <w:p>
      <w:pPr>
        <w:ind w:right="16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Shares</w:t>
      </w:r>
      <w:r>
        <w:rPr>
          <w:rFonts w:ascii="Arial" w:cs="Arial" w:eastAsia="Arial" w:hAnsi="Arial"/>
          <w:sz w:val="17"/>
          <w:szCs w:val="17"/>
          <w:color w:val="auto"/>
        </w:rPr>
        <w:t>” means the Common Shares in the capital of the Corporation and any other securities issued or issuable thereon or in respect thereof (whether by way of a share dividend or share split or in exchange for or upon conversion of such shares or otherwise in connection with a combination of shares, distribution, recapitalization, merger, consolidation or other corporate reorganization).</w:t>
      </w:r>
    </w:p>
    <w:p>
      <w:pPr>
        <w:spacing w:after="0" w:line="158" w:lineRule="exact"/>
        <w:rPr>
          <w:sz w:val="20"/>
          <w:szCs w:val="20"/>
          <w:color w:val="auto"/>
        </w:rPr>
      </w:pPr>
    </w:p>
    <w:p>
      <w:pPr>
        <w:ind w:right="8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Commissions</w:t>
      </w:r>
      <w:r>
        <w:rPr>
          <w:rFonts w:ascii="Arial" w:cs="Arial" w:eastAsia="Arial" w:hAnsi="Arial"/>
          <w:sz w:val="16"/>
          <w:szCs w:val="16"/>
          <w:color w:val="auto"/>
        </w:rPr>
        <w:t>” means (i) the SEC, and (ii) any securities commission or securities regulatory authority in each applicable province and territory of Canada, or, in each case, any successor regulatory authorities having similar powers in the United States or Canada, as the case may be.</w:t>
      </w:r>
    </w:p>
    <w:p>
      <w:pPr>
        <w:spacing w:after="0" w:line="116" w:lineRule="exact"/>
        <w:rPr>
          <w:sz w:val="20"/>
          <w:szCs w:val="20"/>
          <w:color w:val="auto"/>
        </w:rPr>
      </w:pPr>
    </w:p>
    <w:p>
      <w:pPr>
        <w:ind w:right="7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Corporation</w:t>
      </w:r>
      <w:r>
        <w:rPr>
          <w:rFonts w:ascii="Arial" w:cs="Arial" w:eastAsia="Arial" w:hAnsi="Arial"/>
          <w:sz w:val="18"/>
          <w:szCs w:val="18"/>
          <w:color w:val="auto"/>
        </w:rPr>
        <w:t>” has the meaning given to that term in the preamble and includes the Corporation’s successors by merger, amalgamation, acquisition, reorganization or otherwise.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Delay Certificate</w:t>
      </w:r>
      <w:r>
        <w:rPr>
          <w:rFonts w:ascii="Arial" w:cs="Arial" w:eastAsia="Arial" w:hAnsi="Arial"/>
          <w:sz w:val="18"/>
          <w:szCs w:val="18"/>
          <w:color w:val="auto"/>
        </w:rPr>
        <w:t>” has the meaning given to that term in Section 3.1(c).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Demand Registration</w:t>
      </w:r>
      <w:r>
        <w:rPr>
          <w:rFonts w:ascii="Arial" w:cs="Arial" w:eastAsia="Arial" w:hAnsi="Arial"/>
          <w:sz w:val="18"/>
          <w:szCs w:val="18"/>
          <w:color w:val="auto"/>
        </w:rPr>
        <w:t>” has the meaning given to that term in Section 3.1(a).</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0" w:right="499" w:bottom="1440" w:gutter="0" w:footer="0" w:header="0"/>
        </w:sectPr>
      </w:pPr>
    </w:p>
    <w:bookmarkStart w:id="313" w:name="page314"/>
    <w:bookmarkEnd w:id="31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Final Prospectus</w:t>
      </w:r>
      <w:r>
        <w:rPr>
          <w:rFonts w:ascii="Arial" w:cs="Arial" w:eastAsia="Arial" w:hAnsi="Arial"/>
          <w:sz w:val="18"/>
          <w:szCs w:val="18"/>
          <w:color w:val="auto"/>
        </w:rPr>
        <w:t>” has the meaning given to that term in Section 6.1.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w:t>
      </w:r>
    </w:p>
    <w:p>
      <w:pPr>
        <w:spacing w:after="0" w:line="135" w:lineRule="exact"/>
        <w:rPr>
          <w:sz w:val="20"/>
          <w:szCs w:val="20"/>
          <w:color w:val="auto"/>
        </w:rPr>
      </w:pPr>
    </w:p>
    <w:p>
      <w:pPr>
        <w:ind w:left="1420" w:hanging="439"/>
        <w:spacing w:after="0"/>
        <w:tabs>
          <w:tab w:leader="none" w:pos="14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each of the Persons listed on Schedule A or Schedule B;</w:t>
      </w:r>
    </w:p>
    <w:p>
      <w:pPr>
        <w:spacing w:after="0" w:line="130" w:lineRule="exact"/>
        <w:rPr>
          <w:rFonts w:ascii="Arial" w:cs="Arial" w:eastAsia="Arial" w:hAnsi="Arial"/>
          <w:sz w:val="18"/>
          <w:szCs w:val="18"/>
          <w:color w:val="auto"/>
        </w:rPr>
      </w:pPr>
    </w:p>
    <w:p>
      <w:pPr>
        <w:ind w:left="1420" w:right="480" w:hanging="439"/>
        <w:spacing w:after="0" w:line="277" w:lineRule="auto"/>
        <w:tabs>
          <w:tab w:leader="none" w:pos="14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other permitted person to whom the rights under this Agreement have been transferred by any of them (or their respective successors or permitted assigns) in accordance with Section 3.4; and</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Person that becomes a party to this Agreement in accordance with Section 7.7.</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 Indemnified Parties</w:t>
      </w:r>
      <w:r>
        <w:rPr>
          <w:rFonts w:ascii="Arial" w:cs="Arial" w:eastAsia="Arial" w:hAnsi="Arial"/>
          <w:sz w:val="18"/>
          <w:szCs w:val="18"/>
          <w:color w:val="auto"/>
        </w:rPr>
        <w:t>” has the meaning given to that term in Section 6.1.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has the meaning given to that term in Section 6.3(a).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has the meaning given to that term in Section 6.3(a).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Offering</w:t>
      </w:r>
      <w:r>
        <w:rPr>
          <w:rFonts w:ascii="Arial" w:cs="Arial" w:eastAsia="Arial" w:hAnsi="Arial"/>
          <w:sz w:val="18"/>
          <w:szCs w:val="18"/>
          <w:color w:val="auto"/>
        </w:rPr>
        <w:t>” means the initial public offering of securities of the Corporation in any jurisdiction.</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Initiating Holder</w:t>
      </w:r>
      <w:r>
        <w:rPr>
          <w:rFonts w:ascii="Arial" w:cs="Arial" w:eastAsia="Arial" w:hAnsi="Arial"/>
          <w:sz w:val="18"/>
          <w:szCs w:val="18"/>
          <w:color w:val="auto"/>
        </w:rPr>
        <w:t>”, for the purposes of Section 3.1, has the meaning given to that term in Section 3.1(a), and for the purposes of Section 3.2, has the meaning given to that term in Section 3.2(a).</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 Shares</w:t>
      </w:r>
      <w:r>
        <w:rPr>
          <w:rFonts w:ascii="Arial" w:cs="Arial" w:eastAsia="Arial" w:hAnsi="Arial"/>
          <w:sz w:val="18"/>
          <w:szCs w:val="18"/>
          <w:color w:val="auto"/>
        </w:rPr>
        <w:t>” means the Preferred Shares and the Common Shares issuable upon conversion of the Preferred Shares.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Investors</w:t>
      </w:r>
      <w:r>
        <w:rPr>
          <w:rFonts w:ascii="Arial" w:cs="Arial" w:eastAsia="Arial" w:hAnsi="Arial"/>
          <w:sz w:val="18"/>
          <w:szCs w:val="18"/>
          <w:color w:val="auto"/>
        </w:rPr>
        <w:t>” has the meaning given to that term in the preamble.</w:t>
      </w:r>
    </w:p>
    <w:p>
      <w:pPr>
        <w:spacing w:after="0" w:line="225" w:lineRule="exact"/>
        <w:rPr>
          <w:sz w:val="20"/>
          <w:szCs w:val="20"/>
          <w:color w:val="auto"/>
        </w:rPr>
      </w:pPr>
    </w:p>
    <w:p>
      <w:pPr>
        <w:ind w:right="14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Law</w:t>
      </w:r>
      <w:r>
        <w:rPr>
          <w:rFonts w:ascii="Arial" w:cs="Arial" w:eastAsia="Arial" w:hAnsi="Arial"/>
          <w:sz w:val="16"/>
          <w:szCs w:val="16"/>
          <w:color w:val="auto"/>
        </w:rPr>
        <w:t>” means any and all laws, including all federal, state, provincial, territorial and local statutes, codes, ordinances, guidelines, decrees, rules, regulations and municipal by-laws and all judicial, arbitral, administrative, ministerial, departmental or regulatory judgments, orders, directives, decisions, rulings or awards or other requirements of any person binding on or affecting the person referred to in the context in which the term is used.</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Investors</w:t>
      </w:r>
      <w:r>
        <w:rPr>
          <w:rFonts w:ascii="Arial" w:cs="Arial" w:eastAsia="Arial" w:hAnsi="Arial"/>
          <w:sz w:val="18"/>
          <w:szCs w:val="18"/>
          <w:color w:val="auto"/>
        </w:rPr>
        <w:t>” has the meaning given to it in Section 5.1 of the Shareholders Agreement;</w:t>
      </w:r>
    </w:p>
    <w:p>
      <w:pPr>
        <w:spacing w:after="0" w:line="225"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NI 44-101</w:t>
      </w:r>
      <w:r>
        <w:rPr>
          <w:rFonts w:ascii="Arial" w:cs="Arial" w:eastAsia="Arial" w:hAnsi="Arial"/>
          <w:sz w:val="18"/>
          <w:szCs w:val="18"/>
          <w:color w:val="auto"/>
        </w:rPr>
        <w:t>” means National Instrument 44-101 of the Canadian Securities Administrators entitled “Short Form Prospectus Distributions”, and any successor policy, rule, regulation or similar instrument.</w:t>
      </w:r>
    </w:p>
    <w:p>
      <w:pPr>
        <w:spacing w:after="0" w:line="162"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NI 45-102</w:t>
      </w:r>
      <w:r>
        <w:rPr>
          <w:rFonts w:ascii="Arial" w:cs="Arial" w:eastAsia="Arial" w:hAnsi="Arial"/>
          <w:sz w:val="18"/>
          <w:szCs w:val="18"/>
          <w:color w:val="auto"/>
        </w:rPr>
        <w:t>” means National Instrument 45-102 of the Canadian Securities Administrators entitled “Resale of Securities”, and any successor policy, rule, regulation or similar instrument.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0" w:right="499" w:bottom="1440" w:gutter="0" w:footer="0" w:header="0"/>
        </w:sectPr>
      </w:pPr>
    </w:p>
    <w:bookmarkStart w:id="314" w:name="page315"/>
    <w:bookmarkEnd w:id="314"/>
    <w:p>
      <w:pPr>
        <w:ind w:left="4" w:right="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NI 51-102</w:t>
      </w:r>
      <w:r>
        <w:rPr>
          <w:rFonts w:ascii="Arial" w:cs="Arial" w:eastAsia="Arial" w:hAnsi="Arial"/>
          <w:sz w:val="18"/>
          <w:szCs w:val="18"/>
          <w:color w:val="auto"/>
        </w:rPr>
        <w:t>” means National Instrument 51-102 of the Canadian Securities Administrators entitled “Continuous Disclosure Obligations”, and any successor policy, rule, regulation or similar instrument.</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w:t>
      </w:r>
      <w:r>
        <w:rPr>
          <w:rFonts w:ascii="Arial" w:cs="Arial" w:eastAsia="Arial" w:hAnsi="Arial"/>
          <w:sz w:val="18"/>
          <w:szCs w:val="18"/>
          <w:color w:val="auto"/>
        </w:rPr>
        <w:t>” has the meaning given to that term in Section 7.1.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Registration Rights Agreement</w:t>
      </w:r>
      <w:r>
        <w:rPr>
          <w:rFonts w:ascii="Arial" w:cs="Arial" w:eastAsia="Arial" w:hAnsi="Arial"/>
          <w:sz w:val="18"/>
          <w:szCs w:val="18"/>
          <w:color w:val="auto"/>
        </w:rPr>
        <w:t>” has the meaning given to that term in the preamble.</w:t>
      </w:r>
    </w:p>
    <w:p>
      <w:pPr>
        <w:spacing w:after="0" w:line="225" w:lineRule="exact"/>
        <w:rPr>
          <w:sz w:val="20"/>
          <w:szCs w:val="20"/>
          <w:color w:val="auto"/>
        </w:rPr>
      </w:pPr>
    </w:p>
    <w:p>
      <w:pPr>
        <w:ind w:left="4"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or any entity, including any partnership, limited partnership, joint venture, syndicate, sole proprietorship, company or corporation with or without share capital, unincorporated association or trust and any trustee, executor, administrator or other legal personal representative, regulatory body or agency, government or governmental agency, authority or entity however designated or constituted;</w:t>
      </w:r>
    </w:p>
    <w:p>
      <w:pPr>
        <w:spacing w:after="0" w:line="1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Piggy-Back Registration</w:t>
      </w:r>
      <w:r>
        <w:rPr>
          <w:rFonts w:ascii="Arial" w:cs="Arial" w:eastAsia="Arial" w:hAnsi="Arial"/>
          <w:sz w:val="18"/>
          <w:szCs w:val="18"/>
          <w:color w:val="auto"/>
        </w:rPr>
        <w:t>” has the meaning given to that term in Section 3.3(a)(i).</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Shares</w:t>
      </w:r>
      <w:r>
        <w:rPr>
          <w:rFonts w:ascii="Arial" w:cs="Arial" w:eastAsia="Arial" w:hAnsi="Arial"/>
          <w:sz w:val="18"/>
          <w:szCs w:val="18"/>
          <w:color w:val="auto"/>
        </w:rPr>
        <w:t>” means, collectively, the Class A Preferred Shares and the Class B Preferred Shares;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w:t>
      </w:r>
      <w:r>
        <w:rPr>
          <w:rFonts w:ascii="Arial" w:cs="Arial" w:eastAsia="Arial" w:hAnsi="Arial"/>
          <w:sz w:val="16"/>
          <w:szCs w:val="16"/>
          <w:color w:val="auto"/>
        </w:rPr>
        <w:t>”, “</w:t>
      </w:r>
      <w:r>
        <w:rPr>
          <w:rFonts w:ascii="Arial" w:cs="Arial" w:eastAsia="Arial" w:hAnsi="Arial"/>
          <w:sz w:val="16"/>
          <w:szCs w:val="16"/>
          <w:b w:val="1"/>
          <w:bCs w:val="1"/>
          <w:color w:val="auto"/>
        </w:rPr>
        <w:t>registered</w:t>
      </w:r>
      <w:r>
        <w:rPr>
          <w:rFonts w:ascii="Arial" w:cs="Arial" w:eastAsia="Arial" w:hAnsi="Arial"/>
          <w:sz w:val="16"/>
          <w:szCs w:val="16"/>
          <w:color w:val="auto"/>
        </w:rPr>
        <w:t>” and “</w:t>
      </w:r>
      <w:r>
        <w:rPr>
          <w:rFonts w:ascii="Arial" w:cs="Arial" w:eastAsia="Arial" w:hAnsi="Arial"/>
          <w:sz w:val="16"/>
          <w:szCs w:val="16"/>
          <w:b w:val="1"/>
          <w:bCs w:val="1"/>
          <w:color w:val="auto"/>
        </w:rPr>
        <w:t>registration</w:t>
      </w:r>
      <w:r>
        <w:rPr>
          <w:rFonts w:ascii="Arial" w:cs="Arial" w:eastAsia="Arial" w:hAnsi="Arial"/>
          <w:sz w:val="16"/>
          <w:szCs w:val="16"/>
          <w:color w:val="auto"/>
        </w:rPr>
        <w:t>” refer to a registration effected by preparing and filing a registration statement in compliance with the</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6"/>
          <w:szCs w:val="16"/>
          <w:color w:val="auto"/>
        </w:rPr>
        <w:t>U.S. Securities Act, and the declaration or ordering of the effectiveness of such registration statement. In addition, unless inconsistent with the context:</w:t>
      </w:r>
    </w:p>
    <w:p>
      <w:pPr>
        <w:spacing w:after="0" w:line="32" w:lineRule="exact"/>
        <w:rPr>
          <w:sz w:val="20"/>
          <w:szCs w:val="20"/>
          <w:color w:val="auto"/>
        </w:rPr>
      </w:pPr>
    </w:p>
    <w:p>
      <w:pPr>
        <w:ind w:left="4" w:right="40" w:hanging="4"/>
        <w:spacing w:after="0" w:line="270" w:lineRule="auto"/>
        <w:tabs>
          <w:tab w:leader="none" w:pos="219"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term “registration” and any references to the act of registering include the qualification under Canadian Securities Laws of a Canadian Prospectus in respect of a distribution or distribution to the public, as the case may be, of securities; (ii) the term “registered” as applied to any securities includes a distribution or distribution to the public, as the case may be, of securities so qualified; (iii) the term “registration statement” includes a Canadian Prospectus; and (iv) any references to a registration statement having become effective, or similar references, shall include a Canadian Prospectus for which a final receipt has been obtained from the relevant Canadian Commissions. Any registration of securities that occurs concurrently in Canada and the United States shall be counted as a single registration for the purposes of this Agreement.</w:t>
      </w:r>
    </w:p>
    <w:p>
      <w:pPr>
        <w:spacing w:after="0" w:line="174"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Registrable Securities</w:t>
      </w:r>
      <w:r>
        <w:rPr>
          <w:rFonts w:ascii="Arial" w:cs="Arial" w:eastAsia="Arial" w:hAnsi="Arial"/>
          <w:sz w:val="17"/>
          <w:szCs w:val="17"/>
          <w:color w:val="auto"/>
        </w:rPr>
        <w:t>” means, with respect to any Holder, (i) the Common Shares held by such Holder, (ii) the Common Shares or other securities of the Corporation issued or issuable to such Holder upon the conversion or exchange of such Holder’s Investor Shares or as a dividend or other distribution on such Investor Shares or with respect to, in exchange for, or in replacement of such Preferred Shares; and (iii) any Common Shares or other securities of the Corporation issued as a dividend or other distribution on such Common Shares or other securities that are Registrable Securities pursuant to (ii) above, or with respect to, in exchange for, or in replacement of any of the Common Shares or other securities that are Registrable Securities pursuant to the above. As to any particular Registrable Securities, such securities shall cease to be Registrable Securities when they have been distributed to the public pursuant to a registration or sold to the public through a dealer or market maker in compliance with applicable Securities Laws. For purposes of this Agreement, a Person shall be deemed to be the holder of Registrable Securities, and the Registrable Securities shall be deemed to be in existence, whenever such Person has the right to acquire such Registrable Securities (upon conversion or exercise or otherwise, but disregarding any restrictions or limitations upon exercise of such right), whether or not the acquisition has actually been effected, and such Person shall be entitled to exercise the rights of a holder of Registrable Securities hereunder.</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0" w:right="459" w:bottom="1440" w:gutter="0" w:footer="0" w:header="0"/>
        </w:sectPr>
      </w:pPr>
    </w:p>
    <w:bookmarkStart w:id="315" w:name="page316"/>
    <w:bookmarkEnd w:id="315"/>
    <w:p>
      <w:pPr>
        <w:ind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Registration Expenses</w:t>
      </w:r>
      <w:r>
        <w:rPr>
          <w:rFonts w:ascii="Arial" w:cs="Arial" w:eastAsia="Arial" w:hAnsi="Arial"/>
          <w:sz w:val="16"/>
          <w:szCs w:val="16"/>
          <w:color w:val="auto"/>
        </w:rPr>
        <w:t>” means all expenses incurred by the Corporation that are associated with, or related to, the Corporation’s performance of, or compliance with, this Agreement, including, without limitation, all registration, qualification, filing, listing and Financial Industry Regulatory Authority, Inc. fees, all fees and expenses of complying with the Securities Laws (including, without limitation, the securities or blue sky Laws of the United States), all duplicating and printing expenses, all translation fees and expenses, all fees of transfer agents and registrars, all costs of insurance, all escrow fees and expenses, all messenger and delivery expenses, any stock exchange fees, the fees and expenses of the Corporation’s legal counsel and auditors, including the expenses of any regular or special audits or “cold comfort” letters required by or incident to such performance and compliance, up to US$35,000 for reasonable fees and disbursements of not more than one counsel for all of the selling Holders, such counsel to be selected by the holders of the majority of the Investor Shares included in a registration, or if no such securities are included in the applicable registration, by the holders of the majority of Registrable Securities included in the applicable registration, in each case on an As-Converted Basis; provided however that the foregoing cap shall not apply in connection with the Initial Offering of the Corporation, and any reasonable fees and disbursements of underwriters customarily paid by Corporations or sellers of securities; provided, however, that Registration Expenses shall not include Selling Expenses.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has the meaning given to it in Section 3.1(c);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United States Securities and Exchange Commission or any other federal agency at the time administering the U.S. Securities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Laws</w:t>
      </w:r>
      <w:r>
        <w:rPr>
          <w:rFonts w:ascii="Arial" w:cs="Arial" w:eastAsia="Arial" w:hAnsi="Arial"/>
          <w:sz w:val="18"/>
          <w:szCs w:val="18"/>
          <w:color w:val="auto"/>
        </w:rPr>
        <w:t>” means, collectively, the Canadian Securities Laws and the U.S. Securities Laws.</w:t>
      </w:r>
    </w:p>
    <w:p>
      <w:pPr>
        <w:spacing w:after="0" w:line="225"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Expenses</w:t>
      </w:r>
      <w:r>
        <w:rPr>
          <w:rFonts w:ascii="Arial" w:cs="Arial" w:eastAsia="Arial" w:hAnsi="Arial"/>
          <w:sz w:val="18"/>
          <w:szCs w:val="18"/>
          <w:color w:val="auto"/>
        </w:rPr>
        <w:t>” means underwriting fees, discounts and commissions, fees and disbursements of the selling Holders’ counsel (other than the one counsel selected to represent all selling Holders) and any transfer taxes relating to the disposition of the Registrable Securities, each incurred in connection with a registration pursuant to Sections 3.1, 3.2 and 3.3.</w:t>
      </w:r>
    </w:p>
    <w:p>
      <w:pPr>
        <w:spacing w:after="0" w:line="176" w:lineRule="exact"/>
        <w:rPr>
          <w:sz w:val="20"/>
          <w:szCs w:val="20"/>
          <w:color w:val="auto"/>
        </w:rPr>
      </w:pPr>
    </w:p>
    <w:p>
      <w:pPr>
        <w:ind w:right="1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Shareholders Agreement</w:t>
      </w:r>
      <w:r>
        <w:rPr>
          <w:rFonts w:ascii="Arial" w:cs="Arial" w:eastAsia="Arial" w:hAnsi="Arial"/>
          <w:sz w:val="17"/>
          <w:szCs w:val="17"/>
          <w:color w:val="auto"/>
        </w:rPr>
        <w:t>” means the second amended and restated unanimous shareholders’ agreement dated as of the date hereof and entered into among the Corporation and all of its shareholders, as amended, supplemented, restated or replaced from time to time;</w:t>
      </w:r>
    </w:p>
    <w:p>
      <w:pPr>
        <w:spacing w:after="0" w:line="140" w:lineRule="exact"/>
        <w:rPr>
          <w:sz w:val="20"/>
          <w:szCs w:val="20"/>
          <w:color w:val="auto"/>
        </w:rPr>
      </w:pPr>
    </w:p>
    <w:p>
      <w:pPr>
        <w:jc w:val="both"/>
        <w:ind w:right="22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Short Form Registration</w:t>
      </w:r>
      <w:r>
        <w:rPr>
          <w:rFonts w:ascii="Arial" w:cs="Arial" w:eastAsia="Arial" w:hAnsi="Arial"/>
          <w:sz w:val="16"/>
          <w:szCs w:val="16"/>
          <w:color w:val="auto"/>
        </w:rPr>
        <w:t>” means a registration effected using (i) Form S-3, Form F-3 or Form F-10 (or any comparable or successor form or forms under the applicable Securities Laws), if the Initial Offering was completed in the United States, or (ii) a short form Canadian Prospectus in the form of Form 44-101F1 pursuant to NI 44-101 (or any comparable or successor form or forms under the Canadian Securities Laws).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316" w:name="page317"/>
    <w:bookmarkEnd w:id="316"/>
    <w:p>
      <w:pPr>
        <w:ind w:right="220" w:firstLine="44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Subsidiary</w:t>
      </w:r>
      <w:r>
        <w:rPr>
          <w:rFonts w:ascii="Arial" w:cs="Arial" w:eastAsia="Arial" w:hAnsi="Arial"/>
          <w:sz w:val="16"/>
          <w:szCs w:val="16"/>
          <w:color w:val="auto"/>
        </w:rPr>
        <w:t>” or “</w:t>
      </w:r>
      <w:r>
        <w:rPr>
          <w:rFonts w:ascii="Arial" w:cs="Arial" w:eastAsia="Arial" w:hAnsi="Arial"/>
          <w:sz w:val="16"/>
          <w:szCs w:val="16"/>
          <w:b w:val="1"/>
          <w:bCs w:val="1"/>
          <w:color w:val="auto"/>
        </w:rPr>
        <w:t>Subsidiaries</w:t>
      </w:r>
      <w:r>
        <w:rPr>
          <w:rFonts w:ascii="Arial" w:cs="Arial" w:eastAsia="Arial" w:hAnsi="Arial"/>
          <w:sz w:val="16"/>
          <w:szCs w:val="16"/>
          <w:color w:val="auto"/>
        </w:rPr>
        <w:t>” in respect of any Holder means any entity of which such Holder and/or any of its other Subsidiaries directly or indirectly owns at the time outstanding securities of such entity representing at least fifty percent (50%) of the voting power of such entity.</w:t>
      </w:r>
    </w:p>
    <w:p>
      <w:pPr>
        <w:spacing w:after="0" w:line="116"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Exchange Act</w:t>
      </w:r>
      <w:r>
        <w:rPr>
          <w:rFonts w:ascii="Arial" w:cs="Arial" w:eastAsia="Arial" w:hAnsi="Arial"/>
          <w:sz w:val="18"/>
          <w:szCs w:val="18"/>
          <w:color w:val="auto"/>
        </w:rPr>
        <w:t>” means the Securities Exchange Act of 1934, as amended, or any similar federal statute, and the rules and regulations of the SEC promulgated thereunder, as they each may, from time to time, be in effect.</w:t>
      </w:r>
    </w:p>
    <w:p>
      <w:pPr>
        <w:spacing w:after="0" w:line="162"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Securities Act</w:t>
      </w:r>
      <w:r>
        <w:rPr>
          <w:rFonts w:ascii="Arial" w:cs="Arial" w:eastAsia="Arial" w:hAnsi="Arial"/>
          <w:sz w:val="18"/>
          <w:szCs w:val="18"/>
          <w:color w:val="auto"/>
        </w:rPr>
        <w:t>” means the Securities Act of 1933, as amended, or any similar federal statute and the rules and regulations of the SEC promulgated thereunder, as they each may, from time to time, be in effect.</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Securities Laws</w:t>
      </w:r>
      <w:r>
        <w:rPr>
          <w:rFonts w:ascii="Arial" w:cs="Arial" w:eastAsia="Arial" w:hAnsi="Arial"/>
          <w:sz w:val="18"/>
          <w:szCs w:val="18"/>
          <w:color w:val="auto"/>
        </w:rPr>
        <w:t>” means all U.S. federal and state securities Laws and regulations, including, without limitation, the U.S. Securities Act and the U.S. Exchange Act.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Demand Registrations</w:t>
      </w:r>
    </w:p>
    <w:p>
      <w:pPr>
        <w:spacing w:after="0" w:line="131" w:lineRule="exact"/>
        <w:rPr>
          <w:sz w:val="20"/>
          <w:szCs w:val="20"/>
          <w:color w:val="auto"/>
        </w:rPr>
      </w:pPr>
    </w:p>
    <w:p>
      <w:pPr>
        <w:ind w:left="960" w:right="60" w:hanging="532"/>
        <w:spacing w:after="0" w:line="255" w:lineRule="auto"/>
        <w:tabs>
          <w:tab w:leader="none" w:pos="96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 xml:space="preserve">Request for Registration. </w:t>
      </w:r>
      <w:r>
        <w:rPr>
          <w:rFonts w:ascii="Arial" w:cs="Arial" w:eastAsia="Arial" w:hAnsi="Arial"/>
          <w:sz w:val="18"/>
          <w:szCs w:val="18"/>
          <w:color w:val="auto"/>
        </w:rPr>
        <w:t>Subject to the provisions set out in this Section 3.1, at any time or from time to time after the date that is the</w:t>
      </w:r>
      <w:r>
        <w:rPr>
          <w:rFonts w:ascii="Arial" w:cs="Arial" w:eastAsia="Arial" w:hAnsi="Arial"/>
          <w:sz w:val="18"/>
          <w:szCs w:val="18"/>
          <w:b w:val="1"/>
          <w:bCs w:val="1"/>
          <w:color w:val="auto"/>
        </w:rPr>
        <w:t xml:space="preserve"> </w:t>
      </w:r>
      <w:r>
        <w:rPr>
          <w:rFonts w:ascii="Arial" w:cs="Arial" w:eastAsia="Arial" w:hAnsi="Arial"/>
          <w:sz w:val="18"/>
          <w:szCs w:val="18"/>
          <w:color w:val="auto"/>
        </w:rPr>
        <w:t>earlier of (i) five years from the date hereof and (ii) six months after the completion of the Initial Offering, any one or more of the Holders holding at least 50.1% of the then-outstanding Registrable Securities held by all Holders (for the purposes of this Section 3.1, collectively, if applicable, the “</w:t>
      </w:r>
      <w:r>
        <w:rPr>
          <w:rFonts w:ascii="Arial" w:cs="Arial" w:eastAsia="Arial" w:hAnsi="Arial"/>
          <w:sz w:val="18"/>
          <w:szCs w:val="18"/>
          <w:b w:val="1"/>
          <w:bCs w:val="1"/>
          <w:color w:val="auto"/>
        </w:rPr>
        <w:t>Initiating Holder</w:t>
      </w:r>
      <w:r>
        <w:rPr>
          <w:rFonts w:ascii="Arial" w:cs="Arial" w:eastAsia="Arial" w:hAnsi="Arial"/>
          <w:sz w:val="18"/>
          <w:szCs w:val="18"/>
          <w:color w:val="auto"/>
        </w:rPr>
        <w:t>”) may require the Corporation to file and take such other steps as may be necessary under the Securities Laws to facilitate a public offering (including an Initial Offering) with respect to all or part of such Initiating Holder’s Registrable Securities (each such registration, a “</w:t>
      </w:r>
      <w:r>
        <w:rPr>
          <w:rFonts w:ascii="Arial" w:cs="Arial" w:eastAsia="Arial" w:hAnsi="Arial"/>
          <w:sz w:val="18"/>
          <w:szCs w:val="18"/>
          <w:b w:val="1"/>
          <w:bCs w:val="1"/>
          <w:color w:val="auto"/>
        </w:rPr>
        <w:t>Demand Registration</w:t>
      </w:r>
      <w:r>
        <w:rPr>
          <w:rFonts w:ascii="Arial" w:cs="Arial" w:eastAsia="Arial" w:hAnsi="Arial"/>
          <w:sz w:val="18"/>
          <w:szCs w:val="18"/>
          <w:color w:val="auto"/>
        </w:rPr>
        <w:t>”), by giving written notice of such Demand Registration to the Corporation, which written notice shall:</w:t>
      </w:r>
    </w:p>
    <w:p>
      <w:pPr>
        <w:spacing w:after="0" w:line="98" w:lineRule="exact"/>
        <w:rPr>
          <w:rFonts w:ascii="Arial" w:cs="Arial" w:eastAsia="Arial" w:hAnsi="Arial"/>
          <w:sz w:val="18"/>
          <w:szCs w:val="18"/>
          <w:color w:val="auto"/>
        </w:rPr>
      </w:pPr>
    </w:p>
    <w:p>
      <w:pPr>
        <w:ind w:left="1420" w:hanging="439"/>
        <w:spacing w:after="0"/>
        <w:tabs>
          <w:tab w:leader="none" w:pos="14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specify the number of Registrable Securities which the Initiating Holder intends to offer and sell;</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specify whether the Demand Registration is to be effected in Canada and / or the United States;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express the intention of the Initiating Holder to offer or cause the offering of such number of Registrable Securities; and</w:t>
      </w:r>
    </w:p>
    <w:p>
      <w:pPr>
        <w:spacing w:after="0" w:line="130" w:lineRule="exact"/>
        <w:rPr>
          <w:rFonts w:ascii="Arial" w:cs="Arial" w:eastAsia="Arial" w:hAnsi="Arial"/>
          <w:sz w:val="18"/>
          <w:szCs w:val="18"/>
          <w:color w:val="auto"/>
        </w:rPr>
      </w:pPr>
    </w:p>
    <w:p>
      <w:pPr>
        <w:ind w:left="1420" w:right="20" w:hanging="439"/>
        <w:spacing w:after="0" w:line="259" w:lineRule="auto"/>
        <w:tabs>
          <w:tab w:leader="none" w:pos="14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if the Registrable Securities to be offered and sold by the Initiating Holder are to be issued pursuant to the conversion, exchange or exercise of Preferred Shares or any other securities convertible into Registrable Securities, be accompanied by appropriate notices of such conversion, exchange or exercise, as applicable, which notices may be contingent upon the sale of that number of Registrable Securities in the Demand Registration.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0" w:right="479" w:bottom="1440" w:gutter="0" w:footer="0" w:header="0"/>
        </w:sectPr>
      </w:pPr>
    </w:p>
    <w:bookmarkStart w:id="317" w:name="page318"/>
    <w:bookmarkEnd w:id="317"/>
    <w:p>
      <w:pPr>
        <w:ind w:left="540" w:right="100" w:hanging="532"/>
        <w:spacing w:after="0" w:line="282" w:lineRule="auto"/>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Response to Registration Request. </w:t>
      </w:r>
      <w:r>
        <w:rPr>
          <w:rFonts w:ascii="Arial" w:cs="Arial" w:eastAsia="Arial" w:hAnsi="Arial"/>
          <w:sz w:val="18"/>
          <w:szCs w:val="18"/>
          <w:color w:val="auto"/>
        </w:rPr>
        <w:t>Upon receipt of the written notice of the Initiating Holder pursuant to Section 3.1(a),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w:t>
      </w:r>
    </w:p>
    <w:p>
      <w:pPr>
        <w:spacing w:after="0" w:line="71" w:lineRule="exact"/>
        <w:rPr>
          <w:rFonts w:ascii="Arial" w:cs="Arial" w:eastAsia="Arial" w:hAnsi="Arial"/>
          <w:sz w:val="18"/>
          <w:szCs w:val="18"/>
          <w:color w:val="auto"/>
        </w:rPr>
      </w:pPr>
    </w:p>
    <w:p>
      <w:pPr>
        <w:ind w:left="1000" w:right="240" w:hanging="439"/>
        <w:spacing w:after="0" w:line="263" w:lineRule="auto"/>
        <w:tabs>
          <w:tab w:leader="none" w:pos="100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promptly, and in any event, within three Business Days of receipt, give written notice of the proposed Demand Registration to the other Holders to provide the other Holders with the opportunity to participate in such registration with respect to the Registrable Securities held by such other Holders; and</w:t>
      </w:r>
    </w:p>
    <w:p>
      <w:pPr>
        <w:spacing w:after="0" w:line="89" w:lineRule="exact"/>
        <w:rPr>
          <w:rFonts w:ascii="Arial" w:cs="Arial" w:eastAsia="Arial" w:hAnsi="Arial"/>
          <w:sz w:val="18"/>
          <w:szCs w:val="18"/>
          <w:color w:val="auto"/>
        </w:rPr>
      </w:pPr>
    </w:p>
    <w:p>
      <w:pPr>
        <w:ind w:left="1000" w:hanging="439"/>
        <w:spacing w:after="0" w:line="253" w:lineRule="auto"/>
        <w:tabs>
          <w:tab w:leader="none" w:pos="100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as soon as practicable, but in any event within 60 days (or 120 days in the case of an Initial Offering) after receipt of the request from the Initiating Holder, file with the applicable Commissions and use its commercially reasonable efforts to effect the registration, qualification or compliance (including, without limitation, filing post-effective amendments, appropriate qualifications under applicable blue sky or other state securities Laws and appropriate compliance with applicable Securities Laws and any other governmental requirements or regulations) as may be so requested and as would permit or facilitate the sale and distribution of all or that portion of the Registrable Securities as are specified in the Initiating Holder’s request, together with all or that portion of the Registrable Securities of the other Holders, if joining in that request and as are specified in a written request received by the Corporation within five Business Days after receipt by such other Holders of the written notice from the Corporation referred to in Section 3.1(b)(i).</w:t>
      </w:r>
    </w:p>
    <w:p>
      <w:pPr>
        <w:spacing w:after="0" w:line="97" w:lineRule="exact"/>
        <w:rPr>
          <w:rFonts w:ascii="Arial" w:cs="Arial" w:eastAsia="Arial" w:hAnsi="Arial"/>
          <w:sz w:val="18"/>
          <w:szCs w:val="18"/>
          <w:color w:val="auto"/>
        </w:rPr>
      </w:pPr>
    </w:p>
    <w:p>
      <w:pPr>
        <w:ind w:left="540" w:hanging="532"/>
        <w:spacing w:after="0" w:line="287" w:lineRule="auto"/>
        <w:tabs>
          <w:tab w:leader="none" w:pos="540" w:val="left"/>
        </w:tabs>
        <w:numPr>
          <w:ilvl w:val="0"/>
          <w:numId w:val="182"/>
        </w:numPr>
        <w:rPr>
          <w:rFonts w:ascii="Arial" w:cs="Arial" w:eastAsia="Arial" w:hAnsi="Arial"/>
          <w:sz w:val="16"/>
          <w:szCs w:val="16"/>
          <w:color w:val="auto"/>
        </w:rPr>
      </w:pPr>
      <w:r>
        <w:rPr>
          <w:rFonts w:ascii="Arial" w:cs="Arial" w:eastAsia="Arial" w:hAnsi="Arial"/>
          <w:sz w:val="16"/>
          <w:szCs w:val="16"/>
          <w:b w:val="1"/>
          <w:bCs w:val="1"/>
          <w:color w:val="auto"/>
        </w:rPr>
        <w:t xml:space="preserve">Limitations on Registration Obligations. </w:t>
      </w:r>
      <w:r>
        <w:rPr>
          <w:rFonts w:ascii="Arial" w:cs="Arial" w:eastAsia="Arial" w:hAnsi="Arial"/>
          <w:sz w:val="16"/>
          <w:szCs w:val="16"/>
          <w:color w:val="auto"/>
        </w:rPr>
        <w:t>The Corporation shall not be required to effect more than two Demand Registrations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this Section 3.1; provided, for greater certainty, that participating in a registration pursuant to the exercise of piggy-back rights by a Holder shall not constitute a Demand Registration; and provided further, subject to Section 3.2, that a registration shall not constitute a Demand Registration requested under this Section 3.1 unless and until it has become effective and the Initiating Holders are able to register and sell at least 90% of the Registrable Securities requested to be included in such registration. In addition, the Corporation will not be obligated to take any action to effect any registration pursuant to this Section 3.1 if the Corporation furnishes to the Initiating Holder a certificate signed by the Chief Executive Officer of the Corporation stating that (a) in the good faith judgment of the Board of Directors of the Corporation, acting reasonably, any such action to effect a registration in the immediate future would materially interfere with a material bona fide financing, acquisition or other transaction being considered at the time of receipt of the request from the Initiating Holder or would require disclosure of non-public information, the premature disclosure of which could materially adversely affect the Corporation or materially interfere with such transaction; or (b) the Corporation is engaged in an issuer bid, self-tender or exchange offer and the proposed registration would cause a violation of applicable Securities Laws (each of (a) and (b), a “</w:t>
      </w:r>
      <w:r>
        <w:rPr>
          <w:rFonts w:ascii="Arial" w:cs="Arial" w:eastAsia="Arial" w:hAnsi="Arial"/>
          <w:sz w:val="16"/>
          <w:szCs w:val="16"/>
          <w:b w:val="1"/>
          <w:bCs w:val="1"/>
          <w:color w:val="auto"/>
        </w:rPr>
        <w:t>Delay Certificate</w:t>
      </w:r>
      <w:r>
        <w:rPr>
          <w:rFonts w:ascii="Arial" w:cs="Arial" w:eastAsia="Arial" w:hAnsi="Arial"/>
          <w:sz w:val="16"/>
          <w:szCs w:val="16"/>
          <w:color w:val="auto"/>
        </w:rPr>
        <w:t>”), then the Corporation’s obligation to file a registration statement under this Section 3.1 may be deferred, and any time periods with respect to filing</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860" w:top="270" w:right="459" w:bottom="1440" w:gutter="0" w:footer="0" w:header="0"/>
        </w:sectPr>
      </w:pPr>
    </w:p>
    <w:bookmarkStart w:id="318" w:name="page319"/>
    <w:bookmarkEnd w:id="318"/>
    <w:p>
      <w:pPr>
        <w:ind w:left="1000"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effectiveness thereof shall be tolled accordingly, for a period not to exceed 90 days from the date the Corporation would have been required to file such registration statement after its receipt of the written request to file such registration statement from the Initiating Holder, provided that the Corporation may not exercise this deferral right more than once in any consecutive 12-month period. The Corporation shall not be required to effect any Demand Registration pursuant to this Section 3.1 (i) if such request is made within 180 days after the Corporation effects the Initial Offering; (ii) if the Corporation delivers notice to the holders of Registrable Securities within 30 days of receipt of such request of the Corporation’s intent to file a registration statement for the Initial Offering within 90 days of such notice; (iii) if such securities become eligible for sale in the U.S. pursuant to Rule 144 under the U.S. Securities Act (“</w:t>
      </w:r>
      <w:r>
        <w:rPr>
          <w:rFonts w:ascii="Arial" w:cs="Arial" w:eastAsia="Arial" w:hAnsi="Arial"/>
          <w:sz w:val="17"/>
          <w:szCs w:val="17"/>
          <w:b w:val="1"/>
          <w:bCs w:val="1"/>
          <w:color w:val="auto"/>
        </w:rPr>
        <w:t>Rule 144</w:t>
      </w:r>
      <w:r>
        <w:rPr>
          <w:rFonts w:ascii="Arial" w:cs="Arial" w:eastAsia="Arial" w:hAnsi="Arial"/>
          <w:sz w:val="17"/>
          <w:szCs w:val="17"/>
          <w:color w:val="auto"/>
        </w:rPr>
        <w:t>”) without the volume or manner-of-sale restrictions and without the requirement for the Corporation to be in compliance with the current public information requirement under Rule 144(c)(1); or (iv) if such Demand Registration will not cover Registrable Securities having an anticipated aggregate gross offering price of at least US$50,000,000 (before deduction of underwriters’ commissions and expenses).</w:t>
      </w:r>
    </w:p>
    <w:p>
      <w:pPr>
        <w:spacing w:after="0" w:line="83" w:lineRule="exact"/>
        <w:rPr>
          <w:sz w:val="20"/>
          <w:szCs w:val="20"/>
          <w:color w:val="auto"/>
        </w:rPr>
      </w:pPr>
    </w:p>
    <w:p>
      <w:pPr>
        <w:ind w:left="540" w:hanging="532"/>
        <w:spacing w:after="0"/>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Underwriting.</w:t>
      </w:r>
    </w:p>
    <w:p>
      <w:pPr>
        <w:spacing w:after="0" w:line="134" w:lineRule="exact"/>
        <w:rPr>
          <w:rFonts w:ascii="Arial" w:cs="Arial" w:eastAsia="Arial" w:hAnsi="Arial"/>
          <w:sz w:val="18"/>
          <w:szCs w:val="18"/>
          <w:color w:val="auto"/>
        </w:rPr>
      </w:pPr>
    </w:p>
    <w:p>
      <w:pPr>
        <w:ind w:left="1000" w:hanging="439"/>
        <w:spacing w:after="0" w:line="273" w:lineRule="auto"/>
        <w:tabs>
          <w:tab w:leader="none" w:pos="100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If the Initiating Holder intends to dispose of the Registrable Securities for which a Demand Registration has been requested under Section 3.1(a) by means of an underwriting, the Initiating Holder shall so advise the Corporation as part of its request pursuant to Section 3.1(a) and the Corporation will advise the other Holders as part of the notice given pursuant to Section 3.1(b)(i) that the right of the other Holders to registration pursuant to Section 3.1 will be conditioned upon that Holder’s participation in the underwriting arrangements required by this Section 3.1(d), and the inclusion of that Holder’s Registrable Securities in the underwriting to the extent requested will be limited to the extent provided in this Agreement.</w:t>
      </w:r>
    </w:p>
    <w:p>
      <w:pPr>
        <w:spacing w:after="0" w:line="83" w:lineRule="exact"/>
        <w:rPr>
          <w:rFonts w:ascii="Arial" w:cs="Arial" w:eastAsia="Arial" w:hAnsi="Arial"/>
          <w:sz w:val="17"/>
          <w:szCs w:val="17"/>
          <w:color w:val="auto"/>
        </w:rPr>
      </w:pPr>
    </w:p>
    <w:p>
      <w:pPr>
        <w:ind w:left="1000" w:right="120" w:hanging="439"/>
        <w:spacing w:after="0" w:line="263" w:lineRule="auto"/>
        <w:tabs>
          <w:tab w:leader="none" w:pos="100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Holders of a majority of the Registrable Securities included in any Demand Registration (on an As-Converted Basis) will have the right to select the investment banker(s), underwriter(s), and manager(s) to administer the offering, subject to prior consultation with the Corporation.</w:t>
      </w:r>
    </w:p>
    <w:p>
      <w:pPr>
        <w:spacing w:after="0" w:line="89" w:lineRule="exact"/>
        <w:rPr>
          <w:rFonts w:ascii="Arial" w:cs="Arial" w:eastAsia="Arial" w:hAnsi="Arial"/>
          <w:sz w:val="18"/>
          <w:szCs w:val="18"/>
          <w:color w:val="auto"/>
        </w:rPr>
      </w:pPr>
    </w:p>
    <w:p>
      <w:pPr>
        <w:ind w:left="1000" w:right="100" w:hanging="439"/>
        <w:spacing w:after="0" w:line="293" w:lineRule="auto"/>
        <w:tabs>
          <w:tab w:leader="none" w:pos="100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The Corporation (together with the Holders proposing or required to distribute their Registrable Securities through such underwriting) shall enter into an underwriting agreement in customary form with the underwriters selected for that underwriting by the Corporation, acting reasonably, such agreement to be in form and substance satisfactory to the Holders requesting such registration, acting reasonably, and to contain such representations and warranties and indemnity and contribution provisions by the Corporation and such other terms as are customarily contained in agreements of that type. Each Holder shall be a party to such underwriting agreement and may, at its option, require that any or all of the representations and warranties by,</w:t>
      </w:r>
    </w:p>
    <w:p>
      <w:pPr>
        <w:spacing w:after="0" w:line="9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60" w:top="274" w:right="479" w:bottom="1440" w:gutter="0" w:footer="0" w:header="0"/>
        </w:sectPr>
      </w:pPr>
    </w:p>
    <w:bookmarkStart w:id="319" w:name="page320"/>
    <w:bookmarkEnd w:id="319"/>
    <w:p>
      <w:pPr>
        <w:ind w:left="439"/>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the other agreements on the part of, the Corporation to and for the benefit of such underwriters shall also be made to and for the benefit of each Holder and that any or all of the conditions precedent to the obligations of such underwriters under such underwriting agreement be conditions precedent to the obligations of each Holder. No Holder requesting a Demand Registration shall be required to make any representations or warranties to or agreements with the Corporation or the underwriters other than representations, warranties or agreements regarding such Holder and its intended method of distribution and any other representation required by the applicable Securities Laws.</w:t>
      </w:r>
    </w:p>
    <w:p>
      <w:pPr>
        <w:spacing w:after="0" w:line="98" w:lineRule="exact"/>
        <w:rPr>
          <w:sz w:val="20"/>
          <w:szCs w:val="20"/>
          <w:color w:val="auto"/>
        </w:rPr>
      </w:pPr>
    </w:p>
    <w:p>
      <w:pPr>
        <w:ind w:left="439" w:right="20" w:hanging="439"/>
        <w:spacing w:after="0" w:line="268" w:lineRule="auto"/>
        <w:tabs>
          <w:tab w:leader="none" w:pos="439" w:val="left"/>
        </w:tabs>
        <w:numPr>
          <w:ilvl w:val="0"/>
          <w:numId w:val="184"/>
        </w:numPr>
        <w:rPr>
          <w:rFonts w:ascii="Arial" w:cs="Arial" w:eastAsia="Arial" w:hAnsi="Arial"/>
          <w:sz w:val="17"/>
          <w:szCs w:val="17"/>
          <w:color w:val="auto"/>
        </w:rPr>
      </w:pPr>
      <w:r>
        <w:rPr>
          <w:rFonts w:ascii="Arial" w:cs="Arial" w:eastAsia="Arial" w:hAnsi="Arial"/>
          <w:sz w:val="17"/>
          <w:szCs w:val="17"/>
          <w:color w:val="auto"/>
        </w:rPr>
        <w:t>Notwithstanding any other provision of this Section 3.1, if the underwriters, acting reasonably and in good faith, determine in writing that, in their opinion, the number of securities to be included in a Demand Registration exceeds the number of securities that can be sold in the offering relating to such Demand Registration and that the number of securities proposed to be included in the offering in respect of such Demand Registration would adversely affect the price per security to be sold in such offering in respect of such Demand Registration, the underwriters may exclude some or all of the Registrable Securities from the registration. The Corporation will advise the Holders of Registrable Securities of this exclusion and the number and estimated dollar value of Registrable Securities that may be included in the registration. The underwriting will be allocated (i) first, among the Holders of Registrable Securities, in respect of their Registrable Securities, on a pro rata basis based on the number of Registrable Securities held by all such Holders calculated on an As-Converted Basis, or in such manner as they otherwise agree, (ii) second, to the Corporation if it elects to participate in such registration, and (iii) third, among any other holders of the securities to be included in such offering, allocated among such holders pro rata based on the number of securities held by all such holders calculated on an as converted basis or in such manner as they may otherwise agree. In no event shall any Registrable Securities be excluded from such underwriting unless all other securities are first excluded.</w:t>
      </w:r>
    </w:p>
    <w:p>
      <w:pPr>
        <w:spacing w:after="0" w:line="91" w:lineRule="exact"/>
        <w:rPr>
          <w:rFonts w:ascii="Arial" w:cs="Arial" w:eastAsia="Arial" w:hAnsi="Arial"/>
          <w:sz w:val="17"/>
          <w:szCs w:val="17"/>
          <w:color w:val="auto"/>
        </w:rPr>
      </w:pPr>
    </w:p>
    <w:p>
      <w:pPr>
        <w:ind w:left="439" w:right="20" w:hanging="439"/>
        <w:spacing w:after="0" w:line="270" w:lineRule="auto"/>
        <w:tabs>
          <w:tab w:leader="none" w:pos="439"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If each of the Holders has included all of the Registrable Securities which such Holder desires to include in that registration, then the Corporation may include additional securities in the registration for sale for the Corporation’s account on the same terms as the Holders’ Registrable Securities, provided the underwriters advise the Corporation and the Holders in writing that the inclusion does not adversely affect the marketing and the orderly sale of the Holders’ Registrable Securities included in that registration at a price range acceptable to the Holders, acting reasonably. If the Corporation determines to include Registrable Securities to be sold by it in any registration requests pursuant to this Section 3.1, such registration shall be deemed to have been a Piggy-Back Registration under Section 3.3, and not a Demand Registration under this Section 3.1. To facilitate the allocation of Registrable Securities in accordance with the above provisions, the Corporation or the underwriters may round the number of Registrable Securities allocated to any Holder to the nearest appropriate “round number” integral.</w:t>
      </w:r>
    </w:p>
    <w:p>
      <w:pPr>
        <w:spacing w:after="0" w:line="113"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19"/>
          </w:cols>
          <w:pgMar w:left="1421" w:top="274" w:right="459" w:bottom="1440" w:gutter="0" w:footer="0" w:header="0"/>
        </w:sectPr>
      </w:pPr>
    </w:p>
    <w:bookmarkStart w:id="320" w:name="page321"/>
    <w:bookmarkEnd w:id="320"/>
    <w:p>
      <w:pPr>
        <w:ind w:left="1420" w:right="40" w:hanging="439"/>
        <w:spacing w:after="0" w:line="263" w:lineRule="auto"/>
        <w:tabs>
          <w:tab w:leader="none" w:pos="14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any Holder disapproves of the terms of the underwriting, such Holder may elect to withdraw from the underwriting and registration by written notice to the Corporation and the Initiating Holders. Those Registrable Securities of such withdrawing Holder shall continue to be subject to the terms of this Agreement.</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Short Form Registrations</w:t>
      </w:r>
    </w:p>
    <w:p>
      <w:pPr>
        <w:spacing w:after="0" w:line="131" w:lineRule="exact"/>
        <w:rPr>
          <w:sz w:val="20"/>
          <w:szCs w:val="20"/>
          <w:color w:val="auto"/>
        </w:rPr>
      </w:pPr>
    </w:p>
    <w:p>
      <w:pPr>
        <w:ind w:left="960" w:right="220" w:hanging="532"/>
        <w:spacing w:after="0" w:line="261" w:lineRule="auto"/>
        <w:tabs>
          <w:tab w:leader="none" w:pos="960" w:val="left"/>
        </w:tabs>
        <w:numPr>
          <w:ilvl w:val="0"/>
          <w:numId w:val="186"/>
        </w:numPr>
        <w:rPr>
          <w:rFonts w:ascii="Arial" w:cs="Arial" w:eastAsia="Arial" w:hAnsi="Arial"/>
          <w:sz w:val="18"/>
          <w:szCs w:val="18"/>
          <w:color w:val="auto"/>
        </w:rPr>
      </w:pPr>
      <w:r>
        <w:rPr>
          <w:rFonts w:ascii="Arial" w:cs="Arial" w:eastAsia="Arial" w:hAnsi="Arial"/>
          <w:sz w:val="18"/>
          <w:szCs w:val="18"/>
          <w:b w:val="1"/>
          <w:bCs w:val="1"/>
          <w:color w:val="auto"/>
        </w:rPr>
        <w:t xml:space="preserve">Request for Registration. </w:t>
      </w:r>
      <w:r>
        <w:rPr>
          <w:rFonts w:ascii="Arial" w:cs="Arial" w:eastAsia="Arial" w:hAnsi="Arial"/>
          <w:sz w:val="18"/>
          <w:szCs w:val="18"/>
          <w:color w:val="auto"/>
        </w:rPr>
        <w:t>If, at any time while the Corporation is eligible to complete a Short Form Registration, the Corporation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from any one or more of the Holders (in this Section 3.2, the “</w:t>
      </w:r>
      <w:r>
        <w:rPr>
          <w:rFonts w:ascii="Arial" w:cs="Arial" w:eastAsia="Arial" w:hAnsi="Arial"/>
          <w:sz w:val="18"/>
          <w:szCs w:val="18"/>
          <w:b w:val="1"/>
          <w:bCs w:val="1"/>
          <w:color w:val="auto"/>
        </w:rPr>
        <w:t>Initiating Holder</w:t>
      </w:r>
      <w:r>
        <w:rPr>
          <w:rFonts w:ascii="Arial" w:cs="Arial" w:eastAsia="Arial" w:hAnsi="Arial"/>
          <w:sz w:val="18"/>
          <w:szCs w:val="18"/>
          <w:color w:val="auto"/>
        </w:rPr>
        <w:t>”) a written request or requests that the Corporation effect a Short Form Registration with respect to all or a part of the Registrable Securities owned by such Holder or Holders, the Corporation shall:</w:t>
      </w:r>
    </w:p>
    <w:p>
      <w:pPr>
        <w:spacing w:after="0" w:line="89" w:lineRule="exact"/>
        <w:rPr>
          <w:rFonts w:ascii="Arial" w:cs="Arial" w:eastAsia="Arial" w:hAnsi="Arial"/>
          <w:sz w:val="18"/>
          <w:szCs w:val="18"/>
          <w:color w:val="auto"/>
        </w:rPr>
      </w:pPr>
    </w:p>
    <w:p>
      <w:pPr>
        <w:jc w:val="both"/>
        <w:ind w:left="1420" w:right="40" w:hanging="439"/>
        <w:spacing w:after="0" w:line="263" w:lineRule="auto"/>
        <w:tabs>
          <w:tab w:leader="none" w:pos="142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promptly, and in any event, within three Business Days of receipt, give written notice of the proposed Short Form Registration to the other Holders offering them the opportunity to participate in such registration with respect to the Registrable Securities held by such other Holders; and</w:t>
      </w:r>
    </w:p>
    <w:p>
      <w:pPr>
        <w:spacing w:after="0" w:line="89" w:lineRule="exact"/>
        <w:rPr>
          <w:rFonts w:ascii="Arial" w:cs="Arial" w:eastAsia="Arial" w:hAnsi="Arial"/>
          <w:sz w:val="18"/>
          <w:szCs w:val="18"/>
          <w:color w:val="auto"/>
        </w:rPr>
      </w:pPr>
    </w:p>
    <w:p>
      <w:pPr>
        <w:ind w:left="1420" w:hanging="439"/>
        <w:spacing w:after="0" w:line="269" w:lineRule="auto"/>
        <w:tabs>
          <w:tab w:leader="none" w:pos="142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as soon as practicable, but in any event within 45 days after receipt of the request from the Initiating Holder, file with the applicable Commissions and use its best efforts to effect the registration, qualification or compliance (including, without limitation, filing post-effective amendments, appropriate qualifications under applicable blue sky or other state securities Laws and appropriate compliance with applicable Securities Laws and any other governmental requirements or regulations) as may be so requested and as would permit or facilitate the sale and distribution of all or that portion of the Registrable Securities as are specified in the Initiating Holder’s request, together with all or that portion of the Registrable Securities of the other Holders (if any) joining in that request as are specified in a written request received by the Corporation within five Business Days after receipt by the other Holders of the written notice from the Corporation referred to in Section 3.1(b)(i). The Corporation shall use its best efforts to keep such registration effective until the earlier of 120 days from the date of effectiveness or until the Holders have completed the distribution described in such registration statement.</w:t>
      </w:r>
    </w:p>
    <w:p>
      <w:pPr>
        <w:spacing w:after="0" w:line="86" w:lineRule="exact"/>
        <w:rPr>
          <w:rFonts w:ascii="Arial" w:cs="Arial" w:eastAsia="Arial" w:hAnsi="Arial"/>
          <w:sz w:val="17"/>
          <w:szCs w:val="17"/>
          <w:color w:val="auto"/>
        </w:rPr>
      </w:pPr>
    </w:p>
    <w:p>
      <w:pPr>
        <w:ind w:left="960" w:right="240" w:hanging="532"/>
        <w:spacing w:after="0" w:line="282" w:lineRule="auto"/>
        <w:tabs>
          <w:tab w:leader="none" w:pos="960" w:val="left"/>
        </w:tabs>
        <w:numPr>
          <w:ilvl w:val="0"/>
          <w:numId w:val="186"/>
        </w:numPr>
        <w:rPr>
          <w:rFonts w:ascii="Arial" w:cs="Arial" w:eastAsia="Arial" w:hAnsi="Arial"/>
          <w:sz w:val="18"/>
          <w:szCs w:val="18"/>
          <w:color w:val="auto"/>
        </w:rPr>
      </w:pPr>
      <w:r>
        <w:rPr>
          <w:rFonts w:ascii="Arial" w:cs="Arial" w:eastAsia="Arial" w:hAnsi="Arial"/>
          <w:sz w:val="18"/>
          <w:szCs w:val="18"/>
          <w:b w:val="1"/>
          <w:bCs w:val="1"/>
          <w:color w:val="auto"/>
        </w:rPr>
        <w:t xml:space="preserve">Limitations on Short Form Registration Obligations. </w:t>
      </w:r>
      <w:r>
        <w:rPr>
          <w:rFonts w:ascii="Arial" w:cs="Arial" w:eastAsia="Arial" w:hAnsi="Arial"/>
          <w:sz w:val="18"/>
          <w:szCs w:val="18"/>
          <w:color w:val="auto"/>
        </w:rPr>
        <w:t>The Corporation shall not be required to complete any Short Form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Section 3.2:</w:t>
      </w:r>
    </w:p>
    <w:p>
      <w:pPr>
        <w:spacing w:after="0" w:line="71" w:lineRule="exact"/>
        <w:rPr>
          <w:rFonts w:ascii="Arial" w:cs="Arial" w:eastAsia="Arial" w:hAnsi="Arial"/>
          <w:sz w:val="18"/>
          <w:szCs w:val="18"/>
          <w:color w:val="auto"/>
        </w:rPr>
      </w:pPr>
    </w:p>
    <w:p>
      <w:pPr>
        <w:ind w:left="1420" w:hanging="439"/>
        <w:spacing w:after="0"/>
        <w:tabs>
          <w:tab w:leader="none" w:pos="142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if the Corporation is not eligible to complete a Short Form Registration pursuant to applicable Securities Laws;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21" w:name="page322"/>
    <w:bookmarkEnd w:id="321"/>
    <w:p>
      <w:pPr>
        <w:ind w:left="1420" w:right="160" w:hanging="439"/>
        <w:spacing w:after="0" w:line="277" w:lineRule="auto"/>
        <w:tabs>
          <w:tab w:leader="none" w:pos="14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Holders propose to sell Registrable Securities pursuant to such Short Form Registration such that the aggregate offering price is less than US$5,000,000;</w:t>
      </w:r>
    </w:p>
    <w:p>
      <w:pPr>
        <w:spacing w:after="0" w:line="75" w:lineRule="exact"/>
        <w:rPr>
          <w:rFonts w:ascii="Arial" w:cs="Arial" w:eastAsia="Arial" w:hAnsi="Arial"/>
          <w:sz w:val="18"/>
          <w:szCs w:val="18"/>
          <w:color w:val="auto"/>
        </w:rPr>
      </w:pPr>
    </w:p>
    <w:p>
      <w:pPr>
        <w:ind w:left="1420" w:right="100" w:hanging="439"/>
        <w:spacing w:after="0" w:line="259" w:lineRule="auto"/>
        <w:tabs>
          <w:tab w:leader="none" w:pos="14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the Corporation furnishes a Delay Certificate to the Holders, in which event the Corporation’s obligation to file a registration statement under this Section 3.2 may be deferred for a period not to exceed 90 days from the date of receipt of the written request to file such registration statement from the Initiating Holder, provided that the Corporation may not exercise this deferral right more than once in any consecutive twelve-month period;</w:t>
      </w:r>
    </w:p>
    <w:p>
      <w:pPr>
        <w:spacing w:after="0" w:line="92" w:lineRule="exact"/>
        <w:rPr>
          <w:rFonts w:ascii="Arial" w:cs="Arial" w:eastAsia="Arial" w:hAnsi="Arial"/>
          <w:sz w:val="18"/>
          <w:szCs w:val="18"/>
          <w:color w:val="auto"/>
        </w:rPr>
      </w:pPr>
    </w:p>
    <w:p>
      <w:pPr>
        <w:ind w:left="1420" w:right="740" w:hanging="439"/>
        <w:spacing w:after="0" w:line="277" w:lineRule="auto"/>
        <w:tabs>
          <w:tab w:leader="none" w:pos="14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the Corporation has, within the twelve-month period preceding the date of such request, already effected two Short Form Registrations for the Holders pursuant to this Section 3.2;</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the request is made within 180 days after the Corporation effects the Initial Offering; or</w:t>
      </w:r>
    </w:p>
    <w:p>
      <w:pPr>
        <w:spacing w:after="0" w:line="130" w:lineRule="exact"/>
        <w:rPr>
          <w:rFonts w:ascii="Arial" w:cs="Arial" w:eastAsia="Arial" w:hAnsi="Arial"/>
          <w:sz w:val="18"/>
          <w:szCs w:val="18"/>
          <w:color w:val="auto"/>
        </w:rPr>
      </w:pPr>
    </w:p>
    <w:p>
      <w:pPr>
        <w:ind w:left="1420" w:right="260" w:hanging="439"/>
        <w:spacing w:after="0" w:line="342" w:lineRule="auto"/>
        <w:tabs>
          <w:tab w:leader="none" w:pos="142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if such Registrable Securities may be sold pursuant to Rule 144 without the volume or manner-of-sale restrictions and without the requirement for the Corporation to be in compliance with the current public information requirement under Rule 144(c)(1).</w:t>
      </w:r>
    </w:p>
    <w:p>
      <w:pPr>
        <w:spacing w:after="0" w:line="16" w:lineRule="exact"/>
        <w:rPr>
          <w:sz w:val="20"/>
          <w:szCs w:val="20"/>
          <w:color w:val="auto"/>
        </w:rPr>
      </w:pPr>
    </w:p>
    <w:p>
      <w:pPr>
        <w:ind w:left="980" w:right="140"/>
        <w:spacing w:after="0" w:line="263" w:lineRule="auto"/>
        <w:rPr>
          <w:sz w:val="20"/>
          <w:szCs w:val="20"/>
          <w:color w:val="auto"/>
        </w:rPr>
      </w:pPr>
      <w:r>
        <w:rPr>
          <w:rFonts w:ascii="Arial" w:cs="Arial" w:eastAsia="Arial" w:hAnsi="Arial"/>
          <w:sz w:val="18"/>
          <w:szCs w:val="18"/>
          <w:color w:val="auto"/>
        </w:rPr>
        <w:t>For greater certainty, a registration shall not constitute a Short Form Registration requested under this Section 3.2 unless and until it has become effective and the Initiating Holders are able to register and sell at least 90% of the Registrable Securities requested to be included in such registration.</w:t>
      </w:r>
    </w:p>
    <w:p>
      <w:pPr>
        <w:spacing w:after="0" w:line="85" w:lineRule="exact"/>
        <w:rPr>
          <w:sz w:val="20"/>
          <w:szCs w:val="20"/>
          <w:color w:val="auto"/>
        </w:rPr>
      </w:pPr>
    </w:p>
    <w:p>
      <w:pPr>
        <w:ind w:left="960" w:hanging="532"/>
        <w:spacing w:after="0" w:line="314" w:lineRule="auto"/>
        <w:tabs>
          <w:tab w:leader="none" w:pos="960" w:val="left"/>
        </w:tabs>
        <w:numPr>
          <w:ilvl w:val="0"/>
          <w:numId w:val="188"/>
        </w:numPr>
        <w:rPr>
          <w:rFonts w:ascii="Arial" w:cs="Arial" w:eastAsia="Arial" w:hAnsi="Arial"/>
          <w:sz w:val="16"/>
          <w:szCs w:val="16"/>
          <w:color w:val="auto"/>
        </w:rPr>
      </w:pPr>
      <w:r>
        <w:rPr>
          <w:rFonts w:ascii="Arial" w:cs="Arial" w:eastAsia="Arial" w:hAnsi="Arial"/>
          <w:sz w:val="16"/>
          <w:szCs w:val="16"/>
          <w:b w:val="1"/>
          <w:bCs w:val="1"/>
          <w:color w:val="auto"/>
        </w:rPr>
        <w:t xml:space="preserve">Underwritings. </w:t>
      </w:r>
      <w:r>
        <w:rPr>
          <w:rFonts w:ascii="Arial" w:cs="Arial" w:eastAsia="Arial" w:hAnsi="Arial"/>
          <w:sz w:val="16"/>
          <w:szCs w:val="16"/>
          <w:color w:val="auto"/>
        </w:rPr>
        <w:t>If the Initiating Holder intends to distribute the Registrable Securities covered by its request by means of an underwriting,</w:t>
      </w:r>
      <w:r>
        <w:rPr>
          <w:rFonts w:ascii="Arial" w:cs="Arial" w:eastAsia="Arial" w:hAnsi="Arial"/>
          <w:sz w:val="16"/>
          <w:szCs w:val="16"/>
          <w:b w:val="1"/>
          <w:bCs w:val="1"/>
          <w:color w:val="auto"/>
        </w:rPr>
        <w:t xml:space="preserve"> </w:t>
      </w:r>
      <w:r>
        <w:rPr>
          <w:rFonts w:ascii="Arial" w:cs="Arial" w:eastAsia="Arial" w:hAnsi="Arial"/>
          <w:sz w:val="16"/>
          <w:szCs w:val="16"/>
          <w:color w:val="auto"/>
        </w:rPr>
        <w:t>it shall so advise the Corporation as a part of its request made pursuant to Section 3.2(a) and the Corporation shall include such information in the written notice referred to in Section 3.2(a)(i). The provisions of Section 3.1(d) shall be applicable to such request mutatis mutandis.</w:t>
      </w:r>
    </w:p>
    <w:p>
      <w:pPr>
        <w:spacing w:after="0" w:line="1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Piggy-Back Registrations</w:t>
      </w:r>
    </w:p>
    <w:p>
      <w:pPr>
        <w:spacing w:after="0" w:line="131" w:lineRule="exact"/>
        <w:rPr>
          <w:sz w:val="20"/>
          <w:szCs w:val="20"/>
          <w:color w:val="auto"/>
        </w:rPr>
      </w:pPr>
    </w:p>
    <w:p>
      <w:pPr>
        <w:jc w:val="both"/>
        <w:ind w:left="960" w:right="80" w:hanging="532"/>
        <w:spacing w:after="0" w:line="298" w:lineRule="auto"/>
        <w:tabs>
          <w:tab w:leader="none" w:pos="960" w:val="left"/>
        </w:tabs>
        <w:numPr>
          <w:ilvl w:val="0"/>
          <w:numId w:val="189"/>
        </w:numPr>
        <w:rPr>
          <w:rFonts w:ascii="Arial" w:cs="Arial" w:eastAsia="Arial" w:hAnsi="Arial"/>
          <w:sz w:val="16"/>
          <w:szCs w:val="16"/>
          <w:color w:val="auto"/>
        </w:rPr>
      </w:pPr>
      <w:r>
        <w:rPr>
          <w:rFonts w:ascii="Arial" w:cs="Arial" w:eastAsia="Arial" w:hAnsi="Arial"/>
          <w:sz w:val="16"/>
          <w:szCs w:val="16"/>
          <w:b w:val="1"/>
          <w:bCs w:val="1"/>
          <w:color w:val="auto"/>
        </w:rPr>
        <w:t xml:space="preserve">Notice of Registration. </w:t>
      </w:r>
      <w:r>
        <w:rPr>
          <w:rFonts w:ascii="Arial" w:cs="Arial" w:eastAsia="Arial" w:hAnsi="Arial"/>
          <w:sz w:val="16"/>
          <w:szCs w:val="16"/>
          <w:color w:val="auto"/>
        </w:rPr>
        <w:t>If at any time or from time to time the Corporation determines to register any of its securities (other than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a Registration Statement on Form S-8, Form S-4 or Form F-4 or their successors or any other form for a similar limited purpose, or any registration statement covering only securities in exchange for securities or assets of another corporation), either for its own account or the account of a security holder or holders or both (other than pursuant to a Demand Registration requested under Section 3.1 or a Short Form Registration required under Section 3.2) including any Initial Offering, on each occasion the Corporation shall: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322" w:name="page323"/>
    <w:bookmarkEnd w:id="322"/>
    <w:p>
      <w:pPr>
        <w:ind w:left="1424" w:right="20" w:hanging="439"/>
        <w:spacing w:after="0" w:line="286" w:lineRule="auto"/>
        <w:tabs>
          <w:tab w:leader="none" w:pos="1424" w:val="left"/>
        </w:tabs>
        <w:numPr>
          <w:ilvl w:val="1"/>
          <w:numId w:val="1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promptly, and in any event, within three Business Days of such determination, give written notice of the proposed registration to each of the Holders (each such registration, a “</w:t>
      </w:r>
      <w:r>
        <w:rPr>
          <w:rFonts w:ascii="Arial" w:cs="Arial" w:eastAsia="Arial" w:hAnsi="Arial"/>
          <w:sz w:val="17"/>
          <w:szCs w:val="17"/>
          <w:b w:val="1"/>
          <w:bCs w:val="1"/>
          <w:color w:val="auto"/>
        </w:rPr>
        <w:t>Piggy-Back Registration</w:t>
      </w:r>
      <w:r>
        <w:rPr>
          <w:rFonts w:ascii="Arial" w:cs="Arial" w:eastAsia="Arial" w:hAnsi="Arial"/>
          <w:sz w:val="17"/>
          <w:szCs w:val="17"/>
          <w:color w:val="auto"/>
        </w:rPr>
        <w:t>”), provided such notice must be given no later than 30 days prior to the filing of the registration statement by the Corporation in connection with such registration; and</w:t>
      </w:r>
    </w:p>
    <w:p>
      <w:pPr>
        <w:spacing w:after="0" w:line="70" w:lineRule="exact"/>
        <w:rPr>
          <w:rFonts w:ascii="Arial" w:cs="Arial" w:eastAsia="Arial" w:hAnsi="Arial"/>
          <w:sz w:val="17"/>
          <w:szCs w:val="17"/>
          <w:color w:val="auto"/>
        </w:rPr>
      </w:pPr>
    </w:p>
    <w:p>
      <w:pPr>
        <w:ind w:left="1424" w:hanging="439"/>
        <w:spacing w:after="0" w:line="296" w:lineRule="auto"/>
        <w:tabs>
          <w:tab w:leader="none" w:pos="1424" w:val="left"/>
        </w:tabs>
        <w:numPr>
          <w:ilvl w:val="1"/>
          <w:numId w:val="190"/>
        </w:numPr>
        <w:rPr>
          <w:rFonts w:ascii="Arial" w:cs="Arial" w:eastAsia="Arial" w:hAnsi="Arial"/>
          <w:sz w:val="16"/>
          <w:szCs w:val="16"/>
          <w:color w:val="auto"/>
        </w:rPr>
      </w:pPr>
      <w:r>
        <w:rPr>
          <w:rFonts w:ascii="Arial" w:cs="Arial" w:eastAsia="Arial" w:hAnsi="Arial"/>
          <w:sz w:val="16"/>
          <w:szCs w:val="16"/>
          <w:color w:val="auto"/>
        </w:rPr>
        <w:t>include in that registration (and any related qualification or compliance under applicable blue sky Laws or other state securities Laws or other Securities Laws), and use its best efforts to include in any underwriting involved in the registration, all or any portion of the Registrable Securities specified in a written request made by any of the Holders and received by the Corporation within 15 Business Days after receipt by such Holder of the written notice delivered by the Corporation pursuant to Section 3.3(a)(i). Such written request may specify that such Holder wishes to include all or a part of the Holder’s Registrable Securities.</w:t>
      </w:r>
    </w:p>
    <w:p>
      <w:pPr>
        <w:spacing w:after="0" w:line="184" w:lineRule="exact"/>
        <w:rPr>
          <w:rFonts w:ascii="Arial" w:cs="Arial" w:eastAsia="Arial" w:hAnsi="Arial"/>
          <w:sz w:val="16"/>
          <w:szCs w:val="16"/>
          <w:color w:val="auto"/>
        </w:rPr>
      </w:pPr>
    </w:p>
    <w:p>
      <w:pPr>
        <w:ind w:left="424" w:hanging="424"/>
        <w:spacing w:after="0"/>
        <w:tabs>
          <w:tab w:leader="none" w:pos="424"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Underwriting.</w:t>
      </w:r>
    </w:p>
    <w:p>
      <w:pPr>
        <w:spacing w:after="0" w:line="134" w:lineRule="exact"/>
        <w:rPr>
          <w:rFonts w:ascii="Arial" w:cs="Arial" w:eastAsia="Arial" w:hAnsi="Arial"/>
          <w:sz w:val="18"/>
          <w:szCs w:val="18"/>
          <w:b w:val="1"/>
          <w:bCs w:val="1"/>
          <w:color w:val="auto"/>
        </w:rPr>
      </w:pPr>
    </w:p>
    <w:p>
      <w:pPr>
        <w:ind w:left="2404" w:right="20" w:hanging="649"/>
        <w:spacing w:after="0" w:line="255" w:lineRule="auto"/>
        <w:tabs>
          <w:tab w:leader="none" w:pos="2404" w:val="left"/>
        </w:tabs>
        <w:numPr>
          <w:ilvl w:val="2"/>
          <w:numId w:val="191"/>
        </w:numPr>
        <w:rPr>
          <w:rFonts w:ascii="Arial" w:cs="Arial" w:eastAsia="Arial" w:hAnsi="Arial"/>
          <w:sz w:val="18"/>
          <w:szCs w:val="18"/>
          <w:color w:val="auto"/>
        </w:rPr>
      </w:pPr>
      <w:r>
        <w:rPr>
          <w:rFonts w:ascii="Arial" w:cs="Arial" w:eastAsia="Arial" w:hAnsi="Arial"/>
          <w:sz w:val="18"/>
          <w:szCs w:val="18"/>
          <w:color w:val="auto"/>
        </w:rPr>
        <w:t>If the Piggy-Back Registration of which the Corporation gives notice pursuant to Section 3.3(a)(i) is for a registered offering involving an underwriting, the Corporation will so advise each of the Holders as a part of such written notice. In such event, the right of any Holder to registration pursuant to this Section 3.3 will be conditioned upon that Holder’s participation in the underwriting arrangements required by this Section 3.3(b) and the inclusion of that Holder’s Registrable Securities in the underwriting to the extent requested will be limited to the extent provided in this Agreement.</w:t>
      </w:r>
    </w:p>
    <w:p>
      <w:pPr>
        <w:spacing w:after="0" w:line="97" w:lineRule="exact"/>
        <w:rPr>
          <w:rFonts w:ascii="Arial" w:cs="Arial" w:eastAsia="Arial" w:hAnsi="Arial"/>
          <w:sz w:val="18"/>
          <w:szCs w:val="18"/>
          <w:color w:val="auto"/>
        </w:rPr>
      </w:pPr>
    </w:p>
    <w:p>
      <w:pPr>
        <w:ind w:left="2404" w:right="20" w:hanging="649"/>
        <w:spacing w:after="0" w:line="259" w:lineRule="auto"/>
        <w:tabs>
          <w:tab w:leader="none" w:pos="2404" w:val="left"/>
        </w:tabs>
        <w:numPr>
          <w:ilvl w:val="2"/>
          <w:numId w:val="191"/>
        </w:numPr>
        <w:rPr>
          <w:rFonts w:ascii="Arial" w:cs="Arial" w:eastAsia="Arial" w:hAnsi="Arial"/>
          <w:sz w:val="18"/>
          <w:szCs w:val="18"/>
          <w:color w:val="auto"/>
        </w:rPr>
      </w:pPr>
      <w:r>
        <w:rPr>
          <w:rFonts w:ascii="Arial" w:cs="Arial" w:eastAsia="Arial" w:hAnsi="Arial"/>
          <w:sz w:val="18"/>
          <w:szCs w:val="18"/>
          <w:color w:val="auto"/>
        </w:rPr>
        <w:t>In any Piggy-Back Registration initiated by the Corporation, the Corporation will have the right to select the investment banker(s), underwriter(s), and manager(s) to administer the offering, subject to the approval of the Holders of a majority of the Registrable Securities included in such registration (on an As-Converted Basis), which in each case will not be unreasonably withheld.</w:t>
      </w:r>
    </w:p>
    <w:p>
      <w:pPr>
        <w:spacing w:after="0" w:line="92" w:lineRule="exact"/>
        <w:rPr>
          <w:rFonts w:ascii="Arial" w:cs="Arial" w:eastAsia="Arial" w:hAnsi="Arial"/>
          <w:sz w:val="18"/>
          <w:szCs w:val="18"/>
          <w:color w:val="auto"/>
        </w:rPr>
      </w:pPr>
    </w:p>
    <w:p>
      <w:pPr>
        <w:ind w:left="2404" w:right="120" w:hanging="649"/>
        <w:spacing w:after="0" w:line="291" w:lineRule="auto"/>
        <w:tabs>
          <w:tab w:leader="none" w:pos="2404" w:val="left"/>
        </w:tabs>
        <w:numPr>
          <w:ilvl w:val="2"/>
          <w:numId w:val="191"/>
        </w:numPr>
        <w:rPr>
          <w:rFonts w:ascii="Arial" w:cs="Arial" w:eastAsia="Arial" w:hAnsi="Arial"/>
          <w:sz w:val="16"/>
          <w:szCs w:val="16"/>
          <w:color w:val="auto"/>
        </w:rPr>
      </w:pPr>
      <w:r>
        <w:rPr>
          <w:rFonts w:ascii="Arial" w:cs="Arial" w:eastAsia="Arial" w:hAnsi="Arial"/>
          <w:sz w:val="16"/>
          <w:szCs w:val="16"/>
          <w:color w:val="auto"/>
        </w:rPr>
        <w:t>The Holders proposing to distribute their securities through such underwriting will (together with the Corporation and the other shareholders distributing their securities through that underwriting) enter into an underwriting agreement in customary form with the underwriters, such agreement to be in form and substance satisfactory to all shareholders requesting such registration, acting reasonably, and to contain such representations and warranties and indemnity and contribution provisions by the Corporation and such other terms as are customarily contained in agreements of that type. Each such shareholder (including the Holders) shall be a party to such underwriting agreement and may, at its option, require that any or all of the representations and warranties by, and the other</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323" w:name="page324"/>
    <w:bookmarkEnd w:id="323"/>
    <w:p>
      <w:pPr>
        <w:ind w:left="439"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agreements on the part of, the Corporation to and for the benefit of such underwriters shall also be made to and for the benefit of each such Holder and that any or all of the conditions precedent to the obligations of such underwriters under such underwriting agreement be conditions precedent to the obligations of each such Holder. No Holder requesting a registration shall be required to make any representations or warranties to or agreements with the Corporation or the underwriters other than representations, warranties or agreements regarding such Holder and its intended method of distribution and any other representation required by the applicable Securities Laws.</w:t>
      </w:r>
    </w:p>
    <w:p>
      <w:pPr>
        <w:spacing w:after="0" w:line="98" w:lineRule="exact"/>
        <w:rPr>
          <w:sz w:val="20"/>
          <w:szCs w:val="20"/>
          <w:color w:val="auto"/>
        </w:rPr>
      </w:pPr>
    </w:p>
    <w:p>
      <w:pPr>
        <w:ind w:left="439" w:right="20" w:hanging="439"/>
        <w:spacing w:after="0" w:line="285" w:lineRule="auto"/>
        <w:tabs>
          <w:tab w:leader="none" w:pos="43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3.3, if the underwriters and the Corporation, acting reasonably and in good faith, together determine in writing that, in their opinion, the number of securities to be included in the offering relating to such Piggy-Back Registration exceeds the number of securities that can be sold in such offering and that the number of securities proposed to be included in such offering would adversely affect the price per security to be sold in such offering, the Corporation shall be required to include in the offering only that number of such Registrable Securities that the underwriters and the Corporation determine, acting reasonably and in good faith, will not jeopardize the success of the offering. The Corporation will advise the Holders of Registrable Securities distributing their securities through such underwriting of this exclusion and the number and estimated dollar value of the Holders’ securities that may be included in the registration. The underwriting will be allocated (i) first, to the Corporation (but only if it initiates such offering failing which the priority set forth in Section 3.1(d)(iv) shall apply), (ii) second, among the Holders of Registrable Securities, in respect of their Registrable Securities, on a pro rata basis based on the number of Registrable Securities held by all such Holders calculated on an As-Converted Basis, or in such manner as they may otherwise agree, and (iii) third, among all other holders of the securities to be included in such offering, allocated among such holders pro rata based on the number of securities held by all such holders calculated on an as converted basis or in such manner as they may otherwise agree; provided in each case that, unless the registration is in respect of the Initial Offering, in no event shall the Registrable Securities owned by the Holders included in such underwriting be reduced below 30% of the total number of securities included in such underwriting. To facilitate the allocation of Registrable Securities in accordance with the above provisions, the Corporation may round the number of Registrable Securities allocated to any Holder to the nearest appropriate “round number” integral.</w:t>
      </w:r>
    </w:p>
    <w:p>
      <w:pPr>
        <w:spacing w:after="0" w:line="79" w:lineRule="exact"/>
        <w:rPr>
          <w:rFonts w:ascii="Arial" w:cs="Arial" w:eastAsia="Arial" w:hAnsi="Arial"/>
          <w:sz w:val="16"/>
          <w:szCs w:val="16"/>
          <w:color w:val="auto"/>
        </w:rPr>
      </w:pPr>
    </w:p>
    <w:p>
      <w:pPr>
        <w:ind w:left="439" w:hanging="439"/>
        <w:spacing w:after="0" w:line="259" w:lineRule="auto"/>
        <w:tabs>
          <w:tab w:leader="none" w:pos="43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a Holder disapproves of the terms of the underwriting, such Holder may elect to withdraw from that underwriting by written notice to the Corporation, the other Holders, the underwriters and the other participating shareholders. Any Registrable Securities of such withdrawing Holder excluded or withdrawn from that underwriting will be withdrawn from registration, and will continue to be subject to the terms of this Agreement.</w:t>
      </w:r>
    </w:p>
    <w:p>
      <w:pPr>
        <w:spacing w:after="0" w:line="119"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019"/>
          </w:cols>
          <w:pgMar w:left="1421" w:top="274" w:right="459" w:bottom="1440" w:gutter="0" w:footer="0" w:header="0"/>
        </w:sectPr>
      </w:pPr>
    </w:p>
    <w:bookmarkStart w:id="324" w:name="page325"/>
    <w:bookmarkEnd w:id="324"/>
    <w:p>
      <w:pPr>
        <w:ind w:left="964" w:right="20" w:hanging="532"/>
        <w:spacing w:after="0" w:line="303" w:lineRule="auto"/>
        <w:tabs>
          <w:tab w:leader="none" w:pos="964" w:val="left"/>
        </w:tabs>
        <w:numPr>
          <w:ilvl w:val="0"/>
          <w:numId w:val="19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Right to Terminate Registration. </w:t>
      </w:r>
      <w:r>
        <w:rPr>
          <w:rFonts w:ascii="Arial" w:cs="Arial" w:eastAsia="Arial" w:hAnsi="Arial"/>
          <w:sz w:val="16"/>
          <w:szCs w:val="16"/>
          <w:color w:val="auto"/>
        </w:rPr>
        <w:t>The Corporation has the right to terminate or withdraw any registration initiated by it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3.3 prior to the effectiveness of the registration whether or not any Holder or other shareholder has elected to include securities in that registration. The Corporation shall have no liability to any Holder in respect of such withdrawal other than in respect of the reasonable pro-rata Registration Expenses incurred by any Holder if such Holder has elected to include securities in that registration.</w:t>
      </w:r>
    </w:p>
    <w:p>
      <w:pPr>
        <w:spacing w:after="0" w:line="17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Transfer of Registration Rights</w:t>
      </w:r>
    </w:p>
    <w:p>
      <w:pPr>
        <w:spacing w:after="0" w:line="121"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color w:val="auto"/>
        </w:rPr>
        <w:t>The rights to cause the Corporation to register securities granted to any Holder under Sections 3.1, 3.2, and 3.3 may (if agreed to by such Holder) be transferred or assigned to a transferee or assignee to whom a Holder transfers or assigns (A) not less than 1,000,000 (subject to adjustments for stock dividends, splits, combinations and similar events) of such Holder’s Registrable Securities (other than a transfer under Rule 144 of the U.S. Securities Act or a registration effected pursuant to this Agreement or any other transfer under which securities will cease to be Registrable Securities), or (B) all or part of such Holder’s Registrable Securities where such transferee or assignee is (i) a Subsidiary or Affiliate of such Holder or, where the Holder is a limited or general partnership, where such transferee or assignee is a constituent Affiliated limited or general partner or retired partner of the Holder or an Affiliated partnership, (ii) a Major Investor, (iii) any member or former member of any Holder, where the Holder is a limited liability company, or</w:t>
      </w:r>
    </w:p>
    <w:p>
      <w:pPr>
        <w:spacing w:after="0" w:line="2" w:lineRule="exact"/>
        <w:rPr>
          <w:sz w:val="20"/>
          <w:szCs w:val="20"/>
          <w:color w:val="auto"/>
        </w:rPr>
      </w:pPr>
    </w:p>
    <w:p>
      <w:pPr>
        <w:ind w:left="4" w:hanging="4"/>
        <w:spacing w:after="0" w:line="290" w:lineRule="auto"/>
        <w:tabs>
          <w:tab w:leader="none" w:pos="309"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any family member or trust for the benefit of any Holder, where the Holder is an individual; in each case provided, that: (i) the transfer may otherwise be effected in accordance with applicable Securities Laws and the Shareholders Agreement; (ii) the Corporation is given written notice at least three Business Days prior to such transfer stating the name and address of the transferee and identifying the securities with respect to which such registration rights are being transferred; (iii) the transferee agrees in writing to be bound by the provisions of this Agreement and, to the extent required under the Shareholders’ Agreement, by the provisions of the Shareholders Agreement; and (iv) the total number of registrations to be exercised by all persons under this Agreement may not be increased other than in accordance with the terms of this Agreement.</w:t>
      </w:r>
    </w:p>
    <w:p>
      <w:pPr>
        <w:spacing w:after="0" w:line="18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Co-operation</w:t>
      </w:r>
    </w:p>
    <w:p>
      <w:pPr>
        <w:spacing w:after="0" w:line="121"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Each Holder requesting inclusion of Registrable Securities in a registration statement will furnish to the Corporation information regarding such Holder as the Corporation, acting reasonably, may from time to time request in writing, and will do such reasonable acts and things as the Corporation may from time to time request, with respect to any registration, qualification or compliance referred to in this Agreement and in order to permit the Corporation to comply with the requirements of applicable Laws.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270" w:right="479" w:bottom="1440" w:gutter="0" w:footer="0" w:header="0"/>
        </w:sectPr>
      </w:pPr>
    </w:p>
    <w:bookmarkStart w:id="325" w:name="page326"/>
    <w:bookmarkEnd w:id="325"/>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3.6</w:t>
      </w:r>
      <w:r>
        <w:rPr>
          <w:sz w:val="20"/>
          <w:szCs w:val="20"/>
          <w:color w:val="auto"/>
        </w:rPr>
        <w:tab/>
      </w:r>
      <w:r>
        <w:rPr>
          <w:rFonts w:ascii="Arial" w:cs="Arial" w:eastAsia="Arial" w:hAnsi="Arial"/>
          <w:sz w:val="16"/>
          <w:szCs w:val="16"/>
          <w:b w:val="1"/>
          <w:bCs w:val="1"/>
          <w:color w:val="auto"/>
        </w:rPr>
        <w:t>Termination of Registration Rights</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All obligations of the Corporation (except those pursuant to Article 6) shall terminate and be of no further force and effect on the date which is the earlier of (i) the closing of a Liquidation Event, as such term is defined in the Articles of Incorporation; (ii) such time after the consummation of a Qualified IPO as Rule 144 or another similar exemption under the Securities Act is available for the sale of all such Holder’s shares without limitation during a three-month period without registration,; or (iii) the date which is three years after the date of completion of a Qualified IPO (as such term is defined in the Articles of Incorporation).</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Limitations on Subsequent Registration Rights.</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From and after the date of this Agreement, the Corporation shall not, without the prior written consent of the Holders of the majority of Registrable Securities, on an As-Converted Basis, (i) enter into any other agreement with any holder or prospective holder of any securities of the Corporation which would allow such holder or prospective holder to participate in any registration of securities of the Corporation or (ii) enter into any agreement, take any action, or permit any change to occur, with respect to its securities that violates, subordinates or otherwise affects the rights granted to the Holders of the Registrable Securities in this Agreement.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PROVISIONS FOR REGISTRATIONS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Rule 144 Reporting and Form S-3, Form F-3 and Form F-10 Requirements</w:t>
      </w:r>
    </w:p>
    <w:p>
      <w:pPr>
        <w:spacing w:after="0" w:line="121"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With a view to making available the benefits of certain rules and regulations of the SEC which may at any time permit the sale of the Registrable Securities to the public in the United States without registration, or pursuant to a registration on Form S-3, Form F-3 or Form F-10, including, without limitation, Rule 144 under the U.S. Securities Act, the Corporation agrees at its expense, but only if and to the extent that the Initial Offering was completed in the United States or the Corporation has otherwise registered securities under the U.S. Exchange Act:</w:t>
      </w:r>
    </w:p>
    <w:p>
      <w:pPr>
        <w:spacing w:after="0" w:line="77" w:lineRule="exact"/>
        <w:rPr>
          <w:sz w:val="20"/>
          <w:szCs w:val="20"/>
          <w:color w:val="auto"/>
        </w:rPr>
      </w:pPr>
    </w:p>
    <w:p>
      <w:pPr>
        <w:ind w:left="960" w:right="80" w:hanging="532"/>
        <w:spacing w:after="0" w:line="308" w:lineRule="auto"/>
        <w:tabs>
          <w:tab w:leader="none" w:pos="9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to make and keep public information available, as those terms are understood and defined in Rule 144 under the U.S. Securities Act, at all times after the date that the Corporation becomes subject to the reporting requirements of the U.S. Exchange Act;</w:t>
      </w:r>
    </w:p>
    <w:p>
      <w:pPr>
        <w:spacing w:after="0" w:line="51" w:lineRule="exact"/>
        <w:rPr>
          <w:rFonts w:ascii="Arial" w:cs="Arial" w:eastAsia="Arial" w:hAnsi="Arial"/>
          <w:sz w:val="17"/>
          <w:szCs w:val="17"/>
          <w:color w:val="auto"/>
        </w:rPr>
      </w:pPr>
    </w:p>
    <w:p>
      <w:pPr>
        <w:ind w:left="960" w:right="140" w:hanging="532"/>
        <w:spacing w:after="0" w:line="277" w:lineRule="auto"/>
        <w:tabs>
          <w:tab w:leader="none" w:pos="9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file with the SEC in a timely manner all reports and other documents required of the Corporation under the U.S. Securities Act and the U.S. Exchange Act (at any time after it has become subject to such reporting requirements); and</w:t>
      </w:r>
    </w:p>
    <w:p>
      <w:pPr>
        <w:spacing w:after="0" w:line="75" w:lineRule="exact"/>
        <w:rPr>
          <w:rFonts w:ascii="Arial" w:cs="Arial" w:eastAsia="Arial" w:hAnsi="Arial"/>
          <w:sz w:val="18"/>
          <w:szCs w:val="18"/>
          <w:color w:val="auto"/>
        </w:rPr>
      </w:pPr>
    </w:p>
    <w:p>
      <w:pPr>
        <w:ind w:left="960" w:right="40" w:hanging="532"/>
        <w:spacing w:after="0" w:line="255" w:lineRule="auto"/>
        <w:tabs>
          <w:tab w:leader="none" w:pos="9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so long as any Holder owns any Registrable Securities, to furnish to the Holders, promptly upon request, a written statement by the Corporation as to its compliance with the reporting requirements of Rule 144 under the U.S. Securities Act (at any time after the Corporation becomes subject to the reporting requirements of the U.S. Exchange Act), a copy of the most recent annual or quarterly report of the Corporation, and any other reports and documents of the Corporation and other information in the possession of or reasonably obtainable by the Corporation as any Holder may reasonably request in availing itself of any rule or regulation of the SEC allowing the Holders to sell any securities without registration or pursuant to such form.</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0" w:right="479" w:bottom="1440" w:gutter="0" w:footer="0" w:header="0"/>
        </w:sectPr>
      </w:pPr>
    </w:p>
    <w:bookmarkStart w:id="326" w:name="page327"/>
    <w:bookmarkEnd w:id="326"/>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4.2</w:t>
      </w:r>
      <w:r>
        <w:rPr>
          <w:sz w:val="20"/>
          <w:szCs w:val="20"/>
          <w:color w:val="auto"/>
        </w:rPr>
        <w:tab/>
      </w:r>
      <w:r>
        <w:rPr>
          <w:rFonts w:ascii="Arial" w:cs="Arial" w:eastAsia="Arial" w:hAnsi="Arial"/>
          <w:sz w:val="16"/>
          <w:szCs w:val="16"/>
          <w:b w:val="1"/>
          <w:bCs w:val="1"/>
          <w:color w:val="auto"/>
        </w:rPr>
        <w:t>NI 44-101 and NI 51-102 Requirements</w:t>
      </w:r>
    </w:p>
    <w:p>
      <w:pPr>
        <w:spacing w:after="0" w:line="121"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With a view to making available the benefits of certain Canadian Securities Laws which may at any time permit the sale of the Registrable Securities to the public in any one or more province and territory of Canada without registration, or pursuant to a short form Canadian Prospectus in the form of Form 44-101F1 pursuant to NI 44-101, upon the completion of the Initial Offering, the Corporation agrees to, at its expense, but only if and to the extent that the Initial Offering was completed in Canada or the Corporation has otherwise become a “reporting issuer” in any province of territory of Canada, meet the eligibility criteria set out in NI 44-101 for the use of a short form prospectus in connection with the sale of its securities by, among other things, filing an initial annual information form and all renewal annual information forms, as all as other relevant and applicable continuous disclosure documents with the applicable Commissions pursuant to the requirements of NI 44-101 and NI 51-102.</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PROCEDURES AND EXPENSES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Registration Procedures</w:t>
      </w:r>
    </w:p>
    <w:p>
      <w:pPr>
        <w:spacing w:after="0" w:line="12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In the case of each registration effected by the Corporation pursuant to this Agreement, the Corporation will keep each Holder advised in writing as to the initiation of each registration and as to the completion of that registration. The Corporation shall at its expense and as expeditiously as is practicable:</w:t>
      </w:r>
    </w:p>
    <w:p>
      <w:pPr>
        <w:spacing w:after="0" w:line="89" w:lineRule="exact"/>
        <w:rPr>
          <w:sz w:val="20"/>
          <w:szCs w:val="20"/>
          <w:color w:val="auto"/>
        </w:rPr>
      </w:pPr>
    </w:p>
    <w:p>
      <w:pPr>
        <w:ind w:left="960" w:hanging="532"/>
        <w:spacing w:after="0" w:line="287" w:lineRule="auto"/>
        <w:tabs>
          <w:tab w:leader="none" w:pos="9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subject to Sections 3.1(b) and 3.2(a)(ii), prepare and file with the applicable Commissions a registration statement with respect to those Registrable Securities and use its best efforts to cause that registration statement to become and remain effective for at least 180 days (or 120 days in the case of a Short Form Registration) or until the distribution described in the registration statement has been completed, whichever occurs first; provided, however, that: (i) such 180-day period (or 120-day period in the case of a Short Form Registration) shall be extended for a period of time equal to the period between the time that the Corporation notifies the Holders of the happening of any event described in Section 5.1(g) and the time that the Corporation provides the Holders with a corrective supplement or amendment pursuant to such Section; and (ii) in the case of any Short Form Registration, which are intended to be offered on a continuous or delayed basis, such 120-day period shall be extended, if necessary, to keep the registration statement effective until all such Registrable Securities are sold, provided that Rule 415 under the U.S. Securities Act (or any successor rule) or Canadian Securities Laws, as applicable, permit an offering on a continuous or delayed basis, and provided further that applicable rules under the U.S. Securities Act or Canadian Securities Laws, as applicable, governing the obligation to file a post-effective amendment permit the incorporation by reference in the registration statement of information required to be included in (x) and below, to be contained in periodic reports filed pursuant to</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327" w:name="page328"/>
    <w:bookmarkEnd w:id="327"/>
    <w:p>
      <w:pPr>
        <w:ind w:left="560"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13 or 15(d) of the U.S. Exchange Act or NI 51-102, as applicable, in lieu of filing a post-effective amendment that: (x) includes any prospectus required by Section 10(a)(3) of the U.S. Securities Act, or (y) reflects facts or events representing a material or fundamental change in the information set forth in the registration statement;</w:t>
      </w:r>
    </w:p>
    <w:p>
      <w:pPr>
        <w:spacing w:after="0" w:line="89" w:lineRule="exact"/>
        <w:rPr>
          <w:sz w:val="20"/>
          <w:szCs w:val="20"/>
          <w:color w:val="auto"/>
        </w:rPr>
      </w:pPr>
    </w:p>
    <w:p>
      <w:pPr>
        <w:ind w:left="540" w:right="400" w:hanging="532"/>
        <w:spacing w:after="0" w:line="259" w:lineRule="auto"/>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prepare and file with the applicable Commissions such amendments (including post-effective amendments) and supplements to such registration statement and the prospectus used in connection with such registration statement, as may be necessary to comply with the provisions of the Securities Laws and this Agreement with respect to the disposition of all Registrable Securities covered by such registration statement;</w:t>
      </w:r>
    </w:p>
    <w:p>
      <w:pPr>
        <w:spacing w:after="0" w:line="92"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furnish to the Holders participating in such registration and to the underwriters of the Registrable Securities being registered such numbers of copies of the registration statement, preliminary prospectus, final prospectus (including all documents incorporated by reference therein) and any other documents as such Holders and underwriters may reasonably request in order to facilitate the public offering of those securities;</w:t>
      </w:r>
    </w:p>
    <w:p>
      <w:pPr>
        <w:spacing w:after="0" w:line="92" w:lineRule="exact"/>
        <w:rPr>
          <w:rFonts w:ascii="Arial" w:cs="Arial" w:eastAsia="Arial" w:hAnsi="Arial"/>
          <w:sz w:val="18"/>
          <w:szCs w:val="18"/>
          <w:color w:val="auto"/>
        </w:rPr>
      </w:pPr>
    </w:p>
    <w:p>
      <w:pPr>
        <w:ind w:left="540" w:right="160" w:hanging="532"/>
        <w:spacing w:after="0" w:line="279" w:lineRule="auto"/>
        <w:tabs>
          <w:tab w:leader="none" w:pos="54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use its best efforts to register and qualify the Registrable Securities covered by such registration statement under such other state or provincial securities Laws or blue sky Laws of such jurisdictions as shall be reasonably requested by the Holders, provided that the Corporation shall not be required in connection therewith or as a condition thereto to qualify to do business or to file a general consent to service of process in any such states or provinces or jurisdictions or subject itself to taxation in any such jurisdiction;</w:t>
      </w:r>
    </w:p>
    <w:p>
      <w:pPr>
        <w:spacing w:after="0" w:line="76" w:lineRule="exact"/>
        <w:rPr>
          <w:rFonts w:ascii="Arial" w:cs="Arial" w:eastAsia="Arial" w:hAnsi="Arial"/>
          <w:sz w:val="17"/>
          <w:szCs w:val="17"/>
          <w:color w:val="auto"/>
        </w:rPr>
      </w:pPr>
    </w:p>
    <w:p>
      <w:pPr>
        <w:ind w:left="540" w:right="460" w:hanging="532"/>
        <w:spacing w:after="0" w:line="277" w:lineRule="auto"/>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75" w:lineRule="exact"/>
        <w:rPr>
          <w:rFonts w:ascii="Arial" w:cs="Arial" w:eastAsia="Arial" w:hAnsi="Arial"/>
          <w:sz w:val="18"/>
          <w:szCs w:val="18"/>
          <w:color w:val="auto"/>
        </w:rPr>
      </w:pPr>
    </w:p>
    <w:p>
      <w:pPr>
        <w:jc w:val="both"/>
        <w:ind w:left="540" w:right="80" w:hanging="532"/>
        <w:spacing w:after="0" w:line="263" w:lineRule="auto"/>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notify each selling Holder of Registrable Securities, promptly after the Corporation receives notice thereof, of the time when a registration statement relating to such Holders’ Registrable Securities has been declared effective or a supplement to any prospectus forming a part of such registration statement has been filed;</w:t>
      </w:r>
    </w:p>
    <w:p>
      <w:pPr>
        <w:spacing w:after="0" w:line="89" w:lineRule="exact"/>
        <w:rPr>
          <w:rFonts w:ascii="Arial" w:cs="Arial" w:eastAsia="Arial" w:hAnsi="Arial"/>
          <w:sz w:val="18"/>
          <w:szCs w:val="18"/>
          <w:color w:val="auto"/>
        </w:rPr>
      </w:pPr>
    </w:p>
    <w:p>
      <w:pPr>
        <w:ind w:left="540" w:right="60" w:hanging="532"/>
        <w:spacing w:after="0" w:line="293" w:lineRule="auto"/>
        <w:tabs>
          <w:tab w:leader="none" w:pos="54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as soon as possible after becoming aware of such an event notify each Holder of Registrable Securities covered by such registration statement at any time when a prospectus relating thereto is required to be delivered under the applicable Securities Laws,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or if it is necessary to amend or supplement such prospectus to comply with the Securities Laws (a “10b-5 Event”), and to use its best efforts to promptly prepare a supplement or amendment of such document</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860" w:top="274" w:right="459" w:bottom="1440" w:gutter="0" w:footer="0" w:header="0"/>
        </w:sectPr>
      </w:pPr>
    </w:p>
    <w:bookmarkStart w:id="328" w:name="page329"/>
    <w:bookmarkEnd w:id="328"/>
    <w:p>
      <w:pPr>
        <w:ind w:left="56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correcting such untrue statement or eliminate such omission and so that such document, as amended or supplemented, will comply with the applicable Securities Laws (a “10b-5 Correction”), and furnish to each Holder as many copies of such supplement or amendment as each such Holder may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each Holder of Registrable Securities that is aware of a 10b-5 Event shall not sell its Registrable Securities until a 10b-5 Correction;</w:t>
      </w:r>
    </w:p>
    <w:p>
      <w:pPr>
        <w:spacing w:after="0" w:line="92" w:lineRule="exact"/>
        <w:rPr>
          <w:sz w:val="20"/>
          <w:szCs w:val="20"/>
          <w:color w:val="auto"/>
        </w:rPr>
      </w:pPr>
    </w:p>
    <w:p>
      <w:pPr>
        <w:ind w:left="540" w:right="80" w:hanging="532"/>
        <w:spacing w:after="0" w:line="259" w:lineRule="auto"/>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use its best efforts to cause all such Registrable Securities registered pursuant to this Agreement to be listed on each securities exchange or national market system, if any, on which similar securities issued by the Corporation are then listed or, if the Corporation’s securities are not then listed, on a securities exchange or national market system selected by the Holders of a majority of the Registrable Securities (on an As-Converted Basis);</w:t>
      </w:r>
    </w:p>
    <w:p>
      <w:pPr>
        <w:spacing w:after="0" w:line="92" w:lineRule="exact"/>
        <w:rPr>
          <w:rFonts w:ascii="Arial" w:cs="Arial" w:eastAsia="Arial" w:hAnsi="Arial"/>
          <w:sz w:val="18"/>
          <w:szCs w:val="18"/>
          <w:color w:val="auto"/>
        </w:rPr>
      </w:pPr>
    </w:p>
    <w:p>
      <w:pPr>
        <w:ind w:left="540" w:right="460" w:hanging="532"/>
        <w:spacing w:after="0" w:line="277" w:lineRule="auto"/>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hereunder and provide a CUSIP number for all Registrable Securities, in each case, not later than the effective date of such registration;</w:t>
      </w:r>
    </w:p>
    <w:p>
      <w:pPr>
        <w:spacing w:after="0" w:line="75" w:lineRule="exact"/>
        <w:rPr>
          <w:rFonts w:ascii="Arial" w:cs="Arial" w:eastAsia="Arial" w:hAnsi="Arial"/>
          <w:sz w:val="18"/>
          <w:szCs w:val="18"/>
          <w:color w:val="auto"/>
        </w:rPr>
      </w:pPr>
    </w:p>
    <w:p>
      <w:pPr>
        <w:ind w:left="540" w:right="80" w:hanging="532"/>
        <w:spacing w:after="0" w:line="269" w:lineRule="auto"/>
        <w:tabs>
          <w:tab w:leader="none" w:pos="54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at the request of any Holder requesting registration of Registrable Securities pursuant to a Demand Registration, on the date that such Registrable Securities are delivered to the underwriters for sale in connection with a Demand Registration, if such securities are being sold through underwriters, use its best efforts to cause to be delivered: (i) an opinion, dated such date, of the counsel representing the Corporation (including an opinion from each local state, provincial and/or territorial counsel in each of the jurisdictions in which the registration is effected) for the purposes of such registration, in form and substance as is customarily given to underwriters in an underwritten public offering, addressed to the underwriters and to the Holders requesting registration of Registrable Securities; (ii) a letter dated such date, from the auditors of the Corporation, in form and substance as is customarily given by auditors to underwriters in an underwritten public offering, addressed to the underwriters, if any, and to the Holders requesting registration of Registrable Securities; and (iii) such corporate certificates and other documents and instruments, each dated such date, as are customarily furnished to underwriters in an underwritten public offering or as such Holder may otherwise reasonably request, addressed to the underwriters, if any, and to the Holders requesting registration of Registrable Securities;</w:t>
      </w:r>
    </w:p>
    <w:p>
      <w:pPr>
        <w:spacing w:after="0" w:line="87" w:lineRule="exact"/>
        <w:rPr>
          <w:rFonts w:ascii="Arial" w:cs="Arial" w:eastAsia="Arial" w:hAnsi="Arial"/>
          <w:sz w:val="17"/>
          <w:szCs w:val="17"/>
          <w:color w:val="auto"/>
        </w:rPr>
      </w:pPr>
    </w:p>
    <w:p>
      <w:pPr>
        <w:ind w:left="540" w:hanging="532"/>
        <w:spacing w:after="0" w:line="311" w:lineRule="auto"/>
        <w:tabs>
          <w:tab w:leader="none" w:pos="5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use its best efforts to prevent the issuance of any stop order or other suspension of effectiveness of a registration statement, and, if such an order is issued, to obtain the withdrawal of such order at the earliest possible moment and to notify each Holder who holds Registrable Securities being sold (or, in the event of an underwritten offering, the underwriters) of the issuance of such order and the resolution thereof;</w:t>
      </w:r>
    </w:p>
    <w:p>
      <w:pPr>
        <w:spacing w:after="0" w:line="8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600"/>
          </w:cols>
          <w:pgMar w:left="860" w:top="274" w:right="439" w:bottom="1440" w:gutter="0" w:footer="0" w:header="0"/>
        </w:sectPr>
      </w:pPr>
    </w:p>
    <w:bookmarkStart w:id="329" w:name="page330"/>
    <w:bookmarkEnd w:id="329"/>
    <w:p>
      <w:pPr>
        <w:ind w:left="540" w:right="60" w:hanging="532"/>
        <w:spacing w:after="0" w:line="293" w:lineRule="auto"/>
        <w:tabs>
          <w:tab w:leader="none" w:pos="540" w:val="left"/>
        </w:tabs>
        <w:numPr>
          <w:ilvl w:val="0"/>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connection with the preparation and filing of each registration statement pursuant to this Article 5, give each Holder who holds Registrable Securities being sold, and its counsel, accountants and other agents, the opportunity to participate, acting reasonably, in the preparation of the registration statement, and each amendment thereof or supplement thereto, and will give each of them such access to its books and records and such opportunities to discuss the business of the Corporation with its directors, officers, key employees, attorneys, consultants and the independent public accountants of the Corporation who have issued a report on its financial statements as shall be necessary, in the opinion of such Holders and such underwriters or their respective counsel, to conduct a reasonable investigation;</w:t>
      </w:r>
    </w:p>
    <w:p>
      <w:pPr>
        <w:spacing w:after="0" w:line="69" w:lineRule="exact"/>
        <w:rPr>
          <w:rFonts w:ascii="Arial" w:cs="Arial" w:eastAsia="Arial" w:hAnsi="Arial"/>
          <w:sz w:val="16"/>
          <w:szCs w:val="16"/>
          <w:color w:val="auto"/>
        </w:rPr>
      </w:pPr>
    </w:p>
    <w:p>
      <w:pPr>
        <w:ind w:left="540" w:hanging="532"/>
        <w:spacing w:after="0" w:line="290" w:lineRule="auto"/>
        <w:tabs>
          <w:tab w:leader="none" w:pos="54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hold in confidence and not make any disclosure of information concerning a Holder provided to the Corporation unless: (i) disclosure of such information is necessary to comply with Securities Laws; (ii) the disclosure of such information is necessary to avoid or correct a misstatement or omission in any registration statement; (iii) the release of such information is ordered pursuant to a subpoena or other order from a court or governmental body of competent jurisdiction; or (iv) such information has been made generally available to the public other than by disclosure in violation of this Agreement or any other agreement. The Corporation agrees that it shall, upon learning that disclosure of such information concerning a Holder is sought in or by a court or governmental body of competent jurisdiction or through other means, give prompt notice to such Holder prior to making such disclosure, and allow the Holder, at its expense, to undertake appropriate action to prevent disclosure of, or to obtain a protective order for, such information;</w:t>
      </w:r>
    </w:p>
    <w:p>
      <w:pPr>
        <w:spacing w:after="0" w:line="70" w:lineRule="exact"/>
        <w:rPr>
          <w:rFonts w:ascii="Arial" w:cs="Arial" w:eastAsia="Arial" w:hAnsi="Arial"/>
          <w:sz w:val="16"/>
          <w:szCs w:val="16"/>
          <w:color w:val="auto"/>
        </w:rPr>
      </w:pPr>
    </w:p>
    <w:p>
      <w:pPr>
        <w:ind w:left="540" w:right="20" w:hanging="532"/>
        <w:spacing w:after="0" w:line="273" w:lineRule="auto"/>
        <w:tabs>
          <w:tab w:leader="none" w:pos="54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promptly make available for inspecting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Corporation, and cause the Corporation’s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83" w:lineRule="exact"/>
        <w:rPr>
          <w:rFonts w:ascii="Arial" w:cs="Arial" w:eastAsia="Arial" w:hAnsi="Arial"/>
          <w:sz w:val="17"/>
          <w:szCs w:val="17"/>
          <w:color w:val="auto"/>
        </w:rPr>
      </w:pPr>
    </w:p>
    <w:p>
      <w:pPr>
        <w:ind w:left="540" w:right="60" w:hanging="532"/>
        <w:spacing w:after="0" w:line="259" w:lineRule="auto"/>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within a reasonable time before each filing of the registration statement or prospectus or amendments or supplements thereto with the applicable Commissions, furnish to one counsel, selected by the majority of holders of Registrable Securities included in such registration (on an As-Converted Basis), copies of such documents proposed to be filed, which documents shall be subject to the approval of such counsel with such approval not to be unreasonably withheld or delayed;</w:t>
      </w:r>
    </w:p>
    <w:p>
      <w:pPr>
        <w:spacing w:after="0" w:line="92"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otherwise use its best efforts to comply with all applicable rules and regulations of each applicable Commission and make generally available to its security holders, in each case as soon as practicable, but not later than 30 days after the close of the period covered thereby, an earnings statement of the Corporation which will satisfy the provisions of Section 11(a) of the U.S. Securities Act and Rule 158 thereunder (or any comparable successor provisions);</w:t>
      </w:r>
    </w:p>
    <w:p>
      <w:pPr>
        <w:spacing w:after="0" w:line="11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40"/>
          </w:cols>
          <w:pgMar w:left="860" w:top="274" w:right="499" w:bottom="1440" w:gutter="0" w:footer="0" w:header="0"/>
        </w:sectPr>
      </w:pPr>
    </w:p>
    <w:bookmarkStart w:id="330" w:name="page331"/>
    <w:bookmarkEnd w:id="330"/>
    <w:p>
      <w:pPr>
        <w:ind w:left="960" w:right="20" w:hanging="532"/>
        <w:spacing w:after="0" w:line="263" w:lineRule="auto"/>
        <w:tabs>
          <w:tab w:leader="none" w:pos="9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connection with an underwritten offering, participate, to the extent reasonably requested by the managing underwriter for the offering or the Holders, in customary efforts to sell the securities being offered, and cause such steps to be taken as to ensure such good faith participation of senior management officers of the Corporation in “road shows” as is customary;</w:t>
      </w:r>
    </w:p>
    <w:p>
      <w:pPr>
        <w:spacing w:after="0" w:line="89" w:lineRule="exact"/>
        <w:rPr>
          <w:rFonts w:ascii="Arial" w:cs="Arial" w:eastAsia="Arial" w:hAnsi="Arial"/>
          <w:sz w:val="18"/>
          <w:szCs w:val="18"/>
          <w:color w:val="auto"/>
        </w:rPr>
      </w:pPr>
    </w:p>
    <w:p>
      <w:pPr>
        <w:ind w:left="960" w:hanging="532"/>
        <w:spacing w:after="0" w:line="301" w:lineRule="auto"/>
        <w:tabs>
          <w:tab w:leader="none" w:pos="9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permit any Holder of Registrable Securities which holder, in its sole and exclusive judgment, might be deemed to be an “underwriter” (as such term is defined in the applicable Securities Laws) or a “controlling person” (as such term is defined in the applicable Securities Laws) of the Corporation, to participate in the preparation of such registration statement and to require the insertion therein of language furnished to the Corporation in writing, which in the reasonable judgment of such Holder and its counsel should be included; and</w:t>
      </w:r>
    </w:p>
    <w:p>
      <w:pPr>
        <w:spacing w:after="0" w:line="62" w:lineRule="exact"/>
        <w:rPr>
          <w:rFonts w:ascii="Arial" w:cs="Arial" w:eastAsia="Arial" w:hAnsi="Arial"/>
          <w:sz w:val="16"/>
          <w:szCs w:val="16"/>
          <w:color w:val="auto"/>
        </w:rPr>
      </w:pPr>
    </w:p>
    <w:p>
      <w:pPr>
        <w:ind w:left="960" w:hanging="532"/>
        <w:spacing w:after="0"/>
        <w:tabs>
          <w:tab w:leader="none" w:pos="9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otherwise use its best efforts to take all other steps necessary to effect the registration of such Registrable Securities contemplated hereby.</w:t>
      </w:r>
    </w:p>
    <w:p>
      <w:pPr>
        <w:spacing w:after="0" w:line="27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color w:val="auto"/>
        </w:rPr>
        <w:t>Expenses of Registration</w:t>
      </w:r>
    </w:p>
    <w:p>
      <w:pPr>
        <w:spacing w:after="0" w:line="121"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All Registration Expenses will be borne by the Corporation, including the fees of one special counsel of the Holder of Registrable Securities in an amount not to exceed US$35,000 (plus disbursements and applicable taxes) for each registration undertaken pursuant to this Agreement; provided, however, that the Corporation shall not be required to pay for Selling Expenses relating to Registrable Securities. In addition, if requested by one or more Major Investors, the Corporation shall bear the reasonable fees, expenses and disbursements of one special counsel of the Major Investors in connection with the Initial Offering in an amount not to exceed US$50,000 (plus applicable taxes), whether or not any of the Registrable Securities are included in the Initial Offering.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Indemnification Provided by the Corporation in Favour of the Holders</w:t>
      </w:r>
    </w:p>
    <w:p>
      <w:pPr>
        <w:spacing w:after="0" w:line="12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In the event any Registrable Securities are included in a registration statement under this Agreement, the Corporation will indemnify, to the extent permitted by applicable law, each Holder that participates in such offering, each of its officers and directors and partners (or, in the case of a Holder that is a limited partnership, each of the partners and the officers and directors of the general partner of the limited partnership and its affiliates), each person controlling any Holder within the meaning of Section 15 of the U.S. Securities Act or Section 20 of the U.S. Exchange Act, and each underwriter, if any, and each person who controls any underwriter within the meaning of Section 15 of the U.S. Securities Act or Section 20 of the U.S. Exchange Act (collectively, the “</w:t>
      </w:r>
      <w:r>
        <w:rPr>
          <w:rFonts w:ascii="Arial" w:cs="Arial" w:eastAsia="Arial" w:hAnsi="Arial"/>
          <w:sz w:val="17"/>
          <w:szCs w:val="17"/>
          <w:b w:val="1"/>
          <w:bCs w:val="1"/>
          <w:color w:val="auto"/>
        </w:rPr>
        <w:t>Holder Indemnified Parties</w:t>
      </w:r>
      <w:r>
        <w:rPr>
          <w:rFonts w:ascii="Arial" w:cs="Arial" w:eastAsia="Arial" w:hAnsi="Arial"/>
          <w:sz w:val="17"/>
          <w:szCs w:val="17"/>
          <w:color w:val="auto"/>
        </w:rPr>
        <w:t xml:space="preserve">”), against all expenses, claims, losses, damages and liabilities (or actions in respect of expenses, claims, losses, damages or liabilities), including any of the foregoing incurred in settlement of any litigation, commenced or threatened, </w:t>
      </w:r>
      <w:r>
        <w:rPr>
          <w:rFonts w:ascii="Arial" w:cs="Arial" w:eastAsia="Arial" w:hAnsi="Arial"/>
          <w:sz w:val="17"/>
          <w:szCs w:val="17"/>
          <w:i w:val="1"/>
          <w:iCs w:val="1"/>
          <w:u w:val="single" w:color="auto"/>
          <w:color w:val="auto"/>
        </w:rPr>
        <w:t>arising out of or based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on</w:t>
      </w:r>
      <w:r>
        <w:rPr>
          <w:rFonts w:ascii="Arial" w:cs="Arial" w:eastAsia="Arial" w:hAnsi="Arial"/>
          <w:sz w:val="17"/>
          <w:szCs w:val="17"/>
          <w:i w:val="1"/>
          <w:iCs w:val="1"/>
          <w:color w:val="auto"/>
        </w:rPr>
        <w:t xml:space="preserve"> </w:t>
      </w:r>
      <w:r>
        <w:rPr>
          <w:rFonts w:ascii="Arial" w:cs="Arial" w:eastAsia="Arial" w:hAnsi="Arial"/>
          <w:sz w:val="17"/>
          <w:szCs w:val="17"/>
          <w:color w:val="auto"/>
        </w:rPr>
        <w:t>(i) any untrue statement (or alleged untrue statement) of a material fact contained in any registration statement, prospectus, offering circular “free</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prospectus” (as defined 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331" w:name="page332"/>
    <w:bookmarkEnd w:id="33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Rule 405 under the U.S. Securities Act) or other document, or any amendment or supplement to any document, incident to the registration, qualification or compliance, or (ii) any omission (or alleged omission) to state in a document a material fact required to be stated or necessary to make the statements, in light of the circumstances in which they were made, not misleading, or any violation by the Corporation of the U.S. Securities Laws, the Canadian Securities Laws, or any rule or regulation promulgated under any Laws applicable to the Corporation in connection with any registration, qualification or compliance, and </w:t>
      </w:r>
      <w:r>
        <w:rPr>
          <w:rFonts w:ascii="Arial" w:cs="Arial" w:eastAsia="Arial" w:hAnsi="Arial"/>
          <w:sz w:val="16"/>
          <w:szCs w:val="16"/>
          <w:i w:val="1"/>
          <w:iCs w:val="1"/>
          <w:u w:val="single" w:color="auto"/>
          <w:color w:val="auto"/>
        </w:rPr>
        <w:t>in each case</w:t>
      </w:r>
      <w:r>
        <w:rPr>
          <w:rFonts w:ascii="Arial" w:cs="Arial" w:eastAsia="Arial" w:hAnsi="Arial"/>
          <w:sz w:val="16"/>
          <w:szCs w:val="16"/>
          <w:color w:val="auto"/>
        </w:rPr>
        <w:t xml:space="preserve"> the Corporation will reimburse each of such Holder Indemnified Parties, for any legal and any other expenses reasonably incurred, as such expenses are incurred, in connection with investigating, preparing or defending any such claim, loss, damage, liability or action,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xml:space="preserve"> that the indemnity contained in this Section 6.1 will not apply to amounts paid in settlement of any such loss, claim, damage, liability or action if such settlement is effected without the consent of the Corporation, which consent will not be unreasonably withheld and provided that the Corporation will not be liable in any case to the extent that any claim, loss, damage, liability or expense arises out of or is based on any untrue statement or omission or alleged untrue statement or omission, made in reliance upon and in conformity with written information furnished to the Corporation by any Holder, controlling person thereof or underwriter to be specifically for use in any such document; and provided further, however, that the foregoing indemnity is subject to the condition that, insofar as it relates to any untrue statement, alleged untrue statement, omission or alleged omission made in a prospectus on file with the Commissions at the time the registration statement becomes effective or the amended prospectus filed with the SEC pursuant to Rule 424(b) under the U.S. Securities Act (the “</w:t>
      </w:r>
      <w:r>
        <w:rPr>
          <w:rFonts w:ascii="Arial" w:cs="Arial" w:eastAsia="Arial" w:hAnsi="Arial"/>
          <w:sz w:val="16"/>
          <w:szCs w:val="16"/>
          <w:b w:val="1"/>
          <w:bCs w:val="1"/>
          <w:color w:val="auto"/>
        </w:rPr>
        <w:t>Final Prospectus</w:t>
      </w:r>
      <w:r>
        <w:rPr>
          <w:rFonts w:ascii="Arial" w:cs="Arial" w:eastAsia="Arial" w:hAnsi="Arial"/>
          <w:sz w:val="16"/>
          <w:szCs w:val="16"/>
          <w:color w:val="auto"/>
        </w:rPr>
        <w:t>”), that indemnity will not enure to the benefit of any underwriter or any Holder, if there is no underwriter, if any such underwriter or Holder failed to furnish a copy of the Final Prospectus to the person asserting the loss, liability, claim or damage at or prior to the time the action is required by the applicable Securities Laws, and if the Final Prospectus would have cured the defect giving rise to the loss, liability, claim or damage. The indemnification provided for under this Section 6.1 shall remain in full force and effect regardless of any investigation made by or on behalf of any of the Holder Indemnified Parties and shall survive the transfer of the Registrable Securities by the Investors and their transferees.</w:t>
      </w:r>
    </w:p>
    <w:p>
      <w:pPr>
        <w:spacing w:after="0" w:line="200" w:lineRule="exact"/>
        <w:rPr>
          <w:sz w:val="20"/>
          <w:szCs w:val="20"/>
          <w:color w:val="auto"/>
        </w:rPr>
      </w:pP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Indemnification Provided by the Holders in Favour of the Corporation</w:t>
      </w:r>
    </w:p>
    <w:p>
      <w:pPr>
        <w:spacing w:after="0" w:line="121" w:lineRule="exact"/>
        <w:rPr>
          <w:sz w:val="20"/>
          <w:szCs w:val="20"/>
          <w:color w:val="auto"/>
        </w:rPr>
      </w:pPr>
    </w:p>
    <w:p>
      <w:pPr>
        <w:ind w:right="100" w:firstLine="440"/>
        <w:spacing w:after="0" w:line="288" w:lineRule="auto"/>
        <w:rPr>
          <w:sz w:val="20"/>
          <w:szCs w:val="20"/>
          <w:color w:val="auto"/>
        </w:rPr>
      </w:pPr>
      <w:r>
        <w:rPr>
          <w:rFonts w:ascii="Arial" w:cs="Arial" w:eastAsia="Arial" w:hAnsi="Arial"/>
          <w:sz w:val="16"/>
          <w:szCs w:val="16"/>
          <w:color w:val="auto"/>
        </w:rPr>
        <w:t xml:space="preserve">In the event any Registrable Securities are included in a registration statement under this Agreement, each Holder will, if Registrable Securities held by that Holder are included in the securities as to which the registration, qualification or compliance is being effected, indemnify, to the extent permitted by applicable law, the Corporation, each of its directors and officers, each underwriter, if any, of the Corporation’s securities covered by that registration statement, each person who controls the Corporation or the underwriter within the meaning of Section 15 of the U.S. Securities Act or Section 20 of the U.S. Exchange Act, and the other Holders selling securities in such registration statement, each of its officers and directors and partners (or, in the case of a Holder that is a limited partnership, each of the partners and the officers and directors of the general partner of the limited partnership and its affiliates) and each person controlling such other Holders within the meaning of Section 15 or Section 20 of the U.S. Securities Act, against all expenses, claims, losses, damages and liabilities (or actions in respect of expenses, claims, losses, damages and liabilities), including any of the foregoing incurred in settlement of any litigation, commenced or threatened, </w:t>
      </w:r>
      <w:r>
        <w:rPr>
          <w:rFonts w:ascii="Arial" w:cs="Arial" w:eastAsia="Arial" w:hAnsi="Arial"/>
          <w:sz w:val="16"/>
          <w:szCs w:val="16"/>
          <w:i w:val="1"/>
          <w:iCs w:val="1"/>
          <w:u w:val="single" w:color="auto"/>
          <w:color w:val="auto"/>
        </w:rPr>
        <w:t>arising out of or based on</w:t>
      </w:r>
      <w:r>
        <w:rPr>
          <w:rFonts w:ascii="Arial" w:cs="Arial" w:eastAsia="Arial" w:hAnsi="Arial"/>
          <w:sz w:val="16"/>
          <w:szCs w:val="16"/>
          <w:color w:val="auto"/>
        </w:rPr>
        <w:t xml:space="preserve"> (i) any untrue statement (or alleged untrue statement), of a material fact contained in any registration statement, prospectus, offering circular, “free writing</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332" w:name="page333"/>
    <w:bookmarkEnd w:id="33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prospectus” (as defined in Rule 405 under the U.S. Securities Act) or other document, or any amendment or supplement to any document incident to the registration, qualification or compliance, or (ii) any omission (or alleged omission) to state in a document a material fact required to be stated or necessary to make the statements, in light of the circumstances in which they were made, not misleading, </w:t>
      </w:r>
      <w:r>
        <w:rPr>
          <w:rFonts w:ascii="Arial" w:cs="Arial" w:eastAsia="Arial" w:hAnsi="Arial"/>
          <w:sz w:val="17"/>
          <w:szCs w:val="17"/>
          <w:i w:val="1"/>
          <w:iCs w:val="1"/>
          <w:u w:val="single" w:color="auto"/>
          <w:color w:val="auto"/>
        </w:rPr>
        <w:t>in each case to the extent, but only to the</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extent</w:t>
      </w:r>
      <w:r>
        <w:rPr>
          <w:rFonts w:ascii="Arial" w:cs="Arial" w:eastAsia="Arial" w:hAnsi="Arial"/>
          <w:sz w:val="17"/>
          <w:szCs w:val="17"/>
          <w:i w:val="1"/>
          <w:iCs w:val="1"/>
          <w:color w:val="auto"/>
        </w:rPr>
        <w:t xml:space="preserve">, </w:t>
      </w:r>
      <w:r>
        <w:rPr>
          <w:rFonts w:ascii="Arial" w:cs="Arial" w:eastAsia="Arial" w:hAnsi="Arial"/>
          <w:sz w:val="17"/>
          <w:szCs w:val="17"/>
          <w:color w:val="auto"/>
        </w:rPr>
        <w:t>that each untrue statement (or alleged untrue statement) or omission (or alleged omission) is made in a registration statement,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offering circular or other document in reliance upon and in conformity with written information furnished to the Corporation by the Holder and to be specifically for use in any such document, and </w:t>
      </w:r>
      <w:r>
        <w:rPr>
          <w:rFonts w:ascii="Arial" w:cs="Arial" w:eastAsia="Arial" w:hAnsi="Arial"/>
          <w:sz w:val="17"/>
          <w:szCs w:val="17"/>
          <w:i w:val="1"/>
          <w:iCs w:val="1"/>
          <w:u w:val="single" w:color="auto"/>
          <w:color w:val="auto"/>
        </w:rPr>
        <w:t>in each case</w:t>
      </w:r>
      <w:r>
        <w:rPr>
          <w:rFonts w:ascii="Arial" w:cs="Arial" w:eastAsia="Arial" w:hAnsi="Arial"/>
          <w:sz w:val="17"/>
          <w:szCs w:val="17"/>
          <w:color w:val="auto"/>
        </w:rPr>
        <w:t xml:space="preserve"> such Holder will reimburse the Corporation, the other Holders, the directors, officers, partners, underwriters or control persons for any legal or any other expenses reasonably incurred, as such expenses are incurred, in connection with investigating or defending any claim, loss, damage, liability or action, </w:t>
      </w:r>
      <w:r>
        <w:rPr>
          <w:rFonts w:ascii="Arial" w:cs="Arial" w:eastAsia="Arial" w:hAnsi="Arial"/>
          <w:sz w:val="17"/>
          <w:szCs w:val="17"/>
          <w:i w:val="1"/>
          <w:iCs w:val="1"/>
          <w:u w:val="single" w:color="auto"/>
          <w:color w:val="auto"/>
        </w:rPr>
        <w:t>provided, however,</w:t>
      </w:r>
      <w:r>
        <w:rPr>
          <w:rFonts w:ascii="Arial" w:cs="Arial" w:eastAsia="Arial" w:hAnsi="Arial"/>
          <w:sz w:val="17"/>
          <w:szCs w:val="17"/>
          <w:color w:val="auto"/>
        </w:rPr>
        <w:t xml:space="preserve"> that the indemnity contained in this Section 6.2 will not apply to amounts paid in settlement of any loss, claim, damage, liability or action if the settlement is effected without the consent of the Holder, which consent will not be unreasonably withheld; provided, that the obligation to indemnify under this Section 6.2 shall be several, not joint and several, for each Holder and shall be limited to the net proceeds (after underwriting fees, commissions or discounts) actually received by such Holder from the sale of the Registrable Securities pursuant to such registration.</w:t>
      </w:r>
    </w:p>
    <w:p>
      <w:pPr>
        <w:spacing w:after="0" w:line="20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Indemnification Procedure</w:t>
      </w:r>
    </w:p>
    <w:p>
      <w:pPr>
        <w:spacing w:after="0" w:line="131" w:lineRule="exact"/>
        <w:rPr>
          <w:sz w:val="20"/>
          <w:szCs w:val="20"/>
          <w:color w:val="auto"/>
        </w:rPr>
      </w:pPr>
    </w:p>
    <w:p>
      <w:pPr>
        <w:ind w:left="960" w:right="40" w:hanging="532"/>
        <w:spacing w:after="0" w:line="269" w:lineRule="auto"/>
        <w:tabs>
          <w:tab w:leader="none" w:pos="9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Each party entitled to indemnification under this Article 6 (the “</w:t>
      </w:r>
      <w:r>
        <w:rPr>
          <w:rFonts w:ascii="Arial" w:cs="Arial" w:eastAsia="Arial" w:hAnsi="Arial"/>
          <w:sz w:val="17"/>
          <w:szCs w:val="17"/>
          <w:b w:val="1"/>
          <w:bCs w:val="1"/>
          <w:color w:val="auto"/>
        </w:rPr>
        <w:t>Indemnified Party</w:t>
      </w:r>
      <w:r>
        <w:rPr>
          <w:rFonts w:ascii="Arial" w:cs="Arial" w:eastAsia="Arial" w:hAnsi="Arial"/>
          <w:sz w:val="17"/>
          <w:szCs w:val="17"/>
          <w:color w:val="auto"/>
        </w:rPr>
        <w:t>”) will give notice to the party required to provide indemnification (the “</w:t>
      </w:r>
      <w:r>
        <w:rPr>
          <w:rFonts w:ascii="Arial" w:cs="Arial" w:eastAsia="Arial" w:hAnsi="Arial"/>
          <w:sz w:val="17"/>
          <w:szCs w:val="17"/>
          <w:b w:val="1"/>
          <w:bCs w:val="1"/>
          <w:color w:val="auto"/>
        </w:rPr>
        <w:t>Indemnifying Party</w:t>
      </w:r>
      <w:r>
        <w:rPr>
          <w:rFonts w:ascii="Arial" w:cs="Arial" w:eastAsia="Arial" w:hAnsi="Arial"/>
          <w:sz w:val="17"/>
          <w:szCs w:val="17"/>
          <w:color w:val="auto"/>
        </w:rPr>
        <w:t>”) promptly after that Indemnified Party has actual knowledge of any claim as to which indemnity may be sought, and, if the Indemnifying Party acknowledges its liability hereunder, will permit the Indemnifying Party to assume the defense of any claim or any litigation, provided that counsel for the Indemnifying Party, who will conduct the defense of the claim or litigation, will be approved by the Indemnified Party (whose approval will not be unreasonably withheld), and the Indemnified Party may participate in the defense at that party’s expense, and provided further that the failure of any Indemnified Party to give notice as provided in this Agreement will not relieve the Indemnifying Party of its obligations under this Agreement unless the failure to give the notice is materially prejudicial to an Indemnifying Party’s ability ‘to defend that action and provided further, that the Indemnifying Party will not assume the defense for matters in which there is, in the reasonable opinion of outside counsel to the Indemnified Party, a conflict of interest or separate and different defenses. No Indemnifying Party, in the defense of any such claim or any resulting litigation, will, except with the consent of each Indemnified Party, consent to entry of any judgment or enter into any settlement which does not include as an unconditional term from the claimant or plaintiff to the Indemnified Party of a release from all liability in respect of the claim or litigation.</w:t>
      </w:r>
    </w:p>
    <w:p>
      <w:pPr>
        <w:spacing w:after="0" w:line="85" w:lineRule="exact"/>
        <w:rPr>
          <w:rFonts w:ascii="Arial" w:cs="Arial" w:eastAsia="Arial" w:hAnsi="Arial"/>
          <w:sz w:val="17"/>
          <w:szCs w:val="17"/>
          <w:color w:val="auto"/>
        </w:rPr>
      </w:pPr>
    </w:p>
    <w:p>
      <w:pPr>
        <w:ind w:left="960" w:right="180" w:hanging="532"/>
        <w:spacing w:after="0" w:line="263" w:lineRule="auto"/>
        <w:tabs>
          <w:tab w:leader="none" w:pos="9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the indemnification provided for in this Article 6 is held by a court of competent jurisdiction to be unavailable to an Indemnified Party with respect to any loss, liability, claim, damage, or expense referred to herein, then the Indemnifying Party, in lieu of indemnifying the Indemnified Party hereunder, will contribute to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333" w:name="page334"/>
    <w:bookmarkEnd w:id="333"/>
    <w:p>
      <w:pPr>
        <w:ind w:left="9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amount paid or payable by the Indemnified Party as a result of the loss, liability, claim, damage, or expense in the proportion as is appropriate to reflect the relative fault of the Indemnifying Party on the one hand and of the Indemnified Party on the other in connection with the statements or omissions that resulted in the loss, liability, claim, damage, or expense as well as any other relevant equitable considerations. The relative fault of the Indemnifying Party and of the Indemnified Party will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the statement or omission, provided however, that, in any case, (i) no Holder will be required to contribute any amount in excess of the gross proceeds of all the Registrable Securities offered and sold by the Holder pursuant to the registration statement that are received by such Holder; and (ii) no person or entity guilty of fraudulent misrepresentation (within the meaning of Section 11(f) of the U.S. Securities Act) will be entitled to contribution from any person or entity who was not guilty of fraudulent misrepresentation.</w:t>
      </w:r>
    </w:p>
    <w:p>
      <w:pPr>
        <w:spacing w:after="0" w:line="87" w:lineRule="exact"/>
        <w:rPr>
          <w:sz w:val="20"/>
          <w:szCs w:val="20"/>
          <w:color w:val="auto"/>
        </w:rPr>
      </w:pPr>
    </w:p>
    <w:p>
      <w:pPr>
        <w:ind w:left="960" w:right="540" w:hanging="532"/>
        <w:spacing w:after="0" w:line="277" w:lineRule="auto"/>
        <w:tabs>
          <w:tab w:leader="none" w:pos="9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obligations of the Corporation and the Holders under this Article 6 shall survive the completion of any offering of Registrable Securities in a registration statement under Article 3 of this Agreement.</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PROVISIONS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5"/>
          <w:szCs w:val="15"/>
          <w:b w:val="1"/>
          <w:bCs w:val="1"/>
          <w:color w:val="auto"/>
        </w:rPr>
        <w:t>Notices</w:t>
      </w:r>
    </w:p>
    <w:p>
      <w:pPr>
        <w:spacing w:after="0" w:line="225"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color w:val="auto"/>
        </w:rPr>
        <w:t>All notices provided for in this Agreement (“</w:t>
      </w:r>
      <w:r>
        <w:rPr>
          <w:rFonts w:ascii="Arial" w:cs="Arial" w:eastAsia="Arial" w:hAnsi="Arial"/>
          <w:sz w:val="18"/>
          <w:szCs w:val="18"/>
          <w:b w:val="1"/>
          <w:bCs w:val="1"/>
          <w:color w:val="auto"/>
        </w:rPr>
        <w:t>Notices</w:t>
      </w:r>
      <w:r>
        <w:rPr>
          <w:rFonts w:ascii="Arial" w:cs="Arial" w:eastAsia="Arial" w:hAnsi="Arial"/>
          <w:sz w:val="18"/>
          <w:szCs w:val="18"/>
          <w:color w:val="auto"/>
        </w:rPr>
        <w:t>”) shall be in writing and will be sufficiently given if delivered (by hand, by overnight international courier service), or if by e-mail to the following addresses:</w:t>
      </w:r>
    </w:p>
    <w:p>
      <w:pPr>
        <w:spacing w:after="0" w:line="71" w:lineRule="exact"/>
        <w:rPr>
          <w:sz w:val="20"/>
          <w:szCs w:val="20"/>
          <w:color w:val="auto"/>
        </w:rPr>
      </w:pPr>
    </w:p>
    <w:p>
      <w:pPr>
        <w:ind w:left="960" w:hanging="532"/>
        <w:spacing w:after="0"/>
        <w:tabs>
          <w:tab w:leader="none" w:pos="9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 the case of a Notice to the Corporation at:</w:t>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7210 Frederick-Banting Street</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Saint-Laurent (Québec) H4S 2A1</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Attention: Lloyd Segal</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Email:</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With a copy to (which copy shall not constitute a Notice to the Corporation):</w:t>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STIKEMAN ELLIOTT LLP</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1155 René-Lévesque Blvd. West</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41st Floor</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Montréal, Québec H3B 3V2</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Attention: Sidney Horn and Jeremy Sculnick</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Email:</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80"/>
          </w:cols>
          <w:pgMar w:left="440" w:top="274" w:right="579" w:bottom="1440" w:gutter="0" w:footer="0" w:header="0"/>
        </w:sectPr>
      </w:pPr>
    </w:p>
    <w:bookmarkStart w:id="334" w:name="page335"/>
    <w:bookmarkEnd w:id="334"/>
    <w:p>
      <w:pPr>
        <w:ind w:left="960" w:right="20" w:hanging="532"/>
        <w:spacing w:after="0" w:line="277" w:lineRule="auto"/>
        <w:tabs>
          <w:tab w:leader="none" w:pos="9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case of any Holder, at the address, e-mail address contained in Schedule A or Schedule B or, if not set out in Schedule A or Schedule B, to the most recent address or e-mail address known to the Person sending the Notice.</w:t>
      </w:r>
    </w:p>
    <w:p>
      <w:pPr>
        <w:spacing w:after="0" w:line="170"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Any Notice delivered or transmitted to a party as provided above is deemed to have been given and received on the day it is delivered or transmitted if it is delivered or transmitted on a Business Day prior to 5:00 p.m. local time in the place of delivery or receipt. If the Notice is delivered or transmitted after 5:00 p.m. local time or if such day is not a Business Day, then the Notice is deemed to have been given and received on the next Business Day. Any Notice given by e-mail shall also promptly be given by hand delivery or overnight international courier service. Any party may, from time to time, change its address by giving Notice to the other parties in accordance with the provisions of this Section 7.1.</w:t>
      </w:r>
    </w:p>
    <w:p>
      <w:pPr>
        <w:spacing w:after="0" w:line="3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Enurement</w:t>
      </w:r>
    </w:p>
    <w:p>
      <w:pPr>
        <w:spacing w:after="0" w:line="121"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This Agreement shall enure to the benefit of and be binding upon the parties hereto and their respective successors. This Agreement shall be binding upon any assigns, and enure to the benefit of any permitted assigns, of each party hereto.</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Counterparts</w:t>
      </w:r>
    </w:p>
    <w:p>
      <w:pPr>
        <w:spacing w:after="0" w:line="12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This Agreement may be executed in one or more counterparts (whether by facsimile signature or otherwise), each of which shall be deemed an original and all of which, taken together, shall constitute one and the same instrument.</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5"/>
          <w:szCs w:val="15"/>
          <w:b w:val="1"/>
          <w:bCs w:val="1"/>
          <w:color w:val="auto"/>
        </w:rPr>
        <w:t>Assignment</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Except as otherwise provided herein, none of the rights or obligations hereunder shall be assignable or transferable by any party without the prior written consent of the other parties.</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Entire Agreement</w:t>
      </w:r>
    </w:p>
    <w:p>
      <w:pPr>
        <w:spacing w:after="0" w:line="12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This Agreement constitutes the entire agreement between the parties hereto pertaining to the subject matter of this Agreement. This Agreement annuls and replaces any prior or current registration rights agreement entered into between the Holders (or any of them) and the Corporation, including the Original Registration Rights Agreement.</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Amendments, Modifications, etc.</w:t>
      </w:r>
    </w:p>
    <w:p>
      <w:pPr>
        <w:spacing w:after="0" w:line="121"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This Agreement may not be amended, modified or waived except by written agreement of the Corporation and Holders holding at least 60% of the then-outstanding Registrable Securities (on an As-Converted Basis). No waiver of any provision of this Agreement shall constitute a waiver of any other provision nor shall any waiver of any provision of this Agreement constitute a continuing waiver unless otherwise expressly provided.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35" w:name="page336"/>
    <w:bookmarkEnd w:id="335"/>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7.7</w:t>
      </w:r>
      <w:r>
        <w:rPr>
          <w:sz w:val="20"/>
          <w:szCs w:val="20"/>
          <w:color w:val="auto"/>
        </w:rPr>
        <w:tab/>
      </w:r>
      <w:r>
        <w:rPr>
          <w:rFonts w:ascii="Arial" w:cs="Arial" w:eastAsia="Arial" w:hAnsi="Arial"/>
          <w:sz w:val="16"/>
          <w:szCs w:val="16"/>
          <w:b w:val="1"/>
          <w:bCs w:val="1"/>
          <w:color w:val="auto"/>
        </w:rPr>
        <w:t>Additional Parties</w:t>
      </w:r>
    </w:p>
    <w:p>
      <w:pPr>
        <w:spacing w:after="0" w:line="12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parties acknowledge that, subsequent to the date of this Agreement, the Corporation may, subject to compliance with the Shareholders Agreement, issue additional shares in the capital of the Corporation to one or more permitted transferees of the Investors, as described in Sections 3.5, 3.6 and 3.7 of the Shareholders Agreement as amended and restated on the date hereof or as described in any successor provision of the Shareholders Agreement, as it may be amended and restated from time to time, relating to permitted transferees of the Investors (the “</w:t>
      </w:r>
      <w:r>
        <w:rPr>
          <w:rFonts w:ascii="Arial" w:cs="Arial" w:eastAsia="Arial" w:hAnsi="Arial"/>
          <w:sz w:val="17"/>
          <w:szCs w:val="17"/>
          <w:b w:val="1"/>
          <w:bCs w:val="1"/>
          <w:color w:val="auto"/>
        </w:rPr>
        <w:t>Additional Parties</w:t>
      </w:r>
      <w:r>
        <w:rPr>
          <w:rFonts w:ascii="Arial" w:cs="Arial" w:eastAsia="Arial" w:hAnsi="Arial"/>
          <w:sz w:val="17"/>
          <w:szCs w:val="17"/>
          <w:color w:val="auto"/>
        </w:rPr>
        <w:t>”). Without needing the consent of any of the parties hereto (whether pursuant to Section 3.7 or 7.6 or otherwise), each such Additional Party may become a party to this Agreement by executing a counterpart signature page substantially in the form attached as Schedule C and acceptance by the Corporation of such counterpart signature page as signified by its execution thereof. Upon execution and delivery of the counterpart signature page and acceptance by the Corporation, such Additional Party will be a party to this Agreement as an Investor and be subject to the terms and conditions of this Agreement as if it were an original signatory.</w:t>
      </w:r>
    </w:p>
    <w:p>
      <w:pPr>
        <w:spacing w:after="0" w:line="3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6"/>
          <w:szCs w:val="16"/>
          <w:b w:val="1"/>
          <w:bCs w:val="1"/>
          <w:color w:val="auto"/>
        </w:rPr>
        <w:t>Further Assurances</w:t>
      </w:r>
    </w:p>
    <w:p>
      <w:pPr>
        <w:spacing w:after="0" w:line="12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Each of the parties hereto shall promptly do, make, execute or deliver, or cause to be done, made, executed or delivered, all such further acts, documents and things as the other party hereto may reasonably require from time to time for the purpose of giving effect to this Agreement and shall use reasonable efforts and take all such steps as may be reasonably within its power to implement to their full extent the provisions of this Agreement.</w:t>
      </w:r>
    </w:p>
    <w:p>
      <w:pPr>
        <w:spacing w:after="0" w:line="2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6"/>
          <w:szCs w:val="16"/>
          <w:b w:val="1"/>
          <w:bCs w:val="1"/>
          <w:color w:val="auto"/>
        </w:rPr>
        <w:t>Specific Performance</w:t>
      </w:r>
    </w:p>
    <w:p>
      <w:pPr>
        <w:spacing w:after="0" w:line="12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Corporation recognizes that the rights of the Holders under this Agreement are unique, and, accordingly, the Holders will, in addition to such other remedies available to them at law or in equity, have the right to enforce their rights under this Agreement by actions for injunctive relief and specific performance to the extent permitted by law. This Agreement is not intended to limit or abridge any rights of the Holders that exist apart from this Agreement.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REMAINDER OF THIS PAGE IS INTENTIONALLY LEFT BLANK.]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0" w:right="479" w:bottom="1440" w:gutter="0" w:footer="0" w:header="0"/>
        </w:sectPr>
      </w:pPr>
    </w:p>
    <w:bookmarkStart w:id="336" w:name="page337"/>
    <w:bookmarkEnd w:id="336"/>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Agreement by their respective officers thereunto duly authorized.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V,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Jerel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Jerel C. Davis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Agent</w:t>
      </w:r>
    </w:p>
    <w:p>
      <w:pPr>
        <w:spacing w:after="0" w:line="143" w:lineRule="exact"/>
        <w:rPr>
          <w:sz w:val="20"/>
          <w:szCs w:val="20"/>
          <w:color w:val="auto"/>
        </w:rPr>
      </w:pPr>
    </w:p>
    <w:p>
      <w:pPr>
        <w:ind w:left="1840"/>
        <w:spacing w:after="0"/>
        <w:rPr>
          <w:sz w:val="20"/>
          <w:szCs w:val="20"/>
          <w:color w:val="auto"/>
        </w:rPr>
      </w:pPr>
      <w:r>
        <w:rPr>
          <w:rFonts w:ascii="Arial" w:cs="Arial" w:eastAsia="Arial" w:hAnsi="Arial"/>
          <w:sz w:val="17"/>
          <w:szCs w:val="17"/>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VERSANT VENTURE CAPITAL VI,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VI GP, 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VI GP-GP,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Jerel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Jerel C. Davis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38" w:name="page339"/>
    <w:bookmarkEnd w:id="3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VERSANT AFFILIATES FUND V,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Jerel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Jerel C. Davis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Agent</w:t>
      </w:r>
    </w:p>
    <w:p>
      <w:pPr>
        <w:spacing w:after="0" w:line="143"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39" w:name="page340"/>
    <w:bookmarkEnd w:id="3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VERSANT OPHTHALMIC AFFILIATES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 I, 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Jerel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Jerel C. Davis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Agent</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40" w:name="page341"/>
    <w:bookmarkEnd w:id="3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VERSANT VENTURE CAPITAL 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 LP</w:t>
      </w:r>
    </w:p>
    <w:p>
      <w:pPr>
        <w:spacing w:after="0" w:line="20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 (CANADA), L.P.</w:t>
      </w:r>
    </w:p>
    <w:p>
      <w:pPr>
        <w:spacing w:after="0" w:line="20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 GP-GP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Jerel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Jerel C. Davis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Agent</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41" w:name="page342"/>
    <w:bookmarkEnd w:id="3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VERSANT VANTAGE I,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VANTAGE I GP, 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VANTAGE I GP-GP,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Jerel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Jerel C. Davis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42" w:name="page343"/>
    <w:bookmarkEnd w:id="3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MPM BIOVENTURES 2014,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MPM BIOVENTURES 2014 GP LLC,</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its general partner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MPM BIOVENTURES 2014 LLC,</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its managing member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Kristen Laguerre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Kristen Laguerre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Title:Managing Director, Finance</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43" w:name="page344"/>
    <w:bookmarkEnd w:id="3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MPM BIOVENTURES 2014 (B),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MPM BIOVENTURES 2014 GP LLC,</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its general partner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MPM BIOVENTURES 2014 LLC,</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its managing member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Kristen Laguerre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Kristen Laguerre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 Finance</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MPM ASSET MANAGEMENT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BV2014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MPM BIOVENTURES 2014 LLC,</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its manager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Howard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Howard Rubin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Authorized Signatory</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UBS ONCOLOGY IMPACT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ONCOLOGY IMPACT FUND</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(CAYMAN) MANAGEMENT L.P.,</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its general partner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MPM ONCOLOGY IMPACT</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MANAGEMENT LP,</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its general partner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MPM ONCOLOGY IMPACT</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MANAGEMENT GP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its general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Kristen Laguerre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Kristen Laguerre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 Finance</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46" w:name="page347"/>
    <w:bookmarkEnd w:id="3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BDC CAPITAL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Jean-Francois Pariseau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Jean-Francois Pariseau</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Partner, Amplitude Ventures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Dion Madsen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Dion Madsen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Partner, Amplitude Ventures</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47" w:name="page348"/>
    <w:bookmarkEnd w:id="3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FONDS DE SOLIDARITÉ DES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TRAVAILLEURS DU QUÉBEC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(F.T.Q.)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Didier Leconte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Didier Leconte</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Vice-President, Investments,</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Life Sciences</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CELGENE SWITZERLAND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Kevin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Kevin Mello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COWEN HEALTHCARE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II 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COWEN HEALTHCARE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II GP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Kevin Raidy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Name:Kevin Raidy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Partner</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50" w:name="page351"/>
    <w:bookmarkEnd w:id="3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CHI EF II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COWEN HEALTHCARE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II GP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Kevin Raidy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Kevin Raidy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Partner</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ORBIMED PRIVATE INVESTMENTS VII,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ORBIMED CAPITAL GP VII LLC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Managing Member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ORBIMED ADVISORS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Carl L. Gordon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Member</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52" w:name="page353"/>
    <w:bookmarkEnd w:id="3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REDMILE BIOPHARMA INVESTMENTS II,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REDMILE BIOPHARMA INVESTMENTS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(GP),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Christopher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Christopher O’Connor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Partner</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53" w:name="page354"/>
    <w:bookmarkEnd w:id="3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BIOTECHNOLOGY VALUE FUND,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BVF PARTNERS 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BVF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Mark Lampert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President of BVF Inc., General Partner of BVF</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Partners L.P., itself GP of Biotechnology Value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Fund, LP</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54" w:name="page355"/>
    <w:bookmarkEnd w:id="3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BIOTECHNOLOGY VALUE FUND II,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BVF PARTNERS 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BVF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Mark Lampert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President of BVF Inc., General Partner of BVF</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Partners L.P., itself GP of Biotechnology Value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Fund II, LP</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55" w:name="page356"/>
    <w:bookmarkEnd w:id="3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BIOTECHNOLOGY VALUE TRADING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 OS, 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BVF PARTNERS OS LTD.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Sole Member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BVF PARTNERS 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BVF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Mark Lampert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President of BVF Inc., General Partner of BVF</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Partners L.P., itself sole member of BVF</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Partners OS Ltd., itself GP of Biotechnology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Trading Fund OS, L.P.</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56" w:name="page357"/>
    <w:bookmarkEnd w:id="3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MSI BVF SPV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Attorney-in-fact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BVF PARTNERS 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BVF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Mark Lampert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President of BVF Inc., itself General Partner of</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BVF Partners L.P., itself attorney-in-fact for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MSI BVF SPV, L.L.C.</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57" w:name="page358"/>
    <w:bookmarkEnd w:id="3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LOGOS OPPORTUNITIES FUND I,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LOGOS OPPORTUNITIES GP,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Graham Walmsley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Graham Walmsley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58" w:name="page359"/>
    <w:bookmarkEnd w:id="3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REPARE THERAPEUTICS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Per:</w:t>
            </w:r>
          </w:p>
        </w:tc>
        <w:tc>
          <w:tcPr>
            <w:tcW w:w="8540" w:type="dxa"/>
            <w:vAlign w:val="bottom"/>
            <w:gridSpan w:val="2"/>
          </w:tcPr>
          <w:p>
            <w:pPr>
              <w:spacing w:after="0"/>
              <w:rPr>
                <w:sz w:val="20"/>
                <w:szCs w:val="20"/>
                <w:color w:val="auto"/>
              </w:rPr>
            </w:pPr>
            <w:r>
              <w:rPr>
                <w:rFonts w:ascii="Arial" w:cs="Arial" w:eastAsia="Arial" w:hAnsi="Arial"/>
                <w:sz w:val="18"/>
                <w:szCs w:val="18"/>
                <w:color w:val="auto"/>
              </w:rPr>
              <w:t>/s/ Lloyd M. Segal</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Lloyd M. Segal</w:t>
            </w:r>
          </w:p>
        </w:tc>
        <w:tc>
          <w:tcPr>
            <w:tcW w:w="4760" w:type="dxa"/>
            <w:vAlign w:val="bottom"/>
          </w:tcPr>
          <w:p>
            <w:pPr>
              <w:spacing w:after="0"/>
              <w:rPr>
                <w:sz w:val="18"/>
                <w:szCs w:val="18"/>
                <w:color w:val="auto"/>
              </w:rPr>
            </w:pP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854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w:t>
            </w:r>
          </w:p>
        </w:tc>
      </w:tr>
      <w:tr>
        <w:trPr>
          <w:trHeight w:val="230"/>
        </w:trPr>
        <w:tc>
          <w:tcPr>
            <w:tcW w:w="620" w:type="dxa"/>
            <w:vAlign w:val="bottom"/>
          </w:tcPr>
          <w:p>
            <w:pPr>
              <w:spacing w:after="0"/>
              <w:rPr>
                <w:sz w:val="20"/>
                <w:szCs w:val="20"/>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Secretary</w:t>
            </w:r>
          </w:p>
        </w:tc>
      </w:tr>
      <w:tr>
        <w:trPr>
          <w:trHeight w:val="364"/>
        </w:trPr>
        <w:tc>
          <w:tcPr>
            <w:tcW w:w="620" w:type="dxa"/>
            <w:vAlign w:val="bottom"/>
          </w:tcPr>
          <w:p>
            <w:pPr>
              <w:spacing w:after="0"/>
              <w:rPr>
                <w:sz w:val="24"/>
                <w:szCs w:val="24"/>
                <w:color w:val="auto"/>
              </w:rPr>
            </w:pPr>
          </w:p>
        </w:tc>
        <w:tc>
          <w:tcPr>
            <w:tcW w:w="8540" w:type="dxa"/>
            <w:vAlign w:val="bottom"/>
            <w:gridSpan w:val="2"/>
          </w:tcPr>
          <w:p>
            <w:pPr>
              <w:ind w:left="1220"/>
              <w:spacing w:after="0"/>
              <w:rPr>
                <w:sz w:val="20"/>
                <w:szCs w:val="20"/>
                <w:color w:val="auto"/>
              </w:rPr>
            </w:pPr>
            <w:r>
              <w:rPr>
                <w:rFonts w:ascii="Arial" w:cs="Arial" w:eastAsia="Arial" w:hAnsi="Arial"/>
                <w:sz w:val="18"/>
                <w:szCs w:val="18"/>
                <w:i w:val="1"/>
                <w:iCs w:val="1"/>
                <w:color w:val="auto"/>
                <w:w w:val="89"/>
              </w:rPr>
              <w:t>[Signature Page – Repare Therapeutics Inc. – Amended and Restated Registration Rights Agreement]</w:t>
            </w:r>
          </w:p>
        </w:tc>
      </w:tr>
    </w:tbl>
    <w:p>
      <w:pPr>
        <w:sectPr>
          <w:pgSz w:w="11900" w:h="16838" w:orient="portrait"/>
          <w:cols w:equalWidth="0" w:num="1">
            <w:col w:w="10019"/>
          </w:cols>
          <w:pgMar w:left="440" w:top="270" w:right="1440" w:bottom="1440" w:gutter="0" w:footer="0" w:header="0"/>
        </w:sectPr>
      </w:pPr>
    </w:p>
    <w:bookmarkStart w:id="359" w:name="page360"/>
    <w:bookmarkEnd w:id="359"/>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25" w:lineRule="exact"/>
        <w:rPr>
          <w:sz w:val="20"/>
          <w:szCs w:val="20"/>
          <w:color w:val="auto"/>
        </w:rPr>
      </w:pPr>
    </w:p>
    <w:p>
      <w:pPr>
        <w:jc w:val="right"/>
        <w:ind w:right="3599"/>
        <w:spacing w:after="0"/>
        <w:rPr>
          <w:sz w:val="20"/>
          <w:szCs w:val="20"/>
          <w:color w:val="auto"/>
        </w:rPr>
      </w:pPr>
      <w:r>
        <w:rPr>
          <w:rFonts w:ascii="Arial" w:cs="Arial" w:eastAsia="Arial" w:hAnsi="Arial"/>
          <w:sz w:val="18"/>
          <w:szCs w:val="18"/>
          <w:b w:val="1"/>
          <w:bCs w:val="1"/>
          <w:color w:val="auto"/>
        </w:rPr>
        <w:t>CLASS A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ERSANT</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ERSANT</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PHTHALMIC</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FFILIATES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ERSANT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FFILIATES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ERSANT</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V (C</w:t>
      </w:r>
      <w:r>
        <w:rPr>
          <w:rFonts w:ascii="Arial" w:cs="Arial" w:eastAsia="Arial" w:hAnsi="Arial"/>
          <w:sz w:val="14"/>
          <w:szCs w:val="14"/>
          <w:b w:val="1"/>
          <w:bCs w:val="1"/>
          <w:color w:val="auto"/>
        </w:rPr>
        <w:t>ANADA</w:t>
      </w:r>
      <w:r>
        <w:rPr>
          <w:rFonts w:ascii="Arial" w:cs="Arial" w:eastAsia="Arial" w:hAnsi="Arial"/>
          <w:sz w:val="18"/>
          <w:szCs w:val="18"/>
          <w:b w:val="1"/>
          <w:bCs w:val="1"/>
          <w:color w:val="auto"/>
        </w:rPr>
        <w:t>)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ERSANT</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VI,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B</w:t>
      </w:r>
      <w:r>
        <w:rPr>
          <w:rFonts w:ascii="Arial" w:cs="Arial" w:eastAsia="Arial" w:hAnsi="Arial"/>
          <w:sz w:val="14"/>
          <w:szCs w:val="14"/>
          <w:b w:val="1"/>
          <w:bCs w:val="1"/>
          <w:color w:val="auto"/>
        </w:rPr>
        <w:t>IOVENTURES</w:t>
      </w:r>
      <w:r>
        <w:rPr>
          <w:rFonts w:ascii="Arial" w:cs="Arial" w:eastAsia="Arial" w:hAnsi="Arial"/>
          <w:sz w:val="18"/>
          <w:szCs w:val="18"/>
          <w:b w:val="1"/>
          <w:bCs w:val="1"/>
          <w:color w:val="auto"/>
        </w:rPr>
        <w:t xml:space="preserve"> 2014,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Kendall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B</w:t>
      </w:r>
      <w:r>
        <w:rPr>
          <w:rFonts w:ascii="Arial" w:cs="Arial" w:eastAsia="Arial" w:hAnsi="Arial"/>
          <w:sz w:val="14"/>
          <w:szCs w:val="14"/>
          <w:b w:val="1"/>
          <w:bCs w:val="1"/>
          <w:color w:val="auto"/>
        </w:rPr>
        <w:t>IOVENTURES</w:t>
      </w:r>
      <w:r>
        <w:rPr>
          <w:rFonts w:ascii="Arial" w:cs="Arial" w:eastAsia="Arial" w:hAnsi="Arial"/>
          <w:sz w:val="18"/>
          <w:szCs w:val="18"/>
          <w:b w:val="1"/>
          <w:bCs w:val="1"/>
          <w:color w:val="auto"/>
        </w:rPr>
        <w:t xml:space="preserve"> 2014 (B),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Kendall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A</w:t>
      </w:r>
      <w:r>
        <w:rPr>
          <w:rFonts w:ascii="Arial" w:cs="Arial" w:eastAsia="Arial" w:hAnsi="Arial"/>
          <w:sz w:val="14"/>
          <w:szCs w:val="14"/>
          <w:b w:val="1"/>
          <w:bCs w:val="1"/>
          <w:color w:val="auto"/>
        </w:rPr>
        <w:t>SSET</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xml:space="preserve"> BV2014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Kendall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UBS O</w:t>
      </w:r>
      <w:r>
        <w:rPr>
          <w:rFonts w:ascii="Arial" w:cs="Arial" w:eastAsia="Arial" w:hAnsi="Arial"/>
          <w:sz w:val="14"/>
          <w:szCs w:val="14"/>
          <w:b w:val="1"/>
          <w:bCs w:val="1"/>
          <w:color w:val="auto"/>
        </w:rPr>
        <w:t>NCOLOGY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MPACT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Kendall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BDC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Business Development Bank of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Place Ville Marie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Bureau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Montréal, QC H3B 5E7</w:t>
      </w:r>
    </w:p>
    <w:p>
      <w:pPr>
        <w:sectPr>
          <w:pgSz w:w="11900" w:h="16838" w:orient="portrait"/>
          <w:cols w:equalWidth="0" w:num="1">
            <w:col w:w="10019"/>
          </w:cols>
          <w:pgMar w:left="440" w:top="270" w:right="1440" w:bottom="1440" w:gutter="0" w:footer="0" w:header="0"/>
        </w:sectPr>
      </w:pPr>
    </w:p>
    <w:bookmarkStart w:id="360" w:name="page361"/>
    <w:bookmarkEnd w:id="3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w:t>
      </w:r>
      <w:r>
        <w:rPr>
          <w:rFonts w:ascii="Arial" w:cs="Arial" w:eastAsia="Arial" w:hAnsi="Arial"/>
          <w:sz w:val="14"/>
          <w:szCs w:val="14"/>
          <w:b w:val="1"/>
          <w:bCs w:val="1"/>
          <w:color w:val="auto"/>
        </w:rPr>
        <w:t>ONDS DE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OLIDARITÉ DES</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RAVAILLEURS DU</w:t>
      </w:r>
      <w:r>
        <w:rPr>
          <w:rFonts w:ascii="Arial" w:cs="Arial" w:eastAsia="Arial" w:hAnsi="Arial"/>
          <w:sz w:val="18"/>
          <w:szCs w:val="18"/>
          <w:b w:val="1"/>
          <w:bCs w:val="1"/>
          <w:color w:val="auto"/>
        </w:rPr>
        <w:t xml:space="preserve"> Q</w:t>
      </w:r>
      <w:r>
        <w:rPr>
          <w:rFonts w:ascii="Arial" w:cs="Arial" w:eastAsia="Arial" w:hAnsi="Arial"/>
          <w:sz w:val="14"/>
          <w:szCs w:val="14"/>
          <w:b w:val="1"/>
          <w:bCs w:val="1"/>
          <w:color w:val="auto"/>
        </w:rPr>
        <w:t>UÉBEC</w:t>
      </w:r>
      <w:r>
        <w:rPr>
          <w:rFonts w:ascii="Arial" w:cs="Arial" w:eastAsia="Arial" w:hAnsi="Arial"/>
          <w:sz w:val="18"/>
          <w:szCs w:val="18"/>
          <w:b w:val="1"/>
          <w:bCs w:val="1"/>
          <w:color w:val="auto"/>
        </w:rPr>
        <w:t xml:space="preserve"> (F.T.Q.)</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545, boul. Crémazie 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Bureau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Montréal, QC H2M 2W4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ELGENE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WITZERLAND</w:t>
      </w:r>
      <w:r>
        <w:rPr>
          <w:rFonts w:ascii="Arial" w:cs="Arial" w:eastAsia="Arial" w:hAnsi="Arial"/>
          <w:sz w:val="18"/>
          <w:szCs w:val="18"/>
          <w:b w:val="1"/>
          <w:bCs w:val="1"/>
          <w:color w:val="auto"/>
        </w:rPr>
        <w:t xml:space="preserve">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AON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Woodbourne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Pemborke HM 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019"/>
          </w:cols>
          <w:pgMar w:left="440" w:top="270" w:right="1440" w:bottom="1440" w:gutter="0" w:footer="0" w:header="0"/>
        </w:sectPr>
      </w:pPr>
    </w:p>
    <w:bookmarkStart w:id="361" w:name="page362"/>
    <w:bookmarkEnd w:id="361"/>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B</w:t>
      </w:r>
    </w:p>
    <w:p>
      <w:pPr>
        <w:spacing w:after="0" w:line="225" w:lineRule="exact"/>
        <w:rPr>
          <w:sz w:val="20"/>
          <w:szCs w:val="20"/>
          <w:color w:val="auto"/>
        </w:rPr>
      </w:pPr>
    </w:p>
    <w:p>
      <w:pPr>
        <w:jc w:val="right"/>
        <w:ind w:right="3599"/>
        <w:spacing w:after="0"/>
        <w:rPr>
          <w:sz w:val="20"/>
          <w:szCs w:val="20"/>
          <w:color w:val="auto"/>
        </w:rPr>
      </w:pPr>
      <w:r>
        <w:rPr>
          <w:rFonts w:ascii="Arial" w:cs="Arial" w:eastAsia="Arial" w:hAnsi="Arial"/>
          <w:sz w:val="18"/>
          <w:szCs w:val="18"/>
          <w:b w:val="1"/>
          <w:bCs w:val="1"/>
          <w:color w:val="auto"/>
        </w:rPr>
        <w:t>CLASS B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ERSANT</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ERSANT</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PHTHALMIC</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FFILIATES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ERSANT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FFILIATES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ERSANT</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V (C</w:t>
      </w:r>
      <w:r>
        <w:rPr>
          <w:rFonts w:ascii="Arial" w:cs="Arial" w:eastAsia="Arial" w:hAnsi="Arial"/>
          <w:sz w:val="14"/>
          <w:szCs w:val="14"/>
          <w:b w:val="1"/>
          <w:bCs w:val="1"/>
          <w:color w:val="auto"/>
        </w:rPr>
        <w:t>ANADA</w:t>
      </w:r>
      <w:r>
        <w:rPr>
          <w:rFonts w:ascii="Arial" w:cs="Arial" w:eastAsia="Arial" w:hAnsi="Arial"/>
          <w:sz w:val="18"/>
          <w:szCs w:val="18"/>
          <w:b w:val="1"/>
          <w:bCs w:val="1"/>
          <w:color w:val="auto"/>
        </w:rPr>
        <w:t>)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ERSANT</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VI,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B</w:t>
      </w:r>
      <w:r>
        <w:rPr>
          <w:rFonts w:ascii="Arial" w:cs="Arial" w:eastAsia="Arial" w:hAnsi="Arial"/>
          <w:sz w:val="14"/>
          <w:szCs w:val="14"/>
          <w:b w:val="1"/>
          <w:bCs w:val="1"/>
          <w:color w:val="auto"/>
        </w:rPr>
        <w:t>IOVENTURES</w:t>
      </w:r>
      <w:r>
        <w:rPr>
          <w:rFonts w:ascii="Arial" w:cs="Arial" w:eastAsia="Arial" w:hAnsi="Arial"/>
          <w:sz w:val="18"/>
          <w:szCs w:val="18"/>
          <w:b w:val="1"/>
          <w:bCs w:val="1"/>
          <w:color w:val="auto"/>
        </w:rPr>
        <w:t xml:space="preserve"> 2014,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Kendall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B</w:t>
      </w:r>
      <w:r>
        <w:rPr>
          <w:rFonts w:ascii="Arial" w:cs="Arial" w:eastAsia="Arial" w:hAnsi="Arial"/>
          <w:sz w:val="14"/>
          <w:szCs w:val="14"/>
          <w:b w:val="1"/>
          <w:bCs w:val="1"/>
          <w:color w:val="auto"/>
        </w:rPr>
        <w:t>IOVENTURES</w:t>
      </w:r>
      <w:r>
        <w:rPr>
          <w:rFonts w:ascii="Arial" w:cs="Arial" w:eastAsia="Arial" w:hAnsi="Arial"/>
          <w:sz w:val="18"/>
          <w:szCs w:val="18"/>
          <w:b w:val="1"/>
          <w:bCs w:val="1"/>
          <w:color w:val="auto"/>
        </w:rPr>
        <w:t xml:space="preserve"> 2014 (B),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Kendall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A</w:t>
      </w:r>
      <w:r>
        <w:rPr>
          <w:rFonts w:ascii="Arial" w:cs="Arial" w:eastAsia="Arial" w:hAnsi="Arial"/>
          <w:sz w:val="14"/>
          <w:szCs w:val="14"/>
          <w:b w:val="1"/>
          <w:bCs w:val="1"/>
          <w:color w:val="auto"/>
        </w:rPr>
        <w:t>SSET</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xml:space="preserve"> BV2014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Kendall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UBS O</w:t>
      </w:r>
      <w:r>
        <w:rPr>
          <w:rFonts w:ascii="Arial" w:cs="Arial" w:eastAsia="Arial" w:hAnsi="Arial"/>
          <w:sz w:val="14"/>
          <w:szCs w:val="14"/>
          <w:b w:val="1"/>
          <w:bCs w:val="1"/>
          <w:color w:val="auto"/>
        </w:rPr>
        <w:t>NCOLOGY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MPACT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Kendall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BDC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Business Development Bank of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Place Ville Marie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Bureau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Montréal, QC H3B 5E7</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019"/>
          </w:cols>
          <w:pgMar w:left="440" w:top="270" w:right="1440" w:bottom="1440" w:gutter="0" w:footer="0" w:header="0"/>
        </w:sectPr>
      </w:pPr>
    </w:p>
    <w:bookmarkStart w:id="362" w:name="page363"/>
    <w:bookmarkEnd w:id="3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w:t>
      </w:r>
      <w:r>
        <w:rPr>
          <w:rFonts w:ascii="Arial" w:cs="Arial" w:eastAsia="Arial" w:hAnsi="Arial"/>
          <w:sz w:val="14"/>
          <w:szCs w:val="14"/>
          <w:b w:val="1"/>
          <w:bCs w:val="1"/>
          <w:color w:val="auto"/>
        </w:rPr>
        <w:t>ONDS DE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OLIDARITÉ DES</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RAVAILLEURS DU</w:t>
      </w:r>
      <w:r>
        <w:rPr>
          <w:rFonts w:ascii="Arial" w:cs="Arial" w:eastAsia="Arial" w:hAnsi="Arial"/>
          <w:sz w:val="18"/>
          <w:szCs w:val="18"/>
          <w:b w:val="1"/>
          <w:bCs w:val="1"/>
          <w:color w:val="auto"/>
        </w:rPr>
        <w:t xml:space="preserve"> Q</w:t>
      </w:r>
      <w:r>
        <w:rPr>
          <w:rFonts w:ascii="Arial" w:cs="Arial" w:eastAsia="Arial" w:hAnsi="Arial"/>
          <w:sz w:val="14"/>
          <w:szCs w:val="14"/>
          <w:b w:val="1"/>
          <w:bCs w:val="1"/>
          <w:color w:val="auto"/>
        </w:rPr>
        <w:t>UÉBEC</w:t>
      </w:r>
      <w:r>
        <w:rPr>
          <w:rFonts w:ascii="Arial" w:cs="Arial" w:eastAsia="Arial" w:hAnsi="Arial"/>
          <w:sz w:val="18"/>
          <w:szCs w:val="18"/>
          <w:b w:val="1"/>
          <w:bCs w:val="1"/>
          <w:color w:val="auto"/>
        </w:rPr>
        <w:t xml:space="preserve"> (F.T.Q.)</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545, boul. Crémazie 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Bureau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Montréal, QC H2M 2W4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OWEN</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EALTHCARE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xml:space="preserve"> 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 19th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 EF 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 19th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ERSANT</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ANTAGE</w:t>
      </w:r>
      <w:r>
        <w:rPr>
          <w:rFonts w:ascii="Arial" w:cs="Arial" w:eastAsia="Arial" w:hAnsi="Arial"/>
          <w:sz w:val="18"/>
          <w:szCs w:val="18"/>
          <w:b w:val="1"/>
          <w:bCs w:val="1"/>
          <w:color w:val="auto"/>
        </w:rPr>
        <w:t xml:space="preserve"> 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RBI</w:t>
      </w:r>
      <w:r>
        <w:rPr>
          <w:rFonts w:ascii="Arial" w:cs="Arial" w:eastAsia="Arial" w:hAnsi="Arial"/>
          <w:sz w:val="18"/>
          <w:szCs w:val="18"/>
          <w:b w:val="1"/>
          <w:bCs w:val="1"/>
          <w:color w:val="auto"/>
        </w:rPr>
        <w:t>M</w:t>
      </w:r>
      <w:r>
        <w:rPr>
          <w:rFonts w:ascii="Arial" w:cs="Arial" w:eastAsia="Arial" w:hAnsi="Arial"/>
          <w:sz w:val="14"/>
          <w:szCs w:val="14"/>
          <w:b w:val="1"/>
          <w:bCs w:val="1"/>
          <w:color w:val="auto"/>
        </w:rPr>
        <w: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RIVATE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xml:space="preserve"> VII,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OrbiMed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601 Lexington Avenue, 54th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EDMILE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IOPHARMA</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xml:space="preserve"> 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Redmile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Letterman Drive, Suite D3-300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Presidio, San Francisco, CA 94129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IOTECHNOLOGY</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44 Montgomery Street, 40th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IOTECHNOLOGY</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44 Montgomery Street, 40th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IOTECHNOLOGY</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RADING</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OS,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 Box 309 Ugland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Cayman, KY1- 1104, Cayman Islands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MSI BVF SPV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Magnitude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Park Avenue, 56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10166</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019"/>
          </w:cols>
          <w:pgMar w:left="440" w:top="270" w:right="1440" w:bottom="1440" w:gutter="0" w:footer="0" w:header="0"/>
        </w:sectPr>
      </w:pPr>
    </w:p>
    <w:bookmarkStart w:id="363" w:name="page364"/>
    <w:bookmarkEnd w:id="3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w:t>
      </w:r>
      <w:r>
        <w:rPr>
          <w:rFonts w:ascii="Arial" w:cs="Arial" w:eastAsia="Arial" w:hAnsi="Arial"/>
          <w:sz w:val="14"/>
          <w:szCs w:val="14"/>
          <w:b w:val="1"/>
          <w:bCs w:val="1"/>
          <w:color w:val="auto"/>
        </w:rPr>
        <w:t>OGOS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PPORTUNITIES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345 California Street, 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019"/>
          </w:cols>
          <w:pgMar w:left="440" w:top="270" w:right="1440" w:bottom="1440" w:gutter="0" w:footer="0" w:header="0"/>
        </w:sectPr>
      </w:pPr>
    </w:p>
    <w:bookmarkStart w:id="364" w:name="page365"/>
    <w:bookmarkEnd w:id="36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C</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u w:val="single" w:color="auto"/>
          <w:color w:val="auto"/>
        </w:rPr>
        <w:t>COUNTERPART SIGNATURE PAGE TO THE AMENDED AND RESTATED REGISTRATION RIGHTS AGREEMENT</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undersigned hereby acknowledges receipt of a copy of the amended and restated registration rights agreement dated as of September 3, 2019 (the “</w:t>
      </w:r>
      <w:r>
        <w:rPr>
          <w:rFonts w:ascii="Arial" w:cs="Arial" w:eastAsia="Arial" w:hAnsi="Arial"/>
          <w:sz w:val="17"/>
          <w:szCs w:val="17"/>
          <w:b w:val="1"/>
          <w:bCs w:val="1"/>
          <w:color w:val="auto"/>
        </w:rPr>
        <w:t>Agreement</w:t>
      </w:r>
      <w:r>
        <w:rPr>
          <w:rFonts w:ascii="Arial" w:cs="Arial" w:eastAsia="Arial" w:hAnsi="Arial"/>
          <w:sz w:val="17"/>
          <w:szCs w:val="17"/>
          <w:color w:val="auto"/>
        </w:rPr>
        <w:t>”) between Repare Therapeutics Inc. and certain other parties and, by executing this Counterpart Signature Page, the undersigned agrees to become a party to the Agreement, thereby having all of the rights and benefits, and being subject to all of the obligations, of an Investor (as such term is defined in the Agreement) contained in the Agreement as if the undersigned were an original signatory.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this _____ day of ____________ __,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an individual:</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5406390</wp:posOffset>
            </wp:positionH>
            <wp:positionV relativeFrom="paragraph">
              <wp:posOffset>14605</wp:posOffset>
            </wp:positionV>
            <wp:extent cx="158559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(please Print):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 corporation, limited partnership or other legal entity:</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5406390</wp:posOffset>
            </wp:positionH>
            <wp:positionV relativeFrom="paragraph">
              <wp:posOffset>14605</wp:posOffset>
            </wp:positionV>
            <wp:extent cx="158559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32"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4815205</wp:posOffset>
            </wp:positionH>
            <wp:positionV relativeFrom="paragraph">
              <wp:posOffset>14605</wp:posOffset>
            </wp:positionV>
            <wp:extent cx="217741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____________ __, ________.</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REPARE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40"/>
          </w:cols>
          <w:pgMar w:left="440" w:top="270" w:right="519" w:bottom="1440" w:gutter="0" w:footer="0" w:header="0"/>
        </w:sectPr>
      </w:pPr>
    </w:p>
    <w:bookmarkStart w:id="365" w:name="page366"/>
    <w:bookmarkEnd w:id="365"/>
    <w:p>
      <w:pPr>
        <w:ind w:left="10180"/>
        <w:spacing w:after="0"/>
        <w:rPr>
          <w:sz w:val="20"/>
          <w:szCs w:val="20"/>
          <w:color w:val="auto"/>
        </w:rPr>
      </w:pPr>
      <w:r>
        <w:rPr>
          <w:rFonts w:ascii="Arial" w:cs="Arial" w:eastAsia="Arial" w:hAnsi="Arial"/>
          <w:sz w:val="16"/>
          <w:szCs w:val="16"/>
          <w:b w:val="1"/>
          <w:bCs w:val="1"/>
          <w:color w:val="auto"/>
        </w:rPr>
        <w:t>Exhibit 4.3</w:t>
      </w:r>
    </w:p>
    <w:p>
      <w:pPr>
        <w:spacing w:after="0" w:line="25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THIS WARRANT AND THE SECURITIES ISSUABLE UPON EXERCISE HEREOF HAVE NOT BEEN QUALIFIED FOR DISTRIBUTION UNDER APPLICABLE CANADIAN SECURITIES LEGISLATION OR REGISTERED UNDER THE U.S. SECURITIES ACT OF 1933, AS AMENDED (THE “</w:t>
      </w:r>
      <w:r>
        <w:rPr>
          <w:rFonts w:ascii="Arial" w:cs="Arial" w:eastAsia="Arial" w:hAnsi="Arial"/>
          <w:sz w:val="18"/>
          <w:szCs w:val="18"/>
          <w:b w:val="1"/>
          <w:bCs w:val="1"/>
          <w:color w:val="auto"/>
        </w:rPr>
        <w:t>U.S. SECURITIES ACT</w:t>
      </w:r>
      <w:r>
        <w:rPr>
          <w:rFonts w:ascii="Arial" w:cs="Arial" w:eastAsia="Arial" w:hAnsi="Arial"/>
          <w:sz w:val="18"/>
          <w:szCs w:val="18"/>
          <w:color w:val="auto"/>
        </w:rPr>
        <w:t>”). NEITHER THIS WARRANT NOR THE SECURITIES ISSUABLE UPON EXERCISE HEREOF MAY BE SOLD, DISTRIBUTED, OFFERED FOR SALE, ASSIGNED, PLEDGED OR OTHERWISE TRANSFERRED UNLESS (A) IN CANADA, A RECEIPT FOR A FINAL PROSPECTUS QUALIFYING SUCH TRANSACTION HAS BEEN OBTAINED UNDER APPLICABLE CANADIAN SECURITIES LEGISLATION OR A PROSPECTUS EXEMPTION QUALIFYING SUCH TRANSACTION IS AVAILABLE UNDER APPLICABLE CANADIAN SECURITIES LEGISLATION, OR (B) IN THE UNITED STATES, THERE IS AN EFFECTIVE REGISTRATION STATEMENT UNDER THE U.S. SECURITIES ACT COVERING SUCH TRANSACTION, OR SUCH TRANSACTION IS EXEMPT FROM REGISTRATION UNDER THE U.S. SECURITIES ACT.</w:t>
      </w:r>
    </w:p>
    <w:p>
      <w:pPr>
        <w:spacing w:after="0" w:line="19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(AS DEFINED BELOW) IS NOT A “REPORTING ISSUER” AS SUCH TERM IS DEFINED UNDER APPLICABLE CANADIAN SECURITIES LAWS. THERE IS NO ASSURANCE THAT THE COMPANY WILL BECOME A “REPORTING ISSUER”. THIS WARRANT AND THE SECURITIES ISSUABLE UPON EXERCISE HEREOF WILL BE SUBJECT TO RESALE RESTRICTIONS UNDER APPLICABLE CANADIAN SECURITIES LAWS. UNLESS PERMITTED UNDER APPLICABLE CANADIAN SECURITIES LEGISLATION, THE HOLDER OF THIS WARRANT AND ANY SECURITIES ISSUABLE UPON EXERCISE HEREOF MUST NOT TRADE THE WARRANT OR SUCH SECURITIES BEFORE THE DATE THAT IS 4 MONTHS AND A DAY AFTER THE LATER OF (A) THE EFFECTIVE DATE (AS DEFINED BELOW) AND (B) THE DATE THE COMPANY BECAME A REPORTING ISSUER IN ANY PROVINCE OR TERRITORY OF CANADA.</w:t>
      </w:r>
    </w:p>
    <w:p>
      <w:pPr>
        <w:spacing w:after="0" w:line="1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NO SALE, DISTRIBUTION, OFFER, ASSIGNMENT, PLEDGE, HYPOTHECATION OR OTHER TRANSFER OF THIS WARRANT AND THE SECURITIES ISSUABLE UPON EXERCISE HEREOF MAY BE MADE EXCEPT IN ACCORDANCE WITH THE TERMS AND CONDITIONS HEREIN, APPLICABLE SECURITIES LAWS AND, AS APPLICABLE, THE SECOND AMENDED AND RESTATED UNANIMOUS SHAREHOLDER AGREEMENT DATED SEPTEMBER 3, 2019 BETWEEN THE COMPANY AND ITS SHAREHOLDERS, AS SAME MAY BE AMENDED OR RESTATED FROM TIME TO TIME IN ACCORDANCE WITH ITS TERMS.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securities in the capital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REPARE THERAPEUTICS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May 26,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WHEREAS, Repare Therapeutics Inc., a corporation incorporated pursuant to the </w:t>
      </w:r>
      <w:r>
        <w:rPr>
          <w:rFonts w:ascii="Arial" w:cs="Arial" w:eastAsia="Arial" w:hAnsi="Arial"/>
          <w:sz w:val="16"/>
          <w:szCs w:val="16"/>
          <w:i w:val="1"/>
          <w:iCs w:val="1"/>
          <w:color w:val="auto"/>
        </w:rPr>
        <w:t>Canada Business Corporations Act</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Company</w:t>
      </w:r>
      <w:r>
        <w:rPr>
          <w:rFonts w:ascii="Arial" w:cs="Arial" w:eastAsia="Arial" w:hAnsi="Arial"/>
          <w:sz w:val="16"/>
          <w:szCs w:val="16"/>
          <w:color w:val="auto"/>
        </w:rPr>
        <w:t>”) desires to grant to BMS Strategic Portfolio Investments Holdings, Inc., a Delaware corporation (the “</w:t>
      </w:r>
      <w:r>
        <w:rPr>
          <w:rFonts w:ascii="Arial" w:cs="Arial" w:eastAsia="Arial" w:hAnsi="Arial"/>
          <w:sz w:val="16"/>
          <w:szCs w:val="16"/>
          <w:u w:val="single" w:color="auto"/>
          <w:color w:val="auto"/>
        </w:rPr>
        <w:t>Warrantholder</w:t>
      </w:r>
      <w:r>
        <w:rPr>
          <w:rFonts w:ascii="Arial" w:cs="Arial" w:eastAsia="Arial" w:hAnsi="Arial"/>
          <w:sz w:val="16"/>
          <w:szCs w:val="16"/>
          <w:color w:val="auto"/>
        </w:rPr>
        <w:t>”), and the Warrantholder wishes to subscribe for, in consideration for a subscription price of US$15,000,000, the right to acquire common shares in the capital of the Company or preferred shares in the capital of the Company, as the case may be, pursuant to and in accordance with the terms of this Warrant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or “</w:t>
      </w:r>
      <w:r>
        <w:rPr>
          <w:rFonts w:ascii="Arial" w:cs="Arial" w:eastAsia="Arial" w:hAnsi="Arial"/>
          <w:sz w:val="16"/>
          <w:szCs w:val="16"/>
          <w:u w:val="single" w:color="auto"/>
          <w:color w:val="auto"/>
        </w:rPr>
        <w:t>Warrant</w:t>
      </w:r>
      <w:r>
        <w:rPr>
          <w:rFonts w:ascii="Arial" w:cs="Arial" w:eastAsia="Arial" w:hAnsi="Arial"/>
          <w:sz w:val="16"/>
          <w:szCs w:val="16"/>
          <w:color w:val="auto"/>
        </w:rPr>
        <w:t>”);</w:t>
      </w:r>
    </w:p>
    <w:p>
      <w:pPr>
        <w:spacing w:after="0" w:line="15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NOW, THEREFORE, in consideration of the subscription price of US$15,000,000, the receipt of which is hereby acknowledged by the Company, and in consideration of the mutual covenants and agreements contained herein, the Company and the Warrantholder agree as follows:</w:t>
      </w:r>
    </w:p>
    <w:p>
      <w:pPr>
        <w:spacing w:after="0" w:line="29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1</w:t>
        <w:tab/>
        <w:t>DEFINED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w:t>
      </w:r>
    </w:p>
    <w:p>
      <w:pPr>
        <w:spacing w:after="0" w:line="117" w:lineRule="exact"/>
        <w:rPr>
          <w:sz w:val="20"/>
          <w:szCs w:val="20"/>
          <w:color w:val="auto"/>
        </w:rPr>
      </w:pPr>
    </w:p>
    <w:p>
      <w:pPr>
        <w:ind w:left="440" w:right="6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Affiliates</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the specified Person. As used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66" w:name="page367"/>
    <w:bookmarkEnd w:id="366"/>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this definition, “control”, “controlled by” and “under common control with” means possession, directly or indirectly, of power to direct or cause the direction of management or policies of such Person (whether through ownership of securities or other partnership or ownership interests, as trustee, personal representative or executive or by contract, credit agreement or otherwise), provided that in any event, any Person which owns directly, indirectly or beneficially 50% or more of the securities having voting power for the election of directors or other governing body of a corporation or 50% or more of the partnership interests or other ownership interests of any other Person will be deemed to control such Person;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ascribed thereto in the recitals;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means the articles of incorporation of the Company, as amended and restated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A&amp;R Registration Rights Agreement</w:t>
      </w:r>
      <w:r>
        <w:rPr>
          <w:rFonts w:ascii="Arial" w:cs="Arial" w:eastAsia="Arial" w:hAnsi="Arial"/>
          <w:sz w:val="18"/>
          <w:szCs w:val="18"/>
          <w:color w:val="auto"/>
        </w:rPr>
        <w:t>” has the meaning ascribed thereto in Section 7.7;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 Price</w:t>
      </w:r>
      <w:r>
        <w:rPr>
          <w:rFonts w:ascii="Arial" w:cs="Arial" w:eastAsia="Arial" w:hAnsi="Arial"/>
          <w:sz w:val="18"/>
          <w:szCs w:val="18"/>
          <w:color w:val="auto"/>
        </w:rPr>
        <w:t>” has the meaning ascribed thereto in Section 3.2(i);</w:t>
      </w:r>
    </w:p>
    <w:p>
      <w:pPr>
        <w:spacing w:after="0" w:line="11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sale, exchange, merger, amalgamation, consolidation, reorganization, arrangement, business combination, conveyance or similar transaction or other disposition of securities of the Company (other than through the issuance of equity securities by the Company as part of a financing transaction), in a transaction or series of related transactions after giving effect to which more than 50% of the voting power of shareholders of the Company is held by shareholders of the Company who were not voting shareholders (or Affiliates thereof) immediately prior to the first of such transactions;</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Preferred Shares</w:t>
      </w:r>
      <w:r>
        <w:rPr>
          <w:rFonts w:ascii="Arial" w:cs="Arial" w:eastAsia="Arial" w:hAnsi="Arial"/>
          <w:sz w:val="18"/>
          <w:szCs w:val="18"/>
          <w:color w:val="auto"/>
        </w:rPr>
        <w:t>” means class C convertible preferred shares in the capital of the Company which, once created upon the filing by the Company of amended and restated Articles of Incorporation prior to their issuance to the Warrantholder in accordance with the terms hereof, will have attached thereto the rights, privileges, restrictions and conditions as described in the form of amended and restated Articles of Incorporation attached as Schedule A hereto;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Shares</w:t>
      </w:r>
      <w:r>
        <w:rPr>
          <w:rFonts w:ascii="Arial" w:cs="Arial" w:eastAsia="Arial" w:hAnsi="Arial"/>
          <w:sz w:val="18"/>
          <w:szCs w:val="18"/>
          <w:color w:val="auto"/>
        </w:rPr>
        <w:t>” means the common shares in the capital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means Repare Therapeutics Inc., a corporation incorporated pursuant to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ascribed thereto in the recitals;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Shares</w:t>
      </w:r>
      <w:r>
        <w:rPr>
          <w:rFonts w:ascii="Arial" w:cs="Arial" w:eastAsia="Arial" w:hAnsi="Arial"/>
          <w:sz w:val="18"/>
          <w:szCs w:val="18"/>
          <w:color w:val="auto"/>
        </w:rPr>
        <w:t>” has the meaning ascribed thereto in Section 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Fully Diluted Shares</w:t>
      </w:r>
      <w:r>
        <w:rPr>
          <w:rFonts w:ascii="Arial" w:cs="Arial" w:eastAsia="Arial" w:hAnsi="Arial"/>
          <w:sz w:val="18"/>
          <w:szCs w:val="18"/>
          <w:color w:val="auto"/>
        </w:rPr>
        <w:t>” has the meaning ascribed thereto in Section 3.2(ii);</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sale of the Common Shares in the United States to the public through a firm commitment underwritten initial public offering pursuant to a registration statement on Form S-1 filed under the U.S. Securities Act;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Issuance Deadline</w:t>
      </w:r>
      <w:r>
        <w:rPr>
          <w:rFonts w:ascii="Arial" w:cs="Arial" w:eastAsia="Arial" w:hAnsi="Arial"/>
          <w:sz w:val="18"/>
          <w:szCs w:val="18"/>
          <w:color w:val="auto"/>
        </w:rPr>
        <w:t>” has the meaning ascribed thereto in Section 2.4;</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Event</w:t>
      </w:r>
      <w:r>
        <w:rPr>
          <w:rFonts w:ascii="Arial" w:cs="Arial" w:eastAsia="Arial" w:hAnsi="Arial"/>
          <w:sz w:val="18"/>
          <w:szCs w:val="18"/>
          <w:color w:val="auto"/>
        </w:rPr>
        <w:t>” means the liquidation, dissolution or winding-up of the affairs of the Company or, unless waived by the Requisite Majority Preferred Shareholders in accordance with the Articles of Incorporation, a Sale of the Company;</w:t>
      </w:r>
    </w:p>
    <w:p>
      <w:pPr>
        <w:spacing w:after="0" w:line="6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partnership, limited partnership, joint venture, syndicate, sole proprietorship, company or corporation with or without share capital, unincorporated association, trust, trustee, executor, administrator or other legal personal representative;</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880" w:top="274" w:right="459" w:bottom="1440" w:gutter="0" w:footer="0" w:header="0"/>
        </w:sectPr>
      </w:pPr>
    </w:p>
    <w:bookmarkStart w:id="367" w:name="page368"/>
    <w:bookmarkEnd w:id="367"/>
    <w:p>
      <w:pPr>
        <w:ind w:left="440" w:right="2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Preferred Shares</w:t>
      </w:r>
      <w:r>
        <w:rPr>
          <w:rFonts w:ascii="Arial" w:cs="Arial" w:eastAsia="Arial" w:hAnsi="Arial"/>
          <w:sz w:val="16"/>
          <w:szCs w:val="16"/>
          <w:color w:val="auto"/>
        </w:rPr>
        <w:t>” means the Class A convertible preferred shares in the capital of the Company, the Class B convertible preferred shares in the capital of the Company, and, if Class C Preferred Shares are issued and outstanding at the relevant time, the Class C Preferred Shares;</w:t>
      </w:r>
    </w:p>
    <w:p>
      <w:pPr>
        <w:spacing w:after="0" w:line="16" w:lineRule="exact"/>
        <w:rPr>
          <w:sz w:val="20"/>
          <w:szCs w:val="20"/>
          <w:color w:val="auto"/>
        </w:rPr>
      </w:pPr>
    </w:p>
    <w:p>
      <w:pPr>
        <w:ind w:left="440" w:right="8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Financing</w:t>
      </w:r>
      <w:r>
        <w:rPr>
          <w:rFonts w:ascii="Arial" w:cs="Arial" w:eastAsia="Arial" w:hAnsi="Arial"/>
          <w:sz w:val="17"/>
          <w:szCs w:val="17"/>
          <w:color w:val="auto"/>
        </w:rPr>
        <w:t>” means an equity financing transaction involving the sale and issuance of the Company’s preferred shares in the capital of the Company that results in gross proceeds to the Company of not less than US$50,000,000 (for clarity, before deduction of transaction expenses) and where at least 50% of the number of such preferred shares are issued to investors who are not (and whose Affiliates are not) shareholders of the Company prior to such transaction, provided, however, that any securities issued in connection with an acquisition of any business or assets, mergers, licenses, strategic partnerships or corporate partnering or collaboration agreements or similar transactions shall be excluded from the calculation when determining whether the foregoing 50% threshold has been met.</w:t>
      </w:r>
    </w:p>
    <w:p>
      <w:pPr>
        <w:spacing w:after="0" w:line="70" w:lineRule="exact"/>
        <w:rPr>
          <w:sz w:val="20"/>
          <w:szCs w:val="20"/>
          <w:color w:val="auto"/>
        </w:rPr>
      </w:pPr>
    </w:p>
    <w:p>
      <w:pPr>
        <w:ind w:left="440"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Majority Preferred Shareholders</w:t>
      </w:r>
      <w:r>
        <w:rPr>
          <w:rFonts w:ascii="Arial" w:cs="Arial" w:eastAsia="Arial" w:hAnsi="Arial"/>
          <w:sz w:val="18"/>
          <w:szCs w:val="18"/>
          <w:color w:val="auto"/>
        </w:rPr>
        <w:t>” means the shareholders of record of the Company holding at least 70% of the issued and outstanding Preferred Shares at any relevant time;</w:t>
      </w:r>
    </w:p>
    <w:p>
      <w:pPr>
        <w:spacing w:after="0" w:line="62" w:lineRule="exact"/>
        <w:rPr>
          <w:sz w:val="20"/>
          <w:szCs w:val="20"/>
          <w:color w:val="auto"/>
        </w:rPr>
      </w:pPr>
    </w:p>
    <w:p>
      <w:pPr>
        <w:ind w:left="440" w:right="2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Sale of the Company</w:t>
      </w:r>
      <w:r>
        <w:rPr>
          <w:rFonts w:ascii="Arial" w:cs="Arial" w:eastAsia="Arial" w:hAnsi="Arial"/>
          <w:sz w:val="17"/>
          <w:szCs w:val="17"/>
          <w:color w:val="auto"/>
        </w:rPr>
        <w:t>” means any Change of Control or a sale, lease, exclusive license, transfer or other disposition of all or substantially all of the assets or intellectual property of the Company and its respective subsidiaries, taken as a whole (except to an Affiliate);</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w:t>
      </w:r>
      <w:r>
        <w:rPr>
          <w:rFonts w:ascii="Arial" w:cs="Arial" w:eastAsia="Arial" w:hAnsi="Arial"/>
          <w:sz w:val="18"/>
          <w:szCs w:val="18"/>
          <w:color w:val="auto"/>
        </w:rPr>
        <w:t>” means the shareholders of record of the Company at any relevant time;</w:t>
      </w:r>
    </w:p>
    <w:p>
      <w:pPr>
        <w:spacing w:after="0" w:line="117" w:lineRule="exact"/>
        <w:rPr>
          <w:sz w:val="20"/>
          <w:szCs w:val="20"/>
          <w:color w:val="auto"/>
        </w:rPr>
      </w:pPr>
    </w:p>
    <w:p>
      <w:pPr>
        <w:ind w:left="440"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Agreement</w:t>
      </w:r>
      <w:r>
        <w:rPr>
          <w:rFonts w:ascii="Arial" w:cs="Arial" w:eastAsia="Arial" w:hAnsi="Arial"/>
          <w:sz w:val="18"/>
          <w:szCs w:val="18"/>
          <w:color w:val="auto"/>
        </w:rPr>
        <w:t>” means the second amended and restated unanimous shareholders agreement of the Company dated September 3, 2019 entered into among the Company and its Shareholders;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Securities Act</w:t>
      </w:r>
      <w:r>
        <w:rPr>
          <w:rFonts w:ascii="Arial" w:cs="Arial" w:eastAsia="Arial" w:hAnsi="Arial"/>
          <w:sz w:val="18"/>
          <w:szCs w:val="18"/>
          <w:color w:val="auto"/>
        </w:rPr>
        <w:t>” means the United States Securities Act of 1933, as amended;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Exercise Trigger Event</w:t>
      </w:r>
      <w:r>
        <w:rPr>
          <w:rFonts w:ascii="Arial" w:cs="Arial" w:eastAsia="Arial" w:hAnsi="Arial"/>
          <w:sz w:val="18"/>
          <w:szCs w:val="18"/>
          <w:color w:val="auto"/>
        </w:rPr>
        <w:t>” has the meaning ascribed thereto in Section 2.1;</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w:t>
      </w:r>
      <w:r>
        <w:rPr>
          <w:rFonts w:ascii="Arial" w:cs="Arial" w:eastAsia="Arial" w:hAnsi="Arial"/>
          <w:sz w:val="18"/>
          <w:szCs w:val="18"/>
          <w:color w:val="auto"/>
        </w:rPr>
        <w:t>” has the meaning ascribed thereto in the recitals;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Warrantholder</w:t>
      </w:r>
      <w:r>
        <w:rPr>
          <w:rFonts w:ascii="Arial" w:cs="Arial" w:eastAsia="Arial" w:hAnsi="Arial"/>
          <w:sz w:val="18"/>
          <w:szCs w:val="18"/>
          <w:color w:val="auto"/>
        </w:rPr>
        <w:t>” has the meaning ascribed thereto in the recitals; and</w:t>
      </w:r>
    </w:p>
    <w:p>
      <w:pPr>
        <w:spacing w:after="0" w:line="117"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Shares</w:t>
      </w:r>
      <w:r>
        <w:rPr>
          <w:rFonts w:ascii="Arial" w:cs="Arial" w:eastAsia="Arial" w:hAnsi="Arial"/>
          <w:sz w:val="18"/>
          <w:szCs w:val="18"/>
          <w:color w:val="auto"/>
        </w:rPr>
        <w:t>” means (i) if this Warrant is exercised pursuant to Section 2.1(i), Common Shares, (ii) if this Warrant is exercised pursuant to Sections 2.6, the Financing Shares, and (iii) if this Warrant is exercised in connection with any Warrant Exercise Trigger Event other than those set forth in Section 2.1(i), Class C Preferred Shares.</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2</w:t>
        <w:tab/>
        <w:t>AUTOMATIC AND OPTIONAL EXERCISE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2.1 Subject to the remaining provisions of this Section 2, this Warrant shall be automatically exercised (which exercise will be in whole and not in part)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upon the earliest of:</w:t>
      </w:r>
    </w:p>
    <w:p>
      <w:pPr>
        <w:spacing w:after="0" w:line="116" w:lineRule="exact"/>
        <w:rPr>
          <w:sz w:val="20"/>
          <w:szCs w:val="20"/>
          <w:color w:val="auto"/>
        </w:rPr>
      </w:pPr>
    </w:p>
    <w:p>
      <w:pPr>
        <w:ind w:left="960" w:hanging="532"/>
        <w:spacing w:after="0"/>
        <w:tabs>
          <w:tab w:leader="none" w:pos="9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immediately prior to, but subject to, the closing of an IPO;</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December 31, 2020;</w:t>
      </w:r>
    </w:p>
    <w:p>
      <w:pPr>
        <w:spacing w:after="0" w:line="130" w:lineRule="exact"/>
        <w:rPr>
          <w:rFonts w:ascii="Arial" w:cs="Arial" w:eastAsia="Arial" w:hAnsi="Arial"/>
          <w:sz w:val="18"/>
          <w:szCs w:val="18"/>
          <w:color w:val="auto"/>
        </w:rPr>
      </w:pPr>
    </w:p>
    <w:p>
      <w:pPr>
        <w:ind w:left="960" w:right="80" w:hanging="532"/>
        <w:spacing w:after="0" w:line="277" w:lineRule="auto"/>
        <w:tabs>
          <w:tab w:leader="none" w:pos="9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day on which the Company delivers to the Warrantholder a written notice to the effect that the Company is no longer pursuing an IPO;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immediately prior to the consummation of a Liquidation Event.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such event described in subclauses (i) through (iv) above, a “</w:t>
      </w:r>
      <w:r>
        <w:rPr>
          <w:rFonts w:ascii="Arial" w:cs="Arial" w:eastAsia="Arial" w:hAnsi="Arial"/>
          <w:sz w:val="18"/>
          <w:szCs w:val="18"/>
          <w:u w:val="single" w:color="auto"/>
          <w:color w:val="auto"/>
        </w:rPr>
        <w:t>Warrant Exercise Trigger Event</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68" w:name="page369"/>
    <w:bookmarkEnd w:id="368"/>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 In the case of a Warrant Exercise Trigger Event referred to in subclause (i) or (iv) above, the Company shall give the Warrantholder reasonable prior written notice of the anticipated closing or completion of such Warrant Exercise Trigger Event, as is reasonably practicable under the circumstances of such transaction but no later than five (5) days prior to the completion of such Warrant Trigger Event.</w:t>
      </w:r>
    </w:p>
    <w:p>
      <w:pPr>
        <w:spacing w:after="0" w:line="16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2.3 Subject to the remaining provisions of this Section 2, this Warrant shall be automatically exercised (which exercise will be in whole and not in part) upon the occurrence of a Warrant Exercise Trigger Event, without the Warrantholder being required to deliver to the Company a notice of exercise and without the need of the Warrantholder to pay any exercise price or further amount. For the avoidance of doubt, this Warrant may only be exercised upon a Warrant Exercise Trigger Event, and is not subject to any discretionary, voluntary or forced exercise by the Warrant Holder or the Company under any other circumstance. In the case of a Warrant Exercise Trigger Event referred to in subclause (ii) or (iii) above, the Company and the Warrantholder shall execute and deliver a subscription or stock purchase agreement pursuant to which the Company will issue the Warrant Shares to the Warrantholder and, in connection therewith, will provide representations and warranties for the benefit of the Warrantholder substantially similar in scope to those representations and warranties set forth in that certain Class B Share Subscription Agreement, dated August 27, 2019, by and among the Company and the purchasers of Preferred Shares party thereto, provided that such representations and warranties shall be updated by the Company to reflect the changes to the Company’s capitalization, business and other matters since August 27, 2019.</w:t>
      </w:r>
    </w:p>
    <w:p>
      <w:pPr>
        <w:spacing w:after="0" w:line="16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2.4 Promptly upon the occurrence of a Warrant Exercise Trigger Event, and in no event later than twelve (12) days thereafter (the “</w:t>
      </w:r>
      <w:r>
        <w:rPr>
          <w:rFonts w:ascii="Arial" w:cs="Arial" w:eastAsia="Arial" w:hAnsi="Arial"/>
          <w:sz w:val="17"/>
          <w:szCs w:val="17"/>
          <w:u w:val="single" w:color="auto"/>
          <w:color w:val="auto"/>
        </w:rPr>
        <w:t>Issuance Deadline</w:t>
      </w:r>
      <w:r>
        <w:rPr>
          <w:rFonts w:ascii="Arial" w:cs="Arial" w:eastAsia="Arial" w:hAnsi="Arial"/>
          <w:sz w:val="17"/>
          <w:szCs w:val="17"/>
          <w:color w:val="auto"/>
        </w:rPr>
        <w:t>”), the Company shall, unless otherwise provided for herein or as may be mutually agreed to between the Company and the Warrantholder, take such actions as are required to issue the Warrant Shares, including obtaining the requisite approval of the Company’s shareholders to file, and filing, amended and restated Articles of Incorporation in the form attached as Schedule A hereto, and immediately thereafter, shall either (i) issue to the Warrantholder a certificate for the number of Warrant Shares acquired or (ii) cause the Company’s share register to reflect the issuance through book-entry or otherwise of the Warrant Shares in the name of the Warrantholder. The Warrantholder will for all purposes be deemed to have become the holder of record of the Warrant Shares at the time and on the date on which the Warrant Exercise Trigger Event occurred, irrespective of the date of delivery (if any) of the certificate representing the Warrant Shares, and the Warrantholder shall be treated for all purposes as the holder of the Warrant Shares as of such Warrant Exercise Trigger Event. If the Company shall fail to fully perform all of its obligations under this Section 2.4 on or before the Issuance Deadline, interest shall accrue at a rate of 5% per annum on the Warrant subscription price of US$15,000,000 commencing on the Issuance Deadline, which interest shall be paid quarterly in cash to the Warrantholder, with any accrued but unpaid interest converting into Warrant Shares at the same price per Warrant Share at which the Warrant subscription price of US$15,000,000 is converted concurrently with the Company’s issuance of the Warrant Shares to the Warrantholder.</w:t>
      </w:r>
    </w:p>
    <w:p>
      <w:pPr>
        <w:spacing w:after="0" w:line="18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2.5 Notwithstanding anything to the contrary set forth in this Section 2, if this Warrant is automatically exercised in connection with the completion of a Liquidation Event, the Warrant Holder shall receive, in lieu of the Class C Preferred Shares it would be entitled to upon exercise of this Warrant, an amount in cash equal to the amount in cash or other consideration that would have been payable to the Warrantholder in respect of such Class C Preferred Shares (including any contingent cash payments payable following the closing of such Liquidation Event) pursuant to the rights, privileges, restrictions and conditions attached to the Class C Preferred Shares as described in the form of amended and restated Articles of Incorporation attached as Schedule A hereto as if the Warrantholder was the holder of the Class C Preferred Shares immediately prior to the completion of the Liquidation Event and as if such Liquidation Event were a “Liquidation Event” under such amended and restated Articles of Incorporation; provided, however, that for greater clarity, the Warrantholder shall be delivered the cash or other consideration that would have been payable to the Warrantholder in respect of Common Shares in connection with the Liquidation Event, if (i) the Warrantholder would obtain a higher consideration value if it had voluntarily exercised its Class C Conversion Privilege than it otherwise would be entitled to if it did not convert its Class C Preferred Shares, or (ii) there is a “Forced Conversion Event” as defined in the Articles of Incorporation prior to such Liquidation Event.</w:t>
      </w:r>
    </w:p>
    <w:p>
      <w:pPr>
        <w:spacing w:after="0" w:line="17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2.6 Notwithstanding anything to the contrary set forth in this Section 2, if prior to the occurrence of a Warrant Exercise Trigger Event, the Company contemplates completing a Qualified Financing, (i) the Company shall give the Warrantholder reasonable prior written notice of the anticipated closing of such Qualified Financing, (ii) the Warrantholder may elect, by delivery of written notice to the Company within five (5) days following the Warrantholder’s receipt of such notice, to exercise this Warrant for a number of shares of the same class and series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69" w:name="page370"/>
    <w:bookmarkEnd w:id="369"/>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preferred shares issued by the Company to investors participating in such Qualified Financing (the “</w:t>
      </w:r>
      <w:r>
        <w:rPr>
          <w:rFonts w:ascii="Arial" w:cs="Arial" w:eastAsia="Arial" w:hAnsi="Arial"/>
          <w:sz w:val="18"/>
          <w:szCs w:val="18"/>
          <w:u w:val="single" w:color="auto"/>
          <w:color w:val="auto"/>
        </w:rPr>
        <w:t>Financing Shares</w:t>
      </w:r>
      <w:r>
        <w:rPr>
          <w:rFonts w:ascii="Arial" w:cs="Arial" w:eastAsia="Arial" w:hAnsi="Arial"/>
          <w:sz w:val="18"/>
          <w:szCs w:val="18"/>
          <w:color w:val="auto"/>
        </w:rPr>
        <w:t>”) equal to the quotient of the Warrant subscription price of US$15,000,000 divided by the Cap Price (as defined below), and (iii) in connection with such exercise, the Warrantholder shall become party to all agreements relating to the purchase and sale of the Financing Shares, including a subscription or stock purchase agreement as well as any other stockholder agreements as are executed and delivered by all other investors participating in such Qualified Financing, and will receive the benefit of any representations, warranties and covenants of the Company to the same extent as all other investors participating in such Qualified Financing.</w:t>
      </w:r>
    </w:p>
    <w:p>
      <w:pPr>
        <w:spacing w:after="0" w:line="33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NUMBER AND CLASS OF WARRANT SHARES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3.1 For the consideration of the subscription price of US$15,000,000, the receipt of which is hereby acknowledged by the Company, subject to</w:t>
      </w:r>
    </w:p>
    <w:p>
      <w:pPr>
        <w:spacing w:after="0" w:line="3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Section 2.6, upon the occurrence of a Warrant Exercise Trigger Event, this Warrant shall be automatically exercised for the number and class of Warrant Shares set forth below:</w:t>
      </w:r>
    </w:p>
    <w:p>
      <w:pPr>
        <w:spacing w:after="0" w:line="91" w:lineRule="exact"/>
        <w:rPr>
          <w:sz w:val="20"/>
          <w:szCs w:val="20"/>
          <w:color w:val="auto"/>
        </w:rPr>
      </w:pPr>
    </w:p>
    <w:p>
      <w:pPr>
        <w:ind w:left="960" w:right="120" w:hanging="532"/>
        <w:spacing w:after="0" w:line="286" w:lineRule="auto"/>
        <w:tabs>
          <w:tab w:leader="none" w:pos="9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if the exercise of the Warrant is pursuant to Section 2.1(i), the Warrantholder shall be entitled to an aggregate number of fully paid and non-assessable Common Shares equal to the quotient derived by dividing (A) the Warrant subscription price of US$15,000,000 by (B) the initial “Price to Public” per Common Share specified in the final prospectus with respect to the IPO; or</w:t>
      </w:r>
    </w:p>
    <w:p>
      <w:pPr>
        <w:spacing w:after="0" w:line="70" w:lineRule="exact"/>
        <w:rPr>
          <w:rFonts w:ascii="Arial" w:cs="Arial" w:eastAsia="Arial" w:hAnsi="Arial"/>
          <w:sz w:val="17"/>
          <w:szCs w:val="17"/>
          <w:color w:val="auto"/>
        </w:rPr>
      </w:pPr>
    </w:p>
    <w:p>
      <w:pPr>
        <w:ind w:left="960" w:right="360" w:hanging="532"/>
        <w:spacing w:after="0" w:line="259" w:lineRule="auto"/>
        <w:tabs>
          <w:tab w:leader="none" w:pos="9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if the exercise of the Warrant is in connection with any Warrant Exercise Trigger Event other than that set forth in Section 2.1(i), then subject to Section 2.5, the Warrantholder shall be entitled to an aggregate number of fully paid and non-assessable Class C Preferred Shares equal to the quotient derived by dividing (A) the Warrant subscription price of US$15,000,000 by (B) the Cap Price (as defined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3.2 For purposes of this Warrant:</w:t>
      </w:r>
    </w:p>
    <w:p>
      <w:pPr>
        <w:spacing w:after="0" w:line="131" w:lineRule="exact"/>
        <w:rPr>
          <w:sz w:val="20"/>
          <w:szCs w:val="20"/>
          <w:color w:val="auto"/>
        </w:rPr>
      </w:pPr>
    </w:p>
    <w:p>
      <w:pPr>
        <w:ind w:left="960" w:right="160" w:hanging="532"/>
        <w:spacing w:after="0" w:line="277" w:lineRule="auto"/>
        <w:tabs>
          <w:tab w:leader="none" w:pos="9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 Price</w:t>
      </w:r>
      <w:r>
        <w:rPr>
          <w:rFonts w:ascii="Arial" w:cs="Arial" w:eastAsia="Arial" w:hAnsi="Arial"/>
          <w:sz w:val="18"/>
          <w:szCs w:val="18"/>
          <w:color w:val="auto"/>
        </w:rPr>
        <w:t>” means the price per share equal to the quotient of (A) US$375,000,000 divided by (B) the number of Fully Diluted Shares as of immediately prior to the exercise of this Warrant.</w:t>
      </w:r>
    </w:p>
    <w:p>
      <w:pPr>
        <w:spacing w:after="0" w:line="75" w:lineRule="exact"/>
        <w:rPr>
          <w:rFonts w:ascii="Arial" w:cs="Arial" w:eastAsia="Arial" w:hAnsi="Arial"/>
          <w:sz w:val="18"/>
          <w:szCs w:val="18"/>
          <w:color w:val="auto"/>
        </w:rPr>
      </w:pPr>
    </w:p>
    <w:p>
      <w:pPr>
        <w:ind w:left="960" w:hanging="532"/>
        <w:spacing w:after="0" w:line="293" w:lineRule="auto"/>
        <w:tabs>
          <w:tab w:leader="none" w:pos="9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Fully Diluted Shares</w:t>
      </w:r>
      <w:r>
        <w:rPr>
          <w:rFonts w:ascii="Arial" w:cs="Arial" w:eastAsia="Arial" w:hAnsi="Arial"/>
          <w:sz w:val="16"/>
          <w:szCs w:val="16"/>
          <w:color w:val="auto"/>
        </w:rPr>
        <w:t xml:space="preserve">” means, at any given time, the aggregate sum of (A) the number of Common Share then outstanding,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number of Common Shares issuable upon the exercise or conversion of any options (whether vested or unvested), warrants (whether vested or unvested), preferred shares or other convertible securities of the Company (other than this Warrant) then outstanding, </w:t>
      </w:r>
      <w:r>
        <w:rPr>
          <w:rFonts w:ascii="Arial" w:cs="Arial" w:eastAsia="Arial" w:hAnsi="Arial"/>
          <w:sz w:val="16"/>
          <w:szCs w:val="16"/>
          <w:i w:val="1"/>
          <w:iCs w:val="1"/>
          <w:color w:val="auto"/>
        </w:rPr>
        <w:t>plus</w:t>
      </w:r>
      <w:r>
        <w:rPr>
          <w:rFonts w:ascii="Arial" w:cs="Arial" w:eastAsia="Arial" w:hAnsi="Arial"/>
          <w:sz w:val="16"/>
          <w:szCs w:val="16"/>
          <w:color w:val="auto"/>
        </w:rPr>
        <w:t xml:space="preserve"> (C) the number of Common Shares then reserved for future issuance under the Company’s equity incentive plans or similar arrangements, provided that the number of Fully Diluted Shares will take into account the impact of any in-the-money convertible security or share award under the Company’s equity incentive plans or similar arrangements, as calculated by the treasury stock method.</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3.3 If this Warrant is exercised pursuant to Section 2.1(i), the parties hereto will thereafter work collaboratively and in good faith on a commercially reasonable basis in order to put into place an effective limit on the Warrantholder’s voting rights as they pertain to the Warrant Shares and any other shares in the capital of the Company issued by the Company to the Warrantholder and its Affiliates (excluding, for greater certainty, any shares purchased by Warrantholder and/or its Affiliates on the open market following the consummation of the IPO), such that the aggregate number of votes that may be exercised by the Warrantholder and its Affiliates in respect of such shares in the capital of the Company at any time shall not exceed 19.99% of the aggregate voting power of all outstanding shares in the capital of the Company, the whole subject to and in accordance with applicable securities laws and stock exchange rules.</w:t>
      </w:r>
    </w:p>
    <w:p>
      <w:pPr>
        <w:spacing w:after="0" w:line="33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7"/>
          <w:szCs w:val="17"/>
          <w:b w:val="1"/>
          <w:bCs w:val="1"/>
          <w:color w:val="auto"/>
        </w:rPr>
        <w:t>NO FRACTIONAL SHARES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 fractional Warrant Shares shall be issued upon the exercise of this Warrant, and the number of Warrant Shares issued upon the automatic exercise of the Warrant shall be rounded down to the nearest whole Warrant Share.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370" w:name="page371"/>
    <w:bookmarkEnd w:id="370"/>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5</w:t>
      </w:r>
      <w:r>
        <w:rPr>
          <w:sz w:val="20"/>
          <w:szCs w:val="20"/>
          <w:color w:val="auto"/>
        </w:rPr>
        <w:tab/>
      </w:r>
      <w:r>
        <w:rPr>
          <w:rFonts w:ascii="Arial" w:cs="Arial" w:eastAsia="Arial" w:hAnsi="Arial"/>
          <w:sz w:val="17"/>
          <w:szCs w:val="17"/>
          <w:b w:val="1"/>
          <w:bCs w:val="1"/>
          <w:color w:val="auto"/>
        </w:rPr>
        <w:t>NO RIGHTS AS SHAREHOLDER</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This Agreement does not entitle, and nothing in this Warrant shall be construed as conferring upon, the Warrantholder or any other Person the right to vote or consent or to receive notice as a shareholder in respect of meetings of shareholders for any matters or any rights whatsoever as a shareholder of the Company prior to the time that this Warrant is automatically exercised as described above.</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6</w:t>
        <w:tab/>
        <w:t>ADJUSTMENT OF RIGHTS</w:t>
      </w:r>
    </w:p>
    <w:p>
      <w:pPr>
        <w:spacing w:after="0" w:line="12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Adjustment and Antidilution Rights</w:t>
      </w:r>
      <w:r>
        <w:rPr>
          <w:rFonts w:ascii="Arial" w:cs="Arial" w:eastAsia="Arial" w:hAnsi="Arial"/>
          <w:sz w:val="16"/>
          <w:szCs w:val="16"/>
          <w:color w:val="auto"/>
        </w:rPr>
        <w:t>. Adjustment rights applicable to the Class C Preferred Shares that may be acquired hereunder are set forth in sections 4.3.5 (</w:t>
      </w:r>
      <w:r>
        <w:rPr>
          <w:rFonts w:ascii="Arial" w:cs="Arial" w:eastAsia="Arial" w:hAnsi="Arial"/>
          <w:sz w:val="16"/>
          <w:szCs w:val="16"/>
          <w:i w:val="1"/>
          <w:iCs w:val="1"/>
          <w:color w:val="auto"/>
        </w:rPr>
        <w:t>Adjustment for Stock Splits and Combinations</w:t>
      </w:r>
      <w:r>
        <w:rPr>
          <w:rFonts w:ascii="Arial" w:cs="Arial" w:eastAsia="Arial" w:hAnsi="Arial"/>
          <w:sz w:val="16"/>
          <w:szCs w:val="16"/>
          <w:color w:val="auto"/>
        </w:rPr>
        <w:t>), 4.3.6 (</w:t>
      </w:r>
      <w:r>
        <w:rPr>
          <w:rFonts w:ascii="Arial" w:cs="Arial" w:eastAsia="Arial" w:hAnsi="Arial"/>
          <w:sz w:val="16"/>
          <w:szCs w:val="16"/>
          <w:i w:val="1"/>
          <w:iCs w:val="1"/>
          <w:color w:val="auto"/>
        </w:rPr>
        <w:t>Adjustment for Certain Dividends and Distributions</w:t>
      </w:r>
      <w:r>
        <w:rPr>
          <w:rFonts w:ascii="Arial" w:cs="Arial" w:eastAsia="Arial" w:hAnsi="Arial"/>
          <w:sz w:val="16"/>
          <w:szCs w:val="16"/>
          <w:color w:val="auto"/>
        </w:rPr>
        <w:t>), 4.3.7 (</w:t>
      </w:r>
      <w:r>
        <w:rPr>
          <w:rFonts w:ascii="Arial" w:cs="Arial" w:eastAsia="Arial" w:hAnsi="Arial"/>
          <w:sz w:val="16"/>
          <w:szCs w:val="16"/>
          <w:i w:val="1"/>
          <w:iCs w:val="1"/>
          <w:color w:val="auto"/>
        </w:rPr>
        <w:t>Adjustment for</w:t>
      </w:r>
      <w:r>
        <w:rPr>
          <w:rFonts w:ascii="Arial" w:cs="Arial" w:eastAsia="Arial" w:hAnsi="Arial"/>
          <w:sz w:val="16"/>
          <w:szCs w:val="16"/>
          <w:color w:val="auto"/>
        </w:rPr>
        <w:t xml:space="preserve"> </w:t>
      </w:r>
      <w:r>
        <w:rPr>
          <w:rFonts w:ascii="Arial" w:cs="Arial" w:eastAsia="Arial" w:hAnsi="Arial"/>
          <w:sz w:val="16"/>
          <w:szCs w:val="16"/>
          <w:i w:val="1"/>
          <w:iCs w:val="1"/>
          <w:color w:val="auto"/>
        </w:rPr>
        <w:t>Reclassification, Exchange, or Substitution</w:t>
      </w:r>
      <w:r>
        <w:rPr>
          <w:rFonts w:ascii="Arial" w:cs="Arial" w:eastAsia="Arial" w:hAnsi="Arial"/>
          <w:sz w:val="16"/>
          <w:szCs w:val="16"/>
          <w:color w:val="auto"/>
        </w:rPr>
        <w:t>) and 4.3.8 (</w:t>
      </w:r>
      <w:r>
        <w:rPr>
          <w:rFonts w:ascii="Arial" w:cs="Arial" w:eastAsia="Arial" w:hAnsi="Arial"/>
          <w:sz w:val="16"/>
          <w:szCs w:val="16"/>
          <w:i w:val="1"/>
          <w:iCs w:val="1"/>
          <w:color w:val="auto"/>
        </w:rPr>
        <w:t>Adjustment for Merger or Reorganization, etc.</w:t>
      </w:r>
      <w:r>
        <w:rPr>
          <w:rFonts w:ascii="Arial" w:cs="Arial" w:eastAsia="Arial" w:hAnsi="Arial"/>
          <w:sz w:val="16"/>
          <w:szCs w:val="16"/>
          <w:color w:val="auto"/>
        </w:rPr>
        <w:t>) of the form of amended and restated Articles of</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Incorporation attached as Schedule A hereto and shall be applicable with respect to the Class C Preferred Shares underlying this Warrant as if such amended and restated Articles of Incorporation were in force as of the Effective Date and as if the Warrantholder held the Class C Preferred Shares underlying this Warrant as of the Effective Date. In addition, antidilution rights applicable to the Class C Preferred Shares that may be acquired hereunder are as set forth in section 4.3.9 of the form of amended and restated Articles of Incorporation attached as Schedule A hereto and shall be applicable with respect to the Class C Preferred Shares underlying this Warrant as if such amended and restated Articles of Incorporation were in force as of the Effective Date and as if the Warrantholder held the Class C Preferred Shares underlying this Warrant as of the Effective Date.</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Certificate of Adjustment</w:t>
      </w:r>
      <w:r>
        <w:rPr>
          <w:rFonts w:ascii="Arial" w:cs="Arial" w:eastAsia="Arial" w:hAnsi="Arial"/>
          <w:sz w:val="18"/>
          <w:szCs w:val="18"/>
          <w:color w:val="auto"/>
        </w:rPr>
        <w:t>. From an after the Effective Date until the occurrence of a Warrant Exercise Trigger Event, in each case of an adjustment or readjustment is required to be made pursuant to Section 6.1, the Company shall compute such adjustment or readjustment in accordance with the provisions hereof and prepare a certificate showing such adjustment or readjustment, and shall deliver to the Warrantholder at the address set forth in Section 10.6. The certificate shall set forth such adjustment or readjustment showing in reasonable detail the facts upon which such adjustment or readjustment is based</w:t>
      </w:r>
    </w:p>
    <w:p>
      <w:pPr>
        <w:spacing w:after="0" w:line="3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7"/>
          <w:szCs w:val="17"/>
          <w:b w:val="1"/>
          <w:bCs w:val="1"/>
          <w:color w:val="auto"/>
        </w:rPr>
        <w:t>REPRESENTATIONS, WARRANTIES AND COVENANTS OF THE COMPANY</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represents and warrants to the Warrantholder and acknowledges that the Warrantholder is relying upon the following representations and warranties in connection with the entering into of this Agreement:</w:t>
      </w:r>
    </w:p>
    <w:p>
      <w:pPr>
        <w:spacing w:after="0" w:line="17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Due Authority</w:t>
      </w:r>
      <w:r>
        <w:rPr>
          <w:rFonts w:ascii="Arial" w:cs="Arial" w:eastAsia="Arial" w:hAnsi="Arial"/>
          <w:sz w:val="18"/>
          <w:szCs w:val="18"/>
          <w:color w:val="auto"/>
        </w:rPr>
        <w:t>. The execution and delivery by the Company of this Agreement and the performance of all obligations of the Company hereunder, including the issuance to Warrantholder of the Common Shares or the Class C Preferred Shares that may be issued upon exercise of this Warrant, as the case may be, have been duly authorized by all necessary corporate action on the part of the Company; provided, however, that the creation of the Class C Preferred Shares remains subject to the formalities outlined in Section 7.6 below. This Agreement: (i) does not violate the Articles of Incorporation, the Company’s current bylaws or the Shareholders Agreement; (ii) does not contravene any law or governmental, regulation or order applicable to it; and (iii) does not contravene any provision of, or constitute a default under, any indenture, mortgage, contract or other instrument to which it is a party or by which it is bound. This Agreement constitutes a legal, valid and binding agreement of the Company, enforceable in accordance with its terms. The Company has made available to the Warrantholder true, correct and complete copies of its Articles of Incorporation, bylaws and Shareholders Agreement.</w:t>
      </w:r>
    </w:p>
    <w:p>
      <w:pPr>
        <w:spacing w:after="0" w:line="19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Consents and Approvals</w:t>
      </w:r>
      <w:r>
        <w:rPr>
          <w:rFonts w:ascii="Arial" w:cs="Arial" w:eastAsia="Arial" w:hAnsi="Arial"/>
          <w:sz w:val="17"/>
          <w:szCs w:val="17"/>
          <w:color w:val="auto"/>
        </w:rPr>
        <w:t>. No consent or approval of, giving of notice to, registration with, or taking of any other action in respect of any state, provincial, federal or other governmental authority or agency is required with respect to the execution, delivery and performance by the Company of its obligations under this Agreement, except, if applicable for the filing of notices with the SEC pursuant to Regulation D under the U.S. Securities Act and any filing required by applicable U.S. state securities law, which filings will be effective by the time required thereby.</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Authorized Share Capital</w:t>
      </w:r>
      <w:r>
        <w:rPr>
          <w:rFonts w:ascii="Arial" w:cs="Arial" w:eastAsia="Arial" w:hAnsi="Arial"/>
          <w:sz w:val="18"/>
          <w:szCs w:val="18"/>
          <w:color w:val="auto"/>
        </w:rPr>
        <w:t>. The authorized share capital of the Company consists of (A) an unlimited number of Common Shares, of which 10,657,916 Common Shares are issued and outstanding, (B) an unlimited number of Class A Preferred Shares, of which 67,228,395 Class A Preferred Shares are issued and outstanding and are convertible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0" w:right="499" w:bottom="1440" w:gutter="0" w:footer="0" w:header="0"/>
        </w:sectPr>
      </w:pPr>
    </w:p>
    <w:bookmarkStart w:id="371" w:name="page372"/>
    <w:bookmarkEnd w:id="371"/>
    <w:p>
      <w:pPr>
        <w:ind w:left="4"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into Common Shares as set forth in the Articles of Incorporation, and (C) an unlimited number of Class B Preferred Shares, of which 63,458,580 Class B Preferred Shares are issued and outstanding and are convertible into Common Shares as set forth in the Articles of Incorporation. Other than pursuant to the Company’s incentive stock option plan, there are no other options, warrants, conversion privileges or other rights presently outstanding to purchase or otherwise acquire any authorized but unissued shares in the capital of the Company or other securities of the Company.</w:t>
      </w:r>
    </w:p>
    <w:p>
      <w:pPr>
        <w:spacing w:after="0" w:line="157" w:lineRule="exact"/>
        <w:rPr>
          <w:sz w:val="20"/>
          <w:szCs w:val="20"/>
          <w:color w:val="auto"/>
        </w:rPr>
      </w:pPr>
    </w:p>
    <w:p>
      <w:pPr>
        <w:ind w:left="4" w:right="160"/>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Valid Issuance</w:t>
      </w:r>
      <w:r>
        <w:rPr>
          <w:rFonts w:ascii="Arial" w:cs="Arial" w:eastAsia="Arial" w:hAnsi="Arial"/>
          <w:sz w:val="18"/>
          <w:szCs w:val="18"/>
          <w:color w:val="auto"/>
        </w:rPr>
        <w:t>. The Common Shares or the Class C Preferred Shares that may be issued upon exercise of this Warrant, and, if applicable, the issuance of the Common Shares upon conversion of the Series C Preferred Shares underlying this Warrant, shall, upon issuance, be duly authorized, validly issued, fully paid and non-assessable, and will be free of any liens and encumbrances of any nature whatsoever; provided, that the Warrant Shares issuable pursuant to this Agreement may be subject to restrictions on transfer under Canadian securities laws or under U.S. state and/or federal securities laws.</w:t>
      </w:r>
    </w:p>
    <w:p>
      <w:pPr>
        <w:spacing w:after="0" w:line="188" w:lineRule="exact"/>
        <w:rPr>
          <w:sz w:val="20"/>
          <w:szCs w:val="20"/>
          <w:color w:val="auto"/>
        </w:rPr>
      </w:pPr>
    </w:p>
    <w:p>
      <w:pPr>
        <w:ind w:left="4" w:right="80"/>
        <w:spacing w:after="0" w:line="286"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Exempt Transaction</w:t>
      </w:r>
      <w:r>
        <w:rPr>
          <w:rFonts w:ascii="Arial" w:cs="Arial" w:eastAsia="Arial" w:hAnsi="Arial"/>
          <w:sz w:val="16"/>
          <w:szCs w:val="16"/>
          <w:color w:val="auto"/>
        </w:rPr>
        <w:t xml:space="preserve">. Subject to the accuracy of the Warrantholder’s representations in Section 8, as of the date of this Agreement and as of the date of exercise of this Warrant, the issuance of the Common Shares or the Class C Preferred Shares that may be issued hereunder upon exercise of this Warrant, and, if applicable, the issuance of the Common Shares upon conversion of the Series C Preferred Shares underlying this Warrant, will each constitute a transaction exempt from </w:t>
      </w:r>
      <w:r>
        <w:rPr>
          <w:rFonts w:ascii="Arial" w:cs="Arial" w:eastAsia="Arial" w:hAnsi="Arial"/>
          <w:sz w:val="16"/>
          <w:szCs w:val="16"/>
          <w:b w:val="1"/>
          <w:bCs w:val="1"/>
          <w:color w:val="auto"/>
        </w:rPr>
        <w:t>(</w:t>
      </w:r>
      <w:r>
        <w:rPr>
          <w:rFonts w:ascii="Arial" w:cs="Arial" w:eastAsia="Arial" w:hAnsi="Arial"/>
          <w:sz w:val="16"/>
          <w:szCs w:val="16"/>
          <w:color w:val="auto"/>
        </w:rPr>
        <w:t>i) the registration requirements of Section 5 of the U.S. Securities Act, in reliance upon Section 4(a)(2) thereof,</w:t>
      </w:r>
    </w:p>
    <w:p>
      <w:pPr>
        <w:spacing w:after="0" w:line="1" w:lineRule="exact"/>
        <w:rPr>
          <w:sz w:val="20"/>
          <w:szCs w:val="20"/>
          <w:color w:val="auto"/>
        </w:rPr>
      </w:pPr>
    </w:p>
    <w:p>
      <w:pPr>
        <w:ind w:left="4" w:hanging="4"/>
        <w:spacing w:after="0" w:line="260" w:lineRule="auto"/>
        <w:tabs>
          <w:tab w:leader="none" w:pos="26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qualification requirements of the applicable U.S. state securities laws, and (iii) the requirement to file a prospectus with any securities regulatory authority in any province or territory of Canada.</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Shareholder Approval</w:t>
      </w:r>
      <w:r>
        <w:rPr>
          <w:rFonts w:ascii="Arial" w:cs="Arial" w:eastAsia="Arial" w:hAnsi="Arial"/>
          <w:sz w:val="18"/>
          <w:szCs w:val="18"/>
          <w:color w:val="auto"/>
        </w:rPr>
        <w:t>.</w:t>
      </w:r>
    </w:p>
    <w:p>
      <w:pPr>
        <w:spacing w:after="0" w:line="131" w:lineRule="exact"/>
        <w:rPr>
          <w:sz w:val="20"/>
          <w:szCs w:val="20"/>
          <w:color w:val="auto"/>
        </w:rPr>
      </w:pPr>
    </w:p>
    <w:p>
      <w:pPr>
        <w:ind w:left="964" w:hanging="532"/>
        <w:spacing w:after="0"/>
        <w:tabs>
          <w:tab w:leader="none" w:pos="964"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Requisite Majority Preferred Shareholders</w:t>
      </w:r>
      <w:r>
        <w:rPr>
          <w:rFonts w:ascii="Arial" w:cs="Arial" w:eastAsia="Arial" w:hAnsi="Arial"/>
          <w:sz w:val="18"/>
          <w:szCs w:val="18"/>
          <w:color w:val="auto"/>
        </w:rPr>
        <w:t>. The Requisite Majority Preferred Shareholders:</w:t>
      </w:r>
    </w:p>
    <w:p>
      <w:pPr>
        <w:spacing w:after="0" w:line="117" w:lineRule="exact"/>
        <w:rPr>
          <w:rFonts w:ascii="Arial" w:cs="Arial" w:eastAsia="Arial" w:hAnsi="Arial"/>
          <w:sz w:val="18"/>
          <w:szCs w:val="18"/>
          <w:color w:val="auto"/>
        </w:rPr>
      </w:pPr>
    </w:p>
    <w:p>
      <w:pPr>
        <w:ind w:left="984" w:right="80" w:firstLine="7"/>
        <w:spacing w:after="0" w:line="259" w:lineRule="auto"/>
        <w:tabs>
          <w:tab w:leader="none" w:pos="1279" w:val="left"/>
        </w:tabs>
        <w:numPr>
          <w:ilvl w:val="1"/>
          <w:numId w:val="209"/>
        </w:numPr>
        <w:rPr>
          <w:rFonts w:ascii="Arial" w:cs="Arial" w:eastAsia="Arial" w:hAnsi="Arial"/>
          <w:sz w:val="18"/>
          <w:szCs w:val="18"/>
          <w:color w:val="auto"/>
        </w:rPr>
      </w:pPr>
      <w:r>
        <w:rPr>
          <w:rFonts w:ascii="Arial" w:cs="Arial" w:eastAsia="Arial" w:hAnsi="Arial"/>
          <w:sz w:val="18"/>
          <w:szCs w:val="18"/>
          <w:color w:val="auto"/>
        </w:rPr>
        <w:t>have deemed that this Warrant, the Common Shares or the Class C Preferred Shares that may be issued upon exercise of this Warrant and the Common Shares underlying the Class C Preferred Shares that may be issued hereunder, each shall be Excluded Securities as defined in the Articles of Incorporation and, therefore, this Warrant and the securities to be issued hereunder are not subject to the pre-emptive rights in the Shareholders Agreement;</w:t>
      </w:r>
    </w:p>
    <w:p>
      <w:pPr>
        <w:spacing w:after="0" w:line="78" w:lineRule="exact"/>
        <w:rPr>
          <w:rFonts w:ascii="Arial" w:cs="Arial" w:eastAsia="Arial" w:hAnsi="Arial"/>
          <w:sz w:val="18"/>
          <w:szCs w:val="18"/>
          <w:color w:val="auto"/>
        </w:rPr>
      </w:pPr>
    </w:p>
    <w:p>
      <w:pPr>
        <w:jc w:val="both"/>
        <w:ind w:left="984" w:right="200" w:firstLine="7"/>
        <w:spacing w:after="0" w:line="342" w:lineRule="auto"/>
        <w:tabs>
          <w:tab w:leader="none" w:pos="1269" w:val="left"/>
        </w:tabs>
        <w:numPr>
          <w:ilvl w:val="1"/>
          <w:numId w:val="209"/>
        </w:numPr>
        <w:rPr>
          <w:rFonts w:ascii="Arial" w:cs="Arial" w:eastAsia="Arial" w:hAnsi="Arial"/>
          <w:sz w:val="16"/>
          <w:szCs w:val="16"/>
          <w:color w:val="auto"/>
        </w:rPr>
      </w:pPr>
      <w:r>
        <w:rPr>
          <w:rFonts w:ascii="Arial" w:cs="Arial" w:eastAsia="Arial" w:hAnsi="Arial"/>
          <w:sz w:val="16"/>
          <w:szCs w:val="16"/>
          <w:color w:val="auto"/>
        </w:rPr>
        <w:t>have consented to the filing by the Company of amended and restated Articles of Incorporation in the form attached as Schedule A hereto in order to create and authorize, if and when required in accordance with the terms of this Warrant, the Class C Preferred Shares;</w:t>
      </w:r>
    </w:p>
    <w:p>
      <w:pPr>
        <w:spacing w:after="0" w:line="15" w:lineRule="exact"/>
        <w:rPr>
          <w:rFonts w:ascii="Arial" w:cs="Arial" w:eastAsia="Arial" w:hAnsi="Arial"/>
          <w:sz w:val="16"/>
          <w:szCs w:val="16"/>
          <w:color w:val="auto"/>
        </w:rPr>
      </w:pPr>
    </w:p>
    <w:p>
      <w:pPr>
        <w:ind w:left="984" w:firstLine="7"/>
        <w:spacing w:after="0" w:line="311" w:lineRule="auto"/>
        <w:tabs>
          <w:tab w:leader="none" w:pos="1269" w:val="left"/>
        </w:tabs>
        <w:numPr>
          <w:ilvl w:val="1"/>
          <w:numId w:val="209"/>
        </w:numPr>
        <w:rPr>
          <w:rFonts w:ascii="Arial" w:cs="Arial" w:eastAsia="Arial" w:hAnsi="Arial"/>
          <w:sz w:val="16"/>
          <w:szCs w:val="16"/>
          <w:color w:val="auto"/>
        </w:rPr>
      </w:pPr>
      <w:r>
        <w:rPr>
          <w:rFonts w:ascii="Arial" w:cs="Arial" w:eastAsia="Arial" w:hAnsi="Arial"/>
          <w:sz w:val="16"/>
          <w:szCs w:val="16"/>
          <w:color w:val="auto"/>
        </w:rPr>
        <w:t>have consented to the amendments to (i) the Shareholders Agreement reflected in the form of the third amended and restated unanimous shareholders agreement of the Company attached as Schedule B hereto and (ii) the A&amp;R Registration Rights Agreement reflected in the form of the second amended and restated registration rights agreement of the Company attached as Schedule C hereto; and</w:t>
      </w:r>
    </w:p>
    <w:p>
      <w:pPr>
        <w:spacing w:after="0" w:line="40" w:lineRule="exact"/>
        <w:rPr>
          <w:rFonts w:ascii="Arial" w:cs="Arial" w:eastAsia="Arial" w:hAnsi="Arial"/>
          <w:sz w:val="16"/>
          <w:szCs w:val="16"/>
          <w:color w:val="auto"/>
        </w:rPr>
      </w:pPr>
    </w:p>
    <w:p>
      <w:pPr>
        <w:ind w:left="984" w:firstLine="7"/>
        <w:spacing w:after="0" w:line="273" w:lineRule="auto"/>
        <w:tabs>
          <w:tab w:leader="none" w:pos="1279" w:val="left"/>
        </w:tabs>
        <w:numPr>
          <w:ilvl w:val="1"/>
          <w:numId w:val="209"/>
        </w:numPr>
        <w:rPr>
          <w:rFonts w:ascii="Arial" w:cs="Arial" w:eastAsia="Arial" w:hAnsi="Arial"/>
          <w:sz w:val="17"/>
          <w:szCs w:val="17"/>
          <w:color w:val="auto"/>
        </w:rPr>
      </w:pPr>
      <w:r>
        <w:rPr>
          <w:rFonts w:ascii="Arial" w:cs="Arial" w:eastAsia="Arial" w:hAnsi="Arial"/>
          <w:sz w:val="17"/>
          <w:szCs w:val="17"/>
          <w:color w:val="auto"/>
        </w:rPr>
        <w:t>have undertaken to take all steps necessary and to execute such other documents and agreements to give effect to the matters set out above and the issuance of the Common Shares or the Class C Preferred Shares that may be issued upon exercise of this Warrant, including without limitation (i) to execute a written resolution of the Company’s shareholders approving the filing by the Company of amended and restated Articles of Incorporation in the form attached as Schedule A hereto in order to create and authorize, if and when required in accordance with the terms of this Warrant, the Class C Preferred Shares; and (ii) to the extent necessary, to attend and vote at a meeting of the Company’s shareholders in favour of the approval thereof.</w:t>
      </w:r>
    </w:p>
    <w:p>
      <w:pPr>
        <w:spacing w:after="0" w:line="83" w:lineRule="exact"/>
        <w:rPr>
          <w:rFonts w:ascii="Arial" w:cs="Arial" w:eastAsia="Arial" w:hAnsi="Arial"/>
          <w:sz w:val="17"/>
          <w:szCs w:val="17"/>
          <w:color w:val="auto"/>
        </w:rPr>
      </w:pPr>
    </w:p>
    <w:p>
      <w:pPr>
        <w:ind w:left="964" w:right="400" w:hanging="532"/>
        <w:spacing w:after="0" w:line="277" w:lineRule="auto"/>
        <w:tabs>
          <w:tab w:leader="none" w:pos="964"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Meeting or Resolution in lieu of Meeting</w:t>
      </w:r>
      <w:r>
        <w:rPr>
          <w:rFonts w:ascii="Arial" w:cs="Arial" w:eastAsia="Arial" w:hAnsi="Arial"/>
          <w:sz w:val="18"/>
          <w:szCs w:val="18"/>
          <w:color w:val="auto"/>
        </w:rPr>
        <w:t>. The Company shall, as soon as is reasonably practicable, and in any event on or before the earlier to occur of a Warrant Exercise Trigger Event or July 31, 2020:</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4"/>
          </w:cols>
          <w:pgMar w:left="436" w:top="274" w:right="519" w:bottom="1440" w:gutter="0" w:footer="0" w:header="0"/>
        </w:sectPr>
      </w:pPr>
    </w:p>
    <w:bookmarkStart w:id="372" w:name="page373"/>
    <w:bookmarkEnd w:id="372"/>
    <w:p>
      <w:pPr>
        <w:jc w:val="both"/>
        <w:ind w:left="980" w:right="520" w:firstLine="7"/>
        <w:spacing w:after="0" w:line="263" w:lineRule="auto"/>
        <w:tabs>
          <w:tab w:leader="none" w:pos="1275" w:val="left"/>
        </w:tabs>
        <w:numPr>
          <w:ilvl w:val="0"/>
          <w:numId w:val="2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submit to its Shareholders a written resolution, for execution in lieu of a meeting, authorizing the Company to file amended and restated Articles of Incorporation in the form attached as Schedule A hereto in order to create and authorize, if and when required in accordance with the terms of this Warrant, the Class C Preferred Shares; and</w:t>
      </w:r>
    </w:p>
    <w:p>
      <w:pPr>
        <w:spacing w:after="0" w:line="76" w:lineRule="exact"/>
        <w:rPr>
          <w:sz w:val="20"/>
          <w:szCs w:val="20"/>
          <w:color w:val="auto"/>
        </w:rPr>
      </w:pPr>
    </w:p>
    <w:p>
      <w:pPr>
        <w:ind w:left="980"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w:t>
      </w:r>
      <w:r>
        <w:rPr>
          <w:rFonts w:ascii="Arial" w:cs="Arial" w:eastAsia="Arial" w:hAnsi="Arial"/>
          <w:sz w:val="18"/>
          <w:szCs w:val="18"/>
          <w:color w:val="auto"/>
        </w:rPr>
        <w:t xml:space="preserve"> if the Company is not able to obtain the written resolution in lieu of a meeting in accordance with applicable corporate law, conduct a meeting of all of its Shareholders in accordance with the Articles of Incorporation, the Company’s by-laws and the Shareholders Agreement for the approval of a resolution authorizing the Company to file amended and restated Articles of Incorporation in the form attached as Schedule A hereto.</w:t>
      </w:r>
    </w:p>
    <w:p>
      <w:pPr>
        <w:spacing w:after="0" w:line="92" w:lineRule="exact"/>
        <w:rPr>
          <w:sz w:val="20"/>
          <w:szCs w:val="20"/>
          <w:color w:val="auto"/>
        </w:rPr>
      </w:pPr>
    </w:p>
    <w:p>
      <w:pPr>
        <w:ind w:left="960" w:hanging="532"/>
        <w:spacing w:after="0" w:line="257" w:lineRule="auto"/>
        <w:tabs>
          <w:tab w:leader="none" w:pos="96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Form of Amended and Restated Shareholders Agreement and Registration Rights Agreement</w:t>
      </w:r>
      <w:r>
        <w:rPr>
          <w:rFonts w:ascii="Arial" w:cs="Arial" w:eastAsia="Arial" w:hAnsi="Arial"/>
          <w:sz w:val="18"/>
          <w:szCs w:val="18"/>
          <w:color w:val="auto"/>
        </w:rPr>
        <w:t>. As of the date hereof, the Requisite Majority Preferred Shareholders have consented to the amendments to (A) the Shareholders Agreement reflected in the form of the third amended and restated unanimous shareholders agreement of the Company attached as Schedule B hereto, and (B) the A&amp;R Registration Rights Agreement (as defined below) reflected in the form of the second amended and restated registration rights agreement of the Company attached as Schedule C hereto.</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The Company agrees that the Warrantholder shall have the registration rights and be subject to the terms pursuant to and as set forth in the amended and restated registration rights agreement dated September 3, 2019 among the Company and the Investors (as such term is defined therein) (the “</w:t>
      </w:r>
      <w:r>
        <w:rPr>
          <w:rFonts w:ascii="Arial" w:cs="Arial" w:eastAsia="Arial" w:hAnsi="Arial"/>
          <w:sz w:val="18"/>
          <w:szCs w:val="18"/>
          <w:u w:val="single" w:color="auto"/>
          <w:color w:val="auto"/>
        </w:rPr>
        <w:t>A&amp;R Registration Rights Agreement</w:t>
      </w:r>
      <w:r>
        <w:rPr>
          <w:rFonts w:ascii="Arial" w:cs="Arial" w:eastAsia="Arial" w:hAnsi="Arial"/>
          <w:sz w:val="18"/>
          <w:szCs w:val="18"/>
          <w:color w:val="auto"/>
        </w:rPr>
        <w:t>”) with respect to the Common Shares or the Class C Preferred Shares that may be issued upon exercise of this Warrant once such Warrant Shares are so issued, provided that the Warrantholder has executed the second amended and restated registration rights agreement attached as Schedule C hereto.</w:t>
      </w:r>
    </w:p>
    <w:p>
      <w:pPr>
        <w:spacing w:after="0" w:line="3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7"/>
          <w:szCs w:val="17"/>
          <w:b w:val="1"/>
          <w:bCs w:val="1"/>
          <w:color w:val="auto"/>
        </w:rPr>
        <w:t>REPRESENTATIONS AND COVENANTS OF THE WARRANTHOLDER</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Warrantholder represents and warrants to the Company and acknowledges that the Company is relying upon the following representations and warranties in connection with the entering into of this Agreement:</w:t>
      </w:r>
    </w:p>
    <w:p>
      <w:pPr>
        <w:spacing w:after="0" w:line="17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Investment Purpose</w:t>
      </w:r>
      <w:r>
        <w:rPr>
          <w:rFonts w:ascii="Arial" w:cs="Arial" w:eastAsia="Arial" w:hAnsi="Arial"/>
          <w:sz w:val="18"/>
          <w:szCs w:val="18"/>
          <w:color w:val="auto"/>
        </w:rPr>
        <w:t>. This Warrant and the securities to be acquired upon exercise of this Warrant by the Warrantholder are being acquired for investment purposes for the Warrantholder’s account, not as a nominee or agent, and not with a view to the public resale or distribution within the meaning of applicable securities laws, except as may be permitted under applicable securities laws. The Warrantholder also represents that it has not been formed for the specific purpose of acquiring this Warrant or the Warrant Shares.</w:t>
      </w:r>
    </w:p>
    <w:p>
      <w:pPr>
        <w:spacing w:after="0" w:line="18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Private Issue</w:t>
      </w:r>
      <w:r>
        <w:rPr>
          <w:rFonts w:ascii="Arial" w:cs="Arial" w:eastAsia="Arial" w:hAnsi="Arial"/>
          <w:sz w:val="18"/>
          <w:szCs w:val="18"/>
          <w:color w:val="auto"/>
        </w:rPr>
        <w:t>. The Warrantholder understands (i) that the Warrant Shares issuable upon exercise of this Agreement are not qualified pursuant to a prospectus filed with any securities regulatory authority in Canada or registered under the U.S. Securities Act or qualified under applicable state securities laws on the ground that the issuance contemplated by this Agreement will be exempt from the registration and qualifications requirements thereof and from the requirement to file a prospectus under Canadian securities laws, and (ii) that the Company’s reliance on such exemption is predicated on the representations set forth in this Section 8.</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Financial Risk</w:t>
      </w:r>
      <w:r>
        <w:rPr>
          <w:rFonts w:ascii="Arial" w:cs="Arial" w:eastAsia="Arial" w:hAnsi="Arial"/>
          <w:sz w:val="18"/>
          <w:szCs w:val="18"/>
          <w:color w:val="auto"/>
        </w:rPr>
        <w:t>. The Warrantholder understands that the purchase of this Warrant and its underlying securities involves substantial risk. The Warrantholder has experience as an investor in securities of companies in the development stage and acknowledges that it can bear the economic risk of such Warrantholder’s investment in this Warrant and its underlying securities and has such knowledge and experience in financial or business matters that it is capable of evaluating the merits and risks of its investment in this Warrant and its underlying securities and has a preexisting business relationship with the Company of a nature and duration that enables the Warrantholder to be aware of the character, business acumen and financial circumstances of the Company.</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Risk of No Registration</w:t>
      </w:r>
      <w:r>
        <w:rPr>
          <w:rFonts w:ascii="Arial" w:cs="Arial" w:eastAsia="Arial" w:hAnsi="Arial"/>
          <w:sz w:val="18"/>
          <w:szCs w:val="18"/>
          <w:color w:val="auto"/>
        </w:rPr>
        <w:t>. The Warrantholder understands that if (i) the Company does not register with the SEC pursuant to Section 12 of the Securities Exchange Act of 1934 (the “</w:t>
      </w:r>
      <w:r>
        <w:rPr>
          <w:rFonts w:ascii="Arial" w:cs="Arial" w:eastAsia="Arial" w:hAnsi="Arial"/>
          <w:sz w:val="18"/>
          <w:szCs w:val="18"/>
          <w:b w:val="1"/>
          <w:bCs w:val="1"/>
          <w:color w:val="auto"/>
        </w:rPr>
        <w:t>1934 Act</w:t>
      </w:r>
      <w:r>
        <w:rPr>
          <w:rFonts w:ascii="Arial" w:cs="Arial" w:eastAsia="Arial" w:hAnsi="Arial"/>
          <w:sz w:val="18"/>
          <w:szCs w:val="18"/>
          <w:color w:val="auto"/>
        </w:rPr>
        <w:t>”), (ii) the Company does not file reports pursuant to Section 15(d) of the 1934 Act, (iii) a registration statement covering the securities under the Act is not in effect or (iv) the Company has not been a reporting issuer in any province or territory of Canada for at least four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73" w:name="page374"/>
    <w:bookmarkEnd w:id="373"/>
    <w:p>
      <w:pPr>
        <w:ind w:left="4" w:right="2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months and a day, in each case when it desires to sell the Warrant Shares, it may be required to hold such securities for an indefinite period. The Warrantholder also understands that any sale of Warrant Shares issued or issuable hereunder which might be made by it in reliance upon a prospectus exemption contained in Regulation 45-106 respecting Prospectus and Registration Exemptions (Quebec) or under Rule 144 under the U.S. Securities Act may be made only in accordance with the terms and conditions of that that regulation or rule. The Warrantholder understands that Warrant Shares issued hereunder will have a legend describing applicable transfer restrictions.</w:t>
      </w:r>
    </w:p>
    <w:p>
      <w:pPr>
        <w:spacing w:after="0" w:line="176"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No Public Market</w:t>
      </w:r>
      <w:r>
        <w:rPr>
          <w:rFonts w:ascii="Arial" w:cs="Arial" w:eastAsia="Arial" w:hAnsi="Arial"/>
          <w:sz w:val="18"/>
          <w:szCs w:val="18"/>
          <w:color w:val="auto"/>
        </w:rPr>
        <w:t>. The Warrantholder acknowledges that no public market presently exists for any securities of the Company, and there can be no assurance that any such market will be created.</w:t>
      </w:r>
    </w:p>
    <w:p>
      <w:pPr>
        <w:spacing w:after="0" w:line="170"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No General Solicitation</w:t>
      </w:r>
      <w:r>
        <w:rPr>
          <w:rFonts w:ascii="Arial" w:cs="Arial" w:eastAsia="Arial" w:hAnsi="Arial"/>
          <w:sz w:val="18"/>
          <w:szCs w:val="18"/>
          <w:color w:val="auto"/>
        </w:rPr>
        <w:t>. The Warrantholder is not acquiring this Warrant as a result of any “general solicitation” or “general advertising” within the meaning of SEC Rule 502 of Regulation D, as presently in effect.</w:t>
      </w:r>
    </w:p>
    <w:p>
      <w:pPr>
        <w:spacing w:after="0" w:line="170"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Accredited Investor and Permitted Client</w:t>
      </w:r>
      <w:r>
        <w:rPr>
          <w:rFonts w:ascii="Arial" w:cs="Arial" w:eastAsia="Arial" w:hAnsi="Arial"/>
          <w:sz w:val="16"/>
          <w:szCs w:val="16"/>
          <w:color w:val="auto"/>
        </w:rPr>
        <w:t xml:space="preserve">. The Warrantholder is (i) an “accredited investor” within the meaning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(Quebec) and </w:t>
      </w:r>
      <w:r>
        <w:rPr>
          <w:rFonts w:ascii="Arial" w:cs="Arial" w:eastAsia="Arial" w:hAnsi="Arial"/>
          <w:sz w:val="16"/>
          <w:szCs w:val="16"/>
          <w:i w:val="1"/>
          <w:iCs w:val="1"/>
          <w:color w:val="auto"/>
        </w:rPr>
        <w:t xml:space="preserve">Regulation 45-106 respecting Prospectus and Registration Exemptions </w:t>
      </w:r>
      <w:r>
        <w:rPr>
          <w:rFonts w:ascii="Arial" w:cs="Arial" w:eastAsia="Arial" w:hAnsi="Arial"/>
          <w:sz w:val="16"/>
          <w:szCs w:val="16"/>
          <w:color w:val="auto"/>
        </w:rPr>
        <w:t>(Quebec) and of Rule 501 of Regulation D under the U.S. Securities Act,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presently in effect, and (ii) a “permitted client” within the meaning of </w:t>
      </w:r>
      <w:r>
        <w:rPr>
          <w:rFonts w:ascii="Arial" w:cs="Arial" w:eastAsia="Arial" w:hAnsi="Arial"/>
          <w:sz w:val="16"/>
          <w:szCs w:val="16"/>
          <w:i w:val="1"/>
          <w:iCs w:val="1"/>
          <w:color w:val="auto"/>
        </w:rPr>
        <w:t>National Instrument 31-103—Registration Requirements, Exemptions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Ongoing Registrant Obligations</w:t>
      </w:r>
      <w:r>
        <w:rPr>
          <w:rFonts w:ascii="Arial" w:cs="Arial" w:eastAsia="Arial" w:hAnsi="Arial"/>
          <w:sz w:val="16"/>
          <w:szCs w:val="16"/>
          <w:color w:val="auto"/>
        </w:rPr>
        <w:t>, and is purchasing the Warrant pursuant to an exemption from the prospectus requirements of applicable securities laws.</w:t>
      </w:r>
    </w:p>
    <w:p>
      <w:pPr>
        <w:spacing w:after="0" w:line="157" w:lineRule="exact"/>
        <w:rPr>
          <w:sz w:val="20"/>
          <w:szCs w:val="20"/>
          <w:color w:val="auto"/>
        </w:rPr>
      </w:pPr>
    </w:p>
    <w:p>
      <w:pPr>
        <w:ind w:left="4" w:right="220"/>
        <w:spacing w:after="0" w:line="284"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u w:val="single" w:color="auto"/>
          <w:color w:val="auto"/>
        </w:rPr>
        <w:t>Lock-Up</w:t>
      </w:r>
      <w:r>
        <w:rPr>
          <w:rFonts w:ascii="Arial" w:cs="Arial" w:eastAsia="Arial" w:hAnsi="Arial"/>
          <w:sz w:val="16"/>
          <w:szCs w:val="16"/>
          <w:color w:val="auto"/>
        </w:rPr>
        <w:t>. The Warrantholder hereby agrees that it will not, without the prior written consent of the managing underwriter, during the period commencing on the date of the final prospectus relating to the Company’s IPO and ending on the date specified by the Company and the managing underwriter (such period not to exceed 180 days): (a) lend; offer; pledge; sell; contract to sell; sell any option or contract to purchase; purchase any option or contract to sell; grant any option, right, or warrant to purchase; or otherwise transfer or dispose of, directly or indirectly, any Warrant Shares held immediately prior to the effectiveness of the registration statement for the IPO; or (b) enter into any swap or other arrangement that transfers to another, in whole or in part, any of the economic consequences of ownership of the Warrant Shares, whether any such transaction described in clause</w:t>
      </w:r>
    </w:p>
    <w:p>
      <w:pPr>
        <w:spacing w:after="0" w:line="4" w:lineRule="exact"/>
        <w:rPr>
          <w:sz w:val="20"/>
          <w:szCs w:val="20"/>
          <w:color w:val="auto"/>
        </w:rPr>
      </w:pPr>
    </w:p>
    <w:p>
      <w:pPr>
        <w:ind w:left="4" w:right="20" w:hanging="4"/>
        <w:spacing w:after="0" w:line="253" w:lineRule="auto"/>
        <w:tabs>
          <w:tab w:leader="none" w:pos="24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or (b) above is to be settled by delivery of Shares (as such term is defined in the Shareholders Agreement) or other securities, in cash or otherwise. The Warrantholder further agrees to execute such agreements as may be reasonably requested by the underwriters in the IPO that are consistent with this Section 8.8 or that are necessary to give further effect thereto. For greater clarity, this Section 8.8 shall apply even if the Company’s IPO occurs after December 31, 2020.</w:t>
      </w:r>
    </w:p>
    <w:p>
      <w:pPr>
        <w:spacing w:after="0" w:line="337"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7"/>
          <w:szCs w:val="17"/>
          <w:b w:val="1"/>
          <w:bCs w:val="1"/>
          <w:color w:val="auto"/>
        </w:rPr>
        <w:t>TRANSFERS</w:t>
      </w:r>
    </w:p>
    <w:p>
      <w:pPr>
        <w:spacing w:after="0" w:line="121" w:lineRule="exact"/>
        <w:rPr>
          <w:sz w:val="20"/>
          <w:szCs w:val="20"/>
          <w:color w:val="auto"/>
        </w:rPr>
      </w:pPr>
    </w:p>
    <w:p>
      <w:pPr>
        <w:ind w:left="4" w:right="60"/>
        <w:spacing w:after="0" w:line="289" w:lineRule="auto"/>
        <w:rPr>
          <w:sz w:val="20"/>
          <w:szCs w:val="20"/>
          <w:color w:val="auto"/>
        </w:rPr>
      </w:pPr>
      <w:r>
        <w:rPr>
          <w:rFonts w:ascii="Arial" w:cs="Arial" w:eastAsia="Arial" w:hAnsi="Arial"/>
          <w:sz w:val="16"/>
          <w:szCs w:val="16"/>
          <w:color w:val="auto"/>
        </w:rPr>
        <w:t>Except as contemplated herein, no sale, distribution, assignment, offer, pledge, hypothecation or other transfer of this Warrant may be made by the Warrantholder without the prior written approval of the Company (such approval not be unreasonably withheld, conditioned or delayed); provided, that, this Warrant may be transferred by the Warrantholder, in whole (but not in part), to any Affiliate of the Warrantholder (such Affiliate, for as long as it is an Affiliate of the Warrantholder, a “</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without the prior written approval of the Company. Subject to compliance to the reasonable satisfaction of the Company with the conditions contained herein and applicable securities legislation, upon surrender of this Warrant properly endorsed or accompanied by written instructions of transfer attached as Schedule D hereto, the Company will issue a new Warrant to the Permitted Transferee reflecting the transfer from the Warrantholder of this Warrant in substantially identical form to this Warrant. A Permitted Transferee shall remain an Affiliate of the Warrantholder for as long as it holds a Warrant reflecting the right to acquire Warrant Shares. The terms and conditions of this Warrant will inure to the benefit of, and be binding on, the respective successors and permitted assigns of the Company and the Warrantholder, respectively.</w:t>
      </w:r>
    </w:p>
    <w:p>
      <w:pPr>
        <w:spacing w:after="0" w:line="311"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SECTION 10</w:t>
        <w:tab/>
        <w:t>MISCELLANEOUS</w:t>
      </w:r>
    </w:p>
    <w:p>
      <w:pPr>
        <w:spacing w:after="0" w:line="121" w:lineRule="exact"/>
        <w:rPr>
          <w:sz w:val="20"/>
          <w:szCs w:val="20"/>
          <w:color w:val="auto"/>
        </w:rPr>
      </w:pPr>
    </w:p>
    <w:p>
      <w:pPr>
        <w:ind w:left="4" w:right="40"/>
        <w:spacing w:after="0" w:line="296"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Remedies</w:t>
      </w:r>
      <w:r>
        <w:rPr>
          <w:rFonts w:ascii="Arial" w:cs="Arial" w:eastAsia="Arial" w:hAnsi="Arial"/>
          <w:sz w:val="16"/>
          <w:szCs w:val="16"/>
          <w:color w:val="auto"/>
        </w:rPr>
        <w:t>. In the event of any default hereunder, the non-defaulting party may proceed to protect and enforce its rights either by suit in equity and/or by action at law, including but not limited to an action for damages as a result of any such default, and/or an action for specific performance for any default where Warrantholder will not have an adequate remedy at law and where damages will not be readily ascertainable. The Company expressly agrees that it shall not oppose an application by the Warrantholder or any other Person entitled to the benefit of this Agreement requiring specific performance of any or all provisions hereof or enjoining the Company from continuing to commit any such breach of this Agreement.</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374" w:name="page375"/>
    <w:bookmarkEnd w:id="374"/>
    <w:p>
      <w:pPr>
        <w:ind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10.2 No Impairment of Rights. The Company will not, by amendment of the Articles of Incorporation or through any other means, avoid or seek to avoid the observance or performance of any of the terms of this Agreement, but will at all times in good faith assist in the carrying out of all such terms and in the taking of all such actions as may be necessary or appropriate in order to protect the rights of the Warrantholder against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-332740</wp:posOffset>
            </wp:positionV>
            <wp:extent cx="118046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180465" cy="8890"/>
                    </a:xfrm>
                    <a:prstGeom prst="rect">
                      <a:avLst/>
                    </a:prstGeom>
                    <a:noFill/>
                  </pic:spPr>
                </pic:pic>
              </a:graphicData>
            </a:graphic>
          </wp:anchor>
        </w:drawing>
      </w:r>
    </w:p>
    <w:p>
      <w:pPr>
        <w:spacing w:after="0" w:line="129"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Attorneys’ Fees</w:t>
      </w:r>
      <w:r>
        <w:rPr>
          <w:rFonts w:ascii="Arial" w:cs="Arial" w:eastAsia="Arial" w:hAnsi="Arial"/>
          <w:sz w:val="17"/>
          <w:szCs w:val="17"/>
          <w:color w:val="auto"/>
        </w:rPr>
        <w:t>. The prevailing party in any action to enforce, construe, interpret or otherwise arising in relation to this Agreement, shall be entitled to an award of its reasonable attorneys’ fees and costs incurred as a result of the action and any appeals therefrom.</w:t>
      </w:r>
    </w:p>
    <w:p>
      <w:pPr>
        <w:spacing w:after="0" w:line="14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one or more of the provisions of this Agreement shall for any reason be held invalid, illegal or unenforceable, the remaining provisions of this Agreement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provided herein, any notice, demand, request, consent, approval, declaration, service of process or other communication that is required, contemplated, or permitted under this Agreement or with respect to the subject matter hereof shall be in writing, shall be sent by personal delivery, courier or electronic mail, and shall be addressed to the party to be notified as follows:</w:t>
      </w:r>
    </w:p>
    <w:p>
      <w:pPr>
        <w:spacing w:after="0" w:line="89" w:lineRule="exact"/>
        <w:rPr>
          <w:sz w:val="20"/>
          <w:szCs w:val="20"/>
          <w:color w:val="auto"/>
        </w:rPr>
      </w:pPr>
    </w:p>
    <w:p>
      <w:pPr>
        <w:ind w:left="960" w:hanging="532"/>
        <w:spacing w:after="0"/>
        <w:tabs>
          <w:tab w:leader="none" w:pos="9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If to Warrantholder:</w:t>
      </w:r>
    </w:p>
    <w:p>
      <w:pPr>
        <w:spacing w:after="0" w:line="117" w:lineRule="exact"/>
        <w:rPr>
          <w:rFonts w:ascii="Arial" w:cs="Arial" w:eastAsia="Arial" w:hAnsi="Arial"/>
          <w:sz w:val="18"/>
          <w:szCs w:val="18"/>
          <w:color w:val="auto"/>
        </w:rPr>
      </w:pPr>
    </w:p>
    <w:p>
      <w:pPr>
        <w:ind w:left="980" w:right="7700"/>
        <w:spacing w:after="0" w:line="301" w:lineRule="auto"/>
        <w:rPr>
          <w:rFonts w:ascii="Arial" w:cs="Arial" w:eastAsia="Arial" w:hAnsi="Arial"/>
          <w:sz w:val="18"/>
          <w:szCs w:val="18"/>
          <w:color w:val="auto"/>
        </w:rPr>
      </w:pPr>
      <w:r>
        <w:rPr>
          <w:rFonts w:ascii="Arial" w:cs="Arial" w:eastAsia="Arial" w:hAnsi="Arial"/>
          <w:sz w:val="16"/>
          <w:szCs w:val="16"/>
          <w:color w:val="auto"/>
        </w:rPr>
        <w:t>Bristol-Myers Squibb Company 430 E. 29th Street, 14th Floor New York, NY 10016 Attention: General Counsel</w:t>
      </w:r>
    </w:p>
    <w:p>
      <w:pPr>
        <w:spacing w:after="0" w:line="4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with a copy to (which shall not constitute notice):</w:t>
      </w:r>
    </w:p>
    <w:p>
      <w:pPr>
        <w:spacing w:after="0" w:line="117" w:lineRule="exact"/>
        <w:rPr>
          <w:rFonts w:ascii="Arial" w:cs="Arial" w:eastAsia="Arial" w:hAnsi="Arial"/>
          <w:sz w:val="18"/>
          <w:szCs w:val="18"/>
          <w:color w:val="auto"/>
        </w:rPr>
      </w:pPr>
    </w:p>
    <w:p>
      <w:pPr>
        <w:ind w:left="980" w:right="7600"/>
        <w:spacing w:after="0" w:line="279" w:lineRule="auto"/>
        <w:rPr>
          <w:rFonts w:ascii="Arial" w:cs="Arial" w:eastAsia="Arial" w:hAnsi="Arial"/>
          <w:sz w:val="18"/>
          <w:szCs w:val="18"/>
          <w:color w:val="auto"/>
        </w:rPr>
      </w:pPr>
      <w:r>
        <w:rPr>
          <w:rFonts w:ascii="Arial" w:cs="Arial" w:eastAsia="Arial" w:hAnsi="Arial"/>
          <w:sz w:val="17"/>
          <w:szCs w:val="17"/>
          <w:color w:val="auto"/>
        </w:rPr>
        <w:t>Bristol-Myers Squibb Company Route 206 &amp; Province Line Road Princeton, NJ 08543-4000 Attn: Andrew Fedder, Esq.</w:t>
      </w:r>
    </w:p>
    <w:p>
      <w:pPr>
        <w:spacing w:after="0" w:line="6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and</w:t>
      </w:r>
    </w:p>
    <w:p>
      <w:pPr>
        <w:spacing w:after="0" w:line="117" w:lineRule="exact"/>
        <w:rPr>
          <w:rFonts w:ascii="Arial" w:cs="Arial" w:eastAsia="Arial" w:hAnsi="Arial"/>
          <w:sz w:val="18"/>
          <w:szCs w:val="18"/>
          <w:color w:val="auto"/>
        </w:rPr>
      </w:pPr>
    </w:p>
    <w:p>
      <w:pPr>
        <w:ind w:left="980" w:right="8100"/>
        <w:spacing w:after="0" w:line="258" w:lineRule="auto"/>
        <w:rPr>
          <w:rFonts w:ascii="Arial" w:cs="Arial" w:eastAsia="Arial" w:hAnsi="Arial"/>
          <w:sz w:val="18"/>
          <w:szCs w:val="18"/>
          <w:color w:val="auto"/>
        </w:rPr>
      </w:pPr>
      <w:r>
        <w:rPr>
          <w:rFonts w:ascii="Arial" w:cs="Arial" w:eastAsia="Arial" w:hAnsi="Arial"/>
          <w:sz w:val="18"/>
          <w:szCs w:val="18"/>
          <w:color w:val="auto"/>
        </w:rPr>
        <w:t>Covington &amp; Burling LLP 620 Eighth Avenue</w:t>
      </w:r>
    </w:p>
    <w:p>
      <w:pPr>
        <w:spacing w:after="0" w:line="1" w:lineRule="exact"/>
        <w:rPr>
          <w:rFonts w:ascii="Arial" w:cs="Arial" w:eastAsia="Arial" w:hAnsi="Arial"/>
          <w:sz w:val="18"/>
          <w:szCs w:val="18"/>
          <w:color w:val="auto"/>
        </w:rPr>
      </w:pPr>
    </w:p>
    <w:p>
      <w:pPr>
        <w:ind w:left="980" w:right="8020"/>
        <w:spacing w:after="0" w:line="323" w:lineRule="auto"/>
        <w:rPr>
          <w:rFonts w:ascii="Arial" w:cs="Arial" w:eastAsia="Arial" w:hAnsi="Arial"/>
          <w:sz w:val="18"/>
          <w:szCs w:val="18"/>
          <w:color w:val="auto"/>
        </w:rPr>
      </w:pPr>
      <w:r>
        <w:rPr>
          <w:rFonts w:ascii="Arial" w:cs="Arial" w:eastAsia="Arial" w:hAnsi="Arial"/>
          <w:sz w:val="16"/>
          <w:szCs w:val="16"/>
          <w:color w:val="auto"/>
        </w:rPr>
        <w:t>New York, NY 10018-1405 Attn: Andrew Ment, Esq.</w:t>
      </w:r>
    </w:p>
    <w:p>
      <w:pPr>
        <w:spacing w:after="0" w:line="43" w:lineRule="exact"/>
        <w:rPr>
          <w:rFonts w:ascii="Arial" w:cs="Arial" w:eastAsia="Arial" w:hAnsi="Arial"/>
          <w:sz w:val="18"/>
          <w:szCs w:val="18"/>
          <w:color w:val="auto"/>
        </w:rPr>
      </w:pPr>
    </w:p>
    <w:p>
      <w:pPr>
        <w:ind w:left="960" w:hanging="532"/>
        <w:spacing w:after="0"/>
        <w:tabs>
          <w:tab w:leader="none" w:pos="9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11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color w:val="auto"/>
        </w:rPr>
        <w:t>Repare Therapeutics Inc.</w:t>
      </w:r>
    </w:p>
    <w:p>
      <w:pPr>
        <w:spacing w:after="0" w:line="27" w:lineRule="exact"/>
        <w:rPr>
          <w:rFonts w:ascii="Arial" w:cs="Arial" w:eastAsia="Arial" w:hAnsi="Arial"/>
          <w:sz w:val="18"/>
          <w:szCs w:val="18"/>
          <w:color w:val="auto"/>
        </w:rPr>
      </w:pPr>
    </w:p>
    <w:p>
      <w:pPr>
        <w:jc w:val="both"/>
        <w:ind w:left="980" w:right="7620"/>
        <w:spacing w:after="0" w:line="277" w:lineRule="auto"/>
        <w:rPr>
          <w:rFonts w:ascii="Arial" w:cs="Arial" w:eastAsia="Arial" w:hAnsi="Arial"/>
          <w:sz w:val="18"/>
          <w:szCs w:val="18"/>
          <w:color w:val="auto"/>
        </w:rPr>
      </w:pPr>
      <w:r>
        <w:rPr>
          <w:rFonts w:ascii="Arial" w:cs="Arial" w:eastAsia="Arial" w:hAnsi="Arial"/>
          <w:sz w:val="17"/>
          <w:szCs w:val="17"/>
          <w:color w:val="auto"/>
        </w:rPr>
        <w:t>100-7210 Rue Frederick-Banting Saint-Laurent, Québec H4S 2A1 Attention: Kim Seth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75" w:name="page376"/>
    <w:bookmarkEnd w:id="375"/>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a copy to (which shall not constitute notice):</w:t>
      </w:r>
    </w:p>
    <w:p>
      <w:pPr>
        <w:spacing w:after="0" w:line="113"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Stikeman Elliott LLP</w:t>
      </w:r>
    </w:p>
    <w:p>
      <w:pPr>
        <w:spacing w:after="0" w:line="2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1155 René-Lévesque Blvd. West, #4100</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Montreal, Québec H3B 3V2</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Attention: Sidney Horn / Robert Carelli / Jeremy Sculnick</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6"/>
          <w:szCs w:val="16"/>
          <w:color w:val="auto"/>
        </w:rPr>
        <w:t>Any such notice, demand, request, consent, approval, declaration, service of process or other communication notice is deemed to be given and received</w:t>
      </w:r>
    </w:p>
    <w:p>
      <w:pPr>
        <w:spacing w:after="0" w:line="46" w:lineRule="exact"/>
        <w:rPr>
          <w:sz w:val="20"/>
          <w:szCs w:val="20"/>
          <w:color w:val="auto"/>
        </w:rPr>
      </w:pPr>
    </w:p>
    <w:p>
      <w:pPr>
        <w:ind w:left="4" w:right="40" w:hanging="4"/>
        <w:spacing w:after="0" w:line="252" w:lineRule="auto"/>
        <w:tabs>
          <w:tab w:leader="none" w:pos="21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if sent by personal delivery or courier, on the date of delivery if it is a business day and the delivery was made prior to 4:00 p.m. (local time in place of receipt) and otherwise on the next business day, or (ii) if sent by email, upon receipt by sender of confirmation of receipt by the recipient, which confirmation shall be promptly by recipient if so requested by sender in the applicable notice or in a subsequent communication. A party may change its address for service from time to time by providing a notice in accordance with the foregoing. Any subsequent notice, direction or other communication must be sent to the party at its changed address. Any element of a party’s address that is not specifically changed in a notice will be assumed not to be changed.</w:t>
      </w:r>
    </w:p>
    <w:p>
      <w:pPr>
        <w:spacing w:after="0" w:line="194" w:lineRule="exact"/>
        <w:rPr>
          <w:sz w:val="20"/>
          <w:szCs w:val="20"/>
          <w:color w:val="auto"/>
        </w:rPr>
      </w:pPr>
    </w:p>
    <w:p>
      <w:pPr>
        <w:jc w:val="both"/>
        <w:ind w:left="4" w:right="80"/>
        <w:spacing w:after="0" w:line="259"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xml:space="preserve"> This Agreement constitutes the entire agreement and understanding of the parties hereto in respect of the subject matter hereto and supersedes and replaces in their entirety any prior proposals, negotiations or other documents or agreements, whether written or oral, with respect to the subject matter hereof. None of the terms of this Agreement may be amended except by an instrument executed by each of the parties hereto.</w:t>
      </w:r>
    </w:p>
    <w:p>
      <w:pPr>
        <w:spacing w:after="0" w:line="187"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Headings</w:t>
      </w:r>
      <w:r>
        <w:rPr>
          <w:rFonts w:ascii="Arial" w:cs="Arial" w:eastAsia="Arial" w:hAnsi="Arial"/>
          <w:sz w:val="18"/>
          <w:szCs w:val="18"/>
          <w:color w:val="auto"/>
        </w:rPr>
        <w:t>. The various headings in this Agreement are inserted for convenience only and shall not affect the meaning or interpretation of this Agreement or any provisions hereof.</w:t>
      </w:r>
    </w:p>
    <w:p>
      <w:pPr>
        <w:spacing w:after="0" w:line="170" w:lineRule="exact"/>
        <w:rPr>
          <w:sz w:val="20"/>
          <w:szCs w:val="20"/>
          <w:color w:val="auto"/>
        </w:rPr>
      </w:pPr>
    </w:p>
    <w:p>
      <w:pPr>
        <w:jc w:val="both"/>
        <w:ind w:left="4" w:right="140"/>
        <w:spacing w:after="0" w:line="286"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No Strict Construction</w:t>
      </w:r>
      <w:r>
        <w:rPr>
          <w:rFonts w:ascii="Arial" w:cs="Arial" w:eastAsia="Arial" w:hAnsi="Arial"/>
          <w:sz w:val="17"/>
          <w:szCs w:val="17"/>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65" w:lineRule="exact"/>
        <w:rPr>
          <w:sz w:val="20"/>
          <w:szCs w:val="20"/>
          <w:color w:val="auto"/>
        </w:rPr>
      </w:pPr>
    </w:p>
    <w:p>
      <w:pPr>
        <w:ind w:left="4" w:right="160"/>
        <w:spacing w:after="0" w:line="286"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No Waiver</w:t>
      </w:r>
      <w:r>
        <w:rPr>
          <w:rFonts w:ascii="Arial" w:cs="Arial" w:eastAsia="Arial" w:hAnsi="Arial"/>
          <w:sz w:val="17"/>
          <w:szCs w:val="17"/>
          <w:color w:val="auto"/>
        </w:rPr>
        <w:t>. No omission or delay by the Warrantholder at any time to enforce any right or remedy reserved to it, or to require performance of any of the terms, covenants or provisions hereof by the Company at any time designated, shall be a waiver of any such right or remedy to which the Warrantholder is entitled, nor shall it in any way affect the right of the Warrantholder to enforce such provisions thereafter.</w:t>
      </w:r>
    </w:p>
    <w:p>
      <w:pPr>
        <w:spacing w:after="0" w:line="165"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Survival</w:t>
      </w:r>
      <w:r>
        <w:rPr>
          <w:rFonts w:ascii="Arial" w:cs="Arial" w:eastAsia="Arial" w:hAnsi="Arial"/>
          <w:sz w:val="18"/>
          <w:szCs w:val="18"/>
          <w:color w:val="auto"/>
        </w:rPr>
        <w:t>. All agreements, representations and warranties contained in this Agreement or in any document delivered pursuant hereto shall survive the execution and delivery of this Agreement and the expiration or other termination of this Agreement.</w:t>
      </w:r>
    </w:p>
    <w:p>
      <w:pPr>
        <w:spacing w:after="0" w:line="170"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and construed in accordance with the laws of the Province of Quebec and the federal laws of Canada applicable therein.</w:t>
      </w:r>
    </w:p>
    <w:p>
      <w:pPr>
        <w:spacing w:after="0" w:line="170"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p>
    <w:p>
      <w:pPr>
        <w:spacing w:after="0" w:line="18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376" w:name="page377"/>
    <w:bookmarkEnd w:id="376"/>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Agreement to be executed by its officers thereunto duly authorized as of the Effective Date.</w:t>
      </w:r>
    </w:p>
    <w:p>
      <w:pPr>
        <w:spacing w:after="0" w:line="193"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Arial" w:cs="Arial" w:eastAsia="Arial" w:hAnsi="Arial"/>
                <w:sz w:val="18"/>
                <w:szCs w:val="18"/>
                <w:color w:val="auto"/>
              </w:rPr>
              <w:t>COMPANY:</w:t>
            </w:r>
          </w:p>
        </w:tc>
        <w:tc>
          <w:tcPr>
            <w:tcW w:w="7480" w:type="dxa"/>
            <w:vAlign w:val="bottom"/>
            <w:gridSpan w:val="3"/>
          </w:tcPr>
          <w:p>
            <w:pPr>
              <w:ind w:left="1520"/>
              <w:spacing w:after="0"/>
              <w:rPr>
                <w:sz w:val="20"/>
                <w:szCs w:val="20"/>
                <w:color w:val="auto"/>
              </w:rPr>
            </w:pPr>
            <w:r>
              <w:rPr>
                <w:rFonts w:ascii="Arial" w:cs="Arial" w:eastAsia="Arial" w:hAnsi="Arial"/>
                <w:sz w:val="18"/>
                <w:szCs w:val="18"/>
                <w:b w:val="1"/>
                <w:bCs w:val="1"/>
                <w:color w:val="auto"/>
              </w:rPr>
              <w:t>REPARE THERAPEUTICS INC.</w:t>
            </w:r>
          </w:p>
        </w:tc>
      </w:tr>
      <w:tr>
        <w:trPr>
          <w:trHeight w:val="432"/>
        </w:trPr>
        <w:tc>
          <w:tcPr>
            <w:tcW w:w="3180" w:type="dxa"/>
            <w:vAlign w:val="bottom"/>
          </w:tcPr>
          <w:p>
            <w:pPr>
              <w:spacing w:after="0"/>
              <w:rPr>
                <w:sz w:val="24"/>
                <w:szCs w:val="24"/>
                <w:color w:val="auto"/>
              </w:rPr>
            </w:pPr>
          </w:p>
        </w:tc>
        <w:tc>
          <w:tcPr>
            <w:tcW w:w="1960" w:type="dxa"/>
            <w:vAlign w:val="bottom"/>
          </w:tcPr>
          <w:p>
            <w:pPr>
              <w:ind w:left="152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Lloyd Segal</w:t>
            </w:r>
          </w:p>
        </w:tc>
      </w:tr>
      <w:tr>
        <w:trPr>
          <w:trHeight w:val="209"/>
        </w:trPr>
        <w:tc>
          <w:tcPr>
            <w:tcW w:w="3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Pr>
          <w:p>
            <w:pPr>
              <w:ind w:left="100"/>
              <w:spacing w:after="0"/>
              <w:rPr>
                <w:sz w:val="20"/>
                <w:szCs w:val="20"/>
                <w:color w:val="auto"/>
              </w:rPr>
            </w:pPr>
            <w:r>
              <w:rPr>
                <w:rFonts w:ascii="Arial" w:cs="Arial" w:eastAsia="Arial" w:hAnsi="Arial"/>
                <w:sz w:val="18"/>
                <w:szCs w:val="18"/>
                <w:color w:val="auto"/>
              </w:rPr>
              <w:t>Lloyd Segal</w:t>
            </w:r>
          </w:p>
        </w:tc>
      </w:tr>
      <w:tr>
        <w:trPr>
          <w:trHeight w:val="230"/>
        </w:trPr>
        <w:tc>
          <w:tcPr>
            <w:tcW w:w="3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President and CEO</w:t>
            </w:r>
          </w:p>
        </w:tc>
      </w:tr>
      <w:tr>
        <w:trPr>
          <w:trHeight w:val="414"/>
        </w:trPr>
        <w:tc>
          <w:tcPr>
            <w:tcW w:w="3180" w:type="dxa"/>
            <w:vAlign w:val="bottom"/>
          </w:tcPr>
          <w:p>
            <w:pPr>
              <w:spacing w:after="0"/>
              <w:rPr>
                <w:sz w:val="20"/>
                <w:szCs w:val="20"/>
                <w:color w:val="auto"/>
              </w:rPr>
            </w:pPr>
            <w:r>
              <w:rPr>
                <w:rFonts w:ascii="Arial" w:cs="Arial" w:eastAsia="Arial" w:hAnsi="Arial"/>
                <w:sz w:val="18"/>
                <w:szCs w:val="18"/>
                <w:color w:val="auto"/>
              </w:rPr>
              <w:t>WARRANTHOLDER:</w:t>
            </w:r>
          </w:p>
        </w:tc>
        <w:tc>
          <w:tcPr>
            <w:tcW w:w="7480" w:type="dxa"/>
            <w:vAlign w:val="bottom"/>
            <w:gridSpan w:val="3"/>
          </w:tcPr>
          <w:p>
            <w:pPr>
              <w:ind w:left="1520"/>
              <w:spacing w:after="0"/>
              <w:rPr>
                <w:sz w:val="20"/>
                <w:szCs w:val="20"/>
                <w:color w:val="auto"/>
              </w:rPr>
            </w:pPr>
            <w:r>
              <w:rPr>
                <w:rFonts w:ascii="Arial" w:cs="Arial" w:eastAsia="Arial" w:hAnsi="Arial"/>
                <w:sz w:val="18"/>
                <w:szCs w:val="18"/>
                <w:b w:val="1"/>
                <w:bCs w:val="1"/>
                <w:color w:val="auto"/>
              </w:rPr>
              <w:t>BMS STRATEGIC PORTFOLIO</w:t>
            </w:r>
          </w:p>
        </w:tc>
      </w:tr>
      <w:tr>
        <w:trPr>
          <w:trHeight w:val="234"/>
        </w:trPr>
        <w:tc>
          <w:tcPr>
            <w:tcW w:w="3180" w:type="dxa"/>
            <w:vAlign w:val="bottom"/>
          </w:tcPr>
          <w:p>
            <w:pPr>
              <w:spacing w:after="0"/>
              <w:rPr>
                <w:sz w:val="20"/>
                <w:szCs w:val="20"/>
                <w:color w:val="auto"/>
              </w:rPr>
            </w:pPr>
          </w:p>
        </w:tc>
        <w:tc>
          <w:tcPr>
            <w:tcW w:w="7480" w:type="dxa"/>
            <w:vAlign w:val="bottom"/>
            <w:gridSpan w:val="3"/>
          </w:tcPr>
          <w:p>
            <w:pPr>
              <w:ind w:left="1520"/>
              <w:spacing w:after="0"/>
              <w:rPr>
                <w:sz w:val="20"/>
                <w:szCs w:val="20"/>
                <w:color w:val="auto"/>
              </w:rPr>
            </w:pPr>
            <w:r>
              <w:rPr>
                <w:rFonts w:ascii="Arial" w:cs="Arial" w:eastAsia="Arial" w:hAnsi="Arial"/>
                <w:sz w:val="18"/>
                <w:szCs w:val="18"/>
                <w:b w:val="1"/>
                <w:bCs w:val="1"/>
                <w:color w:val="auto"/>
              </w:rPr>
              <w:t>INVESTMENTS HOLDINGS, INC.</w:t>
            </w:r>
          </w:p>
        </w:tc>
      </w:tr>
      <w:tr>
        <w:trPr>
          <w:trHeight w:val="445"/>
        </w:trPr>
        <w:tc>
          <w:tcPr>
            <w:tcW w:w="3180" w:type="dxa"/>
            <w:vAlign w:val="bottom"/>
          </w:tcPr>
          <w:p>
            <w:pPr>
              <w:spacing w:after="0"/>
              <w:rPr>
                <w:sz w:val="24"/>
                <w:szCs w:val="24"/>
                <w:color w:val="auto"/>
              </w:rPr>
            </w:pPr>
          </w:p>
        </w:tc>
        <w:tc>
          <w:tcPr>
            <w:tcW w:w="1960" w:type="dxa"/>
            <w:vAlign w:val="bottom"/>
          </w:tcPr>
          <w:p>
            <w:pPr>
              <w:ind w:left="152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Rupert Vessey</w:t>
            </w:r>
          </w:p>
        </w:tc>
      </w:tr>
      <w:tr>
        <w:trPr>
          <w:trHeight w:val="209"/>
        </w:trPr>
        <w:tc>
          <w:tcPr>
            <w:tcW w:w="3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Pr>
          <w:p>
            <w:pPr>
              <w:ind w:left="100"/>
              <w:spacing w:after="0"/>
              <w:rPr>
                <w:sz w:val="20"/>
                <w:szCs w:val="20"/>
                <w:color w:val="auto"/>
              </w:rPr>
            </w:pPr>
            <w:r>
              <w:rPr>
                <w:rFonts w:ascii="Arial" w:cs="Arial" w:eastAsia="Arial" w:hAnsi="Arial"/>
                <w:sz w:val="18"/>
                <w:szCs w:val="18"/>
                <w:color w:val="auto"/>
              </w:rPr>
              <w:t>Rupert Vessey</w:t>
            </w:r>
          </w:p>
        </w:tc>
      </w:tr>
      <w:tr>
        <w:trPr>
          <w:trHeight w:val="230"/>
        </w:trPr>
        <w:tc>
          <w:tcPr>
            <w:tcW w:w="3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EVP</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 Warrant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377" w:name="page378"/>
    <w:bookmarkEnd w:id="3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AMENDED AND RESTATED ARTICLES OF INCORPORATION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attached</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378" w:name="page379"/>
    <w:bookmarkEnd w:id="3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THIRD AMENDED AND RESTATED UNANIMOUS SHAREHOLDERS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attached</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379" w:name="page380"/>
    <w:bookmarkEnd w:id="37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SECOND AMENDED AND RESTATED REGISTRATION RIGHTS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attached</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380" w:name="page381"/>
    <w:bookmarkEnd w:id="38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TRANSFER NOTICE</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transfer or assign the foregoing Agreement execute this form and supply required information. Do not use this form in connection with the exercise of the foregoing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the foregoing Agreement and all rights evidenced thereby are hereby transferred and assigned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279463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(Please Print)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242570</wp:posOffset>
            </wp:positionV>
            <wp:extent cx="274320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74320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36830</wp:posOffset>
            </wp:positionV>
            <wp:extent cx="190309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5715</wp:posOffset>
            </wp:positionV>
            <wp:extent cx="212598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9463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Holders’s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29210</wp:posOffset>
            </wp:positionV>
            <wp:extent cx="16973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220345</wp:posOffset>
            </wp:positionV>
            <wp:extent cx="275145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226" w:lineRule="exact"/>
        <w:rPr>
          <w:sz w:val="20"/>
          <w:szCs w:val="20"/>
          <w:color w:val="auto"/>
        </w:rPr>
      </w:pPr>
    </w:p>
    <w:p>
      <w:pPr>
        <w:sectPr>
          <w:pgSz w:w="11900" w:h="16838" w:orient="portrait"/>
          <w:cols w:equalWidth="0" w:num="2">
            <w:col w:w="5900" w:space="720"/>
            <w:col w:w="4360"/>
          </w:cols>
          <w:pgMar w:left="440" w:top="270" w:right="479" w:bottom="1440" w:gutter="0" w:footer="0" w:header="0"/>
          <w:type w:val="continuous"/>
        </w:sectPr>
      </w:pPr>
    </w:p>
    <w:p>
      <w:pPr>
        <w:spacing w:after="0" w:line="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NOTE; The signature to this Transfer Notice must correspond with the name as it appears on the face of the Agreement, without alteration or enlargement or any change whatever. Officers of corporations and those acting in a fiduciary or other representative capacity should file proper evidence of authority to assign the foregoing Agreement.</w:t>
      </w:r>
    </w:p>
    <w:p>
      <w:pPr>
        <w:sectPr>
          <w:pgSz w:w="11900" w:h="16838" w:orient="portrait"/>
          <w:cols w:equalWidth="0" w:num="1">
            <w:col w:w="10980"/>
          </w:cols>
          <w:pgMar w:left="440" w:top="270" w:right="479" w:bottom="1440" w:gutter="0" w:footer="0" w:header="0"/>
          <w:type w:val="continuous"/>
        </w:sectPr>
      </w:pPr>
    </w:p>
    <w:bookmarkStart w:id="381" w:name="page382"/>
    <w:bookmarkEnd w:id="381"/>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REPARE THERAPEUTICS INC.</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AMENDED AND RESTATED OPTION PLAN</w:t>
      </w:r>
    </w:p>
    <w:p>
      <w:pPr>
        <w:sectPr>
          <w:pgSz w:w="11900" w:h="16838" w:orient="portrait"/>
          <w:cols w:equalWidth="0" w:num="1">
            <w:col w:w="10020"/>
          </w:cols>
          <w:pgMar w:left="1440" w:top="121" w:right="439" w:bottom="1440" w:gutter="0" w:footer="0" w:header="0"/>
        </w:sectPr>
      </w:pPr>
    </w:p>
    <w:bookmarkStart w:id="382" w:name="page383"/>
    <w:bookmarkEnd w:id="38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7860" w:type="dxa"/>
            <w:vAlign w:val="bottom"/>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0"/>
                <w:szCs w:val="20"/>
                <w:color w:val="auto"/>
              </w:rPr>
            </w:pPr>
          </w:p>
        </w:tc>
      </w:tr>
      <w:tr>
        <w:trPr>
          <w:trHeight w:val="445"/>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SECTION 1. INTERPRETATION AND ADMINISTRATIVE PROVISIONS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1.1</w:t>
            </w:r>
          </w:p>
        </w:tc>
        <w:tc>
          <w:tcPr>
            <w:tcW w:w="7860" w:type="dxa"/>
            <w:vAlign w:val="bottom"/>
          </w:tcPr>
          <w:p>
            <w:pPr>
              <w:ind w:left="100"/>
              <w:spacing w:after="0"/>
              <w:rPr>
                <w:sz w:val="20"/>
                <w:szCs w:val="20"/>
                <w:color w:val="auto"/>
              </w:rPr>
            </w:pPr>
            <w:r>
              <w:rPr>
                <w:rFonts w:ascii="Arial" w:cs="Arial" w:eastAsia="Arial" w:hAnsi="Arial"/>
                <w:sz w:val="18"/>
                <w:szCs w:val="18"/>
                <w:color w:val="auto"/>
              </w:rPr>
              <w:t>Purpose</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1.2</w:t>
            </w:r>
          </w:p>
        </w:tc>
        <w:tc>
          <w:tcPr>
            <w:tcW w:w="786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1.3</w:t>
            </w:r>
          </w:p>
        </w:tc>
        <w:tc>
          <w:tcPr>
            <w:tcW w:w="7860" w:type="dxa"/>
            <w:vAlign w:val="bottom"/>
          </w:tcPr>
          <w:p>
            <w:pPr>
              <w:ind w:left="100"/>
              <w:spacing w:after="0"/>
              <w:rPr>
                <w:sz w:val="20"/>
                <w:szCs w:val="20"/>
                <w:color w:val="auto"/>
              </w:rPr>
            </w:pPr>
            <w:r>
              <w:rPr>
                <w:rFonts w:ascii="Arial" w:cs="Arial" w:eastAsia="Arial" w:hAnsi="Arial"/>
                <w:sz w:val="18"/>
                <w:szCs w:val="18"/>
                <w:color w:val="auto"/>
              </w:rPr>
              <w:t>Administration</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1.4</w:t>
            </w:r>
          </w:p>
        </w:tc>
        <w:tc>
          <w:tcPr>
            <w:tcW w:w="786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1.5</w:t>
            </w:r>
          </w:p>
        </w:tc>
        <w:tc>
          <w:tcPr>
            <w:tcW w:w="7860" w:type="dxa"/>
            <w:vAlign w:val="bottom"/>
          </w:tcPr>
          <w:p>
            <w:pPr>
              <w:ind w:left="100"/>
              <w:spacing w:after="0"/>
              <w:rPr>
                <w:sz w:val="20"/>
                <w:szCs w:val="20"/>
                <w:color w:val="auto"/>
              </w:rPr>
            </w:pPr>
            <w:r>
              <w:rPr>
                <w:rFonts w:ascii="Arial" w:cs="Arial" w:eastAsia="Arial" w:hAnsi="Arial"/>
                <w:sz w:val="18"/>
                <w:szCs w:val="18"/>
                <w:color w:val="auto"/>
              </w:rPr>
              <w:t>Section 409A</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60" w:type="dxa"/>
            <w:vAlign w:val="bottom"/>
          </w:tcPr>
          <w:p>
            <w:pPr>
              <w:ind w:left="360"/>
              <w:spacing w:after="0"/>
              <w:rPr>
                <w:sz w:val="20"/>
                <w:szCs w:val="20"/>
                <w:color w:val="auto"/>
              </w:rPr>
            </w:pPr>
            <w:r>
              <w:rPr>
                <w:rFonts w:ascii="Arial" w:cs="Arial" w:eastAsia="Arial" w:hAnsi="Arial"/>
                <w:sz w:val="18"/>
                <w:szCs w:val="18"/>
                <w:color w:val="auto"/>
              </w:rPr>
              <w:t>1.6</w:t>
            </w:r>
          </w:p>
        </w:tc>
        <w:tc>
          <w:tcPr>
            <w:tcW w:w="7860" w:type="dxa"/>
            <w:vAlign w:val="bottom"/>
          </w:tcPr>
          <w:p>
            <w:pPr>
              <w:ind w:left="100"/>
              <w:spacing w:after="0"/>
              <w:rPr>
                <w:sz w:val="20"/>
                <w:szCs w:val="20"/>
                <w:color w:val="auto"/>
              </w:rPr>
            </w:pPr>
            <w:r>
              <w:rPr>
                <w:rFonts w:ascii="Arial" w:cs="Arial" w:eastAsia="Arial" w:hAnsi="Arial"/>
                <w:sz w:val="18"/>
                <w:szCs w:val="18"/>
                <w:color w:val="auto"/>
              </w:rPr>
              <w:t>Shares Reserved for Issuance</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SECTION 2. OPTIONS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2.1</w:t>
            </w:r>
          </w:p>
        </w:tc>
        <w:tc>
          <w:tcPr>
            <w:tcW w:w="7860" w:type="dxa"/>
            <w:vAlign w:val="bottom"/>
          </w:tcPr>
          <w:p>
            <w:pPr>
              <w:ind w:left="100"/>
              <w:spacing w:after="0"/>
              <w:rPr>
                <w:sz w:val="20"/>
                <w:szCs w:val="20"/>
                <w:color w:val="auto"/>
              </w:rPr>
            </w:pPr>
            <w:r>
              <w:rPr>
                <w:rFonts w:ascii="Arial" w:cs="Arial" w:eastAsia="Arial" w:hAnsi="Arial"/>
                <w:sz w:val="18"/>
                <w:szCs w:val="18"/>
                <w:color w:val="auto"/>
              </w:rPr>
              <w:t>Grant of Options</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2.2</w:t>
            </w:r>
          </w:p>
        </w:tc>
        <w:tc>
          <w:tcPr>
            <w:tcW w:w="7860" w:type="dxa"/>
            <w:vAlign w:val="bottom"/>
          </w:tcPr>
          <w:p>
            <w:pPr>
              <w:ind w:left="100"/>
              <w:spacing w:after="0"/>
              <w:rPr>
                <w:sz w:val="20"/>
                <w:szCs w:val="20"/>
                <w:color w:val="auto"/>
              </w:rPr>
            </w:pPr>
            <w:r>
              <w:rPr>
                <w:rFonts w:ascii="Arial" w:cs="Arial" w:eastAsia="Arial" w:hAnsi="Arial"/>
                <w:sz w:val="18"/>
                <w:szCs w:val="18"/>
                <w:color w:val="auto"/>
              </w:rPr>
              <w:t>Incentive Stock Options</w:t>
            </w:r>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2.3</w:t>
            </w:r>
          </w:p>
        </w:tc>
        <w:tc>
          <w:tcPr>
            <w:tcW w:w="7860" w:type="dxa"/>
            <w:vAlign w:val="bottom"/>
          </w:tcPr>
          <w:p>
            <w:pPr>
              <w:ind w:left="100"/>
              <w:spacing w:after="0"/>
              <w:rPr>
                <w:sz w:val="20"/>
                <w:szCs w:val="20"/>
                <w:color w:val="auto"/>
              </w:rPr>
            </w:pPr>
            <w:r>
              <w:rPr>
                <w:rFonts w:ascii="Arial" w:cs="Arial" w:eastAsia="Arial" w:hAnsi="Arial"/>
                <w:sz w:val="18"/>
                <w:szCs w:val="18"/>
                <w:color w:val="auto"/>
              </w:rPr>
              <w:t>Prohibition on Transfer or Assignment of Options</w:t>
            </w:r>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2.4</w:t>
            </w:r>
          </w:p>
        </w:tc>
        <w:tc>
          <w:tcPr>
            <w:tcW w:w="7860" w:type="dxa"/>
            <w:vAlign w:val="bottom"/>
          </w:tcPr>
          <w:p>
            <w:pPr>
              <w:ind w:left="100"/>
              <w:spacing w:after="0"/>
              <w:rPr>
                <w:sz w:val="20"/>
                <w:szCs w:val="20"/>
                <w:color w:val="auto"/>
              </w:rPr>
            </w:pPr>
            <w:r>
              <w:rPr>
                <w:rFonts w:ascii="Arial" w:cs="Arial" w:eastAsia="Arial" w:hAnsi="Arial"/>
                <w:sz w:val="18"/>
                <w:szCs w:val="18"/>
                <w:color w:val="auto"/>
              </w:rPr>
              <w:t>Cessation of Employment</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2.5</w:t>
            </w:r>
          </w:p>
        </w:tc>
        <w:tc>
          <w:tcPr>
            <w:tcW w:w="7860" w:type="dxa"/>
            <w:vAlign w:val="bottom"/>
          </w:tcPr>
          <w:p>
            <w:pPr>
              <w:ind w:left="100"/>
              <w:spacing w:after="0"/>
              <w:rPr>
                <w:sz w:val="20"/>
                <w:szCs w:val="20"/>
                <w:color w:val="auto"/>
              </w:rPr>
            </w:pPr>
            <w:r>
              <w:rPr>
                <w:rFonts w:ascii="Arial" w:cs="Arial" w:eastAsia="Arial" w:hAnsi="Arial"/>
                <w:sz w:val="18"/>
                <w:szCs w:val="18"/>
                <w:color w:val="auto"/>
              </w:rPr>
              <w:t>End of Participation</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2.6</w:t>
            </w:r>
          </w:p>
        </w:tc>
        <w:tc>
          <w:tcPr>
            <w:tcW w:w="7860" w:type="dxa"/>
            <w:vAlign w:val="bottom"/>
          </w:tcPr>
          <w:p>
            <w:pPr>
              <w:ind w:left="100"/>
              <w:spacing w:after="0"/>
              <w:rPr>
                <w:sz w:val="20"/>
                <w:szCs w:val="20"/>
                <w:color w:val="auto"/>
              </w:rPr>
            </w:pPr>
            <w:r>
              <w:rPr>
                <w:rFonts w:ascii="Arial" w:cs="Arial" w:eastAsia="Arial" w:hAnsi="Arial"/>
                <w:sz w:val="18"/>
                <w:szCs w:val="18"/>
                <w:color w:val="auto"/>
              </w:rPr>
              <w:t>Liquidity Event</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2.7</w:t>
            </w:r>
          </w:p>
        </w:tc>
        <w:tc>
          <w:tcPr>
            <w:tcW w:w="7860" w:type="dxa"/>
            <w:vAlign w:val="bottom"/>
          </w:tcPr>
          <w:p>
            <w:pPr>
              <w:ind w:left="100"/>
              <w:spacing w:after="0"/>
              <w:rPr>
                <w:sz w:val="20"/>
                <w:szCs w:val="20"/>
                <w:color w:val="auto"/>
              </w:rPr>
            </w:pPr>
            <w:r>
              <w:rPr>
                <w:rFonts w:ascii="Arial" w:cs="Arial" w:eastAsia="Arial" w:hAnsi="Arial"/>
                <w:sz w:val="18"/>
                <w:szCs w:val="18"/>
                <w:color w:val="auto"/>
              </w:rPr>
              <w:t>Assumption or Substitution</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2.8</w:t>
            </w:r>
          </w:p>
        </w:tc>
        <w:tc>
          <w:tcPr>
            <w:tcW w:w="7860" w:type="dxa"/>
            <w:vAlign w:val="bottom"/>
          </w:tcPr>
          <w:p>
            <w:pPr>
              <w:ind w:left="100"/>
              <w:spacing w:after="0"/>
              <w:rPr>
                <w:sz w:val="20"/>
                <w:szCs w:val="20"/>
                <w:color w:val="auto"/>
              </w:rPr>
            </w:pPr>
            <w:r>
              <w:rPr>
                <w:rFonts w:ascii="Arial" w:cs="Arial" w:eastAsia="Arial" w:hAnsi="Arial"/>
                <w:sz w:val="18"/>
                <w:szCs w:val="18"/>
                <w:color w:val="auto"/>
              </w:rPr>
              <w:t>Agreements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2.9</w:t>
            </w:r>
          </w:p>
        </w:tc>
        <w:tc>
          <w:tcPr>
            <w:tcW w:w="7860" w:type="dxa"/>
            <w:vAlign w:val="bottom"/>
          </w:tcPr>
          <w:p>
            <w:pPr>
              <w:ind w:left="100"/>
              <w:spacing w:after="0"/>
              <w:rPr>
                <w:sz w:val="20"/>
                <w:szCs w:val="20"/>
                <w:color w:val="auto"/>
              </w:rPr>
            </w:pPr>
            <w:r>
              <w:rPr>
                <w:rFonts w:ascii="Arial" w:cs="Arial" w:eastAsia="Arial" w:hAnsi="Arial"/>
                <w:sz w:val="18"/>
                <w:szCs w:val="18"/>
                <w:color w:val="auto"/>
              </w:rPr>
              <w:t>Exercise of Option</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2.10</w:t>
            </w:r>
          </w:p>
        </w:tc>
        <w:tc>
          <w:tcPr>
            <w:tcW w:w="7860" w:type="dxa"/>
            <w:vAlign w:val="bottom"/>
          </w:tcPr>
          <w:p>
            <w:pPr>
              <w:ind w:left="100"/>
              <w:spacing w:after="0"/>
              <w:rPr>
                <w:sz w:val="20"/>
                <w:szCs w:val="20"/>
                <w:color w:val="auto"/>
              </w:rPr>
            </w:pPr>
            <w:r>
              <w:rPr>
                <w:rFonts w:ascii="Arial" w:cs="Arial" w:eastAsia="Arial" w:hAnsi="Arial"/>
                <w:sz w:val="18"/>
                <w:szCs w:val="18"/>
                <w:color w:val="auto"/>
              </w:rPr>
              <w:t>Cashless Exercise</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2.11</w:t>
            </w:r>
          </w:p>
        </w:tc>
        <w:tc>
          <w:tcPr>
            <w:tcW w:w="7860" w:type="dxa"/>
            <w:vAlign w:val="bottom"/>
          </w:tcPr>
          <w:p>
            <w:pPr>
              <w:ind w:left="100"/>
              <w:spacing w:after="0"/>
              <w:rPr>
                <w:sz w:val="20"/>
                <w:szCs w:val="20"/>
                <w:color w:val="auto"/>
              </w:rPr>
            </w:pPr>
            <w:r>
              <w:rPr>
                <w:rFonts w:ascii="Arial" w:cs="Arial" w:eastAsia="Arial" w:hAnsi="Arial"/>
                <w:sz w:val="18"/>
                <w:szCs w:val="18"/>
                <w:color w:val="auto"/>
              </w:rPr>
              <w:t>Notation on Share Certificates</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60" w:type="dxa"/>
            <w:vAlign w:val="bottom"/>
          </w:tcPr>
          <w:p>
            <w:pPr>
              <w:ind w:left="360"/>
              <w:spacing w:after="0"/>
              <w:rPr>
                <w:sz w:val="20"/>
                <w:szCs w:val="20"/>
                <w:color w:val="auto"/>
              </w:rPr>
            </w:pPr>
            <w:r>
              <w:rPr>
                <w:rFonts w:ascii="Arial" w:cs="Arial" w:eastAsia="Arial" w:hAnsi="Arial"/>
                <w:sz w:val="18"/>
                <w:szCs w:val="18"/>
                <w:color w:val="auto"/>
              </w:rPr>
              <w:t>2.12</w:t>
            </w:r>
          </w:p>
        </w:tc>
        <w:tc>
          <w:tcPr>
            <w:tcW w:w="7860" w:type="dxa"/>
            <w:vAlign w:val="bottom"/>
          </w:tcPr>
          <w:p>
            <w:pPr>
              <w:ind w:left="100"/>
              <w:spacing w:after="0"/>
              <w:rPr>
                <w:sz w:val="20"/>
                <w:szCs w:val="20"/>
                <w:color w:val="auto"/>
              </w:rPr>
            </w:pPr>
            <w:r>
              <w:rPr>
                <w:rFonts w:ascii="Arial" w:cs="Arial" w:eastAsia="Arial" w:hAnsi="Arial"/>
                <w:sz w:val="18"/>
                <w:szCs w:val="18"/>
                <w:color w:val="auto"/>
              </w:rPr>
              <w:t>Participants are not Shareholders</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SECTION 3. GENERAL</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3.1</w:t>
            </w:r>
          </w:p>
        </w:tc>
        <w:tc>
          <w:tcPr>
            <w:tcW w:w="7860" w:type="dxa"/>
            <w:vAlign w:val="bottom"/>
          </w:tcPr>
          <w:p>
            <w:pPr>
              <w:ind w:left="100"/>
              <w:spacing w:after="0"/>
              <w:rPr>
                <w:sz w:val="20"/>
                <w:szCs w:val="20"/>
                <w:color w:val="auto"/>
              </w:rPr>
            </w:pPr>
            <w:r>
              <w:rPr>
                <w:rFonts w:ascii="Arial" w:cs="Arial" w:eastAsia="Arial" w:hAnsi="Arial"/>
                <w:sz w:val="18"/>
                <w:szCs w:val="18"/>
                <w:color w:val="auto"/>
              </w:rPr>
              <w:t>Capital Adjustments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3.2</w:t>
            </w:r>
          </w:p>
        </w:tc>
        <w:tc>
          <w:tcPr>
            <w:tcW w:w="7860" w:type="dxa"/>
            <w:vAlign w:val="bottom"/>
          </w:tcPr>
          <w:p>
            <w:pPr>
              <w:ind w:left="100"/>
              <w:spacing w:after="0"/>
              <w:rPr>
                <w:sz w:val="20"/>
                <w:szCs w:val="20"/>
                <w:color w:val="auto"/>
              </w:rPr>
            </w:pPr>
            <w:r>
              <w:rPr>
                <w:rFonts w:ascii="Arial" w:cs="Arial" w:eastAsia="Arial" w:hAnsi="Arial"/>
                <w:sz w:val="18"/>
                <w:szCs w:val="18"/>
                <w:color w:val="auto"/>
              </w:rPr>
              <w:t>Non-Exclusivity</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3.3</w:t>
            </w:r>
          </w:p>
        </w:tc>
        <w:tc>
          <w:tcPr>
            <w:tcW w:w="7860" w:type="dxa"/>
            <w:vAlign w:val="bottom"/>
          </w:tcPr>
          <w:p>
            <w:pPr>
              <w:ind w:left="100"/>
              <w:spacing w:after="0"/>
              <w:rPr>
                <w:sz w:val="20"/>
                <w:szCs w:val="20"/>
                <w:color w:val="auto"/>
              </w:rPr>
            </w:pPr>
            <w:r>
              <w:rPr>
                <w:rFonts w:ascii="Arial" w:cs="Arial" w:eastAsia="Arial" w:hAnsi="Arial"/>
                <w:sz w:val="18"/>
                <w:szCs w:val="18"/>
                <w:color w:val="auto"/>
              </w:rPr>
              <w:t>Unfunded Plan</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3.4</w:t>
            </w:r>
          </w:p>
        </w:tc>
        <w:tc>
          <w:tcPr>
            <w:tcW w:w="786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3.5</w:t>
            </w:r>
          </w:p>
        </w:tc>
        <w:tc>
          <w:tcPr>
            <w:tcW w:w="7860" w:type="dxa"/>
            <w:vAlign w:val="bottom"/>
          </w:tcPr>
          <w:p>
            <w:pPr>
              <w:ind w:left="100"/>
              <w:spacing w:after="0"/>
              <w:rPr>
                <w:sz w:val="20"/>
                <w:szCs w:val="20"/>
                <w:color w:val="auto"/>
              </w:rPr>
            </w:pPr>
            <w:r>
              <w:rPr>
                <w:rFonts w:ascii="Arial" w:cs="Arial" w:eastAsia="Arial" w:hAnsi="Arial"/>
                <w:sz w:val="18"/>
                <w:szCs w:val="18"/>
                <w:color w:val="auto"/>
              </w:rPr>
              <w:t>Amendment and Termination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3.6</w:t>
            </w:r>
          </w:p>
        </w:tc>
        <w:tc>
          <w:tcPr>
            <w:tcW w:w="7860" w:type="dxa"/>
            <w:vAlign w:val="bottom"/>
          </w:tcPr>
          <w:p>
            <w:pPr>
              <w:ind w:left="100"/>
              <w:spacing w:after="0"/>
              <w:rPr>
                <w:sz w:val="20"/>
                <w:szCs w:val="20"/>
                <w:color w:val="auto"/>
              </w:rPr>
            </w:pPr>
            <w:r>
              <w:rPr>
                <w:rFonts w:ascii="Arial" w:cs="Arial" w:eastAsia="Arial" w:hAnsi="Arial"/>
                <w:sz w:val="18"/>
                <w:szCs w:val="18"/>
                <w:color w:val="auto"/>
              </w:rPr>
              <w:t>No Special Rights</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3.7</w:t>
            </w:r>
          </w:p>
        </w:tc>
        <w:tc>
          <w:tcPr>
            <w:tcW w:w="7860" w:type="dxa"/>
            <w:vAlign w:val="bottom"/>
          </w:tcPr>
          <w:p>
            <w:pPr>
              <w:ind w:left="100"/>
              <w:spacing w:after="0"/>
              <w:rPr>
                <w:sz w:val="20"/>
                <w:szCs w:val="20"/>
                <w:color w:val="auto"/>
              </w:rPr>
            </w:pPr>
            <w:r>
              <w:rPr>
                <w:rFonts w:ascii="Arial" w:cs="Arial" w:eastAsia="Arial" w:hAnsi="Arial"/>
                <w:sz w:val="18"/>
                <w:szCs w:val="18"/>
                <w:color w:val="auto"/>
              </w:rPr>
              <w:t>Other Employee Benefits</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3.8</w:t>
            </w:r>
          </w:p>
        </w:tc>
        <w:tc>
          <w:tcPr>
            <w:tcW w:w="7860" w:type="dxa"/>
            <w:vAlign w:val="bottom"/>
          </w:tcPr>
          <w:p>
            <w:pPr>
              <w:ind w:left="100"/>
              <w:spacing w:after="0"/>
              <w:rPr>
                <w:sz w:val="20"/>
                <w:szCs w:val="20"/>
                <w:color w:val="auto"/>
              </w:rPr>
            </w:pPr>
            <w:r>
              <w:rPr>
                <w:rFonts w:ascii="Arial" w:cs="Arial" w:eastAsia="Arial" w:hAnsi="Arial"/>
                <w:sz w:val="18"/>
                <w:szCs w:val="18"/>
                <w:color w:val="auto"/>
              </w:rPr>
              <w:t>Compliance with Legislation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3.9</w:t>
            </w:r>
          </w:p>
        </w:tc>
        <w:tc>
          <w:tcPr>
            <w:tcW w:w="7860" w:type="dxa"/>
            <w:vAlign w:val="bottom"/>
          </w:tcPr>
          <w:p>
            <w:pPr>
              <w:ind w:left="100"/>
              <w:spacing w:after="0"/>
              <w:rPr>
                <w:sz w:val="20"/>
                <w:szCs w:val="20"/>
                <w:color w:val="auto"/>
              </w:rPr>
            </w:pPr>
            <w:r>
              <w:rPr>
                <w:rFonts w:ascii="Arial" w:cs="Arial" w:eastAsia="Arial" w:hAnsi="Arial"/>
                <w:sz w:val="18"/>
                <w:szCs w:val="18"/>
                <w:color w:val="auto"/>
              </w:rPr>
              <w:t>Tax Consequences</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3.10</w:t>
            </w:r>
          </w:p>
        </w:tc>
        <w:tc>
          <w:tcPr>
            <w:tcW w:w="7860" w:type="dxa"/>
            <w:vAlign w:val="bottom"/>
          </w:tcPr>
          <w:p>
            <w:pPr>
              <w:ind w:left="100"/>
              <w:spacing w:after="0"/>
              <w:rPr>
                <w:sz w:val="20"/>
                <w:szCs w:val="20"/>
                <w:color w:val="auto"/>
              </w:rPr>
            </w:pPr>
            <w:r>
              <w:rPr>
                <w:rFonts w:ascii="Arial" w:cs="Arial" w:eastAsia="Arial" w:hAnsi="Arial"/>
                <w:sz w:val="18"/>
                <w:szCs w:val="18"/>
                <w:color w:val="auto"/>
              </w:rPr>
              <w:t>No Liability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3.11</w:t>
            </w:r>
          </w:p>
        </w:tc>
        <w:tc>
          <w:tcPr>
            <w:tcW w:w="7860" w:type="dxa"/>
            <w:vAlign w:val="bottom"/>
          </w:tcPr>
          <w:p>
            <w:pPr>
              <w:ind w:left="100"/>
              <w:spacing w:after="0"/>
              <w:rPr>
                <w:sz w:val="20"/>
                <w:szCs w:val="20"/>
                <w:color w:val="auto"/>
              </w:rPr>
            </w:pPr>
            <w:r>
              <w:rPr>
                <w:rFonts w:ascii="Arial" w:cs="Arial" w:eastAsia="Arial" w:hAnsi="Arial"/>
                <w:sz w:val="18"/>
                <w:szCs w:val="18"/>
                <w:color w:val="auto"/>
              </w:rPr>
              <w:t>Dispute Resolution</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3.12</w:t>
            </w:r>
          </w:p>
        </w:tc>
        <w:tc>
          <w:tcPr>
            <w:tcW w:w="7860" w:type="dxa"/>
            <w:vAlign w:val="bottom"/>
          </w:tcPr>
          <w:p>
            <w:pPr>
              <w:ind w:left="100"/>
              <w:spacing w:after="0"/>
              <w:rPr>
                <w:sz w:val="20"/>
                <w:szCs w:val="20"/>
                <w:color w:val="auto"/>
              </w:rPr>
            </w:pPr>
            <w:r>
              <w:rPr>
                <w:rFonts w:ascii="Arial" w:cs="Arial" w:eastAsia="Arial" w:hAnsi="Arial"/>
                <w:sz w:val="18"/>
                <w:szCs w:val="18"/>
                <w:color w:val="auto"/>
              </w:rPr>
              <w:t>Shareholder Approval</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3.13</w:t>
            </w:r>
          </w:p>
        </w:tc>
        <w:tc>
          <w:tcPr>
            <w:tcW w:w="7860" w:type="dxa"/>
            <w:vAlign w:val="bottom"/>
          </w:tcPr>
          <w:p>
            <w:pPr>
              <w:ind w:left="100"/>
              <w:spacing w:after="0"/>
              <w:rPr>
                <w:sz w:val="20"/>
                <w:szCs w:val="20"/>
                <w:color w:val="auto"/>
              </w:rPr>
            </w:pPr>
            <w:r>
              <w:rPr>
                <w:rFonts w:ascii="Arial" w:cs="Arial" w:eastAsia="Arial" w:hAnsi="Arial"/>
                <w:sz w:val="18"/>
                <w:szCs w:val="18"/>
                <w:color w:val="auto"/>
              </w:rPr>
              <w:t>Language</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60" w:type="dxa"/>
            <w:vAlign w:val="bottom"/>
          </w:tcPr>
          <w:p>
            <w:pPr>
              <w:ind w:left="360"/>
              <w:spacing w:after="0"/>
              <w:rPr>
                <w:sz w:val="20"/>
                <w:szCs w:val="20"/>
                <w:color w:val="auto"/>
              </w:rPr>
            </w:pPr>
            <w:r>
              <w:rPr>
                <w:rFonts w:ascii="Arial" w:cs="Arial" w:eastAsia="Arial" w:hAnsi="Arial"/>
                <w:sz w:val="18"/>
                <w:szCs w:val="18"/>
                <w:color w:val="auto"/>
              </w:rPr>
              <w:t>3.14</w:t>
            </w:r>
          </w:p>
        </w:tc>
        <w:tc>
          <w:tcPr>
            <w:tcW w:w="7860" w:type="dxa"/>
            <w:vAlign w:val="bottom"/>
          </w:tcPr>
          <w:p>
            <w:pPr>
              <w:ind w:left="100"/>
              <w:spacing w:after="0"/>
              <w:rPr>
                <w:sz w:val="20"/>
                <w:szCs w:val="20"/>
                <w:color w:val="auto"/>
              </w:rPr>
            </w:pPr>
            <w:r>
              <w:rPr>
                <w:rFonts w:ascii="Arial" w:cs="Arial" w:eastAsia="Arial" w:hAnsi="Arial"/>
                <w:sz w:val="18"/>
                <w:szCs w:val="18"/>
                <w:color w:val="auto"/>
              </w:rPr>
              <w:t>Effective Date</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83" w:name="page384"/>
    <w:bookmarkEnd w:id="38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OPTION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Interpretation and Administrative Provisions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color w:val="auto"/>
        </w:rPr>
        <w:t>Purpose</w:t>
      </w:r>
    </w:p>
    <w:p>
      <w:pPr>
        <w:spacing w:after="0" w:line="121"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The purposes of the Plan are to (i) support the achievement of the Company’s performance objectives, (ii) promote the alignment of interests of key directors, officers, employees and consultants with the success of the Company, and (iii) provide compensation opportunities to attract, retain and motivate directors, officers, employees, and consultants of the Company and its Affiliates.</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color w:val="auto"/>
        </w:rPr>
        <w:t>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purposes of the Plan, the following terms have the following meanings:</w:t>
      </w:r>
    </w:p>
    <w:p>
      <w:pPr>
        <w:spacing w:after="0" w:line="113" w:lineRule="exact"/>
        <w:rPr>
          <w:sz w:val="20"/>
          <w:szCs w:val="20"/>
          <w:color w:val="auto"/>
        </w:rPr>
      </w:pPr>
    </w:p>
    <w:p>
      <w:pPr>
        <w:ind w:lef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 as the same may be amended from time to time and any successor legislation thereto, except where otherwise expressly provided.</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has the meaning attributed to that term in the Act.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Arbitration Notice”</w:t>
      </w:r>
      <w:r>
        <w:rPr>
          <w:rFonts w:ascii="Arial" w:cs="Arial" w:eastAsia="Arial" w:hAnsi="Arial"/>
          <w:sz w:val="18"/>
          <w:szCs w:val="18"/>
          <w:color w:val="auto"/>
        </w:rPr>
        <w:t xml:space="preserve"> has the meaning specified in Section 3.11.</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as constituted from time to time.</w:t>
      </w:r>
    </w:p>
    <w:p>
      <w:pPr>
        <w:spacing w:after="0" w:line="117" w:lineRule="exact"/>
        <w:rPr>
          <w:sz w:val="20"/>
          <w:szCs w:val="20"/>
          <w:color w:val="auto"/>
        </w:rPr>
      </w:pPr>
    </w:p>
    <w:p>
      <w:pPr>
        <w:ind w:left="440" w:right="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means, with respect to any Participant, “Cause” as defined in any employment or consulting agreement between a Participating Company and such Participant (or any Person through whom such Participant’s services are contracted), or in the absence of such a definition, in the case of a Participant that is an employee of a Participating Company, anything that would constitute cause for the termination of employment at common law as interpreted by the Courts of the Province of Ontario from time to time (including, any sexual harassment or violence in the workplace), or in the case of a Participant that provides consulting services to a Participating Company, anything that would constitute a material breach of terms of the engagement in respect of such consulting services. For greater certainty, the definition of “Cause” where not defined in any employment or consulting agreement shall include, but shall not be limited to:</w:t>
      </w:r>
    </w:p>
    <w:p>
      <w:pPr>
        <w:spacing w:after="0" w:line="81" w:lineRule="exact"/>
        <w:rPr>
          <w:sz w:val="20"/>
          <w:szCs w:val="20"/>
          <w:color w:val="auto"/>
        </w:rPr>
      </w:pPr>
    </w:p>
    <w:p>
      <w:pPr>
        <w:ind w:left="960" w:hanging="532"/>
        <w:spacing w:after="0"/>
        <w:tabs>
          <w:tab w:leader="none" w:pos="9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Participant’s conviction of a felony or indictable offence;</w:t>
      </w:r>
    </w:p>
    <w:p>
      <w:pPr>
        <w:spacing w:after="0" w:line="130" w:lineRule="exact"/>
        <w:rPr>
          <w:rFonts w:ascii="Arial" w:cs="Arial" w:eastAsia="Arial" w:hAnsi="Arial"/>
          <w:sz w:val="18"/>
          <w:szCs w:val="18"/>
          <w:color w:val="auto"/>
        </w:rPr>
      </w:pPr>
    </w:p>
    <w:p>
      <w:pPr>
        <w:ind w:left="960" w:right="300" w:hanging="532"/>
        <w:spacing w:after="0" w:line="286" w:lineRule="auto"/>
        <w:tabs>
          <w:tab w:leader="none" w:pos="9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Participant’s commission of any fraud, as confirmed by a court of competent jurisdiction, against any Participating Company or any of their respective employees, agents, collaborators, shareholders, contractors or customers or use or intentional appropriation for Participant’s personal use or benefit of any funds or properties of any Participating Company; or</w:t>
      </w:r>
    </w:p>
    <w:p>
      <w:pPr>
        <w:spacing w:after="0" w:line="70" w:lineRule="exact"/>
        <w:rPr>
          <w:rFonts w:ascii="Arial" w:cs="Arial" w:eastAsia="Arial" w:hAnsi="Arial"/>
          <w:sz w:val="17"/>
          <w:szCs w:val="17"/>
          <w:color w:val="auto"/>
        </w:rPr>
      </w:pPr>
    </w:p>
    <w:p>
      <w:pPr>
        <w:ind w:left="960" w:right="320" w:hanging="532"/>
        <w:spacing w:after="0" w:line="277" w:lineRule="auto"/>
        <w:tabs>
          <w:tab w:leader="none" w:pos="9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Participant’s commission of a criminal act of dishonesty or any reprehensible behavior or activity that could reasonably be expected to have an adverse effect, either directly or indirectly, on any Participating Company.</w:t>
      </w:r>
    </w:p>
    <w:p>
      <w:pPr>
        <w:spacing w:after="0" w:line="102" w:lineRule="exact"/>
        <w:rPr>
          <w:rFonts w:ascii="Arial" w:cs="Arial" w:eastAsia="Arial" w:hAnsi="Arial"/>
          <w:sz w:val="18"/>
          <w:szCs w:val="18"/>
          <w:color w:val="auto"/>
        </w:rPr>
      </w:pPr>
    </w:p>
    <w:p>
      <w:pPr>
        <w:ind w:left="5460" w:hanging="106"/>
        <w:spacing w:after="0"/>
        <w:tabs>
          <w:tab w:leader="none" w:pos="54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0960"/>
          </w:cols>
          <w:pgMar w:left="440" w:top="270" w:right="499" w:bottom="1440" w:gutter="0" w:footer="0" w:header="0"/>
        </w:sectPr>
      </w:pPr>
    </w:p>
    <w:bookmarkStart w:id="384" w:name="page385"/>
    <w:bookmarkEnd w:id="38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the occurrence of any of the following events:</w:t>
      </w:r>
    </w:p>
    <w:p>
      <w:pPr>
        <w:spacing w:after="0" w:line="135" w:lineRule="exact"/>
        <w:rPr>
          <w:sz w:val="20"/>
          <w:szCs w:val="20"/>
          <w:color w:val="auto"/>
        </w:rPr>
      </w:pPr>
    </w:p>
    <w:p>
      <w:pPr>
        <w:ind w:left="540" w:hanging="532"/>
        <w:spacing w:after="0" w:line="272" w:lineRule="auto"/>
        <w:tabs>
          <w:tab w:leader="none" w:pos="54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acquisition of the Company by another entity by means of any transaction or series of related transactions (including any reorganization, amalgamation, arrangement, business combination, merger or consolidation or share transfer, but excluding any such transaction effected primarily for the purpose of changing the domicile of the Company), unless the Company’s shareholders of record immediately prior to such transaction or series of related transactions (Affiliates thereof) hold, immediately after such transaction or series of related transactions, at least 50% of the voting power of the surviving or acquiring entity (provided that the sale by the Company of its securities for the purposes of raising additional funds shall not constitute a Change of Control hereunder, including any sale of securities in consideration for the cancellation or conversion of any indebtedness of the Company); or</w:t>
      </w:r>
    </w:p>
    <w:p>
      <w:pPr>
        <w:spacing w:after="0" w:line="82" w:lineRule="exact"/>
        <w:rPr>
          <w:rFonts w:ascii="Arial" w:cs="Arial" w:eastAsia="Arial" w:hAnsi="Arial"/>
          <w:sz w:val="17"/>
          <w:szCs w:val="17"/>
          <w:color w:val="auto"/>
        </w:rPr>
      </w:pPr>
    </w:p>
    <w:p>
      <w:pPr>
        <w:ind w:left="540" w:right="400" w:hanging="532"/>
        <w:spacing w:after="0" w:line="342" w:lineRule="auto"/>
        <w:tabs>
          <w:tab w:leader="none" w:pos="5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sale, lease, exclusive license, transfer or other disposition of all or substantially all of the assets or Intellectual Property Rights (as defined in the Shareholders Agreement) of the Company and any of its subsidiaries, on a consolidated basis (except to an Affiliate).</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United States Internal Revenue Code of 1986, and the regulations promulgated thereunder, as amended from time to time.</w:t>
      </w:r>
    </w:p>
    <w:p>
      <w:pPr>
        <w:spacing w:after="0" w:line="140" w:lineRule="exact"/>
        <w:rPr>
          <w:sz w:val="20"/>
          <w:szCs w:val="20"/>
          <w:color w:val="auto"/>
        </w:rPr>
      </w:pPr>
    </w:p>
    <w:p>
      <w:pPr>
        <w:jc w:val="both"/>
        <w:ind w:left="20" w:right="1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Repare Therapeutics Inc. and includes any successor to Repare Therapeutics Inc. resulting from any amalgamation, merger, arrangement or other reorganization of or including Repare Therapeutics Inc. or any continuance of Repare Therapeutics Inc. under the laws of another jurisdiction.</w:t>
      </w:r>
    </w:p>
    <w:p>
      <w:pPr>
        <w:spacing w:after="0" w:line="68" w:lineRule="exact"/>
        <w:rPr>
          <w:sz w:val="20"/>
          <w:szCs w:val="20"/>
          <w:color w:val="auto"/>
        </w:rPr>
      </w:pPr>
    </w:p>
    <w:p>
      <w:pPr>
        <w:ind w:left="20" w:right="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Consultant</w:t>
      </w:r>
      <w:r>
        <w:rPr>
          <w:rFonts w:ascii="Arial" w:cs="Arial" w:eastAsia="Arial" w:hAnsi="Arial"/>
          <w:sz w:val="18"/>
          <w:szCs w:val="18"/>
          <w:color w:val="auto"/>
        </w:rPr>
        <w:t>” means any natural person providing consulting services (excluding services as a director) to a Participating Company and such services are not in connection with the offer or sale of securities in a capital-raising transaction and do not directly or indirectly promote or maintain a market for the Company’s securities.</w:t>
      </w:r>
    </w:p>
    <w:p>
      <w:pPr>
        <w:spacing w:after="0" w:line="68" w:lineRule="exact"/>
        <w:rPr>
          <w:sz w:val="20"/>
          <w:szCs w:val="20"/>
          <w:color w:val="auto"/>
        </w:rPr>
      </w:pPr>
    </w:p>
    <w:p>
      <w:pPr>
        <w:ind w:left="20"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share, right, unit, option, warrant or any other security, including, without limitation, any debenture, loan, note or any other instrument or agreement evidencing indebtedness of the Company, which may be converted or exchanged into Shares or which carries a right to acquire Shares.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mental or physical state of an individual such that:</w:t>
      </w:r>
    </w:p>
    <w:p>
      <w:pPr>
        <w:spacing w:after="0" w:line="135" w:lineRule="exact"/>
        <w:rPr>
          <w:sz w:val="20"/>
          <w:szCs w:val="20"/>
          <w:color w:val="auto"/>
        </w:rPr>
      </w:pPr>
    </w:p>
    <w:p>
      <w:pPr>
        <w:ind w:left="540" w:right="80" w:hanging="532"/>
        <w:spacing w:after="0" w:line="259" w:lineRule="auto"/>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Board or the Board of any Subsidiary Corporation, other than such individual, determines that such individual has been unable, due to illness, disease, mental or physical disability or similar cause, to fulfill his or her obligations as an employee or officer or director of the Company or any Subsidiary Corporation either for any consecutive four month period or for any period of six months (whether or not consecutive) in any consecutive 12 month period; or</w:t>
      </w:r>
    </w:p>
    <w:p>
      <w:pPr>
        <w:spacing w:after="0" w:line="92" w:lineRule="exact"/>
        <w:rPr>
          <w:rFonts w:ascii="Arial" w:cs="Arial" w:eastAsia="Arial" w:hAnsi="Arial"/>
          <w:sz w:val="18"/>
          <w:szCs w:val="18"/>
          <w:color w:val="auto"/>
        </w:rPr>
      </w:pPr>
    </w:p>
    <w:p>
      <w:pPr>
        <w:ind w:left="540" w:hanging="532"/>
        <w:spacing w:after="0"/>
        <w:tabs>
          <w:tab w:leader="none" w:pos="54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 court of competent jurisdiction has declared such individual to be mentally incompetent or incapable of managing his or her affairs.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has the meaning specified in Section 3.11.</w:t>
      </w:r>
    </w:p>
    <w:p>
      <w:pPr>
        <w:spacing w:after="0" w:line="117" w:lineRule="exact"/>
        <w:rPr>
          <w:sz w:val="20"/>
          <w:szCs w:val="20"/>
          <w:color w:val="auto"/>
        </w:rPr>
      </w:pPr>
    </w:p>
    <w:p>
      <w:pPr>
        <w:jc w:val="both"/>
        <w:ind w:left="20" w:right="3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Person</w:t>
      </w:r>
      <w:r>
        <w:rPr>
          <w:rFonts w:ascii="Arial" w:cs="Arial" w:eastAsia="Arial" w:hAnsi="Arial"/>
          <w:sz w:val="18"/>
          <w:szCs w:val="18"/>
          <w:color w:val="auto"/>
        </w:rPr>
        <w:t>” means any employee, officer, independent director or Consultant of or to a Participating Company (and includes any such Person who is on a leave of absence authorized by the Board) who is described in Section 701 of the United States Securities Act of 1933, as amended.</w:t>
      </w:r>
    </w:p>
    <w:p>
      <w:pPr>
        <w:spacing w:after="0" w:line="11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540"/>
          </w:cols>
          <w:pgMar w:left="860" w:top="270" w:right="499" w:bottom="1440" w:gutter="0" w:footer="0" w:header="0"/>
        </w:sectPr>
      </w:pPr>
    </w:p>
    <w:bookmarkStart w:id="385" w:name="page386"/>
    <w:bookmarkEnd w:id="385"/>
    <w:p>
      <w:pPr>
        <w:ind w:left="20" w:right="20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Exercise Price</w:t>
      </w:r>
      <w:r>
        <w:rPr>
          <w:rFonts w:ascii="Arial" w:cs="Arial" w:eastAsia="Arial" w:hAnsi="Arial"/>
          <w:sz w:val="18"/>
          <w:szCs w:val="18"/>
          <w:color w:val="auto"/>
        </w:rPr>
        <w:t>” means the price an optionholder must pay to exercise an Option to acquire a Share as determined by the Board at the date of grant of such Option provided that in no event shall the exercise price be less than the fair value of a Share at the date of grant of such Option as determined by the Board.</w:t>
      </w:r>
    </w:p>
    <w:p>
      <w:pPr>
        <w:spacing w:after="0" w:line="68" w:lineRule="exact"/>
        <w:rPr>
          <w:sz w:val="20"/>
          <w:szCs w:val="20"/>
          <w:color w:val="auto"/>
        </w:rPr>
      </w:pPr>
    </w:p>
    <w:p>
      <w:pPr>
        <w:ind w:left="20" w:right="200"/>
        <w:spacing w:after="0" w:line="282" w:lineRule="auto"/>
        <w:rPr>
          <w:sz w:val="20"/>
          <w:szCs w:val="20"/>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means the fair market value of the Shares determined in good faith by the Board based on the reasonable application of a</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valuation method not inconsistent with Section 409A of the Code.</w:t>
      </w:r>
    </w:p>
    <w:p>
      <w:pPr>
        <w:spacing w:after="0" w:line="54" w:lineRule="exact"/>
        <w:rPr>
          <w:sz w:val="20"/>
          <w:szCs w:val="20"/>
          <w:color w:val="auto"/>
        </w:rPr>
      </w:pPr>
    </w:p>
    <w:p>
      <w:pPr>
        <w:ind w:left="2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Fully Diluted Basis</w:t>
      </w:r>
      <w:r>
        <w:rPr>
          <w:rFonts w:ascii="Arial" w:cs="Arial" w:eastAsia="Arial" w:hAnsi="Arial"/>
          <w:sz w:val="18"/>
          <w:szCs w:val="18"/>
          <w:color w:val="auto"/>
        </w:rPr>
        <w:t>” means the number of Shares outstanding at any time on an as-converted basis assuming that all Convertible Securities have been converted or exchanged into Shares.</w:t>
      </w:r>
    </w:p>
    <w:p>
      <w:pPr>
        <w:spacing w:after="0" w:line="54" w:lineRule="exact"/>
        <w:rPr>
          <w:sz w:val="20"/>
          <w:szCs w:val="20"/>
          <w:color w:val="auto"/>
        </w:rPr>
      </w:pPr>
    </w:p>
    <w:p>
      <w:pPr>
        <w:ind w:left="20" w:right="140"/>
        <w:spacing w:after="0" w:line="282" w:lineRule="auto"/>
        <w:rPr>
          <w:sz w:val="20"/>
          <w:szCs w:val="20"/>
          <w:color w:val="auto"/>
        </w:rPr>
      </w:pPr>
      <w:r>
        <w:rPr>
          <w:rFonts w:ascii="Arial" w:cs="Arial" w:eastAsia="Arial" w:hAnsi="Arial"/>
          <w:sz w:val="18"/>
          <w:szCs w:val="18"/>
          <w:b w:val="1"/>
          <w:bCs w:val="1"/>
          <w:color w:val="auto"/>
        </w:rPr>
        <w:t xml:space="preserve">“Incentive Stock Option” </w:t>
      </w:r>
      <w:r>
        <w:rPr>
          <w:rFonts w:ascii="Arial" w:cs="Arial" w:eastAsia="Arial" w:hAnsi="Arial"/>
          <w:sz w:val="18"/>
          <w:szCs w:val="18"/>
          <w:color w:val="auto"/>
        </w:rPr>
        <w:t>means an option that meets the requirements of Section 422 of the Code or any successor provision and is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as such in the applicable Option Agreement.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 Event</w:t>
      </w:r>
      <w:r>
        <w:rPr>
          <w:rFonts w:ascii="Arial" w:cs="Arial" w:eastAsia="Arial" w:hAnsi="Arial"/>
          <w:sz w:val="18"/>
          <w:szCs w:val="18"/>
          <w:color w:val="auto"/>
        </w:rPr>
        <w:t>” means, to the extent approved in accordance with the terms of the Shareholders Agreement:</w:t>
      </w:r>
    </w:p>
    <w:p>
      <w:pPr>
        <w:spacing w:after="0" w:line="135" w:lineRule="exact"/>
        <w:rPr>
          <w:sz w:val="20"/>
          <w:szCs w:val="20"/>
          <w:color w:val="auto"/>
        </w:rPr>
      </w:pPr>
    </w:p>
    <w:p>
      <w:pPr>
        <w:ind w:left="540" w:hanging="532"/>
        <w:spacing w:after="0"/>
        <w:tabs>
          <w:tab w:leader="none" w:pos="5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voluntary or involuntary liquidation, dissolution or winding-up of the affairs of the Company;</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other event so designated by the Board.</w:t>
      </w:r>
    </w:p>
    <w:p>
      <w:pPr>
        <w:spacing w:after="0" w:line="113" w:lineRule="exact"/>
        <w:rPr>
          <w:sz w:val="20"/>
          <w:szCs w:val="20"/>
          <w:color w:val="auto"/>
        </w:rPr>
      </w:pPr>
    </w:p>
    <w:p>
      <w:pPr>
        <w:ind w:left="20"/>
        <w:spacing w:after="0" w:line="266" w:lineRule="auto"/>
        <w:rPr>
          <w:sz w:val="20"/>
          <w:szCs w:val="20"/>
          <w:color w:val="auto"/>
        </w:rPr>
      </w:pPr>
      <w:r>
        <w:rPr>
          <w:rFonts w:ascii="Arial" w:cs="Arial" w:eastAsia="Arial" w:hAnsi="Arial"/>
          <w:sz w:val="18"/>
          <w:szCs w:val="18"/>
          <w:b w:val="1"/>
          <w:bCs w:val="1"/>
          <w:color w:val="auto"/>
        </w:rPr>
        <w:t xml:space="preserve">“Non Qualified Stock Option” </w:t>
      </w:r>
      <w:r>
        <w:rPr>
          <w:rFonts w:ascii="Arial" w:cs="Arial" w:eastAsia="Arial" w:hAnsi="Arial"/>
          <w:sz w:val="18"/>
          <w:szCs w:val="18"/>
          <w:color w:val="auto"/>
        </w:rPr>
        <w:t>means an option that is not intended to be or does not meet the requirements of an Incentive Stock Option. Any</w:t>
      </w:r>
      <w:r>
        <w:rPr>
          <w:rFonts w:ascii="Arial" w:cs="Arial" w:eastAsia="Arial" w:hAnsi="Arial"/>
          <w:sz w:val="18"/>
          <w:szCs w:val="18"/>
          <w:b w:val="1"/>
          <w:bCs w:val="1"/>
          <w:color w:val="auto"/>
        </w:rPr>
        <w:t xml:space="preserve"> </w:t>
      </w:r>
      <w:r>
        <w:rPr>
          <w:rFonts w:ascii="Arial" w:cs="Arial" w:eastAsia="Arial" w:hAnsi="Arial"/>
          <w:sz w:val="18"/>
          <w:szCs w:val="18"/>
          <w:color w:val="auto"/>
        </w:rPr>
        <w:t>Option granted by the Board that is not designated as an Incentive Stock Option in the applicable Option Agreement will be a Non Qualified Stock Option.</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Exercise</w:t>
      </w:r>
      <w:r>
        <w:rPr>
          <w:rFonts w:ascii="Arial" w:cs="Arial" w:eastAsia="Arial" w:hAnsi="Arial"/>
          <w:sz w:val="18"/>
          <w:szCs w:val="18"/>
          <w:color w:val="auto"/>
        </w:rPr>
        <w:t>” has the meaning set out in Section 2.9.</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“Notice of Surrender” </w:t>
      </w:r>
      <w:r>
        <w:rPr>
          <w:rFonts w:ascii="Arial" w:cs="Arial" w:eastAsia="Arial" w:hAnsi="Arial"/>
          <w:sz w:val="18"/>
          <w:szCs w:val="18"/>
          <w:color w:val="auto"/>
        </w:rPr>
        <w:t>has the meaning set out in Section 2.10.</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 right granted to an Eligible Person to purchase one or more Shares pursuant to the terms of the Plan.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Agreement</w:t>
      </w:r>
      <w:r>
        <w:rPr>
          <w:rFonts w:ascii="Arial" w:cs="Arial" w:eastAsia="Arial" w:hAnsi="Arial"/>
          <w:sz w:val="18"/>
          <w:szCs w:val="18"/>
          <w:color w:val="auto"/>
        </w:rPr>
        <w:t>” has the meaning set out in Section 2.8.</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Corporation</w:t>
      </w:r>
      <w:r>
        <w:rPr>
          <w:rFonts w:ascii="Arial" w:cs="Arial" w:eastAsia="Arial" w:hAnsi="Arial"/>
          <w:sz w:val="18"/>
          <w:szCs w:val="18"/>
          <w:color w:val="auto"/>
        </w:rPr>
        <w:t>” has the meaning set forth in Section 424(e) of the Code, and any successor Code sections.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any Person to whom an Option has been granted.</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Participating Company</w:t>
      </w:r>
      <w:r>
        <w:rPr>
          <w:rFonts w:ascii="Arial" w:cs="Arial" w:eastAsia="Arial" w:hAnsi="Arial"/>
          <w:sz w:val="16"/>
          <w:szCs w:val="16"/>
          <w:color w:val="auto"/>
        </w:rPr>
        <w:t>” means any of Repare Therapeutics Inc. and such of its Affiliates as are designated by the Board from time to time.</w:t>
      </w:r>
    </w:p>
    <w:p>
      <w:pPr>
        <w:spacing w:after="0" w:line="140" w:lineRule="exact"/>
        <w:rPr>
          <w:sz w:val="20"/>
          <w:szCs w:val="20"/>
          <w:color w:val="auto"/>
        </w:rPr>
      </w:pPr>
    </w:p>
    <w:p>
      <w:pPr>
        <w:ind w:left="20" w:right="1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partnership, limited partnership, joint venture, syndicate, sole proprietorship, company or corporation with or without share capital, unincorporated association, trust, trustee, executor, administrator or other legal personal representative, regulatory body or agency, government or governmental agency, authority or entity however designated or constituted.</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580"/>
          </w:cols>
          <w:pgMar w:left="860" w:top="270" w:right="459" w:bottom="1440" w:gutter="0" w:footer="0" w:header="0"/>
        </w:sectPr>
      </w:pPr>
    </w:p>
    <w:bookmarkStart w:id="386" w:name="page387"/>
    <w:bookmarkEnd w:id="38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Plan</w:t>
      </w:r>
      <w:r>
        <w:rPr>
          <w:rFonts w:ascii="Arial" w:cs="Arial" w:eastAsia="Arial" w:hAnsi="Arial"/>
          <w:sz w:val="18"/>
          <w:szCs w:val="18"/>
          <w:color w:val="auto"/>
        </w:rPr>
        <w:t>” means this Amended and Restated Option Plan of the Company, as amended from time to time.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 common share of the Company.</w:t>
      </w:r>
    </w:p>
    <w:p>
      <w:pPr>
        <w:spacing w:after="0" w:line="117" w:lineRule="exact"/>
        <w:rPr>
          <w:sz w:val="20"/>
          <w:szCs w:val="20"/>
          <w:color w:val="auto"/>
        </w:rPr>
      </w:pPr>
    </w:p>
    <w:p>
      <w:pPr>
        <w:ind w:left="440" w:right="2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Shareholders Agreement</w:t>
      </w:r>
      <w:r>
        <w:rPr>
          <w:rFonts w:ascii="Arial" w:cs="Arial" w:eastAsia="Arial" w:hAnsi="Arial"/>
          <w:sz w:val="16"/>
          <w:szCs w:val="16"/>
          <w:color w:val="auto"/>
        </w:rPr>
        <w:t>” means the second amended and restated unanimous shareholders agreement of the Company and all schedules and appendices, if any, attached thereto, in each case as they may be amended, restated, supplemented or replaced from time to time.</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Corporation</w:t>
      </w:r>
      <w:r>
        <w:rPr>
          <w:rFonts w:ascii="Arial" w:cs="Arial" w:eastAsia="Arial" w:hAnsi="Arial"/>
          <w:sz w:val="18"/>
          <w:szCs w:val="18"/>
          <w:color w:val="auto"/>
        </w:rPr>
        <w:t>” has the meaning set forth in Section 424(f) of the Code, and any successor Code sections.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Substitution Event”</w:t>
      </w:r>
      <w:r>
        <w:rPr>
          <w:rFonts w:ascii="Arial" w:cs="Arial" w:eastAsia="Arial" w:hAnsi="Arial"/>
          <w:sz w:val="18"/>
          <w:szCs w:val="18"/>
          <w:color w:val="auto"/>
        </w:rPr>
        <w:t xml:space="preserve"> has the meaning specified in Section 2.7.</w:t>
      </w:r>
    </w:p>
    <w:p>
      <w:pPr>
        <w:spacing w:after="0" w:line="117" w:lineRule="exact"/>
        <w:rPr>
          <w:sz w:val="20"/>
          <w:szCs w:val="20"/>
          <w:color w:val="auto"/>
        </w:rPr>
      </w:pPr>
    </w:p>
    <w:p>
      <w:pPr>
        <w:ind w:left="440"/>
        <w:spacing w:after="0" w:line="258" w:lineRule="auto"/>
        <w:rPr>
          <w:sz w:val="20"/>
          <w:szCs w:val="20"/>
          <w:color w:val="auto"/>
        </w:rPr>
      </w:pPr>
      <w:r>
        <w:rPr>
          <w:rFonts w:ascii="Arial" w:cs="Arial" w:eastAsia="Arial" w:hAnsi="Arial"/>
          <w:sz w:val="18"/>
          <w:szCs w:val="18"/>
          <w:b w:val="1"/>
          <w:bCs w:val="1"/>
          <w:color w:val="auto"/>
        </w:rPr>
        <w:t>“Termination Date</w:t>
      </w:r>
      <w:r>
        <w:rPr>
          <w:rFonts w:ascii="Arial" w:cs="Arial" w:eastAsia="Arial" w:hAnsi="Arial"/>
          <w:sz w:val="18"/>
          <w:szCs w:val="18"/>
          <w:color w:val="auto"/>
        </w:rPr>
        <w:t>” means (i) with respect to a Participant who is an employee or officer of a Participating Company, such Participant’s last day</w:t>
      </w:r>
      <w:r>
        <w:rPr>
          <w:rFonts w:ascii="Arial" w:cs="Arial" w:eastAsia="Arial" w:hAnsi="Arial"/>
          <w:sz w:val="18"/>
          <w:szCs w:val="18"/>
          <w:b w:val="1"/>
          <w:bCs w:val="1"/>
          <w:color w:val="auto"/>
        </w:rPr>
        <w:t xml:space="preserve"> </w:t>
      </w:r>
      <w:r>
        <w:rPr>
          <w:rFonts w:ascii="Arial" w:cs="Arial" w:eastAsia="Arial" w:hAnsi="Arial"/>
          <w:sz w:val="18"/>
          <w:szCs w:val="18"/>
          <w:color w:val="auto"/>
        </w:rPr>
        <w:t>of active employment and does not include any period of statutory, reasonable or contractual notice or any period of deemed employment or salary continuance, (ii) with respect to a Participant who is a Consultant, the date such Consultant ceases to provide services to a Participating Company, and (iii) with respect to a Participant who is a director, the date such Person ceases to be a director of a Participating Company, and “</w:t>
      </w:r>
      <w:r>
        <w:rPr>
          <w:rFonts w:ascii="Arial" w:cs="Arial" w:eastAsia="Arial" w:hAnsi="Arial"/>
          <w:sz w:val="18"/>
          <w:szCs w:val="18"/>
          <w:b w:val="1"/>
          <w:bCs w:val="1"/>
          <w:color w:val="auto"/>
        </w:rPr>
        <w:t>Terminate</w:t>
      </w:r>
      <w:r>
        <w:rPr>
          <w:rFonts w:ascii="Arial" w:cs="Arial" w:eastAsia="Arial" w:hAnsi="Arial"/>
          <w:sz w:val="18"/>
          <w:szCs w:val="18"/>
          <w:color w:val="auto"/>
        </w:rPr>
        <w:t>” and “</w:t>
      </w:r>
      <w:r>
        <w:rPr>
          <w:rFonts w:ascii="Arial" w:cs="Arial" w:eastAsia="Arial" w:hAnsi="Arial"/>
          <w:sz w:val="18"/>
          <w:szCs w:val="18"/>
          <w:b w:val="1"/>
          <w:bCs w:val="1"/>
          <w:color w:val="auto"/>
        </w:rPr>
        <w:t>Terminated</w:t>
      </w:r>
      <w:r>
        <w:rPr>
          <w:rFonts w:ascii="Arial" w:cs="Arial" w:eastAsia="Arial" w:hAnsi="Arial"/>
          <w:sz w:val="18"/>
          <w:szCs w:val="18"/>
          <w:color w:val="auto"/>
        </w:rPr>
        <w:t>” have corresponding meanings.</w:t>
      </w:r>
    </w:p>
    <w:p>
      <w:pPr>
        <w:spacing w:after="0" w:line="75" w:lineRule="exact"/>
        <w:rPr>
          <w:sz w:val="20"/>
          <w:szCs w:val="20"/>
          <w:color w:val="auto"/>
        </w:rPr>
      </w:pPr>
    </w:p>
    <w:p>
      <w:pPr>
        <w:ind w:left="440" w:right="2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includes any sale, exchange, assignment, gift, disposition, mortgage, charge, pledge, encumbrance, grant of security interest or any arrangement by which possession, legal title or ownership passes from one Person to another, or to the same Person in a different capacity, whether or not voluntary and whether or not for value, and any Agreement to effect any of the foregoing; and the words “</w:t>
      </w:r>
      <w:r>
        <w:rPr>
          <w:rFonts w:ascii="Arial" w:cs="Arial" w:eastAsia="Arial" w:hAnsi="Arial"/>
          <w:sz w:val="18"/>
          <w:szCs w:val="18"/>
          <w:b w:val="1"/>
          <w:bCs w:val="1"/>
          <w:color w:val="auto"/>
        </w:rPr>
        <w:t>Transferred</w:t>
      </w:r>
      <w:r>
        <w:rPr>
          <w:rFonts w:ascii="Arial" w:cs="Arial" w:eastAsia="Arial" w:hAnsi="Arial"/>
          <w:sz w:val="18"/>
          <w:szCs w:val="18"/>
          <w:color w:val="auto"/>
        </w:rPr>
        <w:t>”, “</w:t>
      </w:r>
      <w:r>
        <w:rPr>
          <w:rFonts w:ascii="Arial" w:cs="Arial" w:eastAsia="Arial" w:hAnsi="Arial"/>
          <w:sz w:val="18"/>
          <w:szCs w:val="18"/>
          <w:b w:val="1"/>
          <w:bCs w:val="1"/>
          <w:color w:val="auto"/>
        </w:rPr>
        <w:t>Transferring</w:t>
      </w:r>
      <w:r>
        <w:rPr>
          <w:rFonts w:ascii="Arial" w:cs="Arial" w:eastAsia="Arial" w:hAnsi="Arial"/>
          <w:sz w:val="18"/>
          <w:szCs w:val="18"/>
          <w:color w:val="auto"/>
        </w:rPr>
        <w:t>” and similar words have corresponding meanings.</w:t>
      </w:r>
    </w:p>
    <w:p>
      <w:pPr>
        <w:spacing w:after="0" w:line="72" w:lineRule="exact"/>
        <w:rPr>
          <w:sz w:val="20"/>
          <w:szCs w:val="20"/>
          <w:color w:val="auto"/>
        </w:rPr>
      </w:pPr>
    </w:p>
    <w:p>
      <w:pPr>
        <w:ind w:left="440" w:right="9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Participant</w:t>
      </w:r>
      <w:r>
        <w:rPr>
          <w:rFonts w:ascii="Arial" w:cs="Arial" w:eastAsia="Arial" w:hAnsi="Arial"/>
          <w:sz w:val="18"/>
          <w:szCs w:val="18"/>
          <w:color w:val="auto"/>
        </w:rPr>
        <w:t>” means any Eligible Person who is a United States citizen or United States resident alien as defined for purposes of Section 7701(b)(1)(A) of the Code.</w:t>
      </w:r>
    </w:p>
    <w:p>
      <w:pPr>
        <w:spacing w:after="0" w:line="166"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In the Plan, unless the context otherwise requires, words importing the singular include the plural and vice versa, and words importing gender include all genders.</w:t>
      </w:r>
    </w:p>
    <w:p>
      <w:pPr>
        <w:spacing w:after="0" w:line="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color w:val="auto"/>
        </w:rPr>
        <w:t>Administration</w:t>
      </w:r>
    </w:p>
    <w:p>
      <w:pPr>
        <w:spacing w:after="0" w:line="121"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The Plan will be administered by the Board which has the sole and absolute discretion to: (i) grant Options to Eligible Persons; (ii) determine all attributes of such Options, including the Exercise Price, vesting, terms, limitations, restrictions and conditions of such grants; (iii) interpret and administer the Plan; (iv) establish, amend and rescind any rules and regulations relating to the Plan (subject to obtaining any required regulatory approval or shareholder approval, including any approval required pursuant to the Shareholders Agreement); and (v) make any other determinations that the Board deems necessary or desirable for the administration of the Plan. The Board may correct any defect or supply any omission or reconcile any inconsistency in the Plan, in the manner and to the extent the Board deems, in its sole and absolute discretion, necessary or desirable (subject to obtaining any required regulatory approval or shareholder approval, including any approval required pursuant to the Shareholders Agreement). Any decision of the Board with respect to the administration and interpretation of the Plan shall be conclusive and binding on the Participants.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40" w:top="270" w:right="459" w:bottom="1440" w:gutter="0" w:footer="0" w:header="0"/>
        </w:sectPr>
      </w:pPr>
    </w:p>
    <w:bookmarkStart w:id="387" w:name="page388"/>
    <w:bookmarkEnd w:id="387"/>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w:t>
      </w:r>
      <w:r>
        <w:rPr>
          <w:sz w:val="20"/>
          <w:szCs w:val="20"/>
          <w:color w:val="auto"/>
        </w:rPr>
        <w:tab/>
      </w:r>
      <w:r>
        <w:rPr>
          <w:rFonts w:ascii="Arial" w:cs="Arial" w:eastAsia="Arial" w:hAnsi="Arial"/>
          <w:sz w:val="16"/>
          <w:szCs w:val="16"/>
          <w:color w:val="auto"/>
        </w:rPr>
        <w:t>Governing Law</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Plan is to be governed by and interpreted in accordance with the laws of the Province of Ontario and the laws of Canada applicable therein.</w:t>
      </w:r>
    </w:p>
    <w:p>
      <w:pPr>
        <w:spacing w:after="0" w:line="1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color w:val="auto"/>
        </w:rPr>
        <w:t>Section 409A</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Compensation payable under the Plan to U.S. Participants is intended not to be subject to U.S. federal income tax under Section 409A of the Code and the Plan shall be construed, interpreted and administered in compliance with such intent. The Board is hereby authorized to amend the Plan or any Option granted to a U.S. Participant under the Plan to achieve such intent. A Non Qualified Stock Option shall not be granted to a U.S. Participant unless the exercise price equals or exceeds the Fair Market Value of the Shares on the date of grant and the Shares constitute “service recipient stock” within the meaning of Section 409A of the Code.</w:t>
      </w:r>
    </w:p>
    <w:p>
      <w:pPr>
        <w:spacing w:after="0" w:line="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color w:val="auto"/>
        </w:rPr>
        <w:t>Shares Reserved for Issuance</w:t>
      </w:r>
    </w:p>
    <w:p>
      <w:pPr>
        <w:spacing w:after="0" w:line="121"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A number of authorized and unissued Shares representing 24,697,408 Shares will be reserved and available for issuance upon exercise of Options granted under the Plan and shall be the maximum number of Shares that may be issued under this Plan, provided that Shares reserved for issuance pursuant to Options which are cancelled or terminated without having been exercised will again be available for issuance under the Plan. Up to a maximum number of 24,697,408 Shares may be issued pursuant to the Incentive Stock Options.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color w:val="auto"/>
        </w:rPr>
        <w:t>Options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color w:val="auto"/>
        </w:rPr>
        <w:t>Grant of Options</w:t>
      </w:r>
    </w:p>
    <w:p>
      <w:pPr>
        <w:spacing w:after="0" w:line="135" w:lineRule="exact"/>
        <w:rPr>
          <w:sz w:val="20"/>
          <w:szCs w:val="20"/>
          <w:color w:val="auto"/>
        </w:rPr>
      </w:pPr>
    </w:p>
    <w:p>
      <w:pPr>
        <w:jc w:val="both"/>
        <w:ind w:left="960" w:right="60" w:hanging="532"/>
        <w:spacing w:after="0" w:line="259" w:lineRule="auto"/>
        <w:tabs>
          <w:tab w:leader="none" w:pos="9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Board may grant Options to any Eligible Person in accordance with principles to be established by the Board from time to time, in its sole discretion. The award of an Option to an Eligible Person at any time shall neither entitle such Eligible Person to receive nor preclude such Eligible Person from receiving a subsequent grant of an Option and shall not restrict in any way the right of a Participating Company to terminate the Eligible Person’s employment, engagement or directorship.</w:t>
      </w:r>
    </w:p>
    <w:p>
      <w:pPr>
        <w:spacing w:after="0" w:line="92" w:lineRule="exact"/>
        <w:rPr>
          <w:rFonts w:ascii="Arial" w:cs="Arial" w:eastAsia="Arial" w:hAnsi="Arial"/>
          <w:sz w:val="18"/>
          <w:szCs w:val="18"/>
          <w:color w:val="auto"/>
        </w:rPr>
      </w:pPr>
    </w:p>
    <w:p>
      <w:pPr>
        <w:ind w:left="960" w:right="160" w:hanging="532"/>
        <w:spacing w:after="0" w:line="259" w:lineRule="auto"/>
        <w:tabs>
          <w:tab w:leader="none" w:pos="9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Unless otherwise determined by the Board in accordance with the Shareholders Agreement, Options shall vest as provided in the form of Option Agreement attached as Schedule A; provided that, subject to the terms of any employment or other agreement between the Participant and a Participating Company or the Board expressly providing to the contrary, Options which are not vested prior to a Participant’s Termination Date shall not become vested thereafter.</w:t>
      </w:r>
    </w:p>
    <w:p>
      <w:pPr>
        <w:spacing w:after="0" w:line="92" w:lineRule="exact"/>
        <w:rPr>
          <w:rFonts w:ascii="Arial" w:cs="Arial" w:eastAsia="Arial" w:hAnsi="Arial"/>
          <w:sz w:val="18"/>
          <w:szCs w:val="18"/>
          <w:color w:val="auto"/>
        </w:rPr>
      </w:pPr>
    </w:p>
    <w:p>
      <w:pPr>
        <w:ind w:left="960" w:right="240" w:hanging="532"/>
        <w:spacing w:after="0" w:line="277" w:lineRule="auto"/>
        <w:tabs>
          <w:tab w:leader="none" w:pos="9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Notwithstanding the other provisions of this Section 2.1, Options must be exercised no later than 10 years after the date of grant or such shorter period as the Board may determine in its sole discretion.</w:t>
      </w:r>
    </w:p>
    <w:p>
      <w:pPr>
        <w:spacing w:after="0" w:line="102" w:lineRule="exact"/>
        <w:rPr>
          <w:rFonts w:ascii="Arial" w:cs="Arial" w:eastAsia="Arial" w:hAnsi="Arial"/>
          <w:sz w:val="18"/>
          <w:szCs w:val="18"/>
          <w:color w:val="auto"/>
        </w:rPr>
      </w:pPr>
    </w:p>
    <w:p>
      <w:pPr>
        <w:ind w:left="5460" w:hanging="106"/>
        <w:spacing w:after="0"/>
        <w:tabs>
          <w:tab w:leader="none" w:pos="54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80"/>
          </w:cols>
          <w:pgMar w:left="440" w:top="270" w:right="479" w:bottom="1440" w:gutter="0" w:footer="0" w:header="0"/>
        </w:sectPr>
      </w:pPr>
    </w:p>
    <w:bookmarkStart w:id="388" w:name="page389"/>
    <w:bookmarkEnd w:id="388"/>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w:t>
      </w:r>
      <w:r>
        <w:rPr>
          <w:sz w:val="20"/>
          <w:szCs w:val="20"/>
          <w:color w:val="auto"/>
        </w:rPr>
        <w:tab/>
      </w:r>
      <w:r>
        <w:rPr>
          <w:rFonts w:ascii="Arial" w:cs="Arial" w:eastAsia="Arial" w:hAnsi="Arial"/>
          <w:sz w:val="16"/>
          <w:szCs w:val="16"/>
          <w:color w:val="auto"/>
        </w:rPr>
        <w:t>Incentive Stock Options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additional provisions will apply only to Incentive Stock Options granted under the Plan:</w:t>
      </w:r>
    </w:p>
    <w:p>
      <w:pPr>
        <w:spacing w:after="0" w:line="131" w:lineRule="exact"/>
        <w:rPr>
          <w:sz w:val="20"/>
          <w:szCs w:val="20"/>
          <w:color w:val="auto"/>
        </w:rPr>
      </w:pPr>
    </w:p>
    <w:p>
      <w:pPr>
        <w:ind w:left="960" w:hanging="532"/>
        <w:spacing w:after="0" w:line="272" w:lineRule="auto"/>
        <w:tabs>
          <w:tab w:leader="none" w:pos="9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No Incentive Stock Option may be granted to any Eligible Person who, at the time such Option is granted, (i) is not an employee of the Company or any Parent Corporation or Subsidiary Corporation of the Company or (ii) owns (or is deemed to own by reason of the attribution rules of Section 424(d) of the Code) securities possessing more than ten percent (10%) of the total combined voting power of all classes of securities of the Company or any Parent Corporation or Subsidiary Corporation of the Company, except that with respect to provision (ii) hereof such an Option may be granted to an employee if, at the time the Option is granted, the Exercise Price is at least one hundred ten percent (110%) of the fair value of the Shares subject to the Option, and the Option by its terms is not exercisable after the expiration of five (5) years from the date the Option is granted.</w:t>
      </w:r>
    </w:p>
    <w:p>
      <w:pPr>
        <w:spacing w:after="0" w:line="82" w:lineRule="exact"/>
        <w:rPr>
          <w:rFonts w:ascii="Arial" w:cs="Arial" w:eastAsia="Arial" w:hAnsi="Arial"/>
          <w:sz w:val="17"/>
          <w:szCs w:val="17"/>
          <w:color w:val="auto"/>
        </w:rPr>
      </w:pPr>
    </w:p>
    <w:p>
      <w:pPr>
        <w:ind w:left="960" w:right="160" w:hanging="532"/>
        <w:spacing w:after="0" w:line="272" w:lineRule="auto"/>
        <w:tabs>
          <w:tab w:leader="none" w:pos="9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To the extent that the aggregate Fair Market Value of the Shares with respect to which Incentive Stock Options (without regard to this Section 2.2(b)) are exercisable for the first time during any calendar year (under all plans of the Company or any Parent Corporation or Subsidiary Corporation of the Company) exceeds U.S. $100,000 (such fair value to be determined as of the grant date of the respective Incentive Stock Options), such Options will be treated as Non Qualified Stock Options. This Section 2.2(b) will be applied by taking Options into account in the order in which they were granted. If some but not all Options granted on any one day are subject to this Section 2.2(b), then such Options will be apportioned between Incentive Stock Option and Non Qualified Stock Option treatment in such manner as the Board will determine, subject to applicable Code requirements.</w:t>
      </w:r>
    </w:p>
    <w:p>
      <w:pPr>
        <w:spacing w:after="0" w:line="82" w:lineRule="exact"/>
        <w:rPr>
          <w:rFonts w:ascii="Arial" w:cs="Arial" w:eastAsia="Arial" w:hAnsi="Arial"/>
          <w:sz w:val="17"/>
          <w:szCs w:val="17"/>
          <w:color w:val="auto"/>
        </w:rPr>
      </w:pPr>
    </w:p>
    <w:p>
      <w:pPr>
        <w:ind w:left="960" w:right="180" w:hanging="532"/>
        <w:spacing w:after="0" w:line="277" w:lineRule="auto"/>
        <w:tabs>
          <w:tab w:leader="none" w:pos="9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No Incentive Stock Option may be granted more than ten (10) years from the date the Plan is adopted or the date the Plan is approved by shareholders, whichever is earlier.</w:t>
      </w:r>
    </w:p>
    <w:p>
      <w:pPr>
        <w:spacing w:after="0" w:line="75" w:lineRule="exact"/>
        <w:rPr>
          <w:rFonts w:ascii="Arial" w:cs="Arial" w:eastAsia="Arial" w:hAnsi="Arial"/>
          <w:sz w:val="18"/>
          <w:szCs w:val="18"/>
          <w:color w:val="auto"/>
        </w:rPr>
      </w:pPr>
    </w:p>
    <w:p>
      <w:pPr>
        <w:ind w:left="960" w:right="100" w:hanging="532"/>
        <w:spacing w:after="0" w:line="277" w:lineRule="auto"/>
        <w:tabs>
          <w:tab w:leader="none" w:pos="9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exercise price per share for any Incentive Stock Options shall not be less than 100 percent of the Fair Market Value of such Shares on the date of grant, subject to increase as provided in Section 2.2(a)(ii).</w:t>
      </w:r>
    </w:p>
    <w:p>
      <w:pPr>
        <w:spacing w:after="0" w:line="75" w:lineRule="exact"/>
        <w:rPr>
          <w:rFonts w:ascii="Arial" w:cs="Arial" w:eastAsia="Arial" w:hAnsi="Arial"/>
          <w:sz w:val="18"/>
          <w:szCs w:val="18"/>
          <w:color w:val="auto"/>
        </w:rPr>
      </w:pPr>
    </w:p>
    <w:p>
      <w:pPr>
        <w:ind w:left="960" w:right="20" w:hanging="532"/>
        <w:spacing w:after="0" w:line="259" w:lineRule="auto"/>
        <w:tabs>
          <w:tab w:leader="none" w:pos="9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No Incentive Stock Option may be granted which is exercisable more than (i) 12 months following the date on which the Participant’s employment terminates, if such termination is due to death or disability (within the meaning of Code § 422(c)), or (ii) three months following the date on which the Participant’s employment terminates, if such termination is due to any reason other than death or disability (within the meaning of Code § 422(c)).</w:t>
      </w:r>
    </w:p>
    <w:p>
      <w:pPr>
        <w:spacing w:after="0" w:line="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color w:val="auto"/>
        </w:rPr>
        <w:t>Prohibition on Transfer or Assignment of Options</w:t>
      </w:r>
    </w:p>
    <w:p>
      <w:pPr>
        <w:spacing w:after="0" w:line="121"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Options are personal to the Participant and only exercisable by the Participant during his or her lifetime. No Participant may deal with any Option or any interest in it or Transfer any Option now or hereafter held by the Participant other than by will or the laws of descent and distribution. A purported Transfer of any Option will not be valid, and the Company will not issue any Share upon the attempted exercise of a Transferred Option.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0"/>
          </w:cols>
          <w:pgMar w:left="440" w:top="270" w:right="459" w:bottom="1440" w:gutter="0" w:footer="0" w:header="0"/>
        </w:sectPr>
      </w:pPr>
    </w:p>
    <w:bookmarkStart w:id="389" w:name="page390"/>
    <w:bookmarkEnd w:id="389"/>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2.4</w:t>
      </w:r>
      <w:r>
        <w:rPr>
          <w:sz w:val="20"/>
          <w:szCs w:val="20"/>
          <w:color w:val="auto"/>
        </w:rPr>
        <w:tab/>
      </w:r>
      <w:r>
        <w:rPr>
          <w:rFonts w:ascii="Arial" w:cs="Arial" w:eastAsia="Arial" w:hAnsi="Arial"/>
          <w:sz w:val="16"/>
          <w:szCs w:val="16"/>
          <w:color w:val="auto"/>
        </w:rPr>
        <w:t>Cessation of Employment</w:t>
      </w:r>
    </w:p>
    <w:p>
      <w:pPr>
        <w:spacing w:after="0" w:line="12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If a Participant ceases to be an Eligible Person for any reason whatsoever other than death, Disability or termination for Cause, each vested portion of an Option held by the Participant will cease to be exercisable 60 days after the Termination Date or such longer period as the Board may determine in its sole discretion. If any portion of an Option has not vested by the Termination Date, that portion of the Option shall be terminated and may not under any circumstances be exercised by the Participant. The previous sentence will apply regardless of whether the Participant was dismissed with or without Cause. If a Participant dies or ceases to be an Eligible Person due to Disability, the legal representatives of the Participant may exercise the Participant’s vested portion of Options within six months (or such longer period as the Board may determine in its sole discretion) after the date of the Participant’s death or the date the Participant ceases to be an Eligible Person due to Disability, to the extent such Options were by their terms exercisable as of the date of death or the date the Participant ceases to be an Eligible Person due to Disability, as applicable. If a Participant is terminated for Cause, each Option held by the Participant, whether vested or unvested, shall immediately be terminated and may not be exercised by the Participant. Notwithstanding the foregoing, no Option may be exercised after its stated expiration. Prior to receipt of any Shares on the exercise of any Option, the Participant must agree to be bound by the Shareholders Agreement (if such Participant is not already a party to such agreement). All Shares issued on the exercise of the Option will be subject to all of the provisions of the Shareholders Agreement, including restrictions on voting, transfer and liquidity and repurchase provisions.</w:t>
      </w:r>
    </w:p>
    <w:p>
      <w:pPr>
        <w:spacing w:after="0" w:line="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color w:val="auto"/>
        </w:rPr>
        <w:t>End of Participation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time a Participant ceases to hold Options which are or may become exercisable, the Participant ceases to be a Participant.</w:t>
      </w:r>
    </w:p>
    <w:p>
      <w:pPr>
        <w:spacing w:after="0" w:line="12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7"/>
          <w:szCs w:val="17"/>
          <w:color w:val="auto"/>
        </w:rPr>
        <w:t>Liquidity Event</w:t>
      </w:r>
    </w:p>
    <w:p>
      <w:pPr>
        <w:spacing w:after="0" w:line="135" w:lineRule="exact"/>
        <w:rPr>
          <w:sz w:val="20"/>
          <w:szCs w:val="20"/>
          <w:color w:val="auto"/>
        </w:rPr>
      </w:pPr>
    </w:p>
    <w:p>
      <w:pPr>
        <w:ind w:left="960" w:right="20" w:hanging="532"/>
        <w:spacing w:after="0" w:line="283" w:lineRule="auto"/>
        <w:tabs>
          <w:tab w:leader="none" w:pos="96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Subject to satisfaction of the terms of the Shareholders Agreement, in the event of a Liquidity Event or a potential Liquidity Event, the Board shall have the power to accelerate the vesting of any unvested Options in connection with such Liquidity Event in its sole discretion and/or to make such changes to the terms of the Options as it considers fair and appropriate in the circumstances, acting reasonably, including but not limited to: (i) otherwise modifying the terms of the Options to assist the Participants to participate in any transaction or arrangement leading to a Liquidity Event; (ii) upon written notice to Participants, provide that all unexercised vested (and if so determined by the Board, unvested) Options will terminate prior to the consummation of the Liquidity Event without payment of any consideration unless those Options which have vested are exercised by respective Participants within a specified number of days following the date of the notice, (iii) in a case where holders of Shares will receive cash or other consideration for each Share surrendered in connection with a Liquidity Event, provide for the delivery to each Participant of the cash or other consideration that the Participant would have received had the Participant exercised all of the Participant’s outstanding vested (and if determined by the Board, unvested) Options immediately prior to such Liquidity Event (less the amount the Participant would have been required to pay to the Company on that exercise, in cash or in a portion of any other consideration having a fair value equal to the amount), in exchange for termination of all of the Participant’s Options;</w:t>
      </w:r>
    </w:p>
    <w:p>
      <w:pPr>
        <w:spacing w:after="0" w:line="2" w:lineRule="exact"/>
        <w:rPr>
          <w:rFonts w:ascii="Arial" w:cs="Arial" w:eastAsia="Arial" w:hAnsi="Arial"/>
          <w:sz w:val="16"/>
          <w:szCs w:val="16"/>
          <w:color w:val="auto"/>
        </w:rPr>
      </w:pPr>
    </w:p>
    <w:p>
      <w:pPr>
        <w:jc w:val="both"/>
        <w:ind w:left="960" w:right="120" w:firstLine="8"/>
        <w:spacing w:after="0" w:line="281" w:lineRule="auto"/>
        <w:tabs>
          <w:tab w:leader="none" w:pos="1265" w:val="left"/>
        </w:tabs>
        <w:numPr>
          <w:ilvl w:val="1"/>
          <w:numId w:val="221"/>
        </w:numPr>
        <w:rPr>
          <w:rFonts w:ascii="Arial" w:cs="Arial" w:eastAsia="Arial" w:hAnsi="Arial"/>
          <w:sz w:val="16"/>
          <w:szCs w:val="16"/>
          <w:color w:val="auto"/>
        </w:rPr>
      </w:pPr>
      <w:r>
        <w:rPr>
          <w:rFonts w:ascii="Arial" w:cs="Arial" w:eastAsia="Arial" w:hAnsi="Arial"/>
          <w:sz w:val="16"/>
          <w:szCs w:val="16"/>
          <w:color w:val="auto"/>
        </w:rPr>
        <w:t>suspend early exercise rights and/or option exercises during a limited period of time preceding the Liquidity Event if administratively necessary to facilitate the closing of the Liquidity Event transaction; (v) providing for any escrow, holdback, indemnification, earn-out or other similar provisions to apply to any payments to be made to Participants with respect to their Options to the same extent and in the same proportionate manner as such provisions apply to the shareholders selling shares in the capital of the Company; and/or</w:t>
      </w:r>
    </w:p>
    <w:p>
      <w:pPr>
        <w:spacing w:after="0" w:line="2" w:lineRule="exact"/>
        <w:rPr>
          <w:rFonts w:ascii="Arial" w:cs="Arial" w:eastAsia="Arial" w:hAnsi="Arial"/>
          <w:sz w:val="16"/>
          <w:szCs w:val="16"/>
          <w:color w:val="auto"/>
        </w:rPr>
      </w:pPr>
    </w:p>
    <w:p>
      <w:pPr>
        <w:ind w:left="1280" w:hanging="312"/>
        <w:spacing w:after="0"/>
        <w:tabs>
          <w:tab w:leader="none" w:pos="128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terminating, conditionally or otherwise, the Options not exercised upon the successful completion of such Liquidity Event.</w:t>
      </w:r>
    </w:p>
    <w:p>
      <w:pPr>
        <w:spacing w:after="0" w:line="143" w:lineRule="exact"/>
        <w:rPr>
          <w:rFonts w:ascii="Arial" w:cs="Arial" w:eastAsia="Arial" w:hAnsi="Arial"/>
          <w:sz w:val="18"/>
          <w:szCs w:val="18"/>
          <w:color w:val="auto"/>
        </w:rPr>
      </w:pPr>
    </w:p>
    <w:p>
      <w:pPr>
        <w:ind w:left="5460" w:hanging="106"/>
        <w:spacing w:after="0"/>
        <w:tabs>
          <w:tab w:leader="none" w:pos="5460" w:val="left"/>
        </w:tabs>
        <w:numPr>
          <w:ilvl w:val="2"/>
          <w:numId w:val="222"/>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000"/>
          </w:cols>
          <w:pgMar w:left="440" w:top="270" w:right="459" w:bottom="1440" w:gutter="0" w:footer="0" w:header="0"/>
        </w:sectPr>
      </w:pPr>
    </w:p>
    <w:bookmarkStart w:id="390" w:name="page391"/>
    <w:bookmarkEnd w:id="390"/>
    <w:p>
      <w:pPr>
        <w:ind w:left="960" w:hanging="532"/>
        <w:spacing w:after="0" w:line="272" w:lineRule="auto"/>
        <w:tabs>
          <w:tab w:leader="none" w:pos="9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shall provide a Participant with not less than ten days’ prior written notice of any proposed Liquidity Event together with such information respecting the proposed transaction as may reasonably be required by the Participant to determine whether to exercise the Options in connection with such event. Any exercise of the Options by a Participant may be conditioned upon the closing of such Liquidity Event. If the Liquidity Event is not completed within the time contemplated by such event, if any (as the same may be extended), any Options for which vesting was accelerated shall be reinstated as unvested Options and if any such Options were exercised, the Shares issued upon exercise shall be returned by the Participant to the Company and reinstated as authorized but unissued Shares and the original terms applicable to such Options shall be reinstated.</w:t>
      </w:r>
    </w:p>
    <w:p>
      <w:pPr>
        <w:spacing w:after="0" w:line="7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color w:val="auto"/>
        </w:rPr>
        <w:t>Assumption or Substitution</w:t>
      </w:r>
    </w:p>
    <w:p>
      <w:pPr>
        <w:spacing w:after="0" w:line="12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In the event of (i) a merger, amalgamation, or other transaction pursuant to which the Shares as a whole are converted into other property, whether in the form of securities of another Person, cash or otherwise, which is not a Liquidity Event, or (ii) a Liquidity Event in respect of which the Board does not exercise its discretion to accelerate the vesting of any unvested Options in full (each, a “</w:t>
      </w:r>
      <w:r>
        <w:rPr>
          <w:rFonts w:ascii="Arial" w:cs="Arial" w:eastAsia="Arial" w:hAnsi="Arial"/>
          <w:sz w:val="16"/>
          <w:szCs w:val="16"/>
          <w:b w:val="1"/>
          <w:bCs w:val="1"/>
          <w:color w:val="auto"/>
        </w:rPr>
        <w:t>Substitution Event</w:t>
      </w:r>
      <w:r>
        <w:rPr>
          <w:rFonts w:ascii="Arial" w:cs="Arial" w:eastAsia="Arial" w:hAnsi="Arial"/>
          <w:sz w:val="16"/>
          <w:szCs w:val="16"/>
          <w:color w:val="auto"/>
        </w:rPr>
        <w:t>”), then any successor or acquiring Person shall assume any Option outstanding under the Plan or shall substitute similar Options (including an award to acquire the same net after tax consideration paid to the securityholders in the transaction effecting the Substitution Event) for those Options outstanding under the Plan. Any such assumption or substitution of Options shall, to the extent applicable, be made in accordance with Sections 409A and 424 of the Code. In the event any successor or acquiring Person refuses to assume such Options or to substitute similar stock options for those Options outstanding under the Plan, then with respect to such Options, the vesting of such Options (and, if applicable, the time during which such Options may be exercised) shall be accelerated in full, prior to the completion of such Substitution Event, and the Options shall terminate if not exercised (if applicable) at or prior to the completion of such Substitution Event. The provisions of Sections 2.6(a) and 2.6(b) shall apply to any Substitution Event in addition to any Liquidity Event.</w:t>
      </w:r>
    </w:p>
    <w:p>
      <w:pPr>
        <w:spacing w:after="0" w:line="60"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No fractional Shares or other security shall be issued upon the exercise of any Option and accordingly, if as a result of a Substitution Event, a Participant would become entitled to a fractional security, such Participant shall have the right to acquire only the next lowest whole number of Shares or other securities and no payment or other adjustment will be made with respect to the fractional interest so disregarded.</w:t>
      </w:r>
    </w:p>
    <w:p>
      <w:pPr>
        <w:spacing w:after="0" w:line="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color w:val="auto"/>
        </w:rPr>
        <w:t>Agreements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Option must be confirmed by an agreement (an “</w:t>
      </w:r>
      <w:r>
        <w:rPr>
          <w:rFonts w:ascii="Arial" w:cs="Arial" w:eastAsia="Arial" w:hAnsi="Arial"/>
          <w:sz w:val="18"/>
          <w:szCs w:val="18"/>
          <w:b w:val="1"/>
          <w:bCs w:val="1"/>
          <w:color w:val="auto"/>
        </w:rPr>
        <w:t>Option Agreement</w:t>
      </w:r>
      <w:r>
        <w:rPr>
          <w:rFonts w:ascii="Arial" w:cs="Arial" w:eastAsia="Arial" w:hAnsi="Arial"/>
          <w:sz w:val="18"/>
          <w:szCs w:val="18"/>
          <w:color w:val="auto"/>
        </w:rPr>
        <w:t>”) in substantially the form attached hereto as Schedule A.</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color w:val="auto"/>
        </w:rPr>
        <w:t>Exercise of Option</w:t>
      </w:r>
    </w:p>
    <w:p>
      <w:pPr>
        <w:spacing w:after="0" w:line="121" w:lineRule="exact"/>
        <w:rPr>
          <w:sz w:val="20"/>
          <w:szCs w:val="20"/>
          <w:color w:val="auto"/>
        </w:rPr>
      </w:pPr>
    </w:p>
    <w:p>
      <w:pPr>
        <w:ind w:right="560" w:firstLine="440"/>
        <w:spacing w:after="0" w:line="263" w:lineRule="auto"/>
        <w:rPr>
          <w:sz w:val="20"/>
          <w:szCs w:val="20"/>
          <w:color w:val="auto"/>
        </w:rPr>
      </w:pPr>
      <w:r>
        <w:rPr>
          <w:rFonts w:ascii="Arial" w:cs="Arial" w:eastAsia="Arial" w:hAnsi="Arial"/>
          <w:sz w:val="18"/>
          <w:szCs w:val="18"/>
          <w:color w:val="auto"/>
        </w:rPr>
        <w:t>In order to exercise an Option or portion thereof, the applicable portion of the Option must be vested (including vesting as a result of an acceleration of vesting) and the Participant must file with the Chief Executive Officer of the Company a completed notice of exercise in the form attached hereto as Schedule B (a “</w:t>
      </w:r>
      <w:r>
        <w:rPr>
          <w:rFonts w:ascii="Arial" w:cs="Arial" w:eastAsia="Arial" w:hAnsi="Arial"/>
          <w:sz w:val="18"/>
          <w:szCs w:val="18"/>
          <w:b w:val="1"/>
          <w:bCs w:val="1"/>
          <w:color w:val="auto"/>
        </w:rPr>
        <w:t>Notice of Exercise</w:t>
      </w:r>
      <w:r>
        <w:rPr>
          <w:rFonts w:ascii="Arial" w:cs="Arial" w:eastAsia="Arial" w:hAnsi="Arial"/>
          <w:sz w:val="18"/>
          <w:szCs w:val="18"/>
          <w:color w:val="auto"/>
        </w:rPr>
        <w:t>”) and must agree to be bound by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00"/>
          </w:cols>
          <w:pgMar w:left="440" w:top="274" w:right="459" w:bottom="1440" w:gutter="0" w:footer="0" w:header="0"/>
        </w:sectPr>
      </w:pPr>
    </w:p>
    <w:bookmarkStart w:id="391" w:name="page392"/>
    <w:bookmarkEnd w:id="391"/>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Shareholders Agreement. The Exercise Price of each Option in respect of each Share purchased under such Option and amounts in respect of any applicable withholding taxes must be paid to the Company in full by bank draft, certified cheque or wire transfer of immediately available funds at the time of exercise. Upon receipt of payment in full of the Exercise Price in respect of each Option and subject to the terms of the Plan, the number of Shares in respect of which the subject Option is exercised will be duly issued as fully paid and non-assessable.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color w:val="auto"/>
        </w:rPr>
        <w:t>Cashless Exercise</w:t>
      </w:r>
    </w:p>
    <w:p>
      <w:pPr>
        <w:spacing w:after="0" w:line="121"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In lieu of exercising an Option (other than an Incentive Stock Option) for cash, the Participant may elect, subject to the sole and entire discretion of the Company to accept such election, to surrender such Option and receive in exchange therefor that number of Shares, disregarding fractions, equal to the value (as determined below) of such Option being exercised, by providing a Notice of Surrender, in which event the Company, if it is willing to accept such election, shall issue to the Participant, upon surrender, that number of Shares calculated using the following formula:</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X = Y(A-B)/A</w:t>
      </w:r>
    </w:p>
    <w:p>
      <w:pPr>
        <w:spacing w:after="0" w:line="117"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Where</w:t>
      </w:r>
      <w:r>
        <w:rPr>
          <w:sz w:val="20"/>
          <w:szCs w:val="20"/>
          <w:color w:val="auto"/>
        </w:rPr>
        <w:tab/>
      </w:r>
      <w:r>
        <w:rPr>
          <w:rFonts w:ascii="Arial" w:cs="Arial" w:eastAsia="Arial" w:hAnsi="Arial"/>
          <w:sz w:val="18"/>
          <w:szCs w:val="18"/>
          <w:color w:val="auto"/>
        </w:rPr>
        <w:t>X = the number of Shares to be issued to the Participant upon such cashless exercise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Y = the number of Shares underlying the Options being exercised</w:t>
      </w:r>
    </w:p>
    <w:p>
      <w:pPr>
        <w:spacing w:after="0" w:line="117" w:lineRule="exact"/>
        <w:rPr>
          <w:sz w:val="20"/>
          <w:szCs w:val="20"/>
          <w:color w:val="auto"/>
        </w:rPr>
      </w:pPr>
    </w:p>
    <w:p>
      <w:pPr>
        <w:ind w:right="100" w:firstLine="1432"/>
        <w:spacing w:after="0" w:line="277" w:lineRule="auto"/>
        <w:rPr>
          <w:sz w:val="20"/>
          <w:szCs w:val="20"/>
          <w:color w:val="auto"/>
        </w:rPr>
      </w:pPr>
      <w:r>
        <w:rPr>
          <w:rFonts w:ascii="Arial" w:cs="Arial" w:eastAsia="Arial" w:hAnsi="Arial"/>
          <w:sz w:val="18"/>
          <w:szCs w:val="18"/>
          <w:color w:val="auto"/>
        </w:rPr>
        <w:t>A= The fair market value of one Share as determined by the Board as at the date of such cashless exercise if such fair market value is greater than the Exercise Price.</w:t>
      </w:r>
    </w:p>
    <w:p>
      <w:pPr>
        <w:spacing w:after="0" w:line="6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 Exercise Price.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Notation on Share Certificates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 certificates representing Shares will have the following statements conspicuously noted thereon:</w:t>
      </w:r>
    </w:p>
    <w:p>
      <w:pPr>
        <w:spacing w:after="0" w:line="117" w:lineRule="exact"/>
        <w:rPr>
          <w:sz w:val="20"/>
          <w:szCs w:val="20"/>
          <w:color w:val="auto"/>
        </w:rPr>
      </w:pPr>
    </w:p>
    <w:p>
      <w:pPr>
        <w:ind w:left="760" w:right="240"/>
        <w:spacing w:after="0" w:line="263" w:lineRule="auto"/>
        <w:rPr>
          <w:sz w:val="20"/>
          <w:szCs w:val="20"/>
          <w:color w:val="auto"/>
        </w:rPr>
      </w:pPr>
      <w:r>
        <w:rPr>
          <w:rFonts w:ascii="Arial" w:cs="Arial" w:eastAsia="Arial" w:hAnsi="Arial"/>
          <w:sz w:val="18"/>
          <w:szCs w:val="18"/>
          <w:color w:val="auto"/>
        </w:rPr>
        <w:t>“UNLESS PERMITTED UNDER SECURITIES LEGISLATION, THE HOLDER OF THIS SECURITY MUST NOT TRADE THE SECURITY BEFORE THE DATE THAT IS 4 MONTHS AND A DAY AFTER THE LATER OF (i) [DATE SECURITY ISSUED] AND (ii) THE DATE THE COMPANY BECAME A REPORTING ISSUER IN ANY PROVINCE OR TERRITORY.</w:t>
      </w:r>
    </w:p>
    <w:p>
      <w:pPr>
        <w:spacing w:after="0" w:line="76" w:lineRule="exact"/>
        <w:rPr>
          <w:sz w:val="20"/>
          <w:szCs w:val="20"/>
          <w:color w:val="auto"/>
        </w:rPr>
      </w:pPr>
    </w:p>
    <w:p>
      <w:pPr>
        <w:ind w:left="760"/>
        <w:spacing w:after="0" w:line="254" w:lineRule="auto"/>
        <w:rPr>
          <w:sz w:val="20"/>
          <w:szCs w:val="20"/>
          <w:color w:val="auto"/>
        </w:rPr>
      </w:pPr>
      <w:r>
        <w:rPr>
          <w:rFonts w:ascii="Arial" w:cs="Arial" w:eastAsia="Arial" w:hAnsi="Arial"/>
          <w:sz w:val="18"/>
          <w:szCs w:val="18"/>
          <w:color w:val="auto"/>
        </w:rPr>
        <w:t>THE SECURITY REPRESENTED HEREBY HAS NOT BEEN REGISTERED UNDER THE UNITED STATES SECURITIES ACT OF 1933, AS AMENDED (THE “SECURITIES ACT”), OR ANY STATE SECURITIES LAWS. THE HOLDER HEREOF, BY PURCHASING THIS SECURITY, AGREES FOR THE BENEFIT OF REPARE THERAPEUTICS INC. THAT THIS SECURITY MAY BE OFFERED, SOLD, PLEDGED OR OTHERWISE TRANSFERRED ONLY (A) TO REPARE THERAPEUTICS INC., (B) OUTSIDE THE UNITED STATES IN ACCORDANCE WITH REGULATION S UNDER THE SECURITIES ACT, (C) IN ANOTHER TRANSACTION THAT IS EXEMPT FROM THE REGISTRATION REQUIREMENTS OF THE SECURITIES ACT, OR (D) PURSUANT TO AN EFFECTIVE REGISTRATION STATEMENT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960"/>
          </w:cols>
          <w:pgMar w:left="440" w:top="274" w:right="499" w:bottom="1440" w:gutter="0" w:footer="0" w:header="0"/>
        </w:sectPr>
      </w:pPr>
    </w:p>
    <w:bookmarkStart w:id="392" w:name="page393"/>
    <w:bookmarkEnd w:id="392"/>
    <w:p>
      <w:pPr>
        <w:ind w:left="760"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 THE SECURITIES ACT AND, IN EACH CASE, IN ACCORDANCE WITH ANY APPLICABLE STATE SECURITIES LAWS OR THE APPLICABLE SECURITIES LAWS OF ANY OTHER JURISDICTION, PROVIDED THAT IN THE CASE OF TRANSFERS PURSUANT TO (B) OR (C), IN THIS PARAGRAPH ABOVE, A LEGAL OPINION OR OTHER CERTIFICATION OR EVIDENCE SATISFACTORY TO REPARE THERAPEUTIC INC. MUST FIRST BE PROVIDED TO REPARE THERAPEUTIC INC.</w:t>
      </w:r>
    </w:p>
    <w:p>
      <w:pPr>
        <w:spacing w:after="0" w:line="63" w:lineRule="exact"/>
        <w:rPr>
          <w:sz w:val="20"/>
          <w:szCs w:val="20"/>
          <w:color w:val="auto"/>
        </w:rPr>
      </w:pPr>
    </w:p>
    <w:p>
      <w:pPr>
        <w:ind w:left="760" w:right="100"/>
        <w:spacing w:after="0" w:line="257" w:lineRule="auto"/>
        <w:rPr>
          <w:sz w:val="20"/>
          <w:szCs w:val="20"/>
          <w:color w:val="auto"/>
        </w:rPr>
      </w:pPr>
      <w:r>
        <w:rPr>
          <w:rFonts w:ascii="Arial" w:cs="Arial" w:eastAsia="Arial" w:hAnsi="Arial"/>
          <w:sz w:val="18"/>
          <w:szCs w:val="18"/>
          <w:color w:val="auto"/>
        </w:rPr>
        <w:t>THE SALE, PLEDGE, HYPOTHECATION, OR TRANSFER OF THE SECURITIES REPRESENTED HEREBY IS SUBJECT TO, AND IN CERTAIN CASES PROHIBITED BY, THE TERMS AND CONDITIONS OF A CERTAIN UNANIMOUS SHAREHOLDER AGREEMENT BY AND AMONG THE SHAREHOLDER, THE CORPORATION AND CERTAIN OTHER HOLDERS OF SHARES OF THE CORPORATION, AS AMENDED AND/OR RESTATED FROM TIME TO TIME. COPIES OF SUCH AGREEMENT MAY BE OBTAINED UPON WRITTEN REQUEST TO THE SECRETARY OF THE CORPORATION.”</w:t>
      </w:r>
    </w:p>
    <w:p>
      <w:pPr>
        <w:spacing w:after="0" w:line="188"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A new certificate bearing no United States securities legend may be obtained from Repare Therapeutics Inc. or any duly appointed transfer agent for these securities upon delivery of this certificate and a duly executed declaration and, if requested by Repare Therapeutics Inc. or any duly appointed transfer agent for these securities, an opinion of counsel of recognized standing, in a form satisfactory to Repare Therapeutics Inc. and any duly appointed transfer agent for these securities, to the effect that the sale of the securities represented hereby is being made in compliance with Rule 904 of Regulation S under the Securities Act. Delivery of this certificate may not constitute “good delivery” in settlement of transactions on stock exchanges in Canada.</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color w:val="auto"/>
        </w:rPr>
        <w:t>Participants are not Shareholders</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A Participant is not, and is not deemed to be, a shareholder of the Company and has no rights as a shareholder of the Company, until an Option is properly exercised and the Shares issued.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color w:val="auto"/>
        </w:rPr>
        <w:t>General</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color w:val="auto"/>
        </w:rPr>
        <w:t>Capital Adjustments</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In the event of any stock dividend, share split, combination or exchange of shares, merger, consolidation, spin-off or other distribution (other than normal cash dividends) of the Company’s assets to shareholders, or any other change in the Shares of the Company, the Board will make such proportionate adjustments, if any, as the Board in its discretion may deem appropriate to reflect such change (for the purpose of preserving the value of the Options), with respect to (i) the number or kind of shares or other securities reserved for issuance pursuant to the Plan; and (ii) the number or kind of shares or other securities subject to unexercised Options previously granted and the Exercise Price of those Options provided, however, that no substitution or adjustment will obligate the Company to issue or sell fractional shares. The existence of any Options does not affect in any way the right or power of any Participating Company or any of their respective shareholders to make, authorize or determine any adjustment, recapitalization, reorganization or any other change in the capital structure or the business of, or any amalgamation, merger or consolidation involving, to create or issue any bonds, debentures, shares or other securities of, or to determine the rights and conditions attaching thereto, to effect the dissolution or liquidation of or any sale or transfer of all or any part of the assets or the business of, or to effect 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393" w:name="page394"/>
    <w:bookmarkEnd w:id="393"/>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other corporate act or proceeding relating to, whether of a similar character or otherwise, such Participating Company, whether or not any such action would have an adverse effect on the Plan or any Option granted hereunder. Any such adjustments shall, to the extent applicable, be made in accordance with paragraph 7(1.4) of the </w:t>
      </w:r>
      <w:r>
        <w:rPr>
          <w:rFonts w:ascii="Arial" w:cs="Arial" w:eastAsia="Arial" w:hAnsi="Arial"/>
          <w:sz w:val="17"/>
          <w:szCs w:val="17"/>
          <w:i w:val="1"/>
          <w:iCs w:val="1"/>
          <w:color w:val="auto"/>
        </w:rPr>
        <w:t>Income Tax Act</w:t>
      </w:r>
      <w:r>
        <w:rPr>
          <w:rFonts w:ascii="Arial" w:cs="Arial" w:eastAsia="Arial" w:hAnsi="Arial"/>
          <w:sz w:val="17"/>
          <w:szCs w:val="17"/>
          <w:color w:val="auto"/>
        </w:rPr>
        <w:t xml:space="preserve"> (Canada) or Sections 409A and 424 of the Code, as applicable.</w:t>
      </w:r>
    </w:p>
    <w:p>
      <w:pPr>
        <w:spacing w:after="0" w:line="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color w:val="auto"/>
        </w:rPr>
        <w:t>Non-Exclusivity</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Nothing contained herein will prevent the Board from adopting other or additional compensation arrangements for the benefit of any Participant or any other Person, subject to any required regulatory, shareholder or other approval (including, without limitation, any approval required pursuant to the Shareholders Agreement).</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color w:val="auto"/>
        </w:rPr>
        <w:t>Unfunded Plan</w:t>
      </w:r>
    </w:p>
    <w:p>
      <w:pPr>
        <w:spacing w:after="0" w:line="12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To the extent any individual holds any rights under the Plan, such rights (unless otherwise determined by the Board) shall be no greater than the rights of a general unsecured creditor of the Company.</w:t>
      </w:r>
    </w:p>
    <w:p>
      <w:pPr>
        <w:spacing w:after="0" w:line="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color w:val="auto"/>
        </w:rPr>
        <w:t>Successors and Assigns</w:t>
      </w:r>
    </w:p>
    <w:p>
      <w:pPr>
        <w:spacing w:after="0" w:line="121" w:lineRule="exact"/>
        <w:rPr>
          <w:sz w:val="20"/>
          <w:szCs w:val="20"/>
          <w:color w:val="auto"/>
        </w:rPr>
      </w:pPr>
    </w:p>
    <w:p>
      <w:pPr>
        <w:ind w:right="680" w:firstLine="440"/>
        <w:spacing w:after="0" w:line="342" w:lineRule="auto"/>
        <w:rPr>
          <w:sz w:val="20"/>
          <w:szCs w:val="20"/>
          <w:color w:val="auto"/>
        </w:rPr>
      </w:pPr>
      <w:r>
        <w:rPr>
          <w:rFonts w:ascii="Arial" w:cs="Arial" w:eastAsia="Arial" w:hAnsi="Arial"/>
          <w:sz w:val="16"/>
          <w:szCs w:val="16"/>
          <w:color w:val="auto"/>
        </w:rPr>
        <w:t>The Plan shall be binding on all successors and assigns of the Company and a Participant, including without limitation, the personal legal representatives of a Participant, or any receiver or trustee in bankruptcy or representative of the Company’s or Participant’s creditors.</w:t>
      </w:r>
    </w:p>
    <w:p>
      <w:pPr>
        <w:spacing w:after="0" w:line="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color w:val="auto"/>
        </w:rPr>
        <w:t>Amendment and Termination</w:t>
      </w:r>
    </w:p>
    <w:p>
      <w:pPr>
        <w:spacing w:after="0" w:line="135" w:lineRule="exact"/>
        <w:rPr>
          <w:sz w:val="20"/>
          <w:szCs w:val="20"/>
          <w:color w:val="auto"/>
        </w:rPr>
      </w:pPr>
    </w:p>
    <w:p>
      <w:pPr>
        <w:ind w:left="960" w:right="200" w:hanging="532"/>
        <w:spacing w:after="0" w:line="279" w:lineRule="auto"/>
        <w:tabs>
          <w:tab w:leader="none" w:pos="96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Board may amend, suspend or terminate the Plan or any portion thereof at any time in accordance with applicable legislation, and subject to any required regulatory, shareholder or other approval (including, without limitation, any approval required pursuant to the Shareholders Agreement). No amendment, suspension or termination may materially adversely affect any Options or any rights pursuant thereto granted previously to any Participant without the consent of that Participant.</w:t>
      </w:r>
    </w:p>
    <w:p>
      <w:pPr>
        <w:spacing w:after="0" w:line="76" w:lineRule="exact"/>
        <w:rPr>
          <w:rFonts w:ascii="Arial" w:cs="Arial" w:eastAsia="Arial" w:hAnsi="Arial"/>
          <w:sz w:val="17"/>
          <w:szCs w:val="17"/>
          <w:color w:val="auto"/>
        </w:rPr>
      </w:pPr>
    </w:p>
    <w:p>
      <w:pPr>
        <w:ind w:left="960" w:right="20" w:hanging="532"/>
        <w:spacing w:after="0" w:line="259" w:lineRule="auto"/>
        <w:tabs>
          <w:tab w:leader="none" w:pos="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If the Plan is terminated, the provisions of the Plan and any administrative guidelines and other rules adopted by the Board that are in force at the time the Plan was terminated, will continue in effect as long as an Option or any rights pursuant thereto remain outstanding. However, notwithstanding the termination of the Plan, the Board may make any amendments to the Plan and the Options it would be entitled to make if the Plan were still in effect.</w:t>
      </w:r>
    </w:p>
    <w:p>
      <w:pPr>
        <w:spacing w:after="0" w:line="92" w:lineRule="exact"/>
        <w:rPr>
          <w:rFonts w:ascii="Arial" w:cs="Arial" w:eastAsia="Arial" w:hAnsi="Arial"/>
          <w:sz w:val="18"/>
          <w:szCs w:val="18"/>
          <w:color w:val="auto"/>
        </w:rPr>
      </w:pPr>
    </w:p>
    <w:p>
      <w:pPr>
        <w:ind w:left="960" w:right="200" w:hanging="532"/>
        <w:spacing w:after="0" w:line="259" w:lineRule="auto"/>
        <w:tabs>
          <w:tab w:leader="none" w:pos="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With the consent of the Participant affected thereby to the extent that the change is adverse to such Participant, the Board may amend or modify any outstanding Option in any manner to the extent that the Board would have had the authority to initially grant the award as so modified or amended, including without limitation, to change the date or dates as of which, or the price at which, an Option becomes exercisable, subject to the prior approval of the relevant stock exchanges, if any.</w:t>
      </w:r>
    </w:p>
    <w:p>
      <w:pPr>
        <w:spacing w:after="0" w:line="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color w:val="auto"/>
        </w:rPr>
        <w:t>No Special Rights</w:t>
      </w:r>
    </w:p>
    <w:p>
      <w:pPr>
        <w:spacing w:after="0" w:line="12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Nothing contained in the Plan or in any Option or Option Agreement will confer upon any Participant any right to the continuation of the Participant’s employment or engagement by (including, as a Consultant), or directorship with, a Participating Company or interfere in any way with the right of any Participating Company at any time to terminate that employment, engagement (including, as a Consultant) or directorship or to increase or decrease the compensation of the Participant.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94" w:name="page395"/>
    <w:bookmarkEnd w:id="394"/>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3.7</w:t>
      </w:r>
      <w:r>
        <w:rPr>
          <w:sz w:val="20"/>
          <w:szCs w:val="20"/>
          <w:color w:val="auto"/>
        </w:rPr>
        <w:tab/>
      </w:r>
      <w:r>
        <w:rPr>
          <w:rFonts w:ascii="Arial" w:cs="Arial" w:eastAsia="Arial" w:hAnsi="Arial"/>
          <w:sz w:val="16"/>
          <w:szCs w:val="16"/>
          <w:color w:val="auto"/>
        </w:rPr>
        <w:t>Other Employee Benefits</w:t>
      </w:r>
    </w:p>
    <w:p>
      <w:pPr>
        <w:spacing w:after="0" w:line="121"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The amount of any compensation deemed to be received by a Participant as a result of the exercise of an Option or the sale of Shares received upon an exercise of an Option will not constitute compensation with respect to which any other employee or similar benefits of that Participant are determined, including, without limitation, benefits under any bonus, pension, profit-sharing, insurance or salary continuation plan, except as otherwise specifically determined by the Board in its sole discretion.</w:t>
      </w:r>
    </w:p>
    <w:p>
      <w:pPr>
        <w:spacing w:after="0" w:line="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color w:val="auto"/>
        </w:rPr>
        <w:t>Compliance with Legislation</w:t>
      </w:r>
    </w:p>
    <w:p>
      <w:pPr>
        <w:spacing w:after="0" w:line="12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Board may postpone any exercise of any Option or the issue of any Shares upon exercise of an Option granted pursuant to the Plan for as long as the Board in its discretion may deem necessary in order to (i) permit the Company to effect or maintain qualification of the Shares issuable pursuant thereto under the securities laws of any applicable jurisdiction, or to determine that the Shares are exempt from that qualification or (ii) comply with applicable law. The Company is not obligated by any provision of the Plan or grant of Options hereunder to sell or issue Shares in violation of any applicable law. In addition, if the Shares are listed on a stock exchange, the Company will have no obligation to issue any Shares pursuant to the Plan until such Shares have been duly listed and posted for trading on such exchange.</w:t>
      </w:r>
    </w:p>
    <w:p>
      <w:pPr>
        <w:spacing w:after="0" w:line="7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5"/>
          <w:szCs w:val="15"/>
          <w:color w:val="auto"/>
        </w:rPr>
        <w:t>Tax Consequences</w:t>
      </w:r>
    </w:p>
    <w:p>
      <w:pPr>
        <w:spacing w:after="0" w:line="121"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It is the responsibility of the Participant to complete and file any tax returns which may be required under Canadian and other tax laws within the periods specified in those laws as a result of the Participant’s participation in the Plan. The Company shall not be held responsible for any tax consequences to the Participant as a result of the Participant’s participation in the Plan. If the Company is required under applicable law to withhold and remit to the applicable governmental authority an amount on account of tax in respect of any amount paid hereunder, the Participant shall (i) pay to the Company sufficient cash as is reasonably determined by the Company to be the amount necessary to permit the required tax remittance, or (ii) make other arrangements acceptable to the Company to fund the required tax remittance.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3.10 </w:t>
      </w:r>
      <w:r>
        <w:rPr>
          <w:rFonts w:ascii="Arial" w:cs="Arial" w:eastAsia="Arial" w:hAnsi="Arial"/>
          <w:sz w:val="18"/>
          <w:szCs w:val="18"/>
          <w:color w:val="auto"/>
        </w:rPr>
        <w:t>No Liability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shall not be liable to any Participant for any loss resulting from a decline in the value of any Shares.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3.11  </w:t>
      </w:r>
      <w:r>
        <w:rPr>
          <w:rFonts w:ascii="Arial" w:cs="Arial" w:eastAsia="Arial" w:hAnsi="Arial"/>
          <w:sz w:val="18"/>
          <w:szCs w:val="18"/>
          <w:color w:val="auto"/>
        </w:rPr>
        <w:t>Dispute Resolution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Any dispute arising out of this Agreement </w:t>
      </w:r>
      <w:r>
        <w:rPr>
          <w:rFonts w:ascii="Arial" w:cs="Arial" w:eastAsia="Arial" w:hAnsi="Arial"/>
          <w:sz w:val="18"/>
          <w:szCs w:val="18"/>
          <w:b w:val="1"/>
          <w:bCs w:val="1"/>
          <w:color w:val="auto"/>
        </w:rPr>
        <w:t>(a “Dispute”),</w:t>
      </w:r>
      <w:r>
        <w:rPr>
          <w:rFonts w:ascii="Arial" w:cs="Arial" w:eastAsia="Arial" w:hAnsi="Arial"/>
          <w:sz w:val="18"/>
          <w:szCs w:val="18"/>
          <w:color w:val="auto"/>
        </w:rPr>
        <w:t xml:space="preserve"> will be resolved by arbitration in accordance with this Section 3.11.</w:t>
      </w:r>
    </w:p>
    <w:p>
      <w:pPr>
        <w:spacing w:after="0" w:line="131" w:lineRule="exact"/>
        <w:rPr>
          <w:sz w:val="20"/>
          <w:szCs w:val="20"/>
          <w:color w:val="auto"/>
        </w:rPr>
      </w:pPr>
    </w:p>
    <w:p>
      <w:pPr>
        <w:jc w:val="both"/>
        <w:ind w:left="960" w:right="60" w:hanging="532"/>
        <w:spacing w:after="0" w:line="266" w:lineRule="auto"/>
        <w:tabs>
          <w:tab w:leader="none" w:pos="9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party may commence arbitration of a Dispute by delivering to the other party a written notice of arbitration (the “</w:t>
      </w:r>
      <w:r>
        <w:rPr>
          <w:rFonts w:ascii="Arial" w:cs="Arial" w:eastAsia="Arial" w:hAnsi="Arial"/>
          <w:sz w:val="18"/>
          <w:szCs w:val="18"/>
          <w:b w:val="1"/>
          <w:bCs w:val="1"/>
          <w:color w:val="auto"/>
        </w:rPr>
        <w:t>Arbitration Notice</w:t>
      </w:r>
      <w:r>
        <w:rPr>
          <w:rFonts w:ascii="Arial" w:cs="Arial" w:eastAsia="Arial" w:hAnsi="Arial"/>
          <w:sz w:val="18"/>
          <w:szCs w:val="18"/>
          <w:color w:val="auto"/>
        </w:rPr>
        <w:t>”). The Arbitration Notice will contain a concise description of the matters submitted for arbitration, including the facts supporting the party’s position, the points at issue and the relief sought.</w:t>
      </w:r>
    </w:p>
    <w:p>
      <w:pPr>
        <w:spacing w:after="0" w:line="85" w:lineRule="exact"/>
        <w:rPr>
          <w:rFonts w:ascii="Arial" w:cs="Arial" w:eastAsia="Arial" w:hAnsi="Arial"/>
          <w:sz w:val="18"/>
          <w:szCs w:val="18"/>
          <w:color w:val="auto"/>
        </w:rPr>
      </w:pPr>
    </w:p>
    <w:p>
      <w:pPr>
        <w:ind w:left="960" w:hanging="532"/>
        <w:spacing w:after="0"/>
        <w:tabs>
          <w:tab w:leader="none" w:pos="9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The arbitration will be conducted in accordance with this Section 3.11 and the </w:t>
      </w:r>
      <w:r>
        <w:rPr>
          <w:rFonts w:ascii="Arial" w:cs="Arial" w:eastAsia="Arial" w:hAnsi="Arial"/>
          <w:sz w:val="18"/>
          <w:szCs w:val="18"/>
          <w:i w:val="1"/>
          <w:iCs w:val="1"/>
          <w:color w:val="auto"/>
        </w:rPr>
        <w:t>Arbitration Act, 1991</w:t>
      </w:r>
      <w:r>
        <w:rPr>
          <w:rFonts w:ascii="Arial" w:cs="Arial" w:eastAsia="Arial" w:hAnsi="Arial"/>
          <w:sz w:val="18"/>
          <w:szCs w:val="18"/>
          <w:color w:val="auto"/>
        </w:rPr>
        <w:t xml:space="preserve"> (Ontario).</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000"/>
          </w:cols>
          <w:pgMar w:left="440" w:top="270" w:right="459" w:bottom="1440" w:gutter="0" w:footer="0" w:header="0"/>
        </w:sectPr>
      </w:pPr>
    </w:p>
    <w:bookmarkStart w:id="395" w:name="page396"/>
    <w:bookmarkEnd w:id="395"/>
    <w:p>
      <w:pPr>
        <w:jc w:val="both"/>
        <w:ind w:left="960" w:hanging="532"/>
        <w:spacing w:after="0" w:line="263" w:lineRule="auto"/>
        <w:tabs>
          <w:tab w:leader="none" w:pos="9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arbitral tribunal will consist of a single arbitrator. The single arbitrator will be appointed by mutual agreement of the parties or, if they do not agree within 10 business days following the delivery of the Arbitration Notice, by the ADR Institute of Canada Inc., acting solely as an appointing authority.</w:t>
      </w:r>
    </w:p>
    <w:p>
      <w:pPr>
        <w:spacing w:after="0" w:line="89"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arbitration will be take place in Montreal, Quebec and the language of the arbitration shall be English, provided that witnesses shall be permitted to testify in the language of their choice between French and English and simultaneous translation will be provided if such witnesses testify in French.</w:t>
      </w:r>
    </w:p>
    <w:p>
      <w:pPr>
        <w:spacing w:after="0" w:line="89" w:lineRule="exact"/>
        <w:rPr>
          <w:rFonts w:ascii="Arial" w:cs="Arial" w:eastAsia="Arial" w:hAnsi="Arial"/>
          <w:sz w:val="18"/>
          <w:szCs w:val="18"/>
          <w:color w:val="auto"/>
        </w:rPr>
      </w:pPr>
    </w:p>
    <w:p>
      <w:pPr>
        <w:ind w:left="960" w:right="440" w:hanging="532"/>
        <w:spacing w:after="0" w:line="277" w:lineRule="auto"/>
        <w:tabs>
          <w:tab w:leader="none" w:pos="9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award will deal with the question of costs of arbitration, which may include the arbitrators’ fees and expenses, the provision of a reporter and transcripts, reasonable legal fees and reasonable costs of preparations, as appropriate.</w:t>
      </w:r>
    </w:p>
    <w:p>
      <w:pPr>
        <w:spacing w:after="0" w:line="75" w:lineRule="exact"/>
        <w:rPr>
          <w:rFonts w:ascii="Arial" w:cs="Arial" w:eastAsia="Arial" w:hAnsi="Arial"/>
          <w:sz w:val="18"/>
          <w:szCs w:val="18"/>
          <w:color w:val="auto"/>
        </w:rPr>
      </w:pPr>
    </w:p>
    <w:p>
      <w:pPr>
        <w:ind w:left="960" w:right="60" w:hanging="532"/>
        <w:spacing w:after="0" w:line="277" w:lineRule="auto"/>
        <w:tabs>
          <w:tab w:leader="none" w:pos="9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arbitration award will be final and binding and will not be subject to appeal, whether on a question of law, of fact or of mixed law and fact.</w:t>
      </w:r>
    </w:p>
    <w:p>
      <w:pPr>
        <w:spacing w:after="0" w:line="75" w:lineRule="exact"/>
        <w:rPr>
          <w:rFonts w:ascii="Arial" w:cs="Arial" w:eastAsia="Arial" w:hAnsi="Arial"/>
          <w:sz w:val="18"/>
          <w:szCs w:val="18"/>
          <w:color w:val="auto"/>
        </w:rPr>
      </w:pPr>
    </w:p>
    <w:p>
      <w:pPr>
        <w:ind w:left="960" w:right="40" w:hanging="532"/>
        <w:spacing w:after="0" w:line="301" w:lineRule="auto"/>
        <w:tabs>
          <w:tab w:leader="none" w:pos="96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Parties agree that the arbitration will be kept confidential and that the existence of the proceeding and any element of it (including any pleadings, briefs or other documents submitted or exchanged, any testimony or other oral submissions and any awards) will not be disclosed beyond the arbitrator or arbitration tribunal, the Parties, their counsel and any Person necessary to the conduct of the proceeding, except as may lawfully be required in judicial proceedings relating to the arbitration or otherwise or as may be required by Law.</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3.12 </w:t>
      </w:r>
      <w:r>
        <w:rPr>
          <w:rFonts w:ascii="Arial" w:cs="Arial" w:eastAsia="Arial" w:hAnsi="Arial"/>
          <w:sz w:val="18"/>
          <w:szCs w:val="18"/>
          <w:color w:val="auto"/>
        </w:rPr>
        <w:t>Shareholder Approval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Plan must be approved by the shareholders of the Company within twelve (12) months after the adoption of the Plan by the Board.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3.13 </w:t>
      </w:r>
      <w:r>
        <w:rPr>
          <w:rFonts w:ascii="Arial" w:cs="Arial" w:eastAsia="Arial" w:hAnsi="Arial"/>
          <w:sz w:val="18"/>
          <w:szCs w:val="18"/>
          <w:color w:val="auto"/>
        </w:rPr>
        <w:t>Language</w:t>
      </w:r>
    </w:p>
    <w:p>
      <w:pPr>
        <w:spacing w:after="0" w:line="121"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 xml:space="preserve">The parties to this Agreement have agreed that this Agreement as well as any document or instrument relating to it be drawn up in English. </w:t>
      </w:r>
      <w:r>
        <w:rPr>
          <w:rFonts w:ascii="Arial" w:cs="Arial" w:eastAsia="Arial" w:hAnsi="Arial"/>
          <w:sz w:val="18"/>
          <w:szCs w:val="18"/>
          <w:i w:val="1"/>
          <w:iCs w:val="1"/>
          <w:color w:val="auto"/>
        </w:rPr>
        <w:t>Les</w:t>
      </w:r>
      <w:r>
        <w:rPr>
          <w:rFonts w:ascii="Arial" w:cs="Arial" w:eastAsia="Arial" w:hAnsi="Arial"/>
          <w:sz w:val="18"/>
          <w:szCs w:val="18"/>
          <w:color w:val="auto"/>
        </w:rPr>
        <w:t xml:space="preserve"> </w:t>
      </w:r>
      <w:r>
        <w:rPr>
          <w:rFonts w:ascii="Arial" w:cs="Arial" w:eastAsia="Arial" w:hAnsi="Arial"/>
          <w:sz w:val="18"/>
          <w:szCs w:val="18"/>
          <w:i w:val="1"/>
          <w:iCs w:val="1"/>
          <w:color w:val="auto"/>
        </w:rPr>
        <w:t>parties aux présentes ont convenu que la présente Convention ainsi que tous autres actes ou documents s’y rattachant soient rédigés en anglais seulement.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3.14 </w:t>
      </w:r>
      <w:r>
        <w:rPr>
          <w:rFonts w:ascii="Arial" w:cs="Arial" w:eastAsia="Arial" w:hAnsi="Arial"/>
          <w:sz w:val="18"/>
          <w:szCs w:val="18"/>
          <w:color w:val="auto"/>
        </w:rPr>
        <w:t>Effective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Plan is effective as of the 3</w:t>
      </w:r>
      <w:r>
        <w:rPr>
          <w:rFonts w:ascii="Arial" w:cs="Arial" w:eastAsia="Arial" w:hAnsi="Arial"/>
          <w:sz w:val="15"/>
          <w:szCs w:val="15"/>
          <w:color w:val="auto"/>
        </w:rPr>
        <w:t>rd</w:t>
      </w:r>
      <w:r>
        <w:rPr>
          <w:rFonts w:ascii="Arial" w:cs="Arial" w:eastAsia="Arial" w:hAnsi="Arial"/>
          <w:sz w:val="18"/>
          <w:szCs w:val="18"/>
          <w:color w:val="auto"/>
        </w:rPr>
        <w:t xml:space="preserve"> day of September,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396" w:name="page397"/>
    <w:bookmarkEnd w:id="396"/>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REPARE THERAPEUTICS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Per: /s/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Lloyd M. Segal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Chief Executive Officer, President and Secretary</w:t>
      </w:r>
    </w:p>
    <w:p>
      <w:pPr>
        <w:spacing w:after="0" w:line="247"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[Signature Page – Amended and Restated Option Plan]</w:t>
      </w:r>
    </w:p>
    <w:p>
      <w:pPr>
        <w:sectPr>
          <w:pgSz w:w="11900" w:h="16838" w:orient="portrait"/>
          <w:cols w:equalWidth="0" w:num="1">
            <w:col w:w="9480"/>
          </w:cols>
          <w:pgMar w:left="1440" w:top="270" w:right="979" w:bottom="1440" w:gutter="0" w:footer="0" w:header="0"/>
        </w:sectPr>
      </w:pPr>
    </w:p>
    <w:bookmarkStart w:id="397" w:name="page398"/>
    <w:bookmarkEnd w:id="397"/>
    <w:p>
      <w:pPr>
        <w:jc w:val="right"/>
        <w:spacing w:after="0"/>
        <w:rPr>
          <w:sz w:val="20"/>
          <w:szCs w:val="20"/>
          <w:color w:val="auto"/>
        </w:rPr>
      </w:pPr>
      <w:r>
        <w:rPr>
          <w:rFonts w:ascii="Arial" w:cs="Arial" w:eastAsia="Arial" w:hAnsi="Arial"/>
          <w:sz w:val="18"/>
          <w:szCs w:val="18"/>
          <w:b w:val="1"/>
          <w:bCs w:val="1"/>
          <w:color w:val="auto"/>
        </w:rPr>
        <w:t>Exhibit 10.2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OPTION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OPTION AGREEMENT</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Pursuant to the Repare Therapeutics, Inc. Amended and Restated Option Plan (the “</w:t>
      </w:r>
      <w:r>
        <w:rPr>
          <w:rFonts w:ascii="Arial" w:cs="Arial" w:eastAsia="Arial" w:hAnsi="Arial"/>
          <w:sz w:val="16"/>
          <w:szCs w:val="16"/>
          <w:b w:val="1"/>
          <w:bCs w:val="1"/>
          <w:color w:val="auto"/>
        </w:rPr>
        <w:t>Plan</w:t>
      </w:r>
      <w:r>
        <w:rPr>
          <w:rFonts w:ascii="Arial" w:cs="Arial" w:eastAsia="Arial" w:hAnsi="Arial"/>
          <w:sz w:val="16"/>
          <w:szCs w:val="16"/>
          <w:color w:val="auto"/>
        </w:rPr>
        <w:t>”), Repare Therapeutics Inc., (together with any successor, the “</w:t>
      </w:r>
      <w:r>
        <w:rPr>
          <w:rFonts w:ascii="Arial" w:cs="Arial" w:eastAsia="Arial" w:hAnsi="Arial"/>
          <w:sz w:val="16"/>
          <w:szCs w:val="16"/>
          <w:b w:val="1"/>
          <w:bCs w:val="1"/>
          <w:color w:val="auto"/>
        </w:rPr>
        <w:t>Company</w:t>
      </w:r>
      <w:r>
        <w:rPr>
          <w:rFonts w:ascii="Arial" w:cs="Arial" w:eastAsia="Arial" w:hAnsi="Arial"/>
          <w:sz w:val="16"/>
          <w:szCs w:val="16"/>
          <w:color w:val="auto"/>
        </w:rPr>
        <w:t>”), has granted to the individual named below, an option (the “</w:t>
      </w:r>
      <w:r>
        <w:rPr>
          <w:rFonts w:ascii="Arial" w:cs="Arial" w:eastAsia="Arial" w:hAnsi="Arial"/>
          <w:sz w:val="16"/>
          <w:szCs w:val="16"/>
          <w:b w:val="1"/>
          <w:bCs w:val="1"/>
          <w:color w:val="auto"/>
        </w:rPr>
        <w:t>Option</w:t>
      </w:r>
      <w:r>
        <w:rPr>
          <w:rFonts w:ascii="Arial" w:cs="Arial" w:eastAsia="Arial" w:hAnsi="Arial"/>
          <w:sz w:val="16"/>
          <w:szCs w:val="16"/>
          <w:color w:val="auto"/>
        </w:rPr>
        <w:t>”) to purchase on or prior to the date which is ten years from the date of grant or such earlier date as is specified herein, all or any part of the number of common shares of the Company indicated below (the “</w:t>
      </w:r>
      <w:r>
        <w:rPr>
          <w:rFonts w:ascii="Arial" w:cs="Arial" w:eastAsia="Arial" w:hAnsi="Arial"/>
          <w:sz w:val="16"/>
          <w:szCs w:val="16"/>
          <w:b w:val="1"/>
          <w:bCs w:val="1"/>
          <w:color w:val="auto"/>
        </w:rPr>
        <w:t>Shares</w:t>
      </w:r>
      <w:r>
        <w:rPr>
          <w:rFonts w:ascii="Arial" w:cs="Arial" w:eastAsia="Arial" w:hAnsi="Arial"/>
          <w:sz w:val="16"/>
          <w:szCs w:val="16"/>
          <w:color w:val="auto"/>
        </w:rPr>
        <w:t xml:space="preserve">”), at the Exercise Price per share, subject to the terms and conditions set forth in this Option Grant Notice (the “Grant Notice”), the attached Option Agreement (the “Agreement”) and the Plan. </w:t>
      </w:r>
      <w:r>
        <w:rPr>
          <w:rFonts w:ascii="Arial" w:cs="Arial" w:eastAsia="Arial" w:hAnsi="Arial"/>
          <w:sz w:val="16"/>
          <w:szCs w:val="16"/>
          <w:b w:val="1"/>
          <w:bCs w:val="1"/>
          <w:color w:val="auto"/>
        </w:rPr>
        <w:t>[This Option is intended to qualify as an “incentive stock option” as defined in Section 422(b) of the</w:t>
      </w:r>
    </w:p>
    <w:p>
      <w:pPr>
        <w:spacing w:after="0" w:line="2"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b w:val="1"/>
          <w:bCs w:val="1"/>
          <w:color w:val="auto"/>
        </w:rPr>
        <w:t>Internal Revenue Code of 1986, as amended from time to time (the “Code”). To the extent that any portion of the Option does not so qualify, it shall be deemed a non-qualified stock option.]</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Name of Optionee: __________________ (the “Optionee”)</w:t>
      </w:r>
    </w:p>
    <w:p>
      <w:pPr>
        <w:spacing w:after="0" w:line="15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 of Shares: __________ Common Shares</w:t>
      </w:r>
    </w:p>
    <w:p>
      <w:pPr>
        <w:spacing w:after="0" w:line="14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Grant Date: __________________</w:t>
      </w:r>
    </w:p>
    <w:p>
      <w:pPr>
        <w:spacing w:after="0" w:line="15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Expiration Date: __________________ (the “Expiration Date”)</w:t>
      </w:r>
    </w:p>
    <w:p>
      <w:pPr>
        <w:spacing w:after="0" w:line="15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Option Exercise Price/Share: $_________________ (the “Exercise Price”)</w:t>
      </w:r>
    </w:p>
    <w:p>
      <w:pPr>
        <w:spacing w:after="0" w:line="144" w:lineRule="exact"/>
        <w:rPr>
          <w:sz w:val="20"/>
          <w:szCs w:val="20"/>
          <w:color w:val="auto"/>
        </w:rPr>
      </w:pPr>
    </w:p>
    <w:p>
      <w:pPr>
        <w:ind w:left="1420" w:right="280"/>
        <w:spacing w:after="0" w:line="275" w:lineRule="auto"/>
        <w:rPr>
          <w:sz w:val="20"/>
          <w:szCs w:val="20"/>
          <w:color w:val="auto"/>
        </w:rPr>
      </w:pPr>
      <w:r>
        <w:rPr>
          <w:rFonts w:ascii="Arial" w:cs="Arial" w:eastAsia="Arial" w:hAnsi="Arial"/>
          <w:sz w:val="17"/>
          <w:szCs w:val="17"/>
          <w:color w:val="auto"/>
        </w:rPr>
        <w:t>Vesting Schedule: 25 percent of the Shares shall vest and become exercisable on the first anniversary of the Grant Date; provided that the Optionee continues to be an Eligible Person who has not been Terminated. Thereafter, the remaining 75 percent of the Shares shall vest and become exercisable in 36 equal monthly installments following the first anniversary of the Grant Date until [_____________], on which date, subject to the vesting conditions herein, all remaining Shares shall vest, provided the Optionee continues to be an Eligible Person who has not been Terminated.</w:t>
      </w:r>
    </w:p>
    <w:p>
      <w:pPr>
        <w:spacing w:after="0" w:line="10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 Amended and Restated Option Plan</w:t>
      </w:r>
    </w:p>
    <w:p>
      <w:pPr>
        <w:sectPr>
          <w:pgSz w:w="11900" w:h="16838" w:orient="portrait"/>
          <w:cols w:equalWidth="0" w:num="1">
            <w:col w:w="11020"/>
          </w:cols>
          <w:pgMar w:left="440" w:top="121" w:right="439" w:bottom="1440" w:gutter="0" w:footer="0" w:header="0"/>
        </w:sectPr>
      </w:pPr>
    </w:p>
    <w:bookmarkStart w:id="398" w:name="page399"/>
    <w:bookmarkEnd w:id="39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Agreement is hereby accepted and the terms and conditions thereof hereby agreed to by the undersigned as of the date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REPARE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220345</wp:posOffset>
            </wp:positionV>
            <wp:extent cx="279463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443230</wp:posOffset>
            </wp:positionV>
            <wp:extent cx="279463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666115</wp:posOffset>
            </wp:positionV>
            <wp:extent cx="279463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undersigned hereby acknowledges receiving and reviewing a copy of the Plan, and understands that this Option is subject to the terms of the Plan and this Grant Notice which are hereby agreed to, by the undersigned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220345</wp:posOffset>
            </wp:positionV>
            <wp:extent cx="279463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443230</wp:posOffset>
            </wp:positionV>
            <wp:extent cx="279463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666115</wp:posOffset>
            </wp:positionV>
            <wp:extent cx="279463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820"/>
          </w:cols>
          <w:pgMar w:left="440" w:top="274" w:right="639" w:bottom="1440" w:gutter="0" w:footer="0" w:header="0"/>
        </w:sectPr>
      </w:pPr>
    </w:p>
    <w:bookmarkStart w:id="399" w:name="page400"/>
    <w:bookmarkEnd w:id="399"/>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80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9"/>
              </w:rPr>
              <w:t>SCHEDULE B</w:t>
            </w:r>
          </w:p>
        </w:tc>
      </w:tr>
      <w:tr>
        <w:trPr>
          <w:trHeight w:val="414"/>
        </w:trPr>
        <w:tc>
          <w:tcPr>
            <w:tcW w:w="860" w:type="dxa"/>
            <w:vAlign w:val="bottom"/>
          </w:tcPr>
          <w:p>
            <w:pPr>
              <w:spacing w:after="0"/>
              <w:rPr>
                <w:sz w:val="24"/>
                <w:szCs w:val="24"/>
                <w:color w:val="auto"/>
              </w:rPr>
            </w:pPr>
          </w:p>
        </w:tc>
        <w:tc>
          <w:tcPr>
            <w:tcW w:w="6460" w:type="dxa"/>
            <w:vAlign w:val="bottom"/>
            <w:gridSpan w:val="3"/>
          </w:tcPr>
          <w:p>
            <w:pPr>
              <w:jc w:val="center"/>
              <w:ind w:left="2730"/>
              <w:spacing w:after="0"/>
              <w:rPr>
                <w:sz w:val="20"/>
                <w:szCs w:val="20"/>
                <w:color w:val="auto"/>
              </w:rPr>
            </w:pPr>
            <w:r>
              <w:rPr>
                <w:rFonts w:ascii="Arial" w:cs="Arial" w:eastAsia="Arial" w:hAnsi="Arial"/>
                <w:sz w:val="18"/>
                <w:szCs w:val="18"/>
                <w:b w:val="1"/>
                <w:bCs w:val="1"/>
                <w:color w:val="auto"/>
                <w:w w:val="99"/>
              </w:rPr>
              <w:t>REPARE THERAPEUTICS INC.</w:t>
            </w:r>
          </w:p>
        </w:tc>
      </w:tr>
      <w:tr>
        <w:trPr>
          <w:trHeight w:val="234"/>
        </w:trPr>
        <w:tc>
          <w:tcPr>
            <w:tcW w:w="860" w:type="dxa"/>
            <w:vAlign w:val="bottom"/>
          </w:tcPr>
          <w:p>
            <w:pPr>
              <w:spacing w:after="0"/>
              <w:rPr>
                <w:sz w:val="20"/>
                <w:szCs w:val="20"/>
                <w:color w:val="auto"/>
              </w:rPr>
            </w:pPr>
          </w:p>
        </w:tc>
        <w:tc>
          <w:tcPr>
            <w:tcW w:w="6460" w:type="dxa"/>
            <w:vAlign w:val="bottom"/>
            <w:gridSpan w:val="3"/>
          </w:tcPr>
          <w:p>
            <w:pPr>
              <w:jc w:val="center"/>
              <w:ind w:left="2730"/>
              <w:spacing w:after="0"/>
              <w:rPr>
                <w:sz w:val="20"/>
                <w:szCs w:val="20"/>
                <w:color w:val="auto"/>
              </w:rPr>
            </w:pPr>
            <w:r>
              <w:rPr>
                <w:rFonts w:ascii="Arial" w:cs="Arial" w:eastAsia="Arial" w:hAnsi="Arial"/>
                <w:sz w:val="18"/>
                <w:szCs w:val="18"/>
                <w:b w:val="1"/>
                <w:bCs w:val="1"/>
                <w:color w:val="auto"/>
                <w:w w:val="99"/>
              </w:rPr>
              <w:t>AMENDED AND RESTATED OPTION PLAN</w:t>
            </w:r>
          </w:p>
        </w:tc>
      </w:tr>
      <w:tr>
        <w:trPr>
          <w:trHeight w:val="391"/>
        </w:trPr>
        <w:tc>
          <w:tcPr>
            <w:tcW w:w="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80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rPr>
              <w:t>NOTICE OF EXERCISE</w:t>
            </w:r>
          </w:p>
        </w:tc>
      </w:tr>
      <w:tr>
        <w:trPr>
          <w:trHeight w:val="433"/>
        </w:trPr>
        <w:tc>
          <w:tcPr>
            <w:tcW w:w="860" w:type="dxa"/>
            <w:vAlign w:val="bottom"/>
          </w:tcPr>
          <w:p>
            <w:pPr>
              <w:spacing w:after="0"/>
              <w:rPr>
                <w:sz w:val="20"/>
                <w:szCs w:val="20"/>
                <w:color w:val="auto"/>
              </w:rPr>
            </w:pPr>
            <w:r>
              <w:rPr>
                <w:rFonts w:ascii="Arial" w:cs="Arial" w:eastAsia="Arial" w:hAnsi="Arial"/>
                <w:sz w:val="18"/>
                <w:szCs w:val="18"/>
                <w:color w:val="auto"/>
              </w:rPr>
              <w:t>TO:</w:t>
            </w:r>
          </w:p>
        </w:tc>
        <w:tc>
          <w:tcPr>
            <w:tcW w:w="3660" w:type="dxa"/>
            <w:vAlign w:val="bottom"/>
          </w:tcPr>
          <w:p>
            <w:pPr>
              <w:ind w:left="120"/>
              <w:spacing w:after="0"/>
              <w:rPr>
                <w:sz w:val="20"/>
                <w:szCs w:val="20"/>
                <w:color w:val="auto"/>
              </w:rPr>
            </w:pPr>
            <w:r>
              <w:rPr>
                <w:rFonts w:ascii="Arial" w:cs="Arial" w:eastAsia="Arial" w:hAnsi="Arial"/>
                <w:sz w:val="18"/>
                <w:szCs w:val="18"/>
                <w:color w:val="auto"/>
              </w:rPr>
              <w:t>REPARE THERAPEUTICS INC.</w:t>
            </w:r>
          </w:p>
        </w:tc>
        <w:tc>
          <w:tcPr>
            <w:tcW w:w="196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283"/>
        </w:trPr>
        <w:tc>
          <w:tcPr>
            <w:tcW w:w="860" w:type="dxa"/>
            <w:vAlign w:val="bottom"/>
          </w:tcPr>
          <w:p>
            <w:pPr>
              <w:spacing w:after="0"/>
              <w:rPr>
                <w:sz w:val="20"/>
                <w:szCs w:val="20"/>
                <w:color w:val="auto"/>
              </w:rPr>
            </w:pPr>
            <w:r>
              <w:rPr>
                <w:rFonts w:ascii="Arial" w:cs="Arial" w:eastAsia="Arial" w:hAnsi="Arial"/>
                <w:sz w:val="18"/>
                <w:szCs w:val="18"/>
                <w:color w:val="auto"/>
              </w:rPr>
              <w:t>Attention:</w:t>
            </w:r>
          </w:p>
        </w:tc>
        <w:tc>
          <w:tcPr>
            <w:tcW w:w="6460" w:type="dxa"/>
            <w:vAlign w:val="bottom"/>
            <w:gridSpan w:val="3"/>
          </w:tcPr>
          <w:p>
            <w:pPr>
              <w:ind w:left="120"/>
              <w:spacing w:after="0" w:line="207" w:lineRule="exact"/>
              <w:rPr>
                <w:sz w:val="20"/>
                <w:szCs w:val="20"/>
                <w:color w:val="auto"/>
              </w:rPr>
            </w:pPr>
            <w:r>
              <w:rPr>
                <w:rFonts w:ascii="Arial" w:cs="Arial" w:eastAsia="Arial" w:hAnsi="Arial"/>
                <w:sz w:val="18"/>
                <w:szCs w:val="18"/>
                <w:color w:val="auto"/>
              </w:rPr>
              <w:t>[</w:t>
            </w:r>
            <w:r>
              <w:rPr>
                <w:rFonts w:ascii="MS PGothic" w:cs="MS PGothic" w:eastAsia="MS PGothic" w:hAnsi="MS PGothic"/>
                <w:sz w:val="18"/>
                <w:szCs w:val="18"/>
                <w:color w:val="auto"/>
              </w:rPr>
              <w:t>∎</w:t>
            </w:r>
            <w:r>
              <w:rPr>
                <w:rFonts w:ascii="Arial" w:cs="Arial" w:eastAsia="Arial" w:hAnsi="Arial"/>
                <w:sz w:val="18"/>
                <w:szCs w:val="18"/>
                <w:color w:val="auto"/>
              </w:rPr>
              <w:t>]</w:t>
            </w:r>
          </w:p>
        </w:tc>
      </w:tr>
    </w:tbl>
    <w:p>
      <w:pPr>
        <w:spacing w:after="0" w:line="1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right="120" w:firstLine="440"/>
        <w:spacing w:after="0" w:line="293" w:lineRule="auto"/>
        <w:rPr>
          <w:sz w:val="20"/>
          <w:szCs w:val="20"/>
          <w:color w:val="auto"/>
        </w:rPr>
      </w:pPr>
      <w:r>
        <w:rPr>
          <w:rFonts w:ascii="Arial" w:cs="Arial" w:eastAsia="Arial" w:hAnsi="Arial"/>
          <w:sz w:val="16"/>
          <w:szCs w:val="16"/>
          <w:color w:val="auto"/>
        </w:rPr>
        <w:t>Pursuant to the Repare Therapeutics Inc. Amended and Restated Option Plan (the “</w:t>
      </w:r>
      <w:r>
        <w:rPr>
          <w:rFonts w:ascii="Arial" w:cs="Arial" w:eastAsia="Arial" w:hAnsi="Arial"/>
          <w:sz w:val="16"/>
          <w:szCs w:val="16"/>
          <w:b w:val="1"/>
          <w:bCs w:val="1"/>
          <w:color w:val="auto"/>
        </w:rPr>
        <w:t>Plan</w:t>
      </w:r>
      <w:r>
        <w:rPr>
          <w:rFonts w:ascii="Arial" w:cs="Arial" w:eastAsia="Arial" w:hAnsi="Arial"/>
          <w:sz w:val="16"/>
          <w:szCs w:val="16"/>
          <w:color w:val="auto"/>
        </w:rPr>
        <w:t>”), the undersigned elects to exercise a vested Option to purchase ________ common shares in the capital of Repare Therapeutics Inc. (“</w:t>
      </w:r>
      <w:r>
        <w:rPr>
          <w:rFonts w:ascii="Arial" w:cs="Arial" w:eastAsia="Arial" w:hAnsi="Arial"/>
          <w:sz w:val="16"/>
          <w:szCs w:val="16"/>
          <w:b w:val="1"/>
          <w:bCs w:val="1"/>
          <w:color w:val="auto"/>
        </w:rPr>
        <w:t>Shares</w:t>
      </w:r>
      <w:r>
        <w:rPr>
          <w:rFonts w:ascii="Arial" w:cs="Arial" w:eastAsia="Arial" w:hAnsi="Arial"/>
          <w:sz w:val="16"/>
          <w:szCs w:val="16"/>
          <w:color w:val="auto"/>
        </w:rPr>
        <w:t>”) which are the subject of an Option granted 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 _______, and encloses a bank draft or a certified cheque payable, or has arranged for a wire transfer of immediately available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funds, to Repare Therapeutics Inc. in the aggregate amount of $______________, being $_________ per Share plus amounts in respect of 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applicable withholding taxes.</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 agree to be bound by the terms of the Shareholders Agreement as if I was an original signatory thereto as an Employee Shareholder to the same extent as all of the other parties, and acknowledge that the Shares are held subject to the Shareholders Agreement. All capitalized terms not defined in this Notice of Exercise have the meaning set out in the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_________________, 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134620</wp:posOffset>
            </wp:positionV>
            <wp:extent cx="279463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(please print)</w:t>
      </w:r>
    </w:p>
    <w:p>
      <w:pPr>
        <w:sectPr>
          <w:pgSz w:w="11900" w:h="16838" w:orient="portrait"/>
          <w:cols w:equalWidth="0" w:num="1">
            <w:col w:w="10920"/>
          </w:cols>
          <w:pgMar w:left="440" w:top="270" w:right="539" w:bottom="1440" w:gutter="0" w:footer="0" w:header="0"/>
        </w:sectPr>
      </w:pPr>
    </w:p>
    <w:bookmarkStart w:id="400" w:name="page401"/>
    <w:bookmarkEnd w:id="40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REPARE THERAPEUTICS INC. AMENDED AND RESTATED OPTION PLAN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NOTICE OF SURRENDER</w:t>
      </w:r>
    </w:p>
    <w:p>
      <w:pPr>
        <w:spacing w:after="0" w:line="225" w:lineRule="exact"/>
        <w:rPr>
          <w:sz w:val="20"/>
          <w:szCs w:val="20"/>
          <w:color w:val="auto"/>
        </w:rPr>
      </w:pPr>
    </w:p>
    <w:p>
      <w:pPr>
        <w:ind w:right="480"/>
        <w:spacing w:after="0" w:line="293" w:lineRule="auto"/>
        <w:rPr>
          <w:sz w:val="20"/>
          <w:szCs w:val="20"/>
          <w:color w:val="auto"/>
        </w:rPr>
      </w:pPr>
      <w:r>
        <w:rPr>
          <w:rFonts w:ascii="Arial" w:cs="Arial" w:eastAsia="Arial" w:hAnsi="Arial"/>
          <w:sz w:val="16"/>
          <w:szCs w:val="16"/>
          <w:color w:val="auto"/>
        </w:rPr>
        <w:t>Pursuant to the Repare Therapeutics Inc. Amended and Restated Option Plan (the “</w:t>
      </w:r>
      <w:r>
        <w:rPr>
          <w:rFonts w:ascii="Arial" w:cs="Arial" w:eastAsia="Arial" w:hAnsi="Arial"/>
          <w:sz w:val="16"/>
          <w:szCs w:val="16"/>
          <w:b w:val="1"/>
          <w:bCs w:val="1"/>
          <w:color w:val="auto"/>
        </w:rPr>
        <w:t>Plan</w:t>
      </w:r>
      <w:r>
        <w:rPr>
          <w:rFonts w:ascii="Arial" w:cs="Arial" w:eastAsia="Arial" w:hAnsi="Arial"/>
          <w:sz w:val="16"/>
          <w:szCs w:val="16"/>
          <w:color w:val="auto"/>
        </w:rPr>
        <w:t>”), the undersigned elects to surrender a vested Option to purchase ________ common shares in the capital of Repare Therapeutics Inc. (“</w:t>
      </w:r>
      <w:r>
        <w:rPr>
          <w:rFonts w:ascii="Arial" w:cs="Arial" w:eastAsia="Arial" w:hAnsi="Arial"/>
          <w:sz w:val="16"/>
          <w:szCs w:val="16"/>
          <w:b w:val="1"/>
          <w:bCs w:val="1"/>
          <w:color w:val="auto"/>
        </w:rPr>
        <w:t>Shares</w:t>
      </w:r>
      <w:r>
        <w:rPr>
          <w:rFonts w:ascii="Arial" w:cs="Arial" w:eastAsia="Arial" w:hAnsi="Arial"/>
          <w:sz w:val="16"/>
          <w:szCs w:val="16"/>
          <w:color w:val="auto"/>
        </w:rPr>
        <w:t>”) which are the subject of an Option granted 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_________________, _______, and requests that such surrender be completed in accordance with Section 2.10 of the Plan on a cashless basis. </w:t>
      </w:r>
      <w:r>
        <w:rPr>
          <w:rFonts w:ascii="Arial" w:cs="Arial" w:eastAsia="Arial" w:hAnsi="Arial"/>
          <w:sz w:val="16"/>
          <w:szCs w:val="16"/>
          <w:b w:val="1"/>
          <w:bCs w:val="1"/>
          <w:color w:val="auto"/>
        </w:rPr>
        <w:t>[NTD: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available for ISOs]</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 agree to be bound by the terms of the Shareholders Agreement as if I was an original signatory thereto as an Employee Shareholder to the same extent as all of the other parties, and acknowledge that the Shares are held subject to the Shareholders Agreement. All capitalized terms not defined in this Notice of Exercise have the meaning set out in the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_________________, 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134620</wp:posOffset>
            </wp:positionV>
            <wp:extent cx="279463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(please print)</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0" w:right="539" w:bottom="1440" w:gutter="0" w:footer="0" w:header="0"/>
        </w:sectPr>
      </w:pPr>
    </w:p>
    <w:bookmarkStart w:id="401" w:name="page402"/>
    <w:bookmarkEnd w:id="401"/>
    <w:p>
      <w:pPr>
        <w:jc w:val="right"/>
        <w:spacing w:after="0"/>
        <w:rPr>
          <w:sz w:val="20"/>
          <w:szCs w:val="20"/>
          <w:color w:val="auto"/>
        </w:rPr>
      </w:pPr>
      <w:r>
        <w:rPr>
          <w:rFonts w:ascii="Arial" w:cs="Arial" w:eastAsia="Arial" w:hAnsi="Arial"/>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171450</wp:posOffset>
            </wp:positionV>
            <wp:extent cx="2177415" cy="6858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17741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PRIVATE AND CONFIDENTIAL</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October 21, 2019</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Katina Dorton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Katina:</w:t>
      </w:r>
    </w:p>
    <w:p>
      <w:pPr>
        <w:spacing w:after="0" w:line="113" w:lineRule="exact"/>
        <w:rPr>
          <w:sz w:val="20"/>
          <w:szCs w:val="20"/>
          <w:color w:val="auto"/>
        </w:rPr>
      </w:pPr>
    </w:p>
    <w:p>
      <w:pPr>
        <w:ind w:left="4" w:right="180"/>
        <w:spacing w:after="0" w:line="261" w:lineRule="auto"/>
        <w:rPr>
          <w:sz w:val="20"/>
          <w:szCs w:val="20"/>
          <w:color w:val="auto"/>
        </w:rPr>
      </w:pPr>
      <w:r>
        <w:rPr>
          <w:rFonts w:ascii="Arial" w:cs="Arial" w:eastAsia="Arial" w:hAnsi="Arial"/>
          <w:sz w:val="18"/>
          <w:szCs w:val="18"/>
          <w:color w:val="auto"/>
        </w:rPr>
        <w:t>In accordance with our conversation on October 8, 2019, this letter (“</w:t>
      </w:r>
      <w:r>
        <w:rPr>
          <w:rFonts w:ascii="Arial" w:cs="Arial" w:eastAsia="Arial" w:hAnsi="Arial"/>
          <w:sz w:val="18"/>
          <w:szCs w:val="18"/>
          <w:b w:val="1"/>
          <w:bCs w:val="1"/>
          <w:color w:val="auto"/>
        </w:rPr>
        <w:t>Separation Agreement</w:t>
      </w:r>
      <w:r>
        <w:rPr>
          <w:rFonts w:ascii="Arial" w:cs="Arial" w:eastAsia="Arial" w:hAnsi="Arial"/>
          <w:sz w:val="18"/>
          <w:szCs w:val="18"/>
          <w:color w:val="auto"/>
        </w:rPr>
        <w:t>”) will confirm the decision of Repare Therapeutics USA Inc. (the “</w:t>
      </w:r>
      <w:r>
        <w:rPr>
          <w:rFonts w:ascii="Arial" w:cs="Arial" w:eastAsia="Arial" w:hAnsi="Arial"/>
          <w:sz w:val="18"/>
          <w:szCs w:val="18"/>
          <w:b w:val="1"/>
          <w:bCs w:val="1"/>
          <w:color w:val="auto"/>
        </w:rPr>
        <w:t>Company</w:t>
      </w:r>
      <w:r>
        <w:rPr>
          <w:rFonts w:ascii="Arial" w:cs="Arial" w:eastAsia="Arial" w:hAnsi="Arial"/>
          <w:sz w:val="18"/>
          <w:szCs w:val="18"/>
          <w:color w:val="auto"/>
        </w:rPr>
        <w:t>”) to terminate your employment effective October 10, 2019 (the “</w:t>
      </w:r>
      <w:r>
        <w:rPr>
          <w:rFonts w:ascii="Arial" w:cs="Arial" w:eastAsia="Arial" w:hAnsi="Arial"/>
          <w:sz w:val="18"/>
          <w:szCs w:val="18"/>
          <w:b w:val="1"/>
          <w:bCs w:val="1"/>
          <w:color w:val="auto"/>
        </w:rPr>
        <w:t>Separation Date</w:t>
      </w:r>
      <w:r>
        <w:rPr>
          <w:rFonts w:ascii="Arial" w:cs="Arial" w:eastAsia="Arial" w:hAnsi="Arial"/>
          <w:sz w:val="18"/>
          <w:szCs w:val="18"/>
          <w:color w:val="auto"/>
        </w:rPr>
        <w:t>”) and replaces the letter provided to you on October 8, 2019. Capitalized terms used herein but not otherwise defined have the meaning ascribed to such term in your employment agreement with the Company dated March 25, 2019 (the “</w:t>
      </w:r>
      <w:r>
        <w:rPr>
          <w:rFonts w:ascii="Arial" w:cs="Arial" w:eastAsia="Arial" w:hAnsi="Arial"/>
          <w:sz w:val="18"/>
          <w:szCs w:val="18"/>
          <w:b w:val="1"/>
          <w:bCs w:val="1"/>
          <w:color w:val="auto"/>
        </w:rPr>
        <w:t>Employment Agreement</w:t>
      </w:r>
      <w:r>
        <w:rPr>
          <w:rFonts w:ascii="Arial" w:cs="Arial" w:eastAsia="Arial" w:hAnsi="Arial"/>
          <w:sz w:val="18"/>
          <w:szCs w:val="18"/>
          <w:color w:val="auto"/>
        </w:rPr>
        <w:t>”).</w:t>
      </w:r>
    </w:p>
    <w:p>
      <w:pPr>
        <w:spacing w:after="0" w:line="184"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All unpaid base salary as of the Separation Date was paid to you on October 18, 2019. All unused accrued vacation (in respect of 7 accrued but unused vacation days) as of the Separation Date will be paid to you on November 1, 2019. Please submit all outstanding business expenses, if any, and Temporary Living Expenses for reimbursement as soon as reasonably practicable following your return from your scheduled vacation abroad on or about October 29, 2019.</w:t>
      </w:r>
    </w:p>
    <w:p>
      <w:pPr>
        <w:spacing w:after="0" w:line="88" w:lineRule="exact"/>
        <w:rPr>
          <w:sz w:val="20"/>
          <w:szCs w:val="20"/>
          <w:color w:val="auto"/>
        </w:rPr>
      </w:pPr>
    </w:p>
    <w:p>
      <w:pPr>
        <w:ind w:left="424" w:hanging="424"/>
        <w:spacing w:after="0"/>
        <w:tabs>
          <w:tab w:leader="none" w:pos="424" w:val="left"/>
        </w:tabs>
        <w:numPr>
          <w:ilvl w:val="0"/>
          <w:numId w:val="227"/>
        </w:numPr>
        <w:rPr>
          <w:rFonts w:ascii="Arial" w:cs="Arial" w:eastAsia="Arial" w:hAnsi="Arial"/>
          <w:sz w:val="17"/>
          <w:szCs w:val="17"/>
          <w:color w:val="auto"/>
        </w:rPr>
      </w:pPr>
      <w:r>
        <w:rPr>
          <w:rFonts w:ascii="Arial" w:cs="Arial" w:eastAsia="Arial" w:hAnsi="Arial"/>
          <w:sz w:val="17"/>
          <w:szCs w:val="17"/>
          <w:b w:val="1"/>
          <w:bCs w:val="1"/>
          <w:color w:val="auto"/>
        </w:rPr>
        <w:t>Separation Payments and Benefits</w:t>
      </w:r>
      <w:r>
        <w:rPr>
          <w:rFonts w:ascii="Arial" w:cs="Arial" w:eastAsia="Arial" w:hAnsi="Arial"/>
          <w:sz w:val="17"/>
          <w:szCs w:val="17"/>
          <w:color w:val="auto"/>
        </w:rPr>
        <w:t>. As consideration for you signing this Separation Agreement and the attached full and final release:</w:t>
      </w:r>
    </w:p>
    <w:p>
      <w:pPr>
        <w:spacing w:after="0" w:line="146" w:lineRule="exact"/>
        <w:rPr>
          <w:rFonts w:ascii="Arial" w:cs="Arial" w:eastAsia="Arial" w:hAnsi="Arial"/>
          <w:sz w:val="17"/>
          <w:szCs w:val="17"/>
          <w:color w:val="auto"/>
        </w:rPr>
      </w:pPr>
    </w:p>
    <w:p>
      <w:pPr>
        <w:ind w:left="964" w:right="20" w:hanging="532"/>
        <w:spacing w:after="0" w:line="263" w:lineRule="auto"/>
        <w:tabs>
          <w:tab w:leader="none" w:pos="964" w:val="left"/>
        </w:tabs>
        <w:numPr>
          <w:ilvl w:val="1"/>
          <w:numId w:val="227"/>
        </w:numPr>
        <w:rPr>
          <w:rFonts w:ascii="Arial" w:cs="Arial" w:eastAsia="Arial" w:hAnsi="Arial"/>
          <w:sz w:val="18"/>
          <w:szCs w:val="18"/>
          <w:color w:val="auto"/>
        </w:rPr>
      </w:pPr>
      <w:r>
        <w:rPr>
          <w:rFonts w:ascii="Arial" w:cs="Arial" w:eastAsia="Arial" w:hAnsi="Arial"/>
          <w:sz w:val="18"/>
          <w:szCs w:val="18"/>
          <w:color w:val="auto"/>
        </w:rPr>
        <w:t>Subject to the conditions set forth in this Separation Agreement, the Company will pay you a Severance Amount of $354,375, reduced dollar-for-dollar by the fees paid to you during the consulting period referenced in the attached Independent Contractor Agreement dated of even date herewith.</w:t>
      </w:r>
    </w:p>
    <w:p>
      <w:pPr>
        <w:spacing w:after="0" w:line="89" w:lineRule="exact"/>
        <w:rPr>
          <w:rFonts w:ascii="Arial" w:cs="Arial" w:eastAsia="Arial" w:hAnsi="Arial"/>
          <w:sz w:val="18"/>
          <w:szCs w:val="18"/>
          <w:color w:val="auto"/>
        </w:rPr>
      </w:pPr>
    </w:p>
    <w:p>
      <w:pPr>
        <w:ind w:left="964" w:right="140" w:hanging="532"/>
        <w:spacing w:after="0" w:line="272" w:lineRule="auto"/>
        <w:tabs>
          <w:tab w:leader="none" w:pos="964" w:val="left"/>
        </w:tabs>
        <w:numPr>
          <w:ilvl w:val="1"/>
          <w:numId w:val="227"/>
        </w:numPr>
        <w:rPr>
          <w:rFonts w:ascii="Arial" w:cs="Arial" w:eastAsia="Arial" w:hAnsi="Arial"/>
          <w:sz w:val="17"/>
          <w:szCs w:val="17"/>
          <w:color w:val="auto"/>
        </w:rPr>
      </w:pPr>
      <w:r>
        <w:rPr>
          <w:rFonts w:ascii="Arial" w:cs="Arial" w:eastAsia="Arial" w:hAnsi="Arial"/>
          <w:sz w:val="17"/>
          <w:szCs w:val="17"/>
          <w:color w:val="auto"/>
        </w:rPr>
        <w:t>Subject to the conditions set forth in this Separation Agreement and in accordance with section 6.2(c) of your Employment Agreement, if you timely elect COBRA health continuation coverage, then the Company will pay you a monthly cash payment equal to the monthly (or more frequent) employer contribution that the Company would have made to provide health insurance to you under the Company’s group health plan had you remained employed with the Company for nine months or your COBRA health continuation period, whichever ends earlier. This monthly payment in respect of medical and dental benefits is $1,798.98 and the monthly payment for vision benefits is currently estimated at $10 and the actual amount will be communicated to you after the Company receives an invoice for its employer contributions that includes you as a participant in the vision benefits plan.</w:t>
      </w:r>
    </w:p>
    <w:p>
      <w:pPr>
        <w:sectPr>
          <w:pgSz w:w="11900" w:h="16838" w:orient="portrait"/>
          <w:cols w:equalWidth="0" w:num="1">
            <w:col w:w="11024"/>
          </w:cols>
          <w:pgMar w:left="436" w:top="121" w:right="439" w:bottom="1440" w:gutter="0" w:footer="0" w:header="0"/>
        </w:sectPr>
      </w:pPr>
    </w:p>
    <w:bookmarkStart w:id="402" w:name="page403"/>
    <w:bookmarkEnd w:id="402"/>
    <w:p>
      <w:pPr>
        <w:ind w:left="964" w:right="140" w:hanging="532"/>
        <w:spacing w:after="0" w:line="259" w:lineRule="auto"/>
        <w:tabs>
          <w:tab w:leader="none" w:pos="964" w:val="left"/>
        </w:tabs>
        <w:numPr>
          <w:ilvl w:val="1"/>
          <w:numId w:val="2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amounts payable under (a) and (b) above will be paid in substantially equal installments in accordance with the Company’s payroll practices over nine months following the Separation Date. The first installment will be made on the first payroll date following the expiration of the Revocation Period (as defined in the attached release) and will include a catch-up payment to cover amounts retroactive to the day immediately following the Separation Date.</w:t>
      </w:r>
    </w:p>
    <w:p>
      <w:pPr>
        <w:spacing w:after="0" w:line="92" w:lineRule="exact"/>
        <w:rPr>
          <w:rFonts w:ascii="Arial" w:cs="Arial" w:eastAsia="Arial" w:hAnsi="Arial"/>
          <w:sz w:val="18"/>
          <w:szCs w:val="18"/>
          <w:color w:val="auto"/>
        </w:rPr>
      </w:pPr>
    </w:p>
    <w:p>
      <w:pPr>
        <w:ind w:left="964" w:hanging="532"/>
        <w:spacing w:after="0" w:line="255" w:lineRule="auto"/>
        <w:tabs>
          <w:tab w:leader="none" w:pos="964" w:val="left"/>
        </w:tabs>
        <w:numPr>
          <w:ilvl w:val="1"/>
          <w:numId w:val="228"/>
        </w:numPr>
        <w:rPr>
          <w:rFonts w:ascii="Arial" w:cs="Arial" w:eastAsia="Arial" w:hAnsi="Arial"/>
          <w:sz w:val="18"/>
          <w:szCs w:val="18"/>
          <w:color w:val="auto"/>
        </w:rPr>
      </w:pPr>
      <w:r>
        <w:rPr>
          <w:rFonts w:ascii="Arial" w:cs="Arial" w:eastAsia="Arial" w:hAnsi="Arial"/>
          <w:sz w:val="18"/>
          <w:szCs w:val="18"/>
          <w:color w:val="auto"/>
        </w:rPr>
        <w:t>Subject to the conditions set forth in this Separation Agreement and in accordance with section 6.2(b) of your Employment Agreement and the terms of your option grant agreement, 393,750 of your 1,350,000 stock options to acquire common shares of Repare Therapeutics Inc. (“</w:t>
      </w:r>
      <w:r>
        <w:rPr>
          <w:rFonts w:ascii="Arial" w:cs="Arial" w:eastAsia="Arial" w:hAnsi="Arial"/>
          <w:sz w:val="18"/>
          <w:szCs w:val="18"/>
          <w:b w:val="1"/>
          <w:bCs w:val="1"/>
          <w:color w:val="auto"/>
        </w:rPr>
        <w:t>Repare</w:t>
      </w:r>
      <w:r>
        <w:rPr>
          <w:rFonts w:ascii="Arial" w:cs="Arial" w:eastAsia="Arial" w:hAnsi="Arial"/>
          <w:sz w:val="18"/>
          <w:szCs w:val="18"/>
          <w:color w:val="auto"/>
        </w:rPr>
        <w:t>”) will become immediately vested and remain exercisable for six months following the Separation Date. The remaining 956,250 stock options will immediately be forfeited on the Separation Date. The exercise of vested stock options is subject to the terms and conditions of the Repare Therapeutics Inc. Option Plan, including the requirement to agree to be bound by Repare’s shareholders agreement.</w:t>
      </w:r>
    </w:p>
    <w:p>
      <w:pPr>
        <w:spacing w:after="0" w:line="93" w:lineRule="exact"/>
        <w:rPr>
          <w:rFonts w:ascii="Arial" w:cs="Arial" w:eastAsia="Arial" w:hAnsi="Arial"/>
          <w:sz w:val="18"/>
          <w:szCs w:val="18"/>
          <w:color w:val="auto"/>
        </w:rPr>
      </w:pPr>
    </w:p>
    <w:p>
      <w:pPr>
        <w:ind w:left="424" w:right="160" w:hanging="424"/>
        <w:spacing w:after="0" w:line="277" w:lineRule="auto"/>
        <w:tabs>
          <w:tab w:leader="none" w:pos="424" w:val="left"/>
        </w:tabs>
        <w:numPr>
          <w:ilvl w:val="0"/>
          <w:numId w:val="229"/>
        </w:numPr>
        <w:rPr>
          <w:rFonts w:ascii="Arial" w:cs="Arial" w:eastAsia="Arial" w:hAnsi="Arial"/>
          <w:sz w:val="17"/>
          <w:szCs w:val="17"/>
          <w:color w:val="auto"/>
        </w:rPr>
      </w:pPr>
      <w:r>
        <w:rPr>
          <w:rFonts w:ascii="Arial" w:cs="Arial" w:eastAsia="Arial" w:hAnsi="Arial"/>
          <w:sz w:val="17"/>
          <w:szCs w:val="17"/>
          <w:b w:val="1"/>
          <w:bCs w:val="1"/>
          <w:color w:val="auto"/>
        </w:rPr>
        <w:t>Group Benefits</w:t>
      </w:r>
      <w:r>
        <w:rPr>
          <w:rFonts w:ascii="Arial" w:cs="Arial" w:eastAsia="Arial" w:hAnsi="Arial"/>
          <w:sz w:val="17"/>
          <w:szCs w:val="17"/>
          <w:color w:val="auto"/>
        </w:rPr>
        <w:t>. All group benefit coverage will cease on the Separation Date. You will be provided with information regarding COBRA health</w:t>
      </w:r>
      <w:r>
        <w:rPr>
          <w:rFonts w:ascii="Arial" w:cs="Arial" w:eastAsia="Arial" w:hAnsi="Arial"/>
          <w:sz w:val="17"/>
          <w:szCs w:val="17"/>
          <w:b w:val="1"/>
          <w:bCs w:val="1"/>
          <w:color w:val="auto"/>
        </w:rPr>
        <w:t xml:space="preserve"> </w:t>
      </w:r>
      <w:r>
        <w:rPr>
          <w:rFonts w:ascii="Arial" w:cs="Arial" w:eastAsia="Arial" w:hAnsi="Arial"/>
          <w:sz w:val="17"/>
          <w:szCs w:val="17"/>
          <w:color w:val="auto"/>
        </w:rPr>
        <w:t>continuation coverage. If you wish, you may exercise conversion options, at your own expense, to convert some of your group coverage to an individual policy when your group coverage ends. You should contact [NAME] at [PHONE NUMBER] immediately for details regarding this conversion option, as there may be time limits for these conversion options. The Company recommends that you take whatever steps you feel appropriate to obtain replacement benefit coverage when your existing coverage expires.</w:t>
      </w:r>
    </w:p>
    <w:p>
      <w:pPr>
        <w:spacing w:after="0" w:line="73" w:lineRule="exact"/>
        <w:rPr>
          <w:rFonts w:ascii="Arial" w:cs="Arial" w:eastAsia="Arial" w:hAnsi="Arial"/>
          <w:sz w:val="17"/>
          <w:szCs w:val="17"/>
          <w:color w:val="auto"/>
        </w:rPr>
      </w:pPr>
    </w:p>
    <w:p>
      <w:pPr>
        <w:ind w:left="424" w:hanging="424"/>
        <w:spacing w:after="0"/>
        <w:tabs>
          <w:tab w:leader="none" w:pos="424"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Annual Bonus</w:t>
      </w:r>
      <w:r>
        <w:rPr>
          <w:rFonts w:ascii="Arial" w:cs="Arial" w:eastAsia="Arial" w:hAnsi="Arial"/>
          <w:sz w:val="18"/>
          <w:szCs w:val="18"/>
          <w:color w:val="auto"/>
        </w:rPr>
        <w:t>. You acknowledge and agree that you do not qualify for an Annual Bonus for 2019.</w:t>
      </w:r>
    </w:p>
    <w:p>
      <w:pPr>
        <w:spacing w:after="0" w:line="130" w:lineRule="exact"/>
        <w:rPr>
          <w:rFonts w:ascii="Arial" w:cs="Arial" w:eastAsia="Arial" w:hAnsi="Arial"/>
          <w:sz w:val="18"/>
          <w:szCs w:val="18"/>
          <w:color w:val="auto"/>
        </w:rPr>
      </w:pPr>
    </w:p>
    <w:p>
      <w:pPr>
        <w:ind w:left="424" w:right="380" w:hanging="424"/>
        <w:spacing w:after="0" w:line="282" w:lineRule="auto"/>
        <w:tabs>
          <w:tab w:leader="none" w:pos="424"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 The Company will continue to provide you with directors’ and officers’ liability insurance coverage and indemnification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4.9 of your Employment Agreement.</w:t>
      </w:r>
    </w:p>
    <w:p>
      <w:pPr>
        <w:spacing w:after="0" w:line="67" w:lineRule="exact"/>
        <w:rPr>
          <w:rFonts w:ascii="Arial" w:cs="Arial" w:eastAsia="Arial" w:hAnsi="Arial"/>
          <w:sz w:val="18"/>
          <w:szCs w:val="18"/>
          <w:color w:val="auto"/>
        </w:rPr>
      </w:pPr>
    </w:p>
    <w:p>
      <w:pPr>
        <w:ind w:left="424" w:right="40" w:hanging="424"/>
        <w:spacing w:after="0" w:line="282" w:lineRule="auto"/>
        <w:tabs>
          <w:tab w:leader="none" w:pos="424"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Tax Equalization Payments</w:t>
      </w:r>
      <w:r>
        <w:rPr>
          <w:rFonts w:ascii="Arial" w:cs="Arial" w:eastAsia="Arial" w:hAnsi="Arial"/>
          <w:sz w:val="18"/>
          <w:szCs w:val="18"/>
          <w:color w:val="auto"/>
        </w:rPr>
        <w:t>. You will be entitled to receive tax equalization payments, to the extent applicable, in accordance with section 4.6 of</w:t>
      </w:r>
      <w:r>
        <w:rPr>
          <w:rFonts w:ascii="Arial" w:cs="Arial" w:eastAsia="Arial" w:hAnsi="Arial"/>
          <w:sz w:val="18"/>
          <w:szCs w:val="18"/>
          <w:b w:val="1"/>
          <w:bCs w:val="1"/>
          <w:color w:val="auto"/>
        </w:rPr>
        <w:t xml:space="preserve"> </w:t>
      </w:r>
      <w:r>
        <w:rPr>
          <w:rFonts w:ascii="Arial" w:cs="Arial" w:eastAsia="Arial" w:hAnsi="Arial"/>
          <w:sz w:val="18"/>
          <w:szCs w:val="18"/>
          <w:color w:val="auto"/>
        </w:rPr>
        <w:t>your Employment Agreement.</w:t>
      </w:r>
    </w:p>
    <w:p>
      <w:pPr>
        <w:spacing w:after="0" w:line="67" w:lineRule="exact"/>
        <w:rPr>
          <w:rFonts w:ascii="Arial" w:cs="Arial" w:eastAsia="Arial" w:hAnsi="Arial"/>
          <w:sz w:val="18"/>
          <w:szCs w:val="18"/>
          <w:color w:val="auto"/>
        </w:rPr>
      </w:pPr>
    </w:p>
    <w:p>
      <w:pPr>
        <w:ind w:left="424" w:right="340" w:hanging="424"/>
        <w:spacing w:after="0" w:line="314" w:lineRule="auto"/>
        <w:tabs>
          <w:tab w:leader="none" w:pos="424" w:val="left"/>
        </w:tabs>
        <w:numPr>
          <w:ilvl w:val="0"/>
          <w:numId w:val="229"/>
        </w:numPr>
        <w:rPr>
          <w:rFonts w:ascii="Arial" w:cs="Arial" w:eastAsia="Arial" w:hAnsi="Arial"/>
          <w:sz w:val="16"/>
          <w:szCs w:val="16"/>
          <w:color w:val="auto"/>
        </w:rPr>
      </w:pPr>
      <w:r>
        <w:rPr>
          <w:rFonts w:ascii="Arial" w:cs="Arial" w:eastAsia="Arial" w:hAnsi="Arial"/>
          <w:sz w:val="16"/>
          <w:szCs w:val="16"/>
          <w:b w:val="1"/>
          <w:bCs w:val="1"/>
          <w:color w:val="auto"/>
        </w:rPr>
        <w:t>Return of Company Property</w:t>
      </w:r>
      <w:r>
        <w:rPr>
          <w:rFonts w:ascii="Arial" w:cs="Arial" w:eastAsia="Arial" w:hAnsi="Arial"/>
          <w:sz w:val="16"/>
          <w:szCs w:val="16"/>
          <w:color w:val="auto"/>
        </w:rPr>
        <w:t>. You shall promptly return all Company property, including computer and other electronic equipment, keys or</w:t>
      </w:r>
      <w:r>
        <w:rPr>
          <w:rFonts w:ascii="Arial" w:cs="Arial" w:eastAsia="Arial" w:hAnsi="Arial"/>
          <w:sz w:val="16"/>
          <w:szCs w:val="16"/>
          <w:b w:val="1"/>
          <w:bCs w:val="1"/>
          <w:color w:val="auto"/>
        </w:rPr>
        <w:t xml:space="preserve"> </w:t>
      </w:r>
      <w:r>
        <w:rPr>
          <w:rFonts w:ascii="Arial" w:cs="Arial" w:eastAsia="Arial" w:hAnsi="Arial"/>
          <w:sz w:val="16"/>
          <w:szCs w:val="16"/>
          <w:color w:val="auto"/>
        </w:rPr>
        <w:t>passes, literature, files and other documentation, software, and passwords as soon as reasonably practicable following your return from a scheduled vacation on or about October 29, 2019. The Company will provide you with an electronic copy of your calendar and contact list.</w:t>
      </w:r>
    </w:p>
    <w:p>
      <w:pPr>
        <w:spacing w:after="0" w:line="47" w:lineRule="exact"/>
        <w:rPr>
          <w:rFonts w:ascii="Arial" w:cs="Arial" w:eastAsia="Arial" w:hAnsi="Arial"/>
          <w:sz w:val="16"/>
          <w:szCs w:val="16"/>
          <w:color w:val="auto"/>
        </w:rPr>
      </w:pPr>
    </w:p>
    <w:p>
      <w:pPr>
        <w:ind w:left="424" w:right="80" w:hanging="424"/>
        <w:spacing w:after="0" w:line="261" w:lineRule="auto"/>
        <w:tabs>
          <w:tab w:leader="none" w:pos="424"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Post-Employment Covenants</w:t>
      </w:r>
      <w:r>
        <w:rPr>
          <w:rFonts w:ascii="Arial" w:cs="Arial" w:eastAsia="Arial" w:hAnsi="Arial"/>
          <w:sz w:val="18"/>
          <w:szCs w:val="18"/>
          <w:color w:val="auto"/>
        </w:rPr>
        <w:t>. You acknowledge and agree that you will continue to be subject to post-employment obligations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confidentiality, non-solicitation and non-disparagement set forth in sections 10, 11 and 13 of your Employment Agreement and that the remedies set forth in section 6.2(a) and 15 of your Employment Agreement will continue to be available to the Company. The Company acknowledges and agrees that it</w:t>
      </w:r>
    </w:p>
    <w:p>
      <w:pPr>
        <w:spacing w:after="0" w:line="116" w:lineRule="exact"/>
        <w:rPr>
          <w:rFonts w:ascii="Arial" w:cs="Arial" w:eastAsia="Arial" w:hAnsi="Arial"/>
          <w:sz w:val="18"/>
          <w:szCs w:val="18"/>
          <w:color w:val="auto"/>
        </w:rPr>
      </w:pPr>
    </w:p>
    <w:p>
      <w:pPr>
        <w:ind w:left="5464" w:hanging="106"/>
        <w:spacing w:after="0"/>
        <w:tabs>
          <w:tab w:leader="none" w:pos="5464" w:val="left"/>
        </w:tabs>
        <w:numPr>
          <w:ilvl w:val="2"/>
          <w:numId w:val="229"/>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84"/>
          </w:cols>
          <w:pgMar w:left="436" w:top="274" w:right="479" w:bottom="1440" w:gutter="0" w:footer="0" w:header="0"/>
        </w:sectPr>
      </w:pPr>
    </w:p>
    <w:bookmarkStart w:id="403" w:name="page404"/>
    <w:bookmarkEnd w:id="403"/>
    <w:p>
      <w:pPr>
        <w:ind w:left="424"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will continue to be subject to the non-disparagement obligations set forth in section 13 of your Employment Agreement and, to the extent that the Company (either publicly or through statements of its Chief Executive Officer or other members of the Board of Directors) makes any statement to internal or external parties concerning your employment with the Company (including with respect to any requests for references from other potential employers), such statement shall be consistent with the prior written messaging by the Chief Executive Officer to the Company’s employees on October 10, 2019. Subject to the Company’s non-disparagement obligations, nothing herein shall restrict the Company’s ability to disclose the terms of this Agreement as may be required or as determined in good faith to be necessary in the Company’s normal course of business, including in any securities disclosures or to third parties provided such third parties adhere to reasonable and customary obligations of confidentiality and non-disclosure. In addition, you agree to keep the terms of this letter in strict confidence and not disclose any of its terms to any person or corporation, except that you may disclose the terms of this Agreement to your immediate family, your lawyer, accountant, or as may be required by law or as necessary to enforce the terms hereof, and you agree that you shall be responsible for ensuring that these individuals adhere to similar obligations of confidentiality and non-disclosure..</w:t>
      </w:r>
    </w:p>
    <w:p>
      <w:pPr>
        <w:spacing w:after="0" w:line="83" w:lineRule="exact"/>
        <w:rPr>
          <w:sz w:val="20"/>
          <w:szCs w:val="20"/>
          <w:color w:val="auto"/>
        </w:rPr>
      </w:pPr>
    </w:p>
    <w:p>
      <w:pPr>
        <w:ind w:left="424" w:right="60" w:hanging="424"/>
        <w:spacing w:after="0" w:line="282" w:lineRule="auto"/>
        <w:tabs>
          <w:tab w:leader="none" w:pos="424"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Cooperation</w:t>
      </w:r>
      <w:r>
        <w:rPr>
          <w:rFonts w:ascii="Arial" w:cs="Arial" w:eastAsia="Arial" w:hAnsi="Arial"/>
          <w:sz w:val="18"/>
          <w:szCs w:val="18"/>
          <w:color w:val="auto"/>
        </w:rPr>
        <w:t>. You agree to cooperate with the Company following your Separation Date as set forth in section 9 of your Employment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also agree to enter into the consulting agreement attached as schedule B hereto.</w:t>
      </w:r>
    </w:p>
    <w:p>
      <w:pPr>
        <w:spacing w:after="0" w:line="67" w:lineRule="exact"/>
        <w:rPr>
          <w:rFonts w:ascii="Arial" w:cs="Arial" w:eastAsia="Arial" w:hAnsi="Arial"/>
          <w:sz w:val="18"/>
          <w:szCs w:val="18"/>
          <w:color w:val="auto"/>
        </w:rPr>
      </w:pPr>
    </w:p>
    <w:p>
      <w:pPr>
        <w:ind w:left="424" w:right="160" w:hanging="424"/>
        <w:spacing w:after="0" w:line="282" w:lineRule="auto"/>
        <w:tabs>
          <w:tab w:leader="none" w:pos="424"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Statutory Compliance</w:t>
      </w:r>
      <w:r>
        <w:rPr>
          <w:rFonts w:ascii="Arial" w:cs="Arial" w:eastAsia="Arial" w:hAnsi="Arial"/>
          <w:sz w:val="18"/>
          <w:szCs w:val="18"/>
          <w:color w:val="auto"/>
        </w:rPr>
        <w:t>. All payments under this Separation Agreement are expressed in United States currency and subject to withholding taxes</w:t>
      </w:r>
      <w:r>
        <w:rPr>
          <w:rFonts w:ascii="Arial" w:cs="Arial" w:eastAsia="Arial" w:hAnsi="Arial"/>
          <w:sz w:val="18"/>
          <w:szCs w:val="18"/>
          <w:b w:val="1"/>
          <w:bCs w:val="1"/>
          <w:color w:val="auto"/>
        </w:rPr>
        <w:t xml:space="preserve"> </w:t>
      </w:r>
      <w:r>
        <w:rPr>
          <w:rFonts w:ascii="Arial" w:cs="Arial" w:eastAsia="Arial" w:hAnsi="Arial"/>
          <w:sz w:val="18"/>
          <w:szCs w:val="18"/>
          <w:color w:val="auto"/>
        </w:rPr>
        <w:t>and statutory or authorized deductions.</w:t>
      </w:r>
    </w:p>
    <w:p>
      <w:pPr>
        <w:spacing w:after="0" w:line="67" w:lineRule="exact"/>
        <w:rPr>
          <w:rFonts w:ascii="Arial" w:cs="Arial" w:eastAsia="Arial" w:hAnsi="Arial"/>
          <w:sz w:val="18"/>
          <w:szCs w:val="18"/>
          <w:color w:val="auto"/>
        </w:rPr>
      </w:pPr>
    </w:p>
    <w:p>
      <w:pPr>
        <w:ind w:left="424" w:right="360" w:hanging="424"/>
        <w:spacing w:after="0" w:line="282" w:lineRule="auto"/>
        <w:tabs>
          <w:tab w:leader="none" w:pos="424"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No Admission of Liability</w:t>
      </w:r>
      <w:r>
        <w:rPr>
          <w:rFonts w:ascii="Arial" w:cs="Arial" w:eastAsia="Arial" w:hAnsi="Arial"/>
          <w:sz w:val="18"/>
          <w:szCs w:val="18"/>
          <w:color w:val="auto"/>
        </w:rPr>
        <w:t>. You understand and agree that nothing in this Separation Agreement or in the attached release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admission of liability on the part of the Company, and, in fact, such liability is specifically denied.</w:t>
      </w:r>
    </w:p>
    <w:p>
      <w:pPr>
        <w:spacing w:after="0" w:line="67" w:lineRule="exact"/>
        <w:rPr>
          <w:rFonts w:ascii="Arial" w:cs="Arial" w:eastAsia="Arial" w:hAnsi="Arial"/>
          <w:sz w:val="18"/>
          <w:szCs w:val="18"/>
          <w:color w:val="auto"/>
        </w:rPr>
      </w:pPr>
    </w:p>
    <w:p>
      <w:pPr>
        <w:ind w:left="424" w:hanging="424"/>
        <w:spacing w:after="0" w:line="266" w:lineRule="auto"/>
        <w:tabs>
          <w:tab w:leader="none" w:pos="424"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Release Form</w:t>
      </w:r>
      <w:r>
        <w:rPr>
          <w:rFonts w:ascii="Arial" w:cs="Arial" w:eastAsia="Arial" w:hAnsi="Arial"/>
          <w:sz w:val="18"/>
          <w:szCs w:val="18"/>
          <w:color w:val="auto"/>
        </w:rPr>
        <w:t>. All payments and benefits set forth in paragraph 1 of this Separation Agreement are conditional upon you signing, in the presence</w:t>
      </w:r>
      <w:r>
        <w:rPr>
          <w:rFonts w:ascii="Arial" w:cs="Arial" w:eastAsia="Arial" w:hAnsi="Arial"/>
          <w:sz w:val="18"/>
          <w:szCs w:val="18"/>
          <w:b w:val="1"/>
          <w:bCs w:val="1"/>
          <w:color w:val="auto"/>
        </w:rPr>
        <w:t xml:space="preserve"> </w:t>
      </w:r>
      <w:r>
        <w:rPr>
          <w:rFonts w:ascii="Arial" w:cs="Arial" w:eastAsia="Arial" w:hAnsi="Arial"/>
          <w:sz w:val="18"/>
          <w:szCs w:val="18"/>
          <w:color w:val="auto"/>
        </w:rPr>
        <w:t>of a witness, a copy of both this Separation Agreement and the full and final release attached as Schedule A and returning original signed copies of both to me by no later than 5:00 PM on November 11, 2019.</w:t>
      </w:r>
    </w:p>
    <w:p>
      <w:pPr>
        <w:spacing w:after="0" w:line="81" w:lineRule="exact"/>
        <w:rPr>
          <w:rFonts w:ascii="Arial" w:cs="Arial" w:eastAsia="Arial" w:hAnsi="Arial"/>
          <w:sz w:val="18"/>
          <w:szCs w:val="18"/>
          <w:color w:val="auto"/>
        </w:rPr>
      </w:pPr>
    </w:p>
    <w:p>
      <w:pPr>
        <w:ind w:left="424" w:right="140" w:hanging="424"/>
        <w:spacing w:after="0" w:line="261" w:lineRule="auto"/>
        <w:tabs>
          <w:tab w:leader="none" w:pos="424"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Separation Agreement and the attachments hereto constitute the entire agreement between you and the Company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subject matter herein and supersedes and replaces any and all previous agreements, written or oral, express or implied. Any modifications or amendments to this Separation Agreement or any of the attachments hereto must be in writing and signed by both parties or else they shall have no force and effect.</w:t>
      </w:r>
    </w:p>
    <w:p>
      <w:pPr>
        <w:spacing w:after="0" w:line="116" w:lineRule="exact"/>
        <w:rPr>
          <w:rFonts w:ascii="Arial" w:cs="Arial" w:eastAsia="Arial" w:hAnsi="Arial"/>
          <w:sz w:val="18"/>
          <w:szCs w:val="18"/>
          <w:color w:val="auto"/>
        </w:rPr>
      </w:pPr>
    </w:p>
    <w:p>
      <w:pPr>
        <w:ind w:left="5464" w:hanging="106"/>
        <w:spacing w:after="0"/>
        <w:tabs>
          <w:tab w:leader="none" w:pos="5464" w:val="left"/>
        </w:tabs>
        <w:numPr>
          <w:ilvl w:val="1"/>
          <w:numId w:val="230"/>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024"/>
          </w:cols>
          <w:pgMar w:left="436" w:top="274" w:right="439" w:bottom="1440" w:gutter="0" w:footer="0" w:header="0"/>
        </w:sectPr>
      </w:pPr>
    </w:p>
    <w:bookmarkStart w:id="404" w:name="page405"/>
    <w:bookmarkEnd w:id="404"/>
    <w:p>
      <w:pPr>
        <w:ind w:left="424" w:right="80" w:hanging="424"/>
        <w:spacing w:after="0" w:line="258" w:lineRule="auto"/>
        <w:tabs>
          <w:tab w:leader="none" w:pos="424"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Severability</w:t>
      </w:r>
      <w:r>
        <w:rPr>
          <w:rFonts w:ascii="Arial" w:cs="Arial" w:eastAsia="Arial" w:hAnsi="Arial"/>
          <w:sz w:val="18"/>
          <w:szCs w:val="18"/>
          <w:color w:val="auto"/>
        </w:rPr>
        <w:t>. If any provision in this Separation Agreement is hereafter construed to be invalid or unenforceable, the same shall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provisions of this Separation Agreement, which shall be given full effect, without regard to the invalid provision, and any court having jurisdiction shall have the power to rewrite the offending provision, delete any or all of the offending provision, add additional language to this Separation Agreement or make such other modifications as it deems warranted to carry out the intent and agreement of the parties as embodied herein to the maximum extent permitted by applicable law.</w:t>
      </w:r>
    </w:p>
    <w:p>
      <w:pPr>
        <w:spacing w:after="0" w:line="88" w:lineRule="exact"/>
        <w:rPr>
          <w:rFonts w:ascii="Arial" w:cs="Arial" w:eastAsia="Arial" w:hAnsi="Arial"/>
          <w:sz w:val="18"/>
          <w:szCs w:val="18"/>
          <w:color w:val="auto"/>
        </w:rPr>
      </w:pPr>
    </w:p>
    <w:p>
      <w:pPr>
        <w:ind w:left="424" w:right="600" w:hanging="424"/>
        <w:spacing w:after="0" w:line="282" w:lineRule="auto"/>
        <w:tabs>
          <w:tab w:leader="none" w:pos="424"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Enurement</w:t>
      </w:r>
      <w:r>
        <w:rPr>
          <w:rFonts w:ascii="Arial" w:cs="Arial" w:eastAsia="Arial" w:hAnsi="Arial"/>
          <w:sz w:val="18"/>
          <w:szCs w:val="18"/>
          <w:color w:val="auto"/>
        </w:rPr>
        <w:t>. This Separation Agreement shall enure to the benefit of and be binding upon you and your respective 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your heirs, executors, administrators and personal representatives.</w:t>
      </w:r>
    </w:p>
    <w:p>
      <w:pPr>
        <w:spacing w:after="0" w:line="67" w:lineRule="exact"/>
        <w:rPr>
          <w:rFonts w:ascii="Arial" w:cs="Arial" w:eastAsia="Arial" w:hAnsi="Arial"/>
          <w:sz w:val="18"/>
          <w:szCs w:val="18"/>
          <w:color w:val="auto"/>
        </w:rPr>
      </w:pPr>
    </w:p>
    <w:p>
      <w:pPr>
        <w:ind w:left="424" w:hanging="424"/>
        <w:spacing w:after="0" w:line="282" w:lineRule="auto"/>
        <w:tabs>
          <w:tab w:leader="none" w:pos="424"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Separation Agreement shall be governed by the laws of the Commonwealth of Massachusetts, without regards to its conflict</w:t>
      </w:r>
      <w:r>
        <w:rPr>
          <w:rFonts w:ascii="Arial" w:cs="Arial" w:eastAsia="Arial" w:hAnsi="Arial"/>
          <w:sz w:val="18"/>
          <w:szCs w:val="18"/>
          <w:b w:val="1"/>
          <w:bCs w:val="1"/>
          <w:color w:val="auto"/>
        </w:rPr>
        <w:t xml:space="preserve"> </w:t>
      </w:r>
      <w:r>
        <w:rPr>
          <w:rFonts w:ascii="Arial" w:cs="Arial" w:eastAsia="Arial" w:hAnsi="Arial"/>
          <w:sz w:val="18"/>
          <w:szCs w:val="18"/>
          <w:color w:val="auto"/>
        </w:rPr>
        <w:t>of laws principles.</w:t>
      </w:r>
    </w:p>
    <w:p>
      <w:pPr>
        <w:spacing w:after="0" w:line="166" w:lineRule="exact"/>
        <w:rPr>
          <w:sz w:val="20"/>
          <w:szCs w:val="20"/>
          <w:color w:val="auto"/>
        </w:rPr>
      </w:pPr>
    </w:p>
    <w:p>
      <w:pPr>
        <w:ind w:left="4" w:right="660"/>
        <w:spacing w:after="0" w:line="308" w:lineRule="auto"/>
        <w:rPr>
          <w:sz w:val="20"/>
          <w:szCs w:val="20"/>
          <w:color w:val="auto"/>
        </w:rPr>
      </w:pPr>
      <w:r>
        <w:rPr>
          <w:rFonts w:ascii="Arial" w:cs="Arial" w:eastAsia="Arial" w:hAnsi="Arial"/>
          <w:sz w:val="17"/>
          <w:szCs w:val="17"/>
          <w:color w:val="auto"/>
        </w:rPr>
        <w:t>I trust that you will find these arrangements satisfactory. To accept the terms of this Separation Agreement, please sign a copy of the Separation Agreement and attached release and consulting agreement and return them to me by the time and date set out above.</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behalf of Repare, thank you for your service and contributions. We wish you the best in your future endeavours.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Lloyd Segal</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Lloyd Segal</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Executive Officer</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84"/>
          </w:cols>
          <w:pgMar w:left="436" w:top="270" w:right="479" w:bottom="1440" w:gutter="0" w:footer="0" w:header="0"/>
        </w:sectPr>
      </w:pPr>
    </w:p>
    <w:bookmarkStart w:id="405" w:name="page406"/>
    <w:bookmarkEnd w:id="4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ACKNOWLEDGEMENT</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 have read and understand and hereby accept the Company’s offer as set out above. I acknowledge that I have had a reasonable opportunity to obtain independent legal advice with respect to the Company’s offer.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Dated this 22nd day of October, 2019.</w:t>
            </w:r>
          </w:p>
        </w:tc>
        <w:tc>
          <w:tcPr>
            <w:tcW w:w="12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59"/>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Shukradev Ishaya</w:t>
            </w:r>
          </w:p>
        </w:tc>
        <w:tc>
          <w:tcPr>
            <w:tcW w:w="1200" w:type="dxa"/>
            <w:vAlign w:val="bottom"/>
          </w:tcPr>
          <w:p>
            <w:pPr>
              <w:spacing w:after="0"/>
              <w:rPr>
                <w:sz w:val="24"/>
                <w:szCs w:val="24"/>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Katina Dorton</w:t>
            </w: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WITNESS</w:t>
            </w:r>
          </w:p>
        </w:tc>
        <w:tc>
          <w:tcPr>
            <w:tcW w:w="120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Katina Dorton</w:t>
            </w:r>
          </w:p>
        </w:tc>
      </w:tr>
    </w:tbl>
    <w:p>
      <w:pPr>
        <w:sectPr>
          <w:pgSz w:w="11900" w:h="16838" w:orient="portrait"/>
          <w:cols w:equalWidth="0" w:num="1">
            <w:col w:w="11020"/>
          </w:cols>
          <w:pgMar w:left="440" w:top="270" w:right="439" w:bottom="1440" w:gutter="0" w:footer="0" w:header="0"/>
        </w:sectPr>
      </w:pPr>
    </w:p>
    <w:bookmarkStart w:id="406" w:name="page407"/>
    <w:bookmarkEnd w:id="40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FULL AND FINAL RELEASE</w:t>
      </w:r>
    </w:p>
    <w:p>
      <w:pPr>
        <w:spacing w:after="0" w:line="211" w:lineRule="exact"/>
        <w:rPr>
          <w:sz w:val="20"/>
          <w:szCs w:val="20"/>
          <w:color w:val="auto"/>
        </w:rPr>
      </w:pPr>
    </w:p>
    <w:p>
      <w:pPr>
        <w:jc w:val="both"/>
        <w:ind w:left="4" w:right="100"/>
        <w:spacing w:after="0" w:line="263" w:lineRule="auto"/>
        <w:rPr>
          <w:sz w:val="20"/>
          <w:szCs w:val="20"/>
          <w:color w:val="auto"/>
        </w:rPr>
      </w:pPr>
      <w:r>
        <w:rPr>
          <w:rFonts w:ascii="Arial" w:cs="Arial" w:eastAsia="Arial" w:hAnsi="Arial"/>
          <w:sz w:val="18"/>
          <w:szCs w:val="18"/>
          <w:color w:val="auto"/>
        </w:rPr>
        <w:t>I, Katina Dorton, in exchange for the consideration of the payments and benefits described in the attached separation agreement dated October 21, 2019 (which replaced the original letter dated October 8, 2019) (the “</w:t>
      </w:r>
      <w:r>
        <w:rPr>
          <w:rFonts w:ascii="Arial" w:cs="Arial" w:eastAsia="Arial" w:hAnsi="Arial"/>
          <w:sz w:val="18"/>
          <w:szCs w:val="18"/>
          <w:b w:val="1"/>
          <w:bCs w:val="1"/>
          <w:color w:val="auto"/>
        </w:rPr>
        <w:t>Separation Agreement</w:t>
      </w:r>
      <w:r>
        <w:rPr>
          <w:rFonts w:ascii="Arial" w:cs="Arial" w:eastAsia="Arial" w:hAnsi="Arial"/>
          <w:sz w:val="18"/>
          <w:szCs w:val="18"/>
          <w:color w:val="auto"/>
        </w:rPr>
        <w:t>”), the sufficiency of which is hereby expressly acknowledged, agree, represent and warrant that:</w:t>
      </w:r>
    </w:p>
    <w:p>
      <w:pPr>
        <w:spacing w:after="0" w:line="89" w:lineRule="exact"/>
        <w:rPr>
          <w:sz w:val="20"/>
          <w:szCs w:val="20"/>
          <w:color w:val="auto"/>
        </w:rPr>
      </w:pPr>
    </w:p>
    <w:p>
      <w:pPr>
        <w:ind w:left="424" w:hanging="424"/>
        <w:spacing w:after="0" w:line="290" w:lineRule="auto"/>
        <w:tabs>
          <w:tab w:leader="none" w:pos="424" w:val="left"/>
        </w:tabs>
        <w:numPr>
          <w:ilvl w:val="0"/>
          <w:numId w:val="232"/>
        </w:numPr>
        <w:rPr>
          <w:rFonts w:ascii="Arial" w:cs="Arial" w:eastAsia="Arial" w:hAnsi="Arial"/>
          <w:sz w:val="16"/>
          <w:szCs w:val="16"/>
          <w:color w:val="auto"/>
        </w:rPr>
      </w:pPr>
      <w:r>
        <w:rPr>
          <w:rFonts w:ascii="Arial" w:cs="Arial" w:eastAsia="Arial" w:hAnsi="Arial"/>
          <w:sz w:val="16"/>
          <w:szCs w:val="16"/>
          <w:color w:val="auto"/>
        </w:rPr>
        <w:t>Except for the rights and obligations created by the Separation Agreement, I, for and on behalf of myself and my past and present spouse(s), agents, heirs, executors, administrators and assigns, hereby release, acquit and forever discharge Repare Therapeutics USA Inc. (the “</w:t>
      </w:r>
      <w:r>
        <w:rPr>
          <w:rFonts w:ascii="Arial" w:cs="Arial" w:eastAsia="Arial" w:hAnsi="Arial"/>
          <w:sz w:val="16"/>
          <w:szCs w:val="16"/>
          <w:b w:val="1"/>
          <w:bCs w:val="1"/>
          <w:color w:val="auto"/>
        </w:rPr>
        <w:t>Company</w:t>
      </w:r>
      <w:r>
        <w:rPr>
          <w:rFonts w:ascii="Arial" w:cs="Arial" w:eastAsia="Arial" w:hAnsi="Arial"/>
          <w:sz w:val="16"/>
          <w:szCs w:val="16"/>
          <w:color w:val="auto"/>
        </w:rPr>
        <w:t>”), Repare Therapeutics Inc., and their respective past and present parent companies, subsidiaries, affiliates and related companies, as well as their respective current and former officers, directors, agents, trustees, shareholders, insurers, assigns, representatives, and attorneys, and each of them, both in their individual and representative capacities, (collectively, the “</w:t>
      </w:r>
      <w:r>
        <w:rPr>
          <w:rFonts w:ascii="Arial" w:cs="Arial" w:eastAsia="Arial" w:hAnsi="Arial"/>
          <w:sz w:val="16"/>
          <w:szCs w:val="16"/>
          <w:b w:val="1"/>
          <w:bCs w:val="1"/>
          <w:color w:val="auto"/>
        </w:rPr>
        <w:t>Released Parties</w:t>
      </w:r>
      <w:r>
        <w:rPr>
          <w:rFonts w:ascii="Arial" w:cs="Arial" w:eastAsia="Arial" w:hAnsi="Arial"/>
          <w:sz w:val="16"/>
          <w:szCs w:val="16"/>
          <w:color w:val="auto"/>
        </w:rPr>
        <w:t>”), to the fullest extent permitted by law, from any and all claims, demands, grievances, causes of action and rights of appeal (“</w:t>
      </w:r>
      <w:r>
        <w:rPr>
          <w:rFonts w:ascii="Arial" w:cs="Arial" w:eastAsia="Arial" w:hAnsi="Arial"/>
          <w:sz w:val="16"/>
          <w:szCs w:val="16"/>
          <w:b w:val="1"/>
          <w:bCs w:val="1"/>
          <w:color w:val="auto"/>
        </w:rPr>
        <w:t>Claims</w:t>
      </w:r>
      <w:r>
        <w:rPr>
          <w:rFonts w:ascii="Arial" w:cs="Arial" w:eastAsia="Arial" w:hAnsi="Arial"/>
          <w:sz w:val="16"/>
          <w:szCs w:val="16"/>
          <w:color w:val="auto"/>
        </w:rPr>
        <w:t>”), whether known and unknown, that I had, have or may have against any of them and that are based upon acts, omissions or events that occurred on or before the Effective Date (as defined below) relating to my employment with the Company or termination therefrom, including, but not limited to:</w:t>
      </w:r>
    </w:p>
    <w:p>
      <w:pPr>
        <w:spacing w:after="0" w:line="70" w:lineRule="exact"/>
        <w:rPr>
          <w:rFonts w:ascii="Arial" w:cs="Arial" w:eastAsia="Arial" w:hAnsi="Arial"/>
          <w:sz w:val="16"/>
          <w:szCs w:val="16"/>
          <w:color w:val="auto"/>
        </w:rPr>
      </w:pPr>
    </w:p>
    <w:p>
      <w:pPr>
        <w:ind w:left="964" w:right="60" w:hanging="532"/>
        <w:spacing w:after="0" w:line="279" w:lineRule="auto"/>
        <w:tabs>
          <w:tab w:leader="none" w:pos="964" w:val="left"/>
        </w:tabs>
        <w:numPr>
          <w:ilvl w:val="1"/>
          <w:numId w:val="232"/>
        </w:numPr>
        <w:rPr>
          <w:rFonts w:ascii="Arial" w:cs="Arial" w:eastAsia="Arial" w:hAnsi="Arial"/>
          <w:sz w:val="17"/>
          <w:szCs w:val="17"/>
          <w:color w:val="auto"/>
        </w:rPr>
      </w:pPr>
      <w:r>
        <w:rPr>
          <w:rFonts w:ascii="Arial" w:cs="Arial" w:eastAsia="Arial" w:hAnsi="Arial"/>
          <w:sz w:val="17"/>
          <w:szCs w:val="17"/>
          <w:color w:val="auto"/>
        </w:rPr>
        <w:t>all Claims under Title VII of the Civil Rights Act of 1964, 42 U.S.C. s. 2000e, the Americans with Disabilities Act, 42 U.S.C. s. 12101, et seq., the Age Discrimination in Employment Act, 29 U.S.C. s. 621, et seq. (“</w:t>
      </w:r>
      <w:r>
        <w:rPr>
          <w:rFonts w:ascii="Arial" w:cs="Arial" w:eastAsia="Arial" w:hAnsi="Arial"/>
          <w:sz w:val="17"/>
          <w:szCs w:val="17"/>
          <w:b w:val="1"/>
          <w:bCs w:val="1"/>
          <w:color w:val="auto"/>
        </w:rPr>
        <w:t>ADEA</w:t>
      </w:r>
      <w:r>
        <w:rPr>
          <w:rFonts w:ascii="Arial" w:cs="Arial" w:eastAsia="Arial" w:hAnsi="Arial"/>
          <w:sz w:val="17"/>
          <w:szCs w:val="17"/>
          <w:color w:val="auto"/>
        </w:rPr>
        <w:t>”), the Worker Adjustment and Retraining Notification Act, 29 U.S.C. s. 210, et seq., the Family Medical Leave Act, the Fair Credit Reporting Act, 15 U.S.C. § 1681 et seq., and the Employee Retirement Income Security Act of 1974 (“</w:t>
      </w:r>
      <w:r>
        <w:rPr>
          <w:rFonts w:ascii="Arial" w:cs="Arial" w:eastAsia="Arial" w:hAnsi="Arial"/>
          <w:sz w:val="17"/>
          <w:szCs w:val="17"/>
          <w:b w:val="1"/>
          <w:bCs w:val="1"/>
          <w:color w:val="auto"/>
        </w:rPr>
        <w:t>ERISA</w:t>
      </w:r>
      <w:r>
        <w:rPr>
          <w:rFonts w:ascii="Arial" w:cs="Arial" w:eastAsia="Arial" w:hAnsi="Arial"/>
          <w:sz w:val="17"/>
          <w:szCs w:val="17"/>
          <w:color w:val="auto"/>
        </w:rPr>
        <w:t>”), 29 U.S.C. § 1001 et seq., all as amended;</w:t>
      </w:r>
    </w:p>
    <w:p>
      <w:pPr>
        <w:spacing w:after="0" w:line="76" w:lineRule="exact"/>
        <w:rPr>
          <w:rFonts w:ascii="Arial" w:cs="Arial" w:eastAsia="Arial" w:hAnsi="Arial"/>
          <w:sz w:val="17"/>
          <w:szCs w:val="17"/>
          <w:color w:val="auto"/>
        </w:rPr>
      </w:pPr>
    </w:p>
    <w:p>
      <w:pPr>
        <w:ind w:left="964" w:right="60" w:hanging="532"/>
        <w:spacing w:after="0" w:line="271" w:lineRule="auto"/>
        <w:tabs>
          <w:tab w:leader="none" w:pos="964" w:val="left"/>
        </w:tabs>
        <w:numPr>
          <w:ilvl w:val="1"/>
          <w:numId w:val="232"/>
        </w:numPr>
        <w:rPr>
          <w:rFonts w:ascii="Arial" w:cs="Arial" w:eastAsia="Arial" w:hAnsi="Arial"/>
          <w:sz w:val="17"/>
          <w:szCs w:val="17"/>
          <w:color w:val="auto"/>
        </w:rPr>
      </w:pPr>
      <w:r>
        <w:rPr>
          <w:rFonts w:ascii="Arial" w:cs="Arial" w:eastAsia="Arial" w:hAnsi="Arial"/>
          <w:sz w:val="17"/>
          <w:szCs w:val="17"/>
          <w:color w:val="auto"/>
        </w:rPr>
        <w:t>all Claims, whether in tort, contract, by statute, or on any other basis, whether in law or in equity, whether civil, criminal or administrative, whether known or unknown, for damages or monies owed by Releasees, including compensatory damages, emotional distress damages, physical injury damages, punitive damages, attorney’s fees, costs, and interest, including all Claims for back pay, overtime pay, severance pay, notice pay, health benefits, retirement benefits, all other benefits, vacation pay, holiday pay, sick pay, commissions, bonuses, relocation expenses, loans, expense reimbursements, or other monies due. I acknowledge and agree that, except as set forth herein, I have received payment in full for all services rendered to the Company prior to the Separation Date, including, but not limited to, all wages, vacation pay, sick leave, bonuses, and any other employment compensation or fringe benefit, and I hereby release the Company and the Released Parties from any such claims;</w:t>
      </w:r>
    </w:p>
    <w:p>
      <w:pPr>
        <w:spacing w:after="0" w:line="83" w:lineRule="exact"/>
        <w:rPr>
          <w:rFonts w:ascii="Arial" w:cs="Arial" w:eastAsia="Arial" w:hAnsi="Arial"/>
          <w:sz w:val="17"/>
          <w:szCs w:val="17"/>
          <w:color w:val="auto"/>
        </w:rPr>
      </w:pPr>
    </w:p>
    <w:p>
      <w:pPr>
        <w:ind w:left="964" w:right="140" w:hanging="532"/>
        <w:spacing w:after="0" w:line="259" w:lineRule="auto"/>
        <w:tabs>
          <w:tab w:leader="none" w:pos="964"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all Claims under the Massachusetts Employment Practices Law, the Massachusetts Civil Rights Act, the Massachusetts Equal Rights Act, the Massachusetts Wage Act, the Massachusetts Equal Pay Act, and any other state, federal, city, county or local statute, rule, regulation, ordinance or order, or the national or local common law of any jurisdiction located within or outside the United States of America that relates to employers, employees or the workplace;</w:t>
      </w:r>
    </w:p>
    <w:p>
      <w:pPr>
        <w:sectPr>
          <w:pgSz w:w="11900" w:h="16838" w:orient="portrait"/>
          <w:cols w:equalWidth="0" w:num="1">
            <w:col w:w="11024"/>
          </w:cols>
          <w:pgMar w:left="436" w:top="270" w:right="439" w:bottom="1440" w:gutter="0" w:footer="0" w:header="0"/>
        </w:sectPr>
      </w:pPr>
    </w:p>
    <w:bookmarkStart w:id="407" w:name="page408"/>
    <w:bookmarkEnd w:id="407"/>
    <w:p>
      <w:pPr>
        <w:ind w:left="964" w:hanging="532"/>
        <w:spacing w:after="0" w:line="301" w:lineRule="auto"/>
        <w:tabs>
          <w:tab w:leader="none" w:pos="964" w:val="left"/>
        </w:tabs>
        <w:numPr>
          <w:ilvl w:val="0"/>
          <w:numId w:val="2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Claim for future consideration for employment with the Company, any claims for attorneys’ fees and costs and any employment rights or entitlement law, and any claims for wrongful discharge, intentional infliction of emotional distress, defamation, libel or slander, payment of wages, outrageous behavior, breach of contract or any duty allegedly owed to me, discrimination based upon race, color, ethnicity, sex, age, national origin, religion, disability, sexual orientation, or another unlawful criterion or circumstance, and any other theory of recovery.</w:t>
      </w:r>
    </w:p>
    <w:p>
      <w:pPr>
        <w:spacing w:after="0" w:line="49" w:lineRule="exact"/>
        <w:rPr>
          <w:sz w:val="20"/>
          <w:szCs w:val="20"/>
          <w:color w:val="auto"/>
        </w:rPr>
      </w:pPr>
    </w:p>
    <w:p>
      <w:pPr>
        <w:jc w:val="both"/>
        <w:ind w:left="444"/>
        <w:spacing w:after="0" w:line="286" w:lineRule="auto"/>
        <w:rPr>
          <w:sz w:val="20"/>
          <w:szCs w:val="20"/>
          <w:color w:val="auto"/>
        </w:rPr>
      </w:pPr>
      <w:r>
        <w:rPr>
          <w:rFonts w:ascii="Arial" w:cs="Arial" w:eastAsia="Arial" w:hAnsi="Arial"/>
          <w:sz w:val="17"/>
          <w:szCs w:val="17"/>
          <w:color w:val="auto"/>
        </w:rPr>
        <w:t>Notwithstanding the foregoing, this release of Claims shall not include any rights that I have to (i) continued indemnification by the Company and coverage under any applicable directors’ and officers’ liability insurance policy(ies), and (ii) rights to payment of compensation and benefits under the Separation Agreement or to vested entitlements under the Company’s applicable employee plans and programs.</w:t>
      </w:r>
    </w:p>
    <w:p>
      <w:pPr>
        <w:spacing w:after="0" w:line="71" w:lineRule="exact"/>
        <w:rPr>
          <w:sz w:val="20"/>
          <w:szCs w:val="20"/>
          <w:color w:val="auto"/>
        </w:rPr>
      </w:pPr>
    </w:p>
    <w:p>
      <w:pPr>
        <w:ind w:left="424" w:right="80" w:hanging="424"/>
        <w:spacing w:after="0" w:line="273" w:lineRule="auto"/>
        <w:tabs>
          <w:tab w:leader="none" w:pos="424"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As part of the general release set out above, I specifically agree that I hereby release, remise and forever discharge the Company and the Released Parties, and each of them, both in their individual and representative capacities, from any and all Claims, both known and unknown, arising under the ADEA that I had, have or may have against any of them and that are based upon acts, omissions or events that occurred on or before the Effective Date. I understand and acknowledge the significance and consequences of this specific waiver of any ADEA Claims, have received or have had the opportunity to receive independent legal advice from my attorneys regarding this waiver, and hereby assume full responsibility for any damage, loss or liability which I may hereafter incur by reason of such waiver.</w:t>
      </w:r>
    </w:p>
    <w:p>
      <w:pPr>
        <w:spacing w:after="0" w:line="83" w:lineRule="exact"/>
        <w:rPr>
          <w:rFonts w:ascii="Arial" w:cs="Arial" w:eastAsia="Arial" w:hAnsi="Arial"/>
          <w:sz w:val="17"/>
          <w:szCs w:val="17"/>
          <w:color w:val="auto"/>
        </w:rPr>
      </w:pPr>
    </w:p>
    <w:p>
      <w:pPr>
        <w:ind w:left="424" w:right="20" w:hanging="424"/>
        <w:spacing w:after="0" w:line="273" w:lineRule="auto"/>
        <w:tabs>
          <w:tab w:leader="none" w:pos="424" w:val="left"/>
        </w:tabs>
        <w:numPr>
          <w:ilvl w:val="0"/>
          <w:numId w:val="234"/>
        </w:numPr>
        <w:rPr>
          <w:rFonts w:ascii="Arial" w:cs="Arial" w:eastAsia="Arial" w:hAnsi="Arial"/>
          <w:sz w:val="17"/>
          <w:szCs w:val="17"/>
          <w:color w:val="auto"/>
        </w:rPr>
      </w:pPr>
      <w:r>
        <w:rPr>
          <w:rFonts w:ascii="Arial" w:cs="Arial" w:eastAsia="Arial" w:hAnsi="Arial"/>
          <w:sz w:val="17"/>
          <w:szCs w:val="17"/>
          <w:color w:val="auto"/>
        </w:rPr>
        <w:t>It is the intention of the parties to make this release as broad and as general as the law permits. This Release does not prevent me from enforcing my non-forfeitable rights to accrued benefits (within the meaning of Sections 203 and 204 of the Employee Retirement Income Security Act of 1974, as amended) under applicable retirement plans, unemployment insurance benefits, workers’ compensation Claims, or other Claims that cannot legally be waived. Further, nothing herein prevents me from interacting with or filing a charge with, as authorized by law, the EEOC or any other bona fide government agency; however, I will not seek or be entitled to any personal recovery in any action or proceeding that may be commenced on my behalf arising out of the matters released hereby.</w:t>
      </w:r>
    </w:p>
    <w:p>
      <w:pPr>
        <w:spacing w:after="0" w:line="83" w:lineRule="exact"/>
        <w:rPr>
          <w:rFonts w:ascii="Arial" w:cs="Arial" w:eastAsia="Arial" w:hAnsi="Arial"/>
          <w:sz w:val="17"/>
          <w:szCs w:val="17"/>
          <w:color w:val="auto"/>
        </w:rPr>
      </w:pPr>
    </w:p>
    <w:p>
      <w:pPr>
        <w:ind w:left="424" w:hanging="424"/>
        <w:spacing w:after="0"/>
        <w:tabs>
          <w:tab w:leader="none" w:pos="42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126" w:lineRule="exact"/>
        <w:rPr>
          <w:rFonts w:ascii="Arial" w:cs="Arial" w:eastAsia="Arial" w:hAnsi="Arial"/>
          <w:sz w:val="18"/>
          <w:szCs w:val="18"/>
          <w:color w:val="auto"/>
        </w:rPr>
      </w:pPr>
    </w:p>
    <w:p>
      <w:pPr>
        <w:ind w:left="964" w:right="200" w:hanging="532"/>
        <w:spacing w:after="0" w:line="314" w:lineRule="auto"/>
        <w:tabs>
          <w:tab w:leader="none" w:pos="964" w:val="left"/>
        </w:tabs>
        <w:numPr>
          <w:ilvl w:val="1"/>
          <w:numId w:val="234"/>
        </w:numPr>
        <w:rPr>
          <w:rFonts w:ascii="Arial" w:cs="Arial" w:eastAsia="Arial" w:hAnsi="Arial"/>
          <w:sz w:val="16"/>
          <w:szCs w:val="16"/>
          <w:color w:val="auto"/>
        </w:rPr>
      </w:pPr>
      <w:r>
        <w:rPr>
          <w:rFonts w:ascii="Arial" w:cs="Arial" w:eastAsia="Arial" w:hAnsi="Arial"/>
          <w:sz w:val="16"/>
          <w:szCs w:val="16"/>
          <w:color w:val="auto"/>
        </w:rPr>
        <w:t>I represent and warrant that I do not have any lawsuit, claim, charge, grievance or complaint (each an “</w:t>
      </w:r>
      <w:r>
        <w:rPr>
          <w:rFonts w:ascii="Arial" w:cs="Arial" w:eastAsia="Arial" w:hAnsi="Arial"/>
          <w:sz w:val="16"/>
          <w:szCs w:val="16"/>
          <w:b w:val="1"/>
          <w:bCs w:val="1"/>
          <w:color w:val="auto"/>
        </w:rPr>
        <w:t>Action</w:t>
      </w:r>
      <w:r>
        <w:rPr>
          <w:rFonts w:ascii="Arial" w:cs="Arial" w:eastAsia="Arial" w:hAnsi="Arial"/>
          <w:sz w:val="16"/>
          <w:szCs w:val="16"/>
          <w:color w:val="auto"/>
        </w:rPr>
        <w:t>”) against the Company or any of the Released Parties pending in any forum, based upon acts, omissions or events occurring prior to the Effective Date of this Release, that I will not at any time hereafter file any Action against the Company or any of the Released parties in any forum.</w:t>
      </w:r>
    </w:p>
    <w:p>
      <w:pPr>
        <w:spacing w:after="0" w:line="78" w:lineRule="exact"/>
        <w:rPr>
          <w:rFonts w:ascii="Arial" w:cs="Arial" w:eastAsia="Arial" w:hAnsi="Arial"/>
          <w:sz w:val="16"/>
          <w:szCs w:val="16"/>
          <w:color w:val="auto"/>
        </w:rPr>
      </w:pPr>
    </w:p>
    <w:p>
      <w:pPr>
        <w:ind w:left="5464" w:hanging="106"/>
        <w:spacing w:after="0"/>
        <w:tabs>
          <w:tab w:leader="none" w:pos="5464" w:val="left"/>
        </w:tabs>
        <w:numPr>
          <w:ilvl w:val="2"/>
          <w:numId w:val="234"/>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004"/>
          </w:cols>
          <w:pgMar w:left="436" w:top="274" w:right="459" w:bottom="1440" w:gutter="0" w:footer="0" w:header="0"/>
        </w:sectPr>
      </w:pPr>
    </w:p>
    <w:bookmarkStart w:id="408" w:name="page409"/>
    <w:bookmarkEnd w:id="408"/>
    <w:p>
      <w:pPr>
        <w:ind w:left="964" w:hanging="532"/>
        <w:spacing w:after="0"/>
        <w:tabs>
          <w:tab w:leader="none" w:pos="964" w:val="left"/>
        </w:tabs>
        <w:numPr>
          <w:ilvl w:val="1"/>
          <w:numId w:val="2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Representations re Waiver of ADEA Claims</w:t>
      </w:r>
      <w:r>
        <w:rPr>
          <w:rFonts w:ascii="Arial" w:cs="Arial" w:eastAsia="Arial" w:hAnsi="Arial"/>
          <w:sz w:val="18"/>
          <w:szCs w:val="18"/>
          <w:color w:val="auto"/>
        </w:rPr>
        <w:t>: As required by the ADEA, I understand, represent, warrant and agree that:</w:t>
      </w:r>
    </w:p>
    <w:p>
      <w:pPr>
        <w:spacing w:after="0" w:line="130" w:lineRule="exact"/>
        <w:rPr>
          <w:rFonts w:ascii="Arial" w:cs="Arial" w:eastAsia="Arial" w:hAnsi="Arial"/>
          <w:sz w:val="18"/>
          <w:szCs w:val="18"/>
          <w:color w:val="auto"/>
        </w:rPr>
      </w:pPr>
    </w:p>
    <w:p>
      <w:pPr>
        <w:ind w:left="1424" w:right="20" w:hanging="439"/>
        <w:spacing w:after="0" w:line="277" w:lineRule="auto"/>
        <w:tabs>
          <w:tab w:leader="none" w:pos="1424" w:val="left"/>
        </w:tabs>
        <w:numPr>
          <w:ilvl w:val="2"/>
          <w:numId w:val="235"/>
        </w:numPr>
        <w:rPr>
          <w:rFonts w:ascii="Arial" w:cs="Arial" w:eastAsia="Arial" w:hAnsi="Arial"/>
          <w:sz w:val="18"/>
          <w:szCs w:val="18"/>
          <w:color w:val="auto"/>
        </w:rPr>
      </w:pPr>
      <w:r>
        <w:rPr>
          <w:rFonts w:ascii="Arial" w:cs="Arial" w:eastAsia="Arial" w:hAnsi="Arial"/>
          <w:sz w:val="18"/>
          <w:szCs w:val="18"/>
          <w:color w:val="auto"/>
        </w:rPr>
        <w:t>I was advised (and am hereby advised) in writing to consider the terms of this Release and to consult with an attorney of my choice prior to executing this Release;</w:t>
      </w:r>
    </w:p>
    <w:p>
      <w:pPr>
        <w:spacing w:after="0" w:line="75" w:lineRule="exact"/>
        <w:rPr>
          <w:rFonts w:ascii="Arial" w:cs="Arial" w:eastAsia="Arial" w:hAnsi="Arial"/>
          <w:sz w:val="18"/>
          <w:szCs w:val="18"/>
          <w:color w:val="auto"/>
        </w:rPr>
      </w:pPr>
    </w:p>
    <w:p>
      <w:pPr>
        <w:ind w:left="1424" w:right="660" w:hanging="439"/>
        <w:spacing w:after="0" w:line="277" w:lineRule="auto"/>
        <w:tabs>
          <w:tab w:leader="none" w:pos="1424" w:val="left"/>
        </w:tabs>
        <w:numPr>
          <w:ilvl w:val="2"/>
          <w:numId w:val="235"/>
        </w:numPr>
        <w:rPr>
          <w:rFonts w:ascii="Arial" w:cs="Arial" w:eastAsia="Arial" w:hAnsi="Arial"/>
          <w:sz w:val="18"/>
          <w:szCs w:val="18"/>
          <w:color w:val="auto"/>
        </w:rPr>
      </w:pPr>
      <w:r>
        <w:rPr>
          <w:rFonts w:ascii="Arial" w:cs="Arial" w:eastAsia="Arial" w:hAnsi="Arial"/>
          <w:sz w:val="18"/>
          <w:szCs w:val="18"/>
          <w:color w:val="auto"/>
        </w:rPr>
        <w:t>prior to executing this Release, I had the opportunity to consider this Release for an amount of time that I considered to be reasonable;</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235"/>
        </w:numPr>
        <w:rPr>
          <w:rFonts w:ascii="Arial" w:cs="Arial" w:eastAsia="Arial" w:hAnsi="Arial"/>
          <w:sz w:val="18"/>
          <w:szCs w:val="18"/>
          <w:color w:val="auto"/>
        </w:rPr>
      </w:pPr>
      <w:r>
        <w:rPr>
          <w:rFonts w:ascii="Arial" w:cs="Arial" w:eastAsia="Arial" w:hAnsi="Arial"/>
          <w:sz w:val="18"/>
          <w:szCs w:val="18"/>
          <w:color w:val="auto"/>
        </w:rPr>
        <w:t>I knowingly and voluntarily agree to all of the terms set forth in this Release;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235"/>
        </w:numPr>
        <w:rPr>
          <w:rFonts w:ascii="Arial" w:cs="Arial" w:eastAsia="Arial" w:hAnsi="Arial"/>
          <w:sz w:val="18"/>
          <w:szCs w:val="18"/>
          <w:color w:val="auto"/>
        </w:rPr>
      </w:pPr>
      <w:r>
        <w:rPr>
          <w:rFonts w:ascii="Arial" w:cs="Arial" w:eastAsia="Arial" w:hAnsi="Arial"/>
          <w:sz w:val="18"/>
          <w:szCs w:val="18"/>
          <w:color w:val="auto"/>
        </w:rPr>
        <w:t>I am executing this Release in exchange for good and valuable consideration;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235"/>
        </w:numPr>
        <w:rPr>
          <w:rFonts w:ascii="Arial" w:cs="Arial" w:eastAsia="Arial" w:hAnsi="Arial"/>
          <w:sz w:val="18"/>
          <w:szCs w:val="18"/>
          <w:color w:val="auto"/>
        </w:rPr>
      </w:pPr>
      <w:r>
        <w:rPr>
          <w:rFonts w:ascii="Arial" w:cs="Arial" w:eastAsia="Arial" w:hAnsi="Arial"/>
          <w:sz w:val="18"/>
          <w:szCs w:val="18"/>
          <w:color w:val="auto"/>
        </w:rPr>
        <w:t>I knowingly and voluntarily intend to be legally bound by this Release.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35"/>
        </w:numPr>
        <w:rPr>
          <w:rFonts w:ascii="Arial" w:cs="Arial" w:eastAsia="Arial" w:hAnsi="Arial"/>
          <w:sz w:val="18"/>
          <w:szCs w:val="18"/>
          <w:color w:val="auto"/>
        </w:rPr>
      </w:pPr>
      <w:r>
        <w:rPr>
          <w:rFonts w:ascii="Arial" w:cs="Arial" w:eastAsia="Arial" w:hAnsi="Arial"/>
          <w:sz w:val="18"/>
          <w:szCs w:val="18"/>
          <w:color w:val="auto"/>
        </w:rPr>
        <w:t>Consideration Period</w:t>
      </w:r>
    </w:p>
    <w:p>
      <w:pPr>
        <w:spacing w:after="0" w:line="130" w:lineRule="exact"/>
        <w:rPr>
          <w:rFonts w:ascii="Arial" w:cs="Arial" w:eastAsia="Arial" w:hAnsi="Arial"/>
          <w:sz w:val="18"/>
          <w:szCs w:val="18"/>
          <w:color w:val="auto"/>
        </w:rPr>
      </w:pPr>
    </w:p>
    <w:p>
      <w:pPr>
        <w:ind w:left="1424" w:hanging="439"/>
        <w:spacing w:after="0" w:line="311" w:lineRule="auto"/>
        <w:tabs>
          <w:tab w:leader="none" w:pos="1424" w:val="left"/>
        </w:tabs>
        <w:numPr>
          <w:ilvl w:val="2"/>
          <w:numId w:val="235"/>
        </w:numPr>
        <w:rPr>
          <w:rFonts w:ascii="Arial" w:cs="Arial" w:eastAsia="Arial" w:hAnsi="Arial"/>
          <w:sz w:val="16"/>
          <w:szCs w:val="16"/>
          <w:color w:val="auto"/>
        </w:rPr>
      </w:pPr>
      <w:r>
        <w:rPr>
          <w:rFonts w:ascii="Arial" w:cs="Arial" w:eastAsia="Arial" w:hAnsi="Arial"/>
          <w:sz w:val="16"/>
          <w:szCs w:val="16"/>
          <w:color w:val="auto"/>
        </w:rPr>
        <w:t>I acknowledge that I have been afforded at least 21 days to consider the meaning and effect of this Release and any changes to this Release or the Separation Agreement, whether material or immaterial, do not restart the running of the 21 day consideration period. If I sign this Release, the 7-day Revocation Period described below will begin after I have signed this Release.</w:t>
      </w:r>
    </w:p>
    <w:p>
      <w:pPr>
        <w:spacing w:after="0" w:line="54" w:lineRule="exact"/>
        <w:rPr>
          <w:rFonts w:ascii="Arial" w:cs="Arial" w:eastAsia="Arial" w:hAnsi="Arial"/>
          <w:sz w:val="16"/>
          <w:szCs w:val="16"/>
          <w:color w:val="auto"/>
        </w:rPr>
      </w:pPr>
    </w:p>
    <w:p>
      <w:pPr>
        <w:jc w:val="both"/>
        <w:ind w:left="1424" w:right="160" w:hanging="439"/>
        <w:spacing w:after="0" w:line="263" w:lineRule="auto"/>
        <w:tabs>
          <w:tab w:leader="none" w:pos="1424" w:val="left"/>
        </w:tabs>
        <w:numPr>
          <w:ilvl w:val="2"/>
          <w:numId w:val="235"/>
        </w:numPr>
        <w:rPr>
          <w:rFonts w:ascii="Arial" w:cs="Arial" w:eastAsia="Arial" w:hAnsi="Arial"/>
          <w:sz w:val="18"/>
          <w:szCs w:val="18"/>
          <w:color w:val="auto"/>
        </w:rPr>
      </w:pPr>
      <w:r>
        <w:rPr>
          <w:rFonts w:ascii="Arial" w:cs="Arial" w:eastAsia="Arial" w:hAnsi="Arial"/>
          <w:sz w:val="18"/>
          <w:szCs w:val="18"/>
          <w:color w:val="auto"/>
        </w:rPr>
        <w:t>I acknowledge and agree that if I execute this Release prior to the expiration of 21 days after my receipt thereof, and/or choose to forego seeking the advice of independent legal counsel, I do so freely, and I knowingly waive any and all future claims that such action(s) would affect the validity of this Release.</w:t>
      </w:r>
    </w:p>
    <w:p>
      <w:pPr>
        <w:spacing w:after="0" w:line="85" w:lineRule="exact"/>
        <w:rPr>
          <w:rFonts w:ascii="Arial" w:cs="Arial" w:eastAsia="Arial" w:hAnsi="Arial"/>
          <w:sz w:val="18"/>
          <w:szCs w:val="18"/>
          <w:color w:val="auto"/>
        </w:rPr>
      </w:pPr>
    </w:p>
    <w:p>
      <w:pPr>
        <w:ind w:left="424" w:hanging="424"/>
        <w:spacing w:after="0"/>
        <w:tabs>
          <w:tab w:leader="none" w:pos="424" w:val="left"/>
        </w:tabs>
        <w:numPr>
          <w:ilvl w:val="0"/>
          <w:numId w:val="236"/>
        </w:numPr>
        <w:rPr>
          <w:rFonts w:ascii="Arial" w:cs="Arial" w:eastAsia="Arial" w:hAnsi="Arial"/>
          <w:sz w:val="16"/>
          <w:szCs w:val="16"/>
          <w:color w:val="auto"/>
        </w:rPr>
      </w:pPr>
      <w:r>
        <w:rPr>
          <w:rFonts w:ascii="Arial" w:cs="Arial" w:eastAsia="Arial" w:hAnsi="Arial"/>
          <w:sz w:val="16"/>
          <w:szCs w:val="16"/>
          <w:color w:val="auto"/>
        </w:rPr>
        <w:t>Revocation Period: I have the right to revoke this Release within 7 days of signing it (“</w:t>
      </w:r>
      <w:r>
        <w:rPr>
          <w:rFonts w:ascii="Arial" w:cs="Arial" w:eastAsia="Arial" w:hAnsi="Arial"/>
          <w:sz w:val="16"/>
          <w:szCs w:val="16"/>
          <w:b w:val="1"/>
          <w:bCs w:val="1"/>
          <w:color w:val="auto"/>
        </w:rPr>
        <w:t>Revocation Period</w:t>
      </w:r>
      <w:r>
        <w:rPr>
          <w:rFonts w:ascii="Arial" w:cs="Arial" w:eastAsia="Arial" w:hAnsi="Arial"/>
          <w:sz w:val="16"/>
          <w:szCs w:val="16"/>
          <w:color w:val="auto"/>
        </w:rPr>
        <w:t>”). To revoke this Release, I must send</w:t>
      </w:r>
    </w:p>
    <w:p>
      <w:pPr>
        <w:spacing w:after="0" w:line="50" w:lineRule="exact"/>
        <w:rPr>
          <w:rFonts w:ascii="Arial" w:cs="Arial" w:eastAsia="Arial" w:hAnsi="Arial"/>
          <w:sz w:val="16"/>
          <w:szCs w:val="16"/>
          <w:color w:val="auto"/>
        </w:rPr>
      </w:pPr>
    </w:p>
    <w:p>
      <w:pPr>
        <w:ind w:left="424" w:right="460"/>
        <w:spacing w:after="0" w:line="260" w:lineRule="auto"/>
        <w:rPr>
          <w:rFonts w:ascii="Arial" w:cs="Arial" w:eastAsia="Arial" w:hAnsi="Arial"/>
          <w:sz w:val="16"/>
          <w:szCs w:val="16"/>
          <w:color w:val="auto"/>
        </w:rPr>
      </w:pPr>
      <w:r>
        <w:rPr>
          <w:rFonts w:ascii="Arial" w:cs="Arial" w:eastAsia="Arial" w:hAnsi="Arial"/>
          <w:sz w:val="18"/>
          <w:szCs w:val="18"/>
          <w:color w:val="auto"/>
        </w:rPr>
        <w:t>a written letter by overnight delivery, personal delivery or registered mail to: Repare Therapeutics Inc., Attn: Lloyd Segal, 7210 Frederick-Banting, Suite 100, St. Laurent, QC H4S 2A1.</w:t>
      </w:r>
    </w:p>
    <w:p>
      <w:pPr>
        <w:spacing w:after="0" w:line="90" w:lineRule="exact"/>
        <w:rPr>
          <w:rFonts w:ascii="Arial" w:cs="Arial" w:eastAsia="Arial" w:hAnsi="Arial"/>
          <w:sz w:val="16"/>
          <w:szCs w:val="16"/>
          <w:color w:val="auto"/>
        </w:rPr>
      </w:pPr>
    </w:p>
    <w:p>
      <w:pPr>
        <w:ind w:left="424" w:right="240" w:hanging="424"/>
        <w:spacing w:after="0" w:line="277" w:lineRule="auto"/>
        <w:tabs>
          <w:tab w:leader="none" w:pos="42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This Release is binding upon me and my past and present spouse(s), agents, heirs, executors, administrators, and assigns and shall inure to the benefit of the Company and the Released Parties.</w:t>
      </w:r>
    </w:p>
    <w:p>
      <w:pPr>
        <w:spacing w:after="0" w:line="75" w:lineRule="exact"/>
        <w:rPr>
          <w:rFonts w:ascii="Arial" w:cs="Arial" w:eastAsia="Arial" w:hAnsi="Arial"/>
          <w:sz w:val="18"/>
          <w:szCs w:val="18"/>
          <w:color w:val="auto"/>
        </w:rPr>
      </w:pPr>
    </w:p>
    <w:p>
      <w:pPr>
        <w:ind w:left="424" w:right="520" w:hanging="424"/>
        <w:spacing w:after="0" w:line="263" w:lineRule="auto"/>
        <w:tabs>
          <w:tab w:leader="none" w:pos="42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This Release and the Separation Agreement constitute the complete understanding between me and the Company and supersede all other agreements not specifically reaffirmed in those agreements. No other promises or agreements will be binding unless signed by me and the Company.</w:t>
      </w:r>
    </w:p>
    <w:p>
      <w:pPr>
        <w:spacing w:after="0" w:line="116" w:lineRule="exact"/>
        <w:rPr>
          <w:rFonts w:ascii="Arial" w:cs="Arial" w:eastAsia="Arial" w:hAnsi="Arial"/>
          <w:sz w:val="18"/>
          <w:szCs w:val="18"/>
          <w:color w:val="auto"/>
        </w:rPr>
      </w:pPr>
    </w:p>
    <w:p>
      <w:pPr>
        <w:ind w:left="5464" w:hanging="106"/>
        <w:spacing w:after="0"/>
        <w:tabs>
          <w:tab w:leader="none" w:pos="5464" w:val="left"/>
        </w:tabs>
        <w:numPr>
          <w:ilvl w:val="3"/>
          <w:numId w:val="236"/>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884"/>
          </w:cols>
          <w:pgMar w:left="436" w:top="274" w:right="579" w:bottom="1440" w:gutter="0" w:footer="0" w:header="0"/>
        </w:sectPr>
      </w:pPr>
    </w:p>
    <w:bookmarkStart w:id="409" w:name="page410"/>
    <w:bookmarkEnd w:id="409"/>
    <w:p>
      <w:pPr>
        <w:ind w:left="424" w:hanging="424"/>
        <w:spacing w:after="0" w:line="282" w:lineRule="auto"/>
        <w:tabs>
          <w:tab w:leader="none" w:pos="424" w:val="left"/>
        </w:tabs>
        <w:numPr>
          <w:ilvl w:val="0"/>
          <w:numId w:val="2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Release shall be effective on the date on which I sign this Release, but no sooner than my last day of employment (the “</w:t>
      </w:r>
      <w:r>
        <w:rPr>
          <w:rFonts w:ascii="Arial" w:cs="Arial" w:eastAsia="Arial" w:hAnsi="Arial"/>
          <w:sz w:val="18"/>
          <w:szCs w:val="18"/>
          <w:b w:val="1"/>
          <w:bCs w:val="1"/>
          <w:color w:val="auto"/>
        </w:rPr>
        <w:t>Effective Date</w:t>
      </w:r>
      <w:r>
        <w:rPr>
          <w:rFonts w:ascii="Arial" w:cs="Arial" w:eastAsia="Arial" w:hAnsi="Arial"/>
          <w:sz w:val="18"/>
          <w:szCs w:val="18"/>
          <w:color w:val="auto"/>
        </w:rPr>
        <w:t>”), and shall become irrevocable upon expiration of the Revocation Period described above.</w:t>
      </w:r>
    </w:p>
    <w:p>
      <w:pPr>
        <w:spacing w:after="0" w:line="98" w:lineRule="exact"/>
        <w:rPr>
          <w:rFonts w:ascii="Arial" w:cs="Arial" w:eastAsia="Arial" w:hAnsi="Arial"/>
          <w:sz w:val="18"/>
          <w:szCs w:val="18"/>
          <w:color w:val="auto"/>
        </w:rPr>
      </w:pPr>
    </w:p>
    <w:p>
      <w:pPr>
        <w:ind w:left="5464" w:hanging="106"/>
        <w:spacing w:after="0"/>
        <w:tabs>
          <w:tab w:leader="none" w:pos="5464" w:val="left"/>
        </w:tabs>
        <w:numPr>
          <w:ilvl w:val="1"/>
          <w:numId w:val="237"/>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984"/>
          </w:cols>
          <w:pgMar w:left="436" w:top="270" w:right="479" w:bottom="1440" w:gutter="0" w:footer="0" w:header="0"/>
        </w:sectPr>
      </w:pPr>
    </w:p>
    <w:bookmarkStart w:id="410" w:name="page411"/>
    <w:bookmarkEnd w:id="410"/>
    <w:p>
      <w:pPr>
        <w:spacing w:after="0"/>
        <w:rPr>
          <w:sz w:val="20"/>
          <w:szCs w:val="20"/>
          <w:color w:val="auto"/>
        </w:rPr>
      </w:pPr>
      <w:r>
        <w:rPr>
          <w:rFonts w:ascii="Arial" w:cs="Arial" w:eastAsia="Arial" w:hAnsi="Arial"/>
          <w:sz w:val="18"/>
          <w:szCs w:val="18"/>
          <w:b w:val="1"/>
          <w:bCs w:val="1"/>
          <w:color w:val="auto"/>
        </w:rPr>
        <w:t>SIGNED in the presence of:</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Shukradev Ishaya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2326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WITNESS SIGNATURE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Shukradev Ishaya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2326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WITNESS NAME (PRINTED)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22/10/2019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2326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(dd/mm/yyyy)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 Katina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-490220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14605</wp:posOffset>
            </wp:positionV>
            <wp:extent cx="300037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SIGNATURE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Katina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300037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NAME (PRINTED)</w:t>
      </w:r>
    </w:p>
    <w:p>
      <w:pPr>
        <w:sectPr>
          <w:pgSz w:w="11900" w:h="16838" w:orient="portrait"/>
          <w:cols w:equalWidth="0" w:num="2">
            <w:col w:w="5560" w:space="720"/>
            <w:col w:w="3739"/>
          </w:cols>
          <w:pgMar w:left="440" w:top="270" w:right="1440" w:bottom="1440" w:gutter="0" w:footer="0" w:header="0"/>
        </w:sectPr>
      </w:pPr>
    </w:p>
    <w:bookmarkStart w:id="411" w:name="page412"/>
    <w:bookmarkEnd w:id="411"/>
    <w:p>
      <w:pPr>
        <w:jc w:val="center"/>
        <w:ind w:right="-1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“B”</w:t>
      </w:r>
    </w:p>
    <w:p>
      <w:pPr>
        <w:spacing w:after="0" w:line="225" w:lineRule="exact"/>
        <w:rPr>
          <w:sz w:val="20"/>
          <w:szCs w:val="20"/>
          <w:color w:val="auto"/>
        </w:rPr>
      </w:pPr>
    </w:p>
    <w:p>
      <w:pPr>
        <w:jc w:val="center"/>
        <w:ind w:right="-183"/>
        <w:spacing w:after="0"/>
        <w:rPr>
          <w:sz w:val="20"/>
          <w:szCs w:val="20"/>
          <w:color w:val="auto"/>
        </w:rPr>
      </w:pPr>
      <w:r>
        <w:rPr>
          <w:rFonts w:ascii="Arial" w:cs="Arial" w:eastAsia="Arial" w:hAnsi="Arial"/>
          <w:sz w:val="18"/>
          <w:szCs w:val="18"/>
          <w:b w:val="1"/>
          <w:bCs w:val="1"/>
          <w:color w:val="auto"/>
        </w:rPr>
        <w:t>INDEPENDENT CONTRACTOR AGREEMENT</w:t>
      </w:r>
    </w:p>
    <w:p>
      <w:pPr>
        <w:spacing w:after="0" w:line="229"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THIS INDEPENDENT CONTRACTOR AGREEMENT (the “Agreement”) is made October 21, 2019 (the “Effective Date”).</w:t>
      </w:r>
    </w:p>
    <w:p>
      <w:pPr>
        <w:spacing w:after="0" w:line="225"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Repare Therapeutics USA Inc.</w:t>
      </w:r>
    </w:p>
    <w:p>
      <w:pPr>
        <w:spacing w:after="0" w:line="225"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(the “Company”)</w:t>
      </w:r>
    </w:p>
    <w:p>
      <w:pPr>
        <w:spacing w:after="0" w:line="225"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 and -</w:t>
      </w:r>
    </w:p>
    <w:p>
      <w:pPr>
        <w:spacing w:after="0" w:line="225"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Katina Dorton</w:t>
      </w:r>
    </w:p>
    <w:p>
      <w:pPr>
        <w:spacing w:after="0" w:line="225"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(the “Contractor”)</w:t>
      </w:r>
    </w:p>
    <w:p>
      <w:pPr>
        <w:spacing w:after="0" w:line="225"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(collectively referred to as the “Parties”)</w:t>
      </w:r>
    </w:p>
    <w:p>
      <w:pPr>
        <w:spacing w:after="0" w:line="225"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WHEREAS the Company wishes to retain the Contractor as an independent contractor to provide certain services to the Company, on the terms and conditions set forth in this Agreement.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THEREFORE, the Parties agree as follows:</w:t>
      </w:r>
    </w:p>
    <w:p>
      <w:pPr>
        <w:spacing w:after="0" w:line="131" w:lineRule="exact"/>
        <w:rPr>
          <w:sz w:val="20"/>
          <w:szCs w:val="20"/>
          <w:color w:val="auto"/>
        </w:rPr>
      </w:pPr>
    </w:p>
    <w:p>
      <w:pPr>
        <w:ind w:left="424" w:hanging="424"/>
        <w:spacing w:after="0"/>
        <w:tabs>
          <w:tab w:leader="none" w:pos="42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TERM OF AGREEMENT</w:t>
      </w:r>
    </w:p>
    <w:p>
      <w:pPr>
        <w:spacing w:after="0" w:line="117" w:lineRule="exact"/>
        <w:rPr>
          <w:sz w:val="20"/>
          <w:szCs w:val="20"/>
          <w:color w:val="auto"/>
        </w:rPr>
      </w:pPr>
    </w:p>
    <w:p>
      <w:pPr>
        <w:ind w:left="4" w:hanging="4"/>
        <w:spacing w:after="0" w:line="277" w:lineRule="auto"/>
        <w:tabs>
          <w:tab w:leader="none" w:pos="249"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term of this Agreement shall be for the period commencing on the Effective Date and continuing until December 31, 2019, unless extended by mutual agreement of the Parties in writing.</w:t>
      </w:r>
    </w:p>
    <w:p>
      <w:pPr>
        <w:spacing w:after="0" w:line="76" w:lineRule="exact"/>
        <w:rPr>
          <w:sz w:val="20"/>
          <w:szCs w:val="20"/>
          <w:color w:val="auto"/>
        </w:rPr>
      </w:pPr>
    </w:p>
    <w:p>
      <w:pPr>
        <w:ind w:left="424" w:hanging="424"/>
        <w:spacing w:after="0"/>
        <w:tabs>
          <w:tab w:leader="none" w:pos="42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SERVICES TO BE PROVIDED</w:t>
      </w:r>
    </w:p>
    <w:p>
      <w:pPr>
        <w:spacing w:after="0" w:line="117" w:lineRule="exact"/>
        <w:rPr>
          <w:sz w:val="20"/>
          <w:szCs w:val="20"/>
          <w:color w:val="auto"/>
        </w:rPr>
      </w:pPr>
    </w:p>
    <w:p>
      <w:pPr>
        <w:ind w:left="4" w:right="480" w:hanging="4"/>
        <w:spacing w:after="0" w:line="342" w:lineRule="auto"/>
        <w:tabs>
          <w:tab w:leader="none" w:pos="249"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Company hereby retains the Contractor to perform those services or tasks as shall be reasonably assigned to the Contractor by the Chief Executive Officer of the Company or any designee of the Chief Executive Officer of the Company during the term (the “Services”).</w:t>
      </w:r>
    </w:p>
    <w:p>
      <w:pPr>
        <w:spacing w:after="0" w:line="15" w:lineRule="exact"/>
        <w:rPr>
          <w:rFonts w:ascii="Arial" w:cs="Arial" w:eastAsia="Arial" w:hAnsi="Arial"/>
          <w:sz w:val="16"/>
          <w:szCs w:val="16"/>
          <w:color w:val="auto"/>
        </w:rPr>
      </w:pPr>
    </w:p>
    <w:p>
      <w:pPr>
        <w:jc w:val="both"/>
        <w:ind w:left="4" w:right="60" w:hanging="4"/>
        <w:spacing w:after="0" w:line="263" w:lineRule="auto"/>
        <w:tabs>
          <w:tab w:leader="none" w:pos="259"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Contractor shall not have the authority or discretion to enter into any agreement, contract or understanding that legally binds the Company or otherwise assume, create or incur any obligations or liabilities on behalf of the Company, except as expressly provided for in this Agreement, without first obtaining the prior written consent of the Company.</w:t>
      </w:r>
    </w:p>
    <w:p>
      <w:pPr>
        <w:spacing w:after="0" w:line="75" w:lineRule="exact"/>
        <w:rPr>
          <w:rFonts w:ascii="Arial" w:cs="Arial" w:eastAsia="Arial" w:hAnsi="Arial"/>
          <w:sz w:val="18"/>
          <w:szCs w:val="18"/>
          <w:color w:val="auto"/>
        </w:rPr>
      </w:pPr>
    </w:p>
    <w:p>
      <w:pPr>
        <w:ind w:left="4" w:right="240" w:hanging="4"/>
        <w:spacing w:after="0" w:line="277" w:lineRule="auto"/>
        <w:tabs>
          <w:tab w:leader="none" w:pos="249"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Contractor will be indemnified by the Company for any services that she performs hereunder on the same basis as if she were then actively employed as an officer of the Company.</w:t>
      </w:r>
    </w:p>
    <w:p>
      <w:pPr>
        <w:spacing w:after="0" w:line="102" w:lineRule="exact"/>
        <w:rPr>
          <w:rFonts w:ascii="Arial" w:cs="Arial" w:eastAsia="Arial" w:hAnsi="Arial"/>
          <w:sz w:val="18"/>
          <w:szCs w:val="18"/>
          <w:color w:val="auto"/>
        </w:rPr>
      </w:pPr>
    </w:p>
    <w:p>
      <w:pPr>
        <w:ind w:left="5424" w:hanging="108"/>
        <w:spacing w:after="0"/>
        <w:tabs>
          <w:tab w:leader="none" w:pos="5424" w:val="left"/>
        </w:tabs>
        <w:numPr>
          <w:ilvl w:val="1"/>
          <w:numId w:val="241"/>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824"/>
          </w:cols>
          <w:pgMar w:left="436" w:top="270" w:right="639" w:bottom="1440" w:gutter="0" w:footer="0" w:header="0"/>
        </w:sectPr>
      </w:pPr>
    </w:p>
    <w:bookmarkStart w:id="412" w:name="page413"/>
    <w:bookmarkEnd w:id="412"/>
    <w:p>
      <w:pPr>
        <w:ind w:left="424" w:hanging="424"/>
        <w:spacing w:after="0"/>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FEES</w:t>
      </w:r>
    </w:p>
    <w:p>
      <w:pPr>
        <w:spacing w:after="0" w:line="117"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In consideration of the Services provided, the Company shall pay to the Contractor a fixed weekly fee of US$1,000, payable monthly in arrears (the “Fees”).</w:t>
      </w:r>
    </w:p>
    <w:p>
      <w:pPr>
        <w:spacing w:after="0" w:line="76" w:lineRule="exact"/>
        <w:rPr>
          <w:sz w:val="20"/>
          <w:szCs w:val="20"/>
          <w:color w:val="auto"/>
        </w:rPr>
      </w:pPr>
    </w:p>
    <w:p>
      <w:pPr>
        <w:ind w:left="424" w:hanging="424"/>
        <w:spacing w:after="0"/>
        <w:tabs>
          <w:tab w:leader="none" w:pos="424" w:val="left"/>
        </w:tabs>
        <w:numPr>
          <w:ilvl w:val="0"/>
          <w:numId w:val="243"/>
        </w:numPr>
        <w:rPr>
          <w:rFonts w:ascii="Arial" w:cs="Arial" w:eastAsia="Arial" w:hAnsi="Arial"/>
          <w:sz w:val="18"/>
          <w:szCs w:val="18"/>
          <w:color w:val="auto"/>
        </w:rPr>
      </w:pPr>
      <w:r>
        <w:rPr>
          <w:rFonts w:ascii="Arial" w:cs="Arial" w:eastAsia="Arial" w:hAnsi="Arial"/>
          <w:sz w:val="18"/>
          <w:szCs w:val="18"/>
          <w:color w:val="auto"/>
        </w:rPr>
        <w:t>HOURS OF WORK</w:t>
      </w:r>
    </w:p>
    <w:p>
      <w:pPr>
        <w:spacing w:after="0" w:line="117" w:lineRule="exact"/>
        <w:rPr>
          <w:sz w:val="20"/>
          <w:szCs w:val="20"/>
          <w:color w:val="auto"/>
        </w:rPr>
      </w:pPr>
    </w:p>
    <w:p>
      <w:pPr>
        <w:jc w:val="both"/>
        <w:ind w:left="4" w:right="120"/>
        <w:spacing w:after="0" w:line="279" w:lineRule="auto"/>
        <w:rPr>
          <w:sz w:val="20"/>
          <w:szCs w:val="20"/>
          <w:color w:val="auto"/>
        </w:rPr>
      </w:pPr>
      <w:r>
        <w:rPr>
          <w:rFonts w:ascii="Arial" w:cs="Arial" w:eastAsia="Arial" w:hAnsi="Arial"/>
          <w:sz w:val="17"/>
          <w:szCs w:val="17"/>
          <w:color w:val="auto"/>
        </w:rPr>
        <w:t>There shall be no set hours of work. However, the Contractor agrees to be reasonably available to provide Services to the Company as may be required subject to her then current business and personal commitments. The Parties agree that such hours will not exceed (i) an average of five hours per week during the consulting term, it being understood and agreed by the Company that the Contractor will have limited availability to render services during the two week vacation abroad that the Contractor is taking during the period October 15-29, 2019.</w:t>
      </w:r>
    </w:p>
    <w:p>
      <w:pPr>
        <w:spacing w:after="0" w:line="77" w:lineRule="exact"/>
        <w:rPr>
          <w:sz w:val="20"/>
          <w:szCs w:val="20"/>
          <w:color w:val="auto"/>
        </w:rPr>
      </w:pPr>
    </w:p>
    <w:p>
      <w:pPr>
        <w:ind w:left="424" w:hanging="424"/>
        <w:spacing w:after="0"/>
        <w:tabs>
          <w:tab w:leader="none" w:pos="424"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INDEPENDENT CONTRACTOR</w:t>
      </w:r>
    </w:p>
    <w:p>
      <w:pPr>
        <w:spacing w:after="0" w:line="117"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The Contractor is and shall remain at all times an independent contractor and is not, and shall not represent herself to be an agent, joint venturer, partner, officer, director or employee of the Company. Nothing contained in this Agreement is intended to create nor shall be construed as creating an employment relationship between the Contractor and the Company. The Contractor has sole responsibility, as an independent contractor, to comply with all laws, rules and regulations relating to the provision of Services, including without limitation, requirements for taxes, unemployment and disability insurance, and social security. The Contractor shall be responsible for deducting any and all applicable federal, state and local taxes, deductions, premiums, and amounts owing with respect to those Fees paid by, and any amounts paid by the Company and remitting such amounts to those governmental authorities as prescribed by law. As an independent contractor, the Contractor shall not be entitled to any employment related benefits. Upon termination of this Agreement, the Company shall only be responsible for paying those Fees associated with Services provided by the Contractor up to and including the termination date.</w:t>
      </w:r>
    </w:p>
    <w:p>
      <w:pPr>
        <w:spacing w:after="0" w:line="86" w:lineRule="exact"/>
        <w:rPr>
          <w:sz w:val="20"/>
          <w:szCs w:val="20"/>
          <w:color w:val="auto"/>
        </w:rPr>
      </w:pPr>
    </w:p>
    <w:p>
      <w:pPr>
        <w:ind w:left="424" w:hanging="424"/>
        <w:spacing w:after="0"/>
        <w:tabs>
          <w:tab w:leader="none" w:pos="42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SEVERABILITY</w:t>
      </w:r>
    </w:p>
    <w:p>
      <w:pPr>
        <w:spacing w:after="0" w:line="117"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In the event that any covenant, provision or restriction contained in this Agreement is found to be void or unenforceable (in whole or in part) by a court of competent jurisdiction, it shall not affect or impair the validity of any other covenant, provisions or restrictions contained herein, nor shall it affect the validity or enforceability of such covenants, provisions or restrictions in any other jurisdiction or in regard to other circumstances. Any covenants, provisions or restrictions found to be void or unenforceable are declared to be separate and distinct, and the remaining covenants, provisions and restrictions shall remain in full force and effect.</w:t>
      </w:r>
    </w:p>
    <w:p>
      <w:pPr>
        <w:spacing w:after="0" w:line="93" w:lineRule="exact"/>
        <w:rPr>
          <w:sz w:val="20"/>
          <w:szCs w:val="20"/>
          <w:color w:val="auto"/>
        </w:rPr>
      </w:pPr>
    </w:p>
    <w:p>
      <w:pPr>
        <w:ind w:left="424" w:hanging="424"/>
        <w:spacing w:after="0"/>
        <w:tabs>
          <w:tab w:leader="none" w:pos="42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CHANGES TO AGREEMENT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7"/>
          <w:szCs w:val="17"/>
          <w:color w:val="auto"/>
        </w:rPr>
        <w:t>Any modifications or amendments to this Agreement must be in writing and signed by both Parties or else they shall have no force and effect.</w:t>
      </w:r>
    </w:p>
    <w:p>
      <w:pPr>
        <w:spacing w:after="0" w:line="142" w:lineRule="exact"/>
        <w:rPr>
          <w:sz w:val="20"/>
          <w:szCs w:val="20"/>
          <w:color w:val="auto"/>
        </w:rPr>
      </w:pPr>
    </w:p>
    <w:p>
      <w:pPr>
        <w:ind w:left="424" w:hanging="424"/>
        <w:spacing w:after="0"/>
        <w:tabs>
          <w:tab w:leader="none" w:pos="42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ENUREMENT</w:t>
      </w:r>
    </w:p>
    <w:p>
      <w:pPr>
        <w:spacing w:after="0" w:line="117"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This Agreement shall enure to the benefit of and be binding upon the Parties and their respective successors and assigns, including without limitation, the Contractor’s heirs, executors, administrators and personal representatives.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413" w:name="page414"/>
    <w:bookmarkEnd w:id="413"/>
    <w:p>
      <w:pPr>
        <w:ind w:left="424" w:hanging="424"/>
        <w:spacing w:after="0"/>
        <w:tabs>
          <w:tab w:leader="none" w:pos="424" w:val="left"/>
        </w:tabs>
        <w:numPr>
          <w:ilvl w:val="0"/>
          <w:numId w:val="2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w:t>
      </w:r>
    </w:p>
    <w:p>
      <w:pPr>
        <w:spacing w:after="0" w:line="117" w:lineRule="exact"/>
        <w:rPr>
          <w:sz w:val="20"/>
          <w:szCs w:val="20"/>
          <w:color w:val="auto"/>
        </w:rPr>
      </w:pPr>
    </w:p>
    <w:p>
      <w:pPr>
        <w:ind w:left="4"/>
        <w:spacing w:after="0" w:line="286" w:lineRule="auto"/>
        <w:rPr>
          <w:sz w:val="20"/>
          <w:szCs w:val="20"/>
          <w:color w:val="auto"/>
        </w:rPr>
      </w:pPr>
      <w:r>
        <w:rPr>
          <w:rFonts w:ascii="Arial" w:cs="Arial" w:eastAsia="Arial" w:hAnsi="Arial"/>
          <w:sz w:val="17"/>
          <w:szCs w:val="17"/>
          <w:color w:val="auto"/>
        </w:rPr>
        <w:t>The Contractor may not assign any of the Contractor’s rights or delegate any of the Contractor’s duties or responsibilities under this Agreement, without the Company’s prior written consent. The Company may, without the consent of the Contractor, assign its rights, duties and obligations under this Agreement to an affiliate, but shall remain secondarily liable for payment of any amounts owed to Contractor.</w:t>
      </w:r>
    </w:p>
    <w:p>
      <w:pPr>
        <w:spacing w:after="0" w:line="71" w:lineRule="exact"/>
        <w:rPr>
          <w:sz w:val="20"/>
          <w:szCs w:val="20"/>
          <w:color w:val="auto"/>
        </w:rPr>
      </w:pPr>
    </w:p>
    <w:p>
      <w:pPr>
        <w:ind w:left="424" w:hanging="424"/>
        <w:spacing w:after="0"/>
        <w:tabs>
          <w:tab w:leader="none" w:pos="42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ENTIRE AGREEMENT</w:t>
      </w:r>
    </w:p>
    <w:p>
      <w:pPr>
        <w:spacing w:after="0" w:line="117" w:lineRule="exact"/>
        <w:rPr>
          <w:sz w:val="20"/>
          <w:szCs w:val="20"/>
          <w:color w:val="auto"/>
        </w:rPr>
      </w:pPr>
    </w:p>
    <w:p>
      <w:pPr>
        <w:ind w:left="4" w:right="60"/>
        <w:spacing w:after="0" w:line="286" w:lineRule="auto"/>
        <w:rPr>
          <w:sz w:val="20"/>
          <w:szCs w:val="20"/>
          <w:color w:val="auto"/>
        </w:rPr>
      </w:pPr>
      <w:r>
        <w:rPr>
          <w:rFonts w:ascii="Arial" w:cs="Arial" w:eastAsia="Arial" w:hAnsi="Arial"/>
          <w:sz w:val="17"/>
          <w:szCs w:val="17"/>
          <w:color w:val="auto"/>
        </w:rPr>
        <w:t>This Agreement constitutes the entire agreement between the Parties with respect to the subject matter herein and supersedes and replaces any and all other representations, understandings, negotiations and previous agreements, written or oral, express or implied. For the avoidance of doubt, no right or obligation of either party under this Agreement will impact either party’s rights or obligations under the Separation Agreement.</w:t>
      </w:r>
    </w:p>
    <w:p>
      <w:pPr>
        <w:spacing w:after="0" w:line="71" w:lineRule="exact"/>
        <w:rPr>
          <w:sz w:val="20"/>
          <w:szCs w:val="20"/>
          <w:color w:val="auto"/>
        </w:rPr>
      </w:pPr>
    </w:p>
    <w:p>
      <w:pPr>
        <w:ind w:left="424" w:hanging="424"/>
        <w:spacing w:after="0"/>
        <w:tabs>
          <w:tab w:leader="none" w:pos="42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This Agreement shall be interpreted and construed in accordance with the laws of the Commonwealth of Massachusetts without regard to principles of conflicts of laws.</w:t>
      </w:r>
    </w:p>
    <w:p>
      <w:pPr>
        <w:spacing w:after="0" w:line="76" w:lineRule="exact"/>
        <w:rPr>
          <w:sz w:val="20"/>
          <w:szCs w:val="20"/>
          <w:color w:val="auto"/>
        </w:rPr>
      </w:pPr>
    </w:p>
    <w:p>
      <w:pPr>
        <w:ind w:left="424" w:hanging="424"/>
        <w:spacing w:after="0"/>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EXPENSES</w:t>
      </w:r>
    </w:p>
    <w:p>
      <w:pPr>
        <w:spacing w:after="0" w:line="117" w:lineRule="exact"/>
        <w:rPr>
          <w:sz w:val="20"/>
          <w:szCs w:val="20"/>
          <w:color w:val="auto"/>
        </w:rPr>
      </w:pPr>
    </w:p>
    <w:p>
      <w:pPr>
        <w:jc w:val="both"/>
        <w:ind w:left="4" w:right="180"/>
        <w:spacing w:after="0" w:line="342" w:lineRule="auto"/>
        <w:rPr>
          <w:sz w:val="20"/>
          <w:szCs w:val="20"/>
          <w:color w:val="auto"/>
        </w:rPr>
      </w:pPr>
      <w:r>
        <w:rPr>
          <w:rFonts w:ascii="Arial" w:cs="Arial" w:eastAsia="Arial" w:hAnsi="Arial"/>
          <w:sz w:val="16"/>
          <w:szCs w:val="16"/>
          <w:color w:val="auto"/>
        </w:rPr>
        <w:t>The Company agrees to reimburse the Contractor for eligible expenses incurred by the Contractor in the course of performing the Services hereunder that are pre-approved by the Company in writing following a detailed request by the Contractor which includes a maximum amount to be reimbursed.</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4"/>
          </w:cols>
          <w:pgMar w:left="436" w:top="274" w:right="499" w:bottom="1440" w:gutter="0" w:footer="0" w:header="0"/>
        </w:sectPr>
      </w:pPr>
    </w:p>
    <w:bookmarkStart w:id="414" w:name="page415"/>
    <w:bookmarkEnd w:id="41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OF WHICH the Parties have duly executed this Agreement: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REPARE THERAPEUTICS USA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Lloyd Segal</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Lloyd Segal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October 21,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KATINA DORTON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19"/>
          </w:cols>
          <w:pgMar w:left="440" w:top="274" w:right="1440" w:bottom="1440" w:gutter="0" w:footer="0" w:header="0"/>
        </w:sectPr>
      </w:pPr>
    </w:p>
    <w:bookmarkStart w:id="415" w:name="page416"/>
    <w:bookmarkEnd w:id="41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OF WHICH the Parties have duly executed this Agreement: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REPARE THERAPEUTICS USA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Lloyd Segal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KATINA DORTON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Katina Dorton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October 22, 2019</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019"/>
          </w:cols>
          <w:pgMar w:left="440" w:top="274" w:right="1440" w:bottom="1440" w:gutter="0" w:footer="0" w:header="0"/>
        </w:sectPr>
      </w:pPr>
    </w:p>
    <w:bookmarkStart w:id="416" w:name="page417"/>
    <w:bookmarkEnd w:id="416"/>
    <w:p>
      <w:pPr>
        <w:jc w:val="right"/>
        <w:spacing w:after="0"/>
        <w:rPr>
          <w:sz w:val="20"/>
          <w:szCs w:val="20"/>
          <w:color w:val="auto"/>
        </w:rPr>
      </w:pPr>
      <w:r>
        <w:rPr>
          <w:rFonts w:ascii="Arial" w:cs="Arial" w:eastAsia="Arial" w:hAnsi="Arial"/>
          <w:sz w:val="18"/>
          <w:szCs w:val="18"/>
          <w:b w:val="1"/>
          <w:bCs w:val="1"/>
          <w:color w:val="auto"/>
        </w:rPr>
        <w:t>Exhibit 10.12</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DATED: MAY 15, 2014</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CIG III TECHNOPARC NOMINEE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 and -</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PHARMASCIENCE,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LEASE</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regarding 7210 Frederick-Banting,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City of Montréal (Borough of Saint-Laurent),</w:t>
      </w:r>
    </w:p>
    <w:p>
      <w:pPr>
        <w:spacing w:after="0" w:line="24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Province of Québec</w:t>
      </w:r>
    </w:p>
    <w:p>
      <w:pPr>
        <w:sectPr>
          <w:pgSz w:w="11900" w:h="16838" w:orient="portrait"/>
          <w:cols w:equalWidth="0" w:num="1">
            <w:col w:w="10020"/>
          </w:cols>
          <w:pgMar w:left="1440" w:top="121" w:right="439" w:bottom="1440" w:gutter="0" w:footer="0" w:header="0"/>
        </w:sectPr>
      </w:pPr>
    </w:p>
    <w:bookmarkStart w:id="417" w:name="page418"/>
    <w:bookmarkEnd w:id="4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SUMMARY OF BASIC LEASE PROVISIONS</w:t>
      </w:r>
    </w:p>
    <w:p>
      <w:pPr>
        <w:spacing w:after="0" w:line="229"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The following summary of basic lease provisions forms a part of this Lease. The summary however, is intended only to set out key information and summarize various provisions of the lease which may be more fully set out within the Lease. In the event of any conflict between the terms of this summary and the remainder of the Lease, the terms of the remainder of the Lease shall prevail over the terms of this summary.</w:t>
      </w:r>
    </w:p>
    <w:p>
      <w:pPr>
        <w:sectPr>
          <w:pgSz w:w="11900" w:h="16838" w:orient="portrait"/>
          <w:cols w:equalWidth="0" w:num="1">
            <w:col w:w="11020"/>
          </w:cols>
          <w:pgMar w:left="440" w:top="270" w:right="439"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Tenant: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PHARMASCIENCE INC.</w:t>
      </w:r>
    </w:p>
    <w:p>
      <w:pPr>
        <w:spacing w:after="0" w:line="117"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Tenant’s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6111 Royalmount Avenue, Suite 100, Montréal (Québec) H4P 2T4</w:t>
      </w:r>
    </w:p>
    <w:p>
      <w:pPr>
        <w:spacing w:after="0" w:line="140"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CIG III TECHNOPARC NOMINEE INC.</w:t>
      </w:r>
    </w:p>
    <w:p>
      <w:pPr>
        <w:spacing w:after="0" w:line="117"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Leased Premises: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Suite 100</w:t>
      </w:r>
    </w:p>
    <w:p>
      <w:pPr>
        <w:spacing w:after="0" w:line="152"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Property: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7210 Frederick Banting, City of Montréal (Borough of Saint-Laurent), Province of Québec.</w:t>
      </w:r>
    </w:p>
    <w:p>
      <w:pPr>
        <w:spacing w:after="0" w:line="140"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Rentable Area:</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Arial" w:cs="Arial" w:eastAsia="Arial" w:hAnsi="Arial"/>
          <w:sz w:val="18"/>
          <w:szCs w:val="18"/>
          <w:b w:val="1"/>
          <w:bCs w:val="1"/>
          <w:color w:val="auto"/>
        </w:rPr>
        <w:t>Approximately 9,394 square feet of Rentable Area. The Rentable Area of the Leased Premises shall be calculated by the Landlord’s Architect according to the 1996 BOMA standard of measurement for office buildings.</w:t>
      </w:r>
    </w:p>
    <w:p>
      <w:pPr>
        <w:spacing w:after="0" w:line="68"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Term of 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Seven (7) years and one (1) month.</w:t>
      </w:r>
    </w:p>
    <w:p>
      <w:pPr>
        <w:spacing w:after="0" w:line="151"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July 1, 2014</w:t>
      </w:r>
    </w:p>
    <w:p>
      <w:pPr>
        <w:spacing w:after="0" w:line="140"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Expiry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July 31, 2021.</w:t>
      </w:r>
    </w:p>
    <w:p>
      <w:pPr>
        <w:spacing w:after="0" w:line="140"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Option to Extend: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One (1) option to extend the Term of the Lease for five (5) years.</w:t>
      </w:r>
    </w:p>
    <w:p>
      <w:pPr>
        <w:spacing w:after="0" w:line="140"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Basic Rent:</w:t>
      </w:r>
    </w:p>
    <w:p>
      <w:pPr>
        <w:spacing w:after="0" w:line="20" w:lineRule="exact"/>
        <w:rPr>
          <w:sz w:val="20"/>
          <w:szCs w:val="20"/>
          <w:color w:val="auto"/>
        </w:rPr>
      </w:pPr>
      <w:r>
        <w:rPr>
          <w:sz w:val="20"/>
          <w:szCs w:val="20"/>
          <w:color w:val="auto"/>
        </w:rPr>
        <w:br w:type="column"/>
      </w:r>
    </w:p>
    <w:p>
      <w:pPr>
        <w:ind w:right="380"/>
        <w:spacing w:after="0" w:line="282" w:lineRule="auto"/>
        <w:rPr>
          <w:sz w:val="20"/>
          <w:szCs w:val="20"/>
          <w:color w:val="auto"/>
        </w:rPr>
      </w:pPr>
      <w:r>
        <w:rPr>
          <w:rFonts w:ascii="Arial" w:cs="Arial" w:eastAsia="Arial" w:hAnsi="Arial"/>
          <w:sz w:val="18"/>
          <w:szCs w:val="18"/>
          <w:b w:val="1"/>
          <w:bCs w:val="1"/>
          <w:color w:val="auto"/>
        </w:rPr>
        <w:t>(i) From July 1, 2014 to June 30, 2017 - $14.50 per square foot of the Rentable Area of the Leased Premises per annum; and</w:t>
      </w:r>
    </w:p>
    <w:p>
      <w:pPr>
        <w:spacing w:after="0" w:line="54"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ind w:left="3200" w:right="380"/>
        <w:spacing w:after="0" w:line="282" w:lineRule="auto"/>
        <w:rPr>
          <w:sz w:val="20"/>
          <w:szCs w:val="20"/>
          <w:color w:val="auto"/>
        </w:rPr>
      </w:pPr>
      <w:r>
        <w:rPr>
          <w:rFonts w:ascii="Arial" w:cs="Arial" w:eastAsia="Arial" w:hAnsi="Arial"/>
          <w:sz w:val="18"/>
          <w:szCs w:val="18"/>
          <w:b w:val="1"/>
          <w:bCs w:val="1"/>
          <w:color w:val="auto"/>
        </w:rPr>
        <w:t>(ii) From July 1, 2017 to July 31, 2021 - $16.50 per square foot of the Rentable Area of the Leased Premises per annum.</w:t>
      </w:r>
    </w:p>
    <w:p>
      <w:pPr>
        <w:sectPr>
          <w:pgSz w:w="11900" w:h="16838" w:orient="portrait"/>
          <w:cols w:equalWidth="0" w:num="1">
            <w:col w:w="11020"/>
          </w:cols>
          <w:pgMar w:left="440" w:top="270" w:right="4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Permitted Use: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The Leased Premises will be used exclusively for general offices and for research and development and laboratories purposes and for no other purpose.</w:t>
      </w:r>
    </w:p>
    <w:p>
      <w:pPr>
        <w:spacing w:after="0" w:line="54"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Surety: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N/A</w:t>
      </w:r>
    </w:p>
    <w:p>
      <w:pPr>
        <w:spacing w:after="0" w:line="129"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Surety’s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N/A</w:t>
      </w:r>
    </w:p>
    <w:p>
      <w:pPr>
        <w:spacing w:after="0" w:line="129"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Special Provisions: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See Schedule “F” hereof.</w:t>
      </w:r>
    </w:p>
    <w:p>
      <w:pPr>
        <w:sectPr>
          <w:pgSz w:w="11900" w:h="16838" w:orient="portrait"/>
          <w:cols w:equalWidth="0" w:num="2">
            <w:col w:w="2480" w:space="720"/>
            <w:col w:w="7820"/>
          </w:cols>
          <w:pgMar w:left="440" w:top="270" w:right="439" w:bottom="1440" w:gutter="0" w:footer="0" w:header="0"/>
          <w:type w:val="continuous"/>
        </w:sectPr>
      </w:pPr>
    </w:p>
    <w:bookmarkStart w:id="418" w:name="page419"/>
    <w:bookmarkEnd w:id="418"/>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103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3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r>
      <w:tr>
        <w:trPr>
          <w:trHeight w:val="88"/>
        </w:trPr>
        <w:tc>
          <w:tcPr>
            <w:tcW w:w="360" w:type="dxa"/>
            <w:vAlign w:val="bottom"/>
          </w:tcPr>
          <w:p>
            <w:pPr>
              <w:spacing w:after="0"/>
              <w:rPr>
                <w:sz w:val="7"/>
                <w:szCs w:val="7"/>
                <w:color w:val="auto"/>
              </w:rPr>
            </w:pPr>
          </w:p>
        </w:tc>
        <w:tc>
          <w:tcPr>
            <w:tcW w:w="4180" w:type="dxa"/>
            <w:vAlign w:val="bottom"/>
          </w:tcPr>
          <w:p>
            <w:pPr>
              <w:spacing w:after="0"/>
              <w:rPr>
                <w:sz w:val="7"/>
                <w:szCs w:val="7"/>
                <w:color w:val="auto"/>
              </w:rPr>
            </w:pPr>
          </w:p>
        </w:tc>
        <w:tc>
          <w:tcPr>
            <w:tcW w:w="1920" w:type="dxa"/>
            <w:vAlign w:val="bottom"/>
          </w:tcPr>
          <w:p>
            <w:pPr>
              <w:spacing w:after="0"/>
              <w:rPr>
                <w:sz w:val="7"/>
                <w:szCs w:val="7"/>
                <w:color w:val="auto"/>
              </w:rPr>
            </w:pPr>
          </w:p>
        </w:tc>
        <w:tc>
          <w:tcPr>
            <w:tcW w:w="42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216"/>
        </w:trPr>
        <w:tc>
          <w:tcPr>
            <w:tcW w:w="360" w:type="dxa"/>
            <w:vAlign w:val="bottom"/>
            <w:shd w:val="clear" w:color="auto" w:fill="CCEEFF"/>
          </w:tcPr>
          <w:p>
            <w:pPr>
              <w:spacing w:after="0"/>
              <w:rPr>
                <w:sz w:val="18"/>
                <w:szCs w:val="18"/>
                <w:color w:val="auto"/>
              </w:rPr>
            </w:pPr>
          </w:p>
        </w:tc>
        <w:tc>
          <w:tcPr>
            <w:tcW w:w="1030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b w:val="1"/>
                <w:bCs w:val="1"/>
                <w:color w:val="auto"/>
              </w:rPr>
              <w:t>ARTICLE 1 - LEASED PREMISES &amp; TERM</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Leased Premises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108"/>
        </w:trPr>
        <w:tc>
          <w:tcPr>
            <w:tcW w:w="3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1.02</w:t>
            </w:r>
          </w:p>
        </w:tc>
        <w:tc>
          <w:tcPr>
            <w:tcW w:w="103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Use of Common Areas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1.03</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Term</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108"/>
        </w:trPr>
        <w:tc>
          <w:tcPr>
            <w:tcW w:w="3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1.04</w:t>
            </w:r>
          </w:p>
        </w:tc>
        <w:tc>
          <w:tcPr>
            <w:tcW w:w="103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Acceptance of Premises and Existing Equipment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1.05</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Quiet Enjoyment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108"/>
        </w:trPr>
        <w:tc>
          <w:tcPr>
            <w:tcW w:w="3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jc w:val="center"/>
              <w:ind w:right="4240"/>
              <w:spacing w:after="0"/>
              <w:rPr>
                <w:sz w:val="20"/>
                <w:szCs w:val="20"/>
                <w:color w:val="auto"/>
              </w:rPr>
            </w:pPr>
            <w:r>
              <w:rPr>
                <w:rFonts w:ascii="Arial" w:cs="Arial" w:eastAsia="Arial" w:hAnsi="Arial"/>
                <w:sz w:val="18"/>
                <w:szCs w:val="18"/>
                <w:b w:val="1"/>
                <w:bCs w:val="1"/>
                <w:color w:val="auto"/>
              </w:rPr>
              <w:t>ARTICLE 2 - RENT</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2.01</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Intent of Lease</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108"/>
        </w:trPr>
        <w:tc>
          <w:tcPr>
            <w:tcW w:w="3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2.02</w:t>
            </w:r>
          </w:p>
        </w:tc>
        <w:tc>
          <w:tcPr>
            <w:tcW w:w="103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Basic Rent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2.03</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Calculation of Basic Rent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108"/>
        </w:trPr>
        <w:tc>
          <w:tcPr>
            <w:tcW w:w="3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2.04</w:t>
            </w:r>
          </w:p>
        </w:tc>
        <w:tc>
          <w:tcPr>
            <w:tcW w:w="103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Additional Rent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2.05</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Security Deposit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108"/>
        </w:trPr>
        <w:tc>
          <w:tcPr>
            <w:tcW w:w="3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2.06</w:t>
            </w:r>
          </w:p>
        </w:tc>
        <w:tc>
          <w:tcPr>
            <w:tcW w:w="103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Payments to Landlord</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2.07</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Overdue Rent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108"/>
        </w:trPr>
        <w:tc>
          <w:tcPr>
            <w:tcW w:w="3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2.08</w:t>
            </w:r>
          </w:p>
        </w:tc>
        <w:tc>
          <w:tcPr>
            <w:tcW w:w="103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Set-Off</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2.09</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Review of Tenant’s Financial Statements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108"/>
        </w:trPr>
        <w:tc>
          <w:tcPr>
            <w:tcW w:w="3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2.10</w:t>
            </w:r>
          </w:p>
        </w:tc>
        <w:tc>
          <w:tcPr>
            <w:tcW w:w="103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Pre-Authorized Bank Debit or Post-Dated Cheques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324"/>
        </w:trPr>
        <w:tc>
          <w:tcPr>
            <w:tcW w:w="3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6120" w:type="dxa"/>
            <w:vAlign w:val="bottom"/>
            <w:gridSpan w:val="2"/>
          </w:tcPr>
          <w:p>
            <w:pPr>
              <w:jc w:val="center"/>
              <w:ind w:right="4240"/>
              <w:spacing w:after="0"/>
              <w:rPr>
                <w:sz w:val="20"/>
                <w:szCs w:val="20"/>
                <w:color w:val="auto"/>
              </w:rPr>
            </w:pPr>
            <w:r>
              <w:rPr>
                <w:rFonts w:ascii="Arial" w:cs="Arial" w:eastAsia="Arial" w:hAnsi="Arial"/>
                <w:sz w:val="18"/>
                <w:szCs w:val="18"/>
                <w:b w:val="1"/>
                <w:bCs w:val="1"/>
                <w:color w:val="auto"/>
                <w:w w:val="99"/>
              </w:rPr>
              <w:t>ARTICLE 3 - TAXES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8"/>
        </w:trPr>
        <w:tc>
          <w:tcPr>
            <w:tcW w:w="3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3.01</w:t>
            </w:r>
          </w:p>
        </w:tc>
        <w:tc>
          <w:tcPr>
            <w:tcW w:w="103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Taxes Payable by Landlord</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3.02</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Taxes Payable by Tenant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108"/>
        </w:trPr>
        <w:tc>
          <w:tcPr>
            <w:tcW w:w="3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3.03</w:t>
            </w:r>
          </w:p>
        </w:tc>
        <w:tc>
          <w:tcPr>
            <w:tcW w:w="103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Tenant’s Business and Other Taxes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3.04</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Payment of Taxes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108"/>
        </w:trPr>
        <w:tc>
          <w:tcPr>
            <w:tcW w:w="3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360" w:type="dxa"/>
            <w:vAlign w:val="bottom"/>
            <w:shd w:val="clear" w:color="auto" w:fill="CCEEFF"/>
          </w:tcPr>
          <w:p>
            <w:pPr>
              <w:spacing w:after="0"/>
              <w:rPr>
                <w:sz w:val="18"/>
                <w:szCs w:val="18"/>
                <w:color w:val="auto"/>
              </w:rPr>
            </w:pPr>
          </w:p>
        </w:tc>
        <w:tc>
          <w:tcPr>
            <w:tcW w:w="1030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98"/>
              </w:rPr>
              <w:t>ARTICLE 4 - OPERATING COSTS</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4.01</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Tenant’s Covenant to Pay Operating Costs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108"/>
        </w:trPr>
        <w:tc>
          <w:tcPr>
            <w:tcW w:w="3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4.02</w:t>
            </w:r>
          </w:p>
        </w:tc>
        <w:tc>
          <w:tcPr>
            <w:tcW w:w="103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Payment of Operating Costs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324"/>
        </w:trPr>
        <w:tc>
          <w:tcPr>
            <w:tcW w:w="360" w:type="dxa"/>
            <w:vAlign w:val="bottom"/>
          </w:tcPr>
          <w:p>
            <w:pPr>
              <w:spacing w:after="0"/>
              <w:rPr>
                <w:sz w:val="24"/>
                <w:szCs w:val="24"/>
                <w:color w:val="auto"/>
              </w:rPr>
            </w:pPr>
          </w:p>
        </w:tc>
        <w:tc>
          <w:tcPr>
            <w:tcW w:w="103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ARTICLE 5 - UTILITIES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8"/>
        </w:trPr>
        <w:tc>
          <w:tcPr>
            <w:tcW w:w="3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5.01</w:t>
            </w:r>
          </w:p>
        </w:tc>
        <w:tc>
          <w:tcPr>
            <w:tcW w:w="103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Utility Charges, Bulbs, etc.</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5.02</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Water Heaters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108"/>
        </w:trPr>
        <w:tc>
          <w:tcPr>
            <w:tcW w:w="3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5.03</w:t>
            </w:r>
          </w:p>
        </w:tc>
        <w:tc>
          <w:tcPr>
            <w:tcW w:w="103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Service Contracts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5.04</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Heating and Ventilation</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108"/>
        </w:trPr>
        <w:tc>
          <w:tcPr>
            <w:tcW w:w="3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5.05</w:t>
            </w:r>
          </w:p>
        </w:tc>
        <w:tc>
          <w:tcPr>
            <w:tcW w:w="103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Replacement of Bulbs, Ballasts and Starters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bl>
    <w:p>
      <w:pPr>
        <w:jc w:val="right"/>
        <w:ind w:right="60"/>
        <w:spacing w:after="0"/>
        <w:rPr>
          <w:sz w:val="20"/>
          <w:szCs w:val="20"/>
          <w:color w:val="auto"/>
        </w:rPr>
        <w:sectPr>
          <w:pgSz w:w="11900" w:h="16838" w:orient="portrait"/>
          <w:cols w:equalWidth="0" w:num="1">
            <w:col w:w="11020"/>
          </w:cols>
          <w:pgMar w:left="440" w:top="256"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419" w:name="page420"/>
    <w:bookmarkEnd w:id="419"/>
    <w:tbl>
      <w:tblPr>
        <w:tblLayout w:type="fixed"/>
        <w:tblInd w:w="0" w:type="dxa"/>
        <w:tblCellMar>
          <w:top w:w="0" w:type="dxa"/>
          <w:left w:w="0" w:type="dxa"/>
          <w:bottom w:w="0" w:type="dxa"/>
          <w:right w:w="0" w:type="dxa"/>
        </w:tblCellMar>
      </w:tblPr>
      <w:tr>
        <w:trPr>
          <w:trHeight w:val="216"/>
        </w:trPr>
        <w:tc>
          <w:tcPr>
            <w:tcW w:w="360" w:type="dxa"/>
            <w:vAlign w:val="bottom"/>
            <w:shd w:val="clear" w:color="auto" w:fill="CCEEFF"/>
          </w:tcPr>
          <w:p>
            <w:pPr>
              <w:spacing w:after="0"/>
              <w:rPr>
                <w:sz w:val="18"/>
                <w:szCs w:val="18"/>
                <w:color w:val="auto"/>
              </w:rPr>
            </w:pPr>
          </w:p>
        </w:tc>
        <w:tc>
          <w:tcPr>
            <w:tcW w:w="8960" w:type="dxa"/>
            <w:vAlign w:val="bottom"/>
            <w:shd w:val="clear" w:color="auto" w:fill="CCEEFF"/>
          </w:tcPr>
          <w:p>
            <w:pPr>
              <w:jc w:val="center"/>
              <w:ind w:left="1190"/>
              <w:spacing w:after="0"/>
              <w:rPr>
                <w:sz w:val="20"/>
                <w:szCs w:val="20"/>
                <w:color w:val="auto"/>
              </w:rPr>
            </w:pPr>
            <w:r>
              <w:rPr>
                <w:rFonts w:ascii="Arial" w:cs="Arial" w:eastAsia="Arial" w:hAnsi="Arial"/>
                <w:sz w:val="18"/>
                <w:szCs w:val="18"/>
                <w:b w:val="1"/>
                <w:bCs w:val="1"/>
                <w:color w:val="auto"/>
              </w:rPr>
              <w:t>ARTICLE 6 - MAINTENANCE, REPAIR &amp; ALTERATIONS</w:t>
            </w:r>
          </w:p>
        </w:tc>
        <w:tc>
          <w:tcPr>
            <w:tcW w:w="1700" w:type="dxa"/>
            <w:vAlign w:val="bottom"/>
            <w:shd w:val="clear" w:color="auto" w:fill="CCEEFF"/>
          </w:tcPr>
          <w:p>
            <w:pPr>
              <w:spacing w:after="0"/>
              <w:rPr>
                <w:sz w:val="18"/>
                <w:szCs w:val="18"/>
                <w:color w:val="auto"/>
              </w:rPr>
            </w:pP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6.01</w:t>
            </w:r>
          </w:p>
        </w:tc>
        <w:tc>
          <w:tcPr>
            <w:tcW w:w="8960" w:type="dxa"/>
            <w:vAlign w:val="bottom"/>
          </w:tcPr>
          <w:p>
            <w:pPr>
              <w:ind w:left="60"/>
              <w:spacing w:after="0"/>
              <w:rPr>
                <w:sz w:val="20"/>
                <w:szCs w:val="20"/>
                <w:color w:val="auto"/>
              </w:rPr>
            </w:pPr>
            <w:r>
              <w:rPr>
                <w:rFonts w:ascii="Arial" w:cs="Arial" w:eastAsia="Arial" w:hAnsi="Arial"/>
                <w:sz w:val="18"/>
                <w:szCs w:val="18"/>
                <w:color w:val="auto"/>
              </w:rPr>
              <w:t>Tenant to Maintain and Repair</w:t>
            </w:r>
          </w:p>
        </w:tc>
        <w:tc>
          <w:tcPr>
            <w:tcW w:w="1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08"/>
        </w:trPr>
        <w:tc>
          <w:tcPr>
            <w:tcW w:w="36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6.02</w:t>
            </w:r>
          </w:p>
        </w:tc>
        <w:tc>
          <w:tcPr>
            <w:tcW w:w="8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Repair Where Tenant At Fault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6.03</w:t>
            </w:r>
          </w:p>
        </w:tc>
        <w:tc>
          <w:tcPr>
            <w:tcW w:w="8960" w:type="dxa"/>
            <w:vAlign w:val="bottom"/>
          </w:tcPr>
          <w:p>
            <w:pPr>
              <w:ind w:left="60"/>
              <w:spacing w:after="0"/>
              <w:rPr>
                <w:sz w:val="20"/>
                <w:szCs w:val="20"/>
                <w:color w:val="auto"/>
              </w:rPr>
            </w:pPr>
            <w:r>
              <w:rPr>
                <w:rFonts w:ascii="Arial" w:cs="Arial" w:eastAsia="Arial" w:hAnsi="Arial"/>
                <w:sz w:val="18"/>
                <w:szCs w:val="18"/>
                <w:color w:val="auto"/>
              </w:rPr>
              <w:t>Alterations</w:t>
            </w:r>
          </w:p>
        </w:tc>
        <w:tc>
          <w:tcPr>
            <w:tcW w:w="1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08"/>
        </w:trPr>
        <w:tc>
          <w:tcPr>
            <w:tcW w:w="36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6.04</w:t>
            </w:r>
          </w:p>
        </w:tc>
        <w:tc>
          <w:tcPr>
            <w:tcW w:w="8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Notice of Accidents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6.05</w:t>
            </w:r>
          </w:p>
        </w:tc>
        <w:tc>
          <w:tcPr>
            <w:tcW w:w="8960" w:type="dxa"/>
            <w:vAlign w:val="bottom"/>
          </w:tcPr>
          <w:p>
            <w:pPr>
              <w:ind w:left="60"/>
              <w:spacing w:after="0"/>
              <w:rPr>
                <w:sz w:val="20"/>
                <w:szCs w:val="20"/>
                <w:color w:val="auto"/>
              </w:rPr>
            </w:pPr>
            <w:r>
              <w:rPr>
                <w:rFonts w:ascii="Arial" w:cs="Arial" w:eastAsia="Arial" w:hAnsi="Arial"/>
                <w:sz w:val="18"/>
                <w:szCs w:val="18"/>
                <w:color w:val="auto"/>
              </w:rPr>
              <w:t>Legal Hypothec for Construction Works</w:t>
            </w:r>
          </w:p>
        </w:tc>
        <w:tc>
          <w:tcPr>
            <w:tcW w:w="1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108"/>
        </w:trPr>
        <w:tc>
          <w:tcPr>
            <w:tcW w:w="36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6.06</w:t>
            </w:r>
          </w:p>
        </w:tc>
        <w:tc>
          <w:tcPr>
            <w:tcW w:w="8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Removal of Fixtures and Improvements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6.07</w:t>
            </w:r>
          </w:p>
        </w:tc>
        <w:tc>
          <w:tcPr>
            <w:tcW w:w="8960" w:type="dxa"/>
            <w:vAlign w:val="bottom"/>
          </w:tcPr>
          <w:p>
            <w:pPr>
              <w:ind w:left="60"/>
              <w:spacing w:after="0"/>
              <w:rPr>
                <w:sz w:val="20"/>
                <w:szCs w:val="20"/>
                <w:color w:val="auto"/>
              </w:rPr>
            </w:pPr>
            <w:r>
              <w:rPr>
                <w:rFonts w:ascii="Arial" w:cs="Arial" w:eastAsia="Arial" w:hAnsi="Arial"/>
                <w:sz w:val="18"/>
                <w:szCs w:val="18"/>
                <w:color w:val="auto"/>
              </w:rPr>
              <w:t>Repair on Termination</w:t>
            </w:r>
          </w:p>
        </w:tc>
        <w:tc>
          <w:tcPr>
            <w:tcW w:w="1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108"/>
        </w:trPr>
        <w:tc>
          <w:tcPr>
            <w:tcW w:w="36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16"/>
        </w:trPr>
        <w:tc>
          <w:tcPr>
            <w:tcW w:w="360" w:type="dxa"/>
            <w:vAlign w:val="bottom"/>
            <w:shd w:val="clear" w:color="auto" w:fill="CCEEFF"/>
          </w:tcPr>
          <w:p>
            <w:pPr>
              <w:spacing w:after="0"/>
              <w:rPr>
                <w:sz w:val="18"/>
                <w:szCs w:val="18"/>
                <w:color w:val="auto"/>
              </w:rPr>
            </w:pPr>
          </w:p>
        </w:tc>
        <w:tc>
          <w:tcPr>
            <w:tcW w:w="8960" w:type="dxa"/>
            <w:vAlign w:val="bottom"/>
            <w:shd w:val="clear" w:color="auto" w:fill="CCEEFF"/>
          </w:tcPr>
          <w:p>
            <w:pPr>
              <w:jc w:val="center"/>
              <w:ind w:left="1190"/>
              <w:spacing w:after="0"/>
              <w:rPr>
                <w:sz w:val="20"/>
                <w:szCs w:val="20"/>
                <w:color w:val="auto"/>
              </w:rPr>
            </w:pPr>
            <w:r>
              <w:rPr>
                <w:rFonts w:ascii="Arial" w:cs="Arial" w:eastAsia="Arial" w:hAnsi="Arial"/>
                <w:sz w:val="18"/>
                <w:szCs w:val="18"/>
                <w:b w:val="1"/>
                <w:bCs w:val="1"/>
                <w:color w:val="auto"/>
              </w:rPr>
              <w:t>ARTICLE 7 - ASSIGNING &amp; SUBLETTING</w:t>
            </w:r>
          </w:p>
        </w:tc>
        <w:tc>
          <w:tcPr>
            <w:tcW w:w="1700" w:type="dxa"/>
            <w:vAlign w:val="bottom"/>
            <w:shd w:val="clear" w:color="auto" w:fill="CCEEFF"/>
          </w:tcPr>
          <w:p>
            <w:pPr>
              <w:spacing w:after="0"/>
              <w:rPr>
                <w:sz w:val="18"/>
                <w:szCs w:val="18"/>
                <w:color w:val="auto"/>
              </w:rPr>
            </w:pP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7.01</w:t>
            </w:r>
          </w:p>
        </w:tc>
        <w:tc>
          <w:tcPr>
            <w:tcW w:w="8960" w:type="dxa"/>
            <w:vAlign w:val="bottom"/>
          </w:tcPr>
          <w:p>
            <w:pPr>
              <w:ind w:left="60"/>
              <w:spacing w:after="0"/>
              <w:rPr>
                <w:sz w:val="20"/>
                <w:szCs w:val="20"/>
                <w:color w:val="auto"/>
              </w:rPr>
            </w:pPr>
            <w:r>
              <w:rPr>
                <w:rFonts w:ascii="Arial" w:cs="Arial" w:eastAsia="Arial" w:hAnsi="Arial"/>
                <w:sz w:val="18"/>
                <w:szCs w:val="18"/>
                <w:color w:val="auto"/>
              </w:rPr>
              <w:t>Assigning or Subletting</w:t>
            </w:r>
          </w:p>
        </w:tc>
        <w:tc>
          <w:tcPr>
            <w:tcW w:w="1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108"/>
        </w:trPr>
        <w:tc>
          <w:tcPr>
            <w:tcW w:w="36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7.02</w:t>
            </w:r>
          </w:p>
        </w:tc>
        <w:tc>
          <w:tcPr>
            <w:tcW w:w="8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Change of Control</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7.03</w:t>
            </w:r>
          </w:p>
        </w:tc>
        <w:tc>
          <w:tcPr>
            <w:tcW w:w="8960" w:type="dxa"/>
            <w:vAlign w:val="bottom"/>
          </w:tcPr>
          <w:p>
            <w:pPr>
              <w:ind w:left="60"/>
              <w:spacing w:after="0"/>
              <w:rPr>
                <w:sz w:val="20"/>
                <w:szCs w:val="20"/>
                <w:color w:val="auto"/>
              </w:rPr>
            </w:pPr>
            <w:r>
              <w:rPr>
                <w:rFonts w:ascii="Arial" w:cs="Arial" w:eastAsia="Arial" w:hAnsi="Arial"/>
                <w:sz w:val="18"/>
                <w:szCs w:val="18"/>
                <w:color w:val="auto"/>
              </w:rPr>
              <w:t>Sublet of Part of Leased Premises</w:t>
            </w:r>
          </w:p>
        </w:tc>
        <w:tc>
          <w:tcPr>
            <w:tcW w:w="1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108"/>
        </w:trPr>
        <w:tc>
          <w:tcPr>
            <w:tcW w:w="36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7.04</w:t>
            </w:r>
          </w:p>
        </w:tc>
        <w:tc>
          <w:tcPr>
            <w:tcW w:w="8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Excess Rent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7.05</w:t>
            </w:r>
          </w:p>
        </w:tc>
        <w:tc>
          <w:tcPr>
            <w:tcW w:w="8960" w:type="dxa"/>
            <w:vAlign w:val="bottom"/>
          </w:tcPr>
          <w:p>
            <w:pPr>
              <w:ind w:left="60"/>
              <w:spacing w:after="0"/>
              <w:rPr>
                <w:sz w:val="20"/>
                <w:szCs w:val="20"/>
                <w:color w:val="auto"/>
              </w:rPr>
            </w:pPr>
            <w:r>
              <w:rPr>
                <w:rFonts w:ascii="Arial" w:cs="Arial" w:eastAsia="Arial" w:hAnsi="Arial"/>
                <w:sz w:val="18"/>
                <w:szCs w:val="18"/>
                <w:color w:val="auto"/>
              </w:rPr>
              <w:t>Hypothec of Leasehold</w:t>
            </w:r>
          </w:p>
        </w:tc>
        <w:tc>
          <w:tcPr>
            <w:tcW w:w="1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108"/>
        </w:trPr>
        <w:tc>
          <w:tcPr>
            <w:tcW w:w="36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7.06</w:t>
            </w:r>
          </w:p>
        </w:tc>
        <w:tc>
          <w:tcPr>
            <w:tcW w:w="8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Advertising Leased Premises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7.07</w:t>
            </w:r>
          </w:p>
        </w:tc>
        <w:tc>
          <w:tcPr>
            <w:tcW w:w="8960" w:type="dxa"/>
            <w:vAlign w:val="bottom"/>
          </w:tcPr>
          <w:p>
            <w:pPr>
              <w:ind w:left="60"/>
              <w:spacing w:after="0"/>
              <w:rPr>
                <w:sz w:val="20"/>
                <w:szCs w:val="20"/>
                <w:color w:val="auto"/>
              </w:rPr>
            </w:pPr>
            <w:r>
              <w:rPr>
                <w:rFonts w:ascii="Arial" w:cs="Arial" w:eastAsia="Arial" w:hAnsi="Arial"/>
                <w:sz w:val="18"/>
                <w:szCs w:val="18"/>
                <w:color w:val="auto"/>
              </w:rPr>
              <w:t>Disposition by Landlord</w:t>
            </w:r>
          </w:p>
        </w:tc>
        <w:tc>
          <w:tcPr>
            <w:tcW w:w="1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08"/>
        </w:trPr>
        <w:tc>
          <w:tcPr>
            <w:tcW w:w="36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16"/>
        </w:trPr>
        <w:tc>
          <w:tcPr>
            <w:tcW w:w="360" w:type="dxa"/>
            <w:vAlign w:val="bottom"/>
            <w:shd w:val="clear" w:color="auto" w:fill="CCEEFF"/>
          </w:tcPr>
          <w:p>
            <w:pPr>
              <w:spacing w:after="0"/>
              <w:rPr>
                <w:sz w:val="18"/>
                <w:szCs w:val="18"/>
                <w:color w:val="auto"/>
              </w:rPr>
            </w:pPr>
          </w:p>
        </w:tc>
        <w:tc>
          <w:tcPr>
            <w:tcW w:w="8960" w:type="dxa"/>
            <w:vAlign w:val="bottom"/>
            <w:shd w:val="clear" w:color="auto" w:fill="CCEEFF"/>
          </w:tcPr>
          <w:p>
            <w:pPr>
              <w:jc w:val="center"/>
              <w:ind w:left="1190"/>
              <w:spacing w:after="0"/>
              <w:rPr>
                <w:sz w:val="20"/>
                <w:szCs w:val="20"/>
                <w:color w:val="auto"/>
              </w:rPr>
            </w:pPr>
            <w:r>
              <w:rPr>
                <w:rFonts w:ascii="Arial" w:cs="Arial" w:eastAsia="Arial" w:hAnsi="Arial"/>
                <w:sz w:val="18"/>
                <w:szCs w:val="18"/>
                <w:b w:val="1"/>
                <w:bCs w:val="1"/>
                <w:color w:val="auto"/>
                <w:w w:val="98"/>
              </w:rPr>
              <w:t>ARTICLE 8 - USE</w:t>
            </w:r>
          </w:p>
        </w:tc>
        <w:tc>
          <w:tcPr>
            <w:tcW w:w="1700" w:type="dxa"/>
            <w:vAlign w:val="bottom"/>
            <w:shd w:val="clear" w:color="auto" w:fill="CCEEFF"/>
          </w:tcPr>
          <w:p>
            <w:pPr>
              <w:spacing w:after="0"/>
              <w:rPr>
                <w:sz w:val="18"/>
                <w:szCs w:val="18"/>
                <w:color w:val="auto"/>
              </w:rPr>
            </w:pP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8.01</w:t>
            </w:r>
          </w:p>
        </w:tc>
        <w:tc>
          <w:tcPr>
            <w:tcW w:w="8960" w:type="dxa"/>
            <w:vAlign w:val="bottom"/>
          </w:tcPr>
          <w:p>
            <w:pPr>
              <w:ind w:left="60"/>
              <w:spacing w:after="0"/>
              <w:rPr>
                <w:sz w:val="20"/>
                <w:szCs w:val="20"/>
                <w:color w:val="auto"/>
              </w:rPr>
            </w:pPr>
            <w:r>
              <w:rPr>
                <w:rFonts w:ascii="Arial" w:cs="Arial" w:eastAsia="Arial" w:hAnsi="Arial"/>
                <w:sz w:val="18"/>
                <w:szCs w:val="18"/>
                <w:color w:val="auto"/>
              </w:rPr>
              <w:t>Use of Leased Premises</w:t>
            </w:r>
          </w:p>
        </w:tc>
        <w:tc>
          <w:tcPr>
            <w:tcW w:w="1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08"/>
        </w:trPr>
        <w:tc>
          <w:tcPr>
            <w:tcW w:w="36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8.02</w:t>
            </w:r>
          </w:p>
        </w:tc>
        <w:tc>
          <w:tcPr>
            <w:tcW w:w="8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Rules and Regulations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8.03</w:t>
            </w:r>
          </w:p>
        </w:tc>
        <w:tc>
          <w:tcPr>
            <w:tcW w:w="8960" w:type="dxa"/>
            <w:vAlign w:val="bottom"/>
          </w:tcPr>
          <w:p>
            <w:pPr>
              <w:ind w:left="60"/>
              <w:spacing w:after="0"/>
              <w:rPr>
                <w:sz w:val="20"/>
                <w:szCs w:val="20"/>
                <w:color w:val="auto"/>
              </w:rPr>
            </w:pPr>
            <w:r>
              <w:rPr>
                <w:rFonts w:ascii="Arial" w:cs="Arial" w:eastAsia="Arial" w:hAnsi="Arial"/>
                <w:sz w:val="18"/>
                <w:szCs w:val="18"/>
                <w:color w:val="auto"/>
              </w:rPr>
              <w:t>Observance of Law</w:t>
            </w:r>
          </w:p>
        </w:tc>
        <w:tc>
          <w:tcPr>
            <w:tcW w:w="1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108"/>
        </w:trPr>
        <w:tc>
          <w:tcPr>
            <w:tcW w:w="36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8.04</w:t>
            </w:r>
          </w:p>
        </w:tc>
        <w:tc>
          <w:tcPr>
            <w:tcW w:w="8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Waste and Nuisance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8.05</w:t>
            </w:r>
          </w:p>
        </w:tc>
        <w:tc>
          <w:tcPr>
            <w:tcW w:w="8960" w:type="dxa"/>
            <w:vAlign w:val="bottom"/>
          </w:tcPr>
          <w:p>
            <w:pPr>
              <w:ind w:left="60"/>
              <w:spacing w:after="0"/>
              <w:rPr>
                <w:sz w:val="20"/>
                <w:szCs w:val="20"/>
                <w:color w:val="auto"/>
              </w:rPr>
            </w:pPr>
            <w:r>
              <w:rPr>
                <w:rFonts w:ascii="Arial" w:cs="Arial" w:eastAsia="Arial" w:hAnsi="Arial"/>
                <w:sz w:val="18"/>
                <w:szCs w:val="18"/>
                <w:color w:val="auto"/>
              </w:rPr>
              <w:t>Interior Walls</w:t>
            </w:r>
          </w:p>
        </w:tc>
        <w:tc>
          <w:tcPr>
            <w:tcW w:w="1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108"/>
        </w:trPr>
        <w:tc>
          <w:tcPr>
            <w:tcW w:w="36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8.06</w:t>
            </w:r>
          </w:p>
        </w:tc>
        <w:tc>
          <w:tcPr>
            <w:tcW w:w="8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Signs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8.07</w:t>
            </w:r>
          </w:p>
        </w:tc>
        <w:tc>
          <w:tcPr>
            <w:tcW w:w="8960" w:type="dxa"/>
            <w:vAlign w:val="bottom"/>
          </w:tcPr>
          <w:p>
            <w:pPr>
              <w:ind w:left="60"/>
              <w:spacing w:after="0"/>
              <w:rPr>
                <w:sz w:val="20"/>
                <w:szCs w:val="20"/>
                <w:color w:val="auto"/>
              </w:rPr>
            </w:pPr>
            <w:r>
              <w:rPr>
                <w:rFonts w:ascii="Arial" w:cs="Arial" w:eastAsia="Arial" w:hAnsi="Arial"/>
                <w:sz w:val="18"/>
                <w:szCs w:val="18"/>
                <w:color w:val="auto"/>
              </w:rPr>
              <w:t>Parking</w:t>
            </w:r>
          </w:p>
        </w:tc>
        <w:tc>
          <w:tcPr>
            <w:tcW w:w="1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08"/>
        </w:trPr>
        <w:tc>
          <w:tcPr>
            <w:tcW w:w="36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8.08</w:t>
            </w:r>
          </w:p>
        </w:tc>
        <w:tc>
          <w:tcPr>
            <w:tcW w:w="8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Refuse and Garbage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8.09</w:t>
            </w:r>
          </w:p>
        </w:tc>
        <w:tc>
          <w:tcPr>
            <w:tcW w:w="8960" w:type="dxa"/>
            <w:vAlign w:val="bottom"/>
          </w:tcPr>
          <w:p>
            <w:pPr>
              <w:ind w:left="60"/>
              <w:spacing w:after="0"/>
              <w:rPr>
                <w:sz w:val="20"/>
                <w:szCs w:val="20"/>
                <w:color w:val="auto"/>
              </w:rPr>
            </w:pPr>
            <w:r>
              <w:rPr>
                <w:rFonts w:ascii="Arial" w:cs="Arial" w:eastAsia="Arial" w:hAnsi="Arial"/>
                <w:sz w:val="18"/>
                <w:szCs w:val="18"/>
                <w:color w:val="auto"/>
              </w:rPr>
              <w:t>Overloading Floors</w:t>
            </w:r>
          </w:p>
        </w:tc>
        <w:tc>
          <w:tcPr>
            <w:tcW w:w="1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08"/>
        </w:trPr>
        <w:tc>
          <w:tcPr>
            <w:tcW w:w="36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8.10</w:t>
            </w:r>
          </w:p>
        </w:tc>
        <w:tc>
          <w:tcPr>
            <w:tcW w:w="8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Outside Storage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79"/>
              </w:rPr>
              <w:t>8.11</w:t>
            </w:r>
          </w:p>
        </w:tc>
        <w:tc>
          <w:tcPr>
            <w:tcW w:w="8960" w:type="dxa"/>
            <w:vAlign w:val="bottom"/>
          </w:tcPr>
          <w:p>
            <w:pPr>
              <w:ind w:left="60"/>
              <w:spacing w:after="0"/>
              <w:rPr>
                <w:sz w:val="20"/>
                <w:szCs w:val="20"/>
                <w:color w:val="auto"/>
              </w:rPr>
            </w:pPr>
            <w:r>
              <w:rPr>
                <w:rFonts w:ascii="Arial" w:cs="Arial" w:eastAsia="Arial" w:hAnsi="Arial"/>
                <w:sz w:val="18"/>
                <w:szCs w:val="18"/>
                <w:color w:val="auto"/>
              </w:rPr>
              <w:t>Plumbing Fixtures</w:t>
            </w:r>
          </w:p>
        </w:tc>
        <w:tc>
          <w:tcPr>
            <w:tcW w:w="1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108"/>
        </w:trPr>
        <w:tc>
          <w:tcPr>
            <w:tcW w:w="36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8.12</w:t>
            </w:r>
          </w:p>
        </w:tc>
        <w:tc>
          <w:tcPr>
            <w:tcW w:w="8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Energy Conservation</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8.13</w:t>
            </w:r>
          </w:p>
        </w:tc>
        <w:tc>
          <w:tcPr>
            <w:tcW w:w="8960" w:type="dxa"/>
            <w:vAlign w:val="bottom"/>
          </w:tcPr>
          <w:p>
            <w:pPr>
              <w:ind w:left="60"/>
              <w:spacing w:after="0"/>
              <w:rPr>
                <w:sz w:val="20"/>
                <w:szCs w:val="20"/>
                <w:color w:val="auto"/>
              </w:rPr>
            </w:pPr>
            <w:r>
              <w:rPr>
                <w:rFonts w:ascii="Arial" w:cs="Arial" w:eastAsia="Arial" w:hAnsi="Arial"/>
                <w:sz w:val="18"/>
                <w:szCs w:val="18"/>
                <w:color w:val="auto"/>
              </w:rPr>
              <w:t>Overloading Systems</w:t>
            </w:r>
          </w:p>
        </w:tc>
        <w:tc>
          <w:tcPr>
            <w:tcW w:w="1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65"/>
        </w:trPr>
        <w:tc>
          <w:tcPr>
            <w:tcW w:w="360" w:type="dxa"/>
            <w:vAlign w:val="bottom"/>
          </w:tcPr>
          <w:p>
            <w:pPr>
              <w:spacing w:after="0"/>
              <w:rPr>
                <w:sz w:val="24"/>
                <w:szCs w:val="24"/>
                <w:color w:val="auto"/>
              </w:rPr>
            </w:pPr>
          </w:p>
        </w:tc>
        <w:tc>
          <w:tcPr>
            <w:tcW w:w="8960" w:type="dxa"/>
            <w:vAlign w:val="bottom"/>
          </w:tcPr>
          <w:p>
            <w:pPr>
              <w:jc w:val="center"/>
              <w:ind w:left="1250"/>
              <w:spacing w:after="0"/>
              <w:rPr>
                <w:sz w:val="20"/>
                <w:szCs w:val="20"/>
                <w:color w:val="auto"/>
              </w:rPr>
            </w:pPr>
            <w:r>
              <w:rPr>
                <w:rFonts w:ascii="Arial" w:cs="Arial" w:eastAsia="Arial" w:hAnsi="Arial"/>
                <w:sz w:val="18"/>
                <w:szCs w:val="18"/>
                <w:color w:val="auto"/>
              </w:rPr>
              <w:t>ii</w:t>
            </w:r>
          </w:p>
        </w:tc>
        <w:tc>
          <w:tcPr>
            <w:tcW w:w="17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396"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420" w:name="page421"/>
    <w:bookmarkEnd w:id="420"/>
    <w:tbl>
      <w:tblPr>
        <w:tblLayout w:type="fixed"/>
        <w:tblInd w:w="0" w:type="dxa"/>
        <w:tblCellMar>
          <w:top w:w="0" w:type="dxa"/>
          <w:left w:w="0" w:type="dxa"/>
          <w:bottom w:w="0" w:type="dxa"/>
          <w:right w:w="0" w:type="dxa"/>
        </w:tblCellMar>
      </w:tblP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8.14</w:t>
            </w:r>
          </w:p>
        </w:tc>
        <w:tc>
          <w:tcPr>
            <w:tcW w:w="8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Name of Building</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8.15</w:t>
            </w:r>
          </w:p>
        </w:tc>
        <w:tc>
          <w:tcPr>
            <w:tcW w:w="8900" w:type="dxa"/>
            <w:vAlign w:val="bottom"/>
          </w:tcPr>
          <w:p>
            <w:pPr>
              <w:ind w:left="60"/>
              <w:spacing w:after="0"/>
              <w:rPr>
                <w:sz w:val="20"/>
                <w:szCs w:val="20"/>
                <w:color w:val="auto"/>
              </w:rPr>
            </w:pPr>
            <w:r>
              <w:rPr>
                <w:rFonts w:ascii="Arial" w:cs="Arial" w:eastAsia="Arial" w:hAnsi="Arial"/>
                <w:sz w:val="18"/>
                <w:szCs w:val="18"/>
                <w:color w:val="auto"/>
              </w:rPr>
              <w:t>Fire and Safety</w:t>
            </w: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108"/>
        </w:trPr>
        <w:tc>
          <w:tcPr>
            <w:tcW w:w="46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16"/>
        </w:trPr>
        <w:tc>
          <w:tcPr>
            <w:tcW w:w="460" w:type="dxa"/>
            <w:vAlign w:val="bottom"/>
            <w:shd w:val="clear" w:color="auto" w:fill="CCEEFF"/>
          </w:tcPr>
          <w:p>
            <w:pPr>
              <w:spacing w:after="0"/>
              <w:rPr>
                <w:sz w:val="18"/>
                <w:szCs w:val="18"/>
                <w:color w:val="auto"/>
              </w:rPr>
            </w:pPr>
          </w:p>
        </w:tc>
        <w:tc>
          <w:tcPr>
            <w:tcW w:w="8900" w:type="dxa"/>
            <w:vAlign w:val="bottom"/>
            <w:shd w:val="clear" w:color="auto" w:fill="CCEEFF"/>
          </w:tcPr>
          <w:p>
            <w:pPr>
              <w:jc w:val="center"/>
              <w:ind w:left="1050"/>
              <w:spacing w:after="0"/>
              <w:rPr>
                <w:sz w:val="20"/>
                <w:szCs w:val="20"/>
                <w:color w:val="auto"/>
              </w:rPr>
            </w:pPr>
            <w:r>
              <w:rPr>
                <w:rFonts w:ascii="Arial" w:cs="Arial" w:eastAsia="Arial" w:hAnsi="Arial"/>
                <w:sz w:val="18"/>
                <w:szCs w:val="18"/>
                <w:b w:val="1"/>
                <w:bCs w:val="1"/>
                <w:color w:val="auto"/>
              </w:rPr>
              <w:t>ARTICLE 9 - INSURANCE AND INDEMNITY</w:t>
            </w:r>
          </w:p>
        </w:tc>
        <w:tc>
          <w:tcPr>
            <w:tcW w:w="1660" w:type="dxa"/>
            <w:vAlign w:val="bottom"/>
            <w:shd w:val="clear" w:color="auto" w:fill="CCEEFF"/>
          </w:tcPr>
          <w:p>
            <w:pPr>
              <w:spacing w:after="0"/>
              <w:rPr>
                <w:sz w:val="18"/>
                <w:szCs w:val="18"/>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9.01</w:t>
            </w:r>
          </w:p>
        </w:tc>
        <w:tc>
          <w:tcPr>
            <w:tcW w:w="8900" w:type="dxa"/>
            <w:vAlign w:val="bottom"/>
          </w:tcPr>
          <w:p>
            <w:pPr>
              <w:ind w:left="60"/>
              <w:spacing w:after="0"/>
              <w:rPr>
                <w:sz w:val="20"/>
                <w:szCs w:val="20"/>
                <w:color w:val="auto"/>
              </w:rPr>
            </w:pPr>
            <w:r>
              <w:rPr>
                <w:rFonts w:ascii="Arial" w:cs="Arial" w:eastAsia="Arial" w:hAnsi="Arial"/>
                <w:sz w:val="18"/>
                <w:szCs w:val="18"/>
                <w:color w:val="auto"/>
              </w:rPr>
              <w:t>Tenant’s Insurance</w:t>
            </w: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108"/>
        </w:trPr>
        <w:tc>
          <w:tcPr>
            <w:tcW w:w="46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9.02</w:t>
            </w:r>
          </w:p>
        </w:tc>
        <w:tc>
          <w:tcPr>
            <w:tcW w:w="8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Landlord’s Insurance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9.03</w:t>
            </w:r>
          </w:p>
        </w:tc>
        <w:tc>
          <w:tcPr>
            <w:tcW w:w="8900" w:type="dxa"/>
            <w:vAlign w:val="bottom"/>
          </w:tcPr>
          <w:p>
            <w:pPr>
              <w:ind w:left="60"/>
              <w:spacing w:after="0"/>
              <w:rPr>
                <w:sz w:val="20"/>
                <w:szCs w:val="20"/>
                <w:color w:val="auto"/>
              </w:rPr>
            </w:pPr>
            <w:r>
              <w:rPr>
                <w:rFonts w:ascii="Arial" w:cs="Arial" w:eastAsia="Arial" w:hAnsi="Arial"/>
                <w:sz w:val="18"/>
                <w:szCs w:val="18"/>
                <w:color w:val="auto"/>
              </w:rPr>
              <w:t>Not to Affect Landlord’s Insurance</w:t>
            </w:r>
          </w:p>
        </w:tc>
        <w:tc>
          <w:tcPr>
            <w:tcW w:w="1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08"/>
        </w:trPr>
        <w:tc>
          <w:tcPr>
            <w:tcW w:w="46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9.04</w:t>
            </w:r>
          </w:p>
        </w:tc>
        <w:tc>
          <w:tcPr>
            <w:tcW w:w="8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Limit of Landlord’s Liability</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9.05</w:t>
            </w:r>
          </w:p>
        </w:tc>
        <w:tc>
          <w:tcPr>
            <w:tcW w:w="8900" w:type="dxa"/>
            <w:vAlign w:val="bottom"/>
          </w:tcPr>
          <w:p>
            <w:pPr>
              <w:ind w:left="60"/>
              <w:spacing w:after="0"/>
              <w:rPr>
                <w:sz w:val="20"/>
                <w:szCs w:val="20"/>
                <w:color w:val="auto"/>
              </w:rPr>
            </w:pPr>
            <w:r>
              <w:rPr>
                <w:rFonts w:ascii="Arial" w:cs="Arial" w:eastAsia="Arial" w:hAnsi="Arial"/>
                <w:sz w:val="18"/>
                <w:szCs w:val="18"/>
                <w:color w:val="auto"/>
              </w:rPr>
              <w:t>Limited Recourse</w:t>
            </w:r>
          </w:p>
        </w:tc>
        <w:tc>
          <w:tcPr>
            <w:tcW w:w="1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108"/>
        </w:trPr>
        <w:tc>
          <w:tcPr>
            <w:tcW w:w="46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9.06</w:t>
            </w:r>
          </w:p>
        </w:tc>
        <w:tc>
          <w:tcPr>
            <w:tcW w:w="8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Indemnity</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460" w:type="dxa"/>
            <w:vAlign w:val="bottom"/>
          </w:tcPr>
          <w:p>
            <w:pPr>
              <w:spacing w:after="0"/>
              <w:rPr>
                <w:sz w:val="24"/>
                <w:szCs w:val="24"/>
                <w:color w:val="auto"/>
              </w:rPr>
            </w:pPr>
          </w:p>
        </w:tc>
        <w:tc>
          <w:tcPr>
            <w:tcW w:w="8900" w:type="dxa"/>
            <w:vAlign w:val="bottom"/>
          </w:tcPr>
          <w:p>
            <w:pPr>
              <w:jc w:val="center"/>
              <w:ind w:left="1050"/>
              <w:spacing w:after="0"/>
              <w:rPr>
                <w:sz w:val="20"/>
                <w:szCs w:val="20"/>
                <w:color w:val="auto"/>
              </w:rPr>
            </w:pPr>
            <w:r>
              <w:rPr>
                <w:rFonts w:ascii="Arial" w:cs="Arial" w:eastAsia="Arial" w:hAnsi="Arial"/>
                <w:sz w:val="18"/>
                <w:szCs w:val="18"/>
                <w:b w:val="1"/>
                <w:bCs w:val="1"/>
                <w:color w:val="auto"/>
                <w:w w:val="99"/>
              </w:rPr>
              <w:t>ARTICLE 10 - CONTROL OF PROPERTY AND SERVICES</w:t>
            </w:r>
          </w:p>
        </w:tc>
        <w:tc>
          <w:tcPr>
            <w:tcW w:w="1660" w:type="dxa"/>
            <w:vAlign w:val="bottom"/>
          </w:tcPr>
          <w:p>
            <w:pPr>
              <w:spacing w:after="0"/>
              <w:rPr>
                <w:sz w:val="24"/>
                <w:szCs w:val="24"/>
                <w:color w:val="auto"/>
              </w:rPr>
            </w:pPr>
          </w:p>
        </w:tc>
      </w:tr>
      <w:tr>
        <w:trPr>
          <w:trHeight w:val="108"/>
        </w:trPr>
        <w:tc>
          <w:tcPr>
            <w:tcW w:w="46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97"/>
              </w:rPr>
              <w:t>10.01</w:t>
            </w:r>
          </w:p>
        </w:tc>
        <w:tc>
          <w:tcPr>
            <w:tcW w:w="8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Control of Property</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10.02</w:t>
            </w:r>
          </w:p>
        </w:tc>
        <w:tc>
          <w:tcPr>
            <w:tcW w:w="8900" w:type="dxa"/>
            <w:vAlign w:val="bottom"/>
          </w:tcPr>
          <w:p>
            <w:pPr>
              <w:ind w:left="60"/>
              <w:spacing w:after="0"/>
              <w:rPr>
                <w:sz w:val="20"/>
                <w:szCs w:val="20"/>
                <w:color w:val="auto"/>
              </w:rPr>
            </w:pPr>
            <w:r>
              <w:rPr>
                <w:rFonts w:ascii="Arial" w:cs="Arial" w:eastAsia="Arial" w:hAnsi="Arial"/>
                <w:sz w:val="18"/>
                <w:szCs w:val="18"/>
                <w:color w:val="auto"/>
              </w:rPr>
              <w:t>Services</w:t>
            </w:r>
          </w:p>
        </w:tc>
        <w:tc>
          <w:tcPr>
            <w:tcW w:w="1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08"/>
        </w:trPr>
        <w:tc>
          <w:tcPr>
            <w:tcW w:w="46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16"/>
        </w:trPr>
        <w:tc>
          <w:tcPr>
            <w:tcW w:w="460" w:type="dxa"/>
            <w:vAlign w:val="bottom"/>
            <w:shd w:val="clear" w:color="auto" w:fill="CCEEFF"/>
          </w:tcPr>
          <w:p>
            <w:pPr>
              <w:spacing w:after="0"/>
              <w:rPr>
                <w:sz w:val="18"/>
                <w:szCs w:val="18"/>
                <w:color w:val="auto"/>
              </w:rPr>
            </w:pPr>
          </w:p>
        </w:tc>
        <w:tc>
          <w:tcPr>
            <w:tcW w:w="8900" w:type="dxa"/>
            <w:vAlign w:val="bottom"/>
            <w:shd w:val="clear" w:color="auto" w:fill="CCEEFF"/>
          </w:tcPr>
          <w:p>
            <w:pPr>
              <w:jc w:val="center"/>
              <w:ind w:left="1050"/>
              <w:spacing w:after="0"/>
              <w:rPr>
                <w:sz w:val="20"/>
                <w:szCs w:val="20"/>
                <w:color w:val="auto"/>
              </w:rPr>
            </w:pPr>
            <w:r>
              <w:rPr>
                <w:rFonts w:ascii="Arial" w:cs="Arial" w:eastAsia="Arial" w:hAnsi="Arial"/>
                <w:sz w:val="18"/>
                <w:szCs w:val="18"/>
                <w:b w:val="1"/>
                <w:bCs w:val="1"/>
                <w:color w:val="auto"/>
              </w:rPr>
              <w:t>ARTICLE 11 - DAMAGE &amp; DESTRUCTION</w:t>
            </w:r>
          </w:p>
        </w:tc>
        <w:tc>
          <w:tcPr>
            <w:tcW w:w="1660" w:type="dxa"/>
            <w:vAlign w:val="bottom"/>
            <w:shd w:val="clear" w:color="auto" w:fill="CCEEFF"/>
          </w:tcPr>
          <w:p>
            <w:pPr>
              <w:spacing w:after="0"/>
              <w:rPr>
                <w:sz w:val="18"/>
                <w:szCs w:val="18"/>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11.01</w:t>
            </w:r>
          </w:p>
        </w:tc>
        <w:tc>
          <w:tcPr>
            <w:tcW w:w="8900" w:type="dxa"/>
            <w:vAlign w:val="bottom"/>
          </w:tcPr>
          <w:p>
            <w:pPr>
              <w:ind w:left="60"/>
              <w:spacing w:after="0"/>
              <w:rPr>
                <w:sz w:val="20"/>
                <w:szCs w:val="20"/>
                <w:color w:val="auto"/>
              </w:rPr>
            </w:pPr>
            <w:r>
              <w:rPr>
                <w:rFonts w:ascii="Arial" w:cs="Arial" w:eastAsia="Arial" w:hAnsi="Arial"/>
                <w:sz w:val="18"/>
                <w:szCs w:val="18"/>
                <w:color w:val="auto"/>
              </w:rPr>
              <w:t>Abatement of Rent</w:t>
            </w:r>
          </w:p>
        </w:tc>
        <w:tc>
          <w:tcPr>
            <w:tcW w:w="1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08"/>
        </w:trPr>
        <w:tc>
          <w:tcPr>
            <w:tcW w:w="46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97"/>
              </w:rPr>
              <w:t>11.02</w:t>
            </w:r>
          </w:p>
        </w:tc>
        <w:tc>
          <w:tcPr>
            <w:tcW w:w="8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Termination</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460" w:type="dxa"/>
            <w:vAlign w:val="bottom"/>
          </w:tcPr>
          <w:p>
            <w:pPr>
              <w:spacing w:after="0"/>
              <w:rPr>
                <w:sz w:val="24"/>
                <w:szCs w:val="24"/>
                <w:color w:val="auto"/>
              </w:rPr>
            </w:pPr>
          </w:p>
        </w:tc>
        <w:tc>
          <w:tcPr>
            <w:tcW w:w="8900" w:type="dxa"/>
            <w:vAlign w:val="bottom"/>
          </w:tcPr>
          <w:p>
            <w:pPr>
              <w:jc w:val="center"/>
              <w:ind w:left="1030"/>
              <w:spacing w:after="0"/>
              <w:rPr>
                <w:sz w:val="20"/>
                <w:szCs w:val="20"/>
                <w:color w:val="auto"/>
              </w:rPr>
            </w:pPr>
            <w:r>
              <w:rPr>
                <w:rFonts w:ascii="Arial" w:cs="Arial" w:eastAsia="Arial" w:hAnsi="Arial"/>
                <w:sz w:val="18"/>
                <w:szCs w:val="18"/>
                <w:b w:val="1"/>
                <w:bCs w:val="1"/>
                <w:color w:val="auto"/>
                <w:w w:val="99"/>
              </w:rPr>
              <w:t>ARTICLE 12 - DEFAULT</w:t>
            </w:r>
          </w:p>
        </w:tc>
        <w:tc>
          <w:tcPr>
            <w:tcW w:w="1660" w:type="dxa"/>
            <w:vAlign w:val="bottom"/>
          </w:tcPr>
          <w:p>
            <w:pPr>
              <w:spacing w:after="0"/>
              <w:rPr>
                <w:sz w:val="24"/>
                <w:szCs w:val="24"/>
                <w:color w:val="auto"/>
              </w:rPr>
            </w:pPr>
          </w:p>
        </w:tc>
      </w:tr>
      <w:tr>
        <w:trPr>
          <w:trHeight w:val="108"/>
        </w:trPr>
        <w:tc>
          <w:tcPr>
            <w:tcW w:w="46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97"/>
              </w:rPr>
              <w:t>12.01</w:t>
            </w:r>
          </w:p>
        </w:tc>
        <w:tc>
          <w:tcPr>
            <w:tcW w:w="8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Events of Default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12.02</w:t>
            </w:r>
          </w:p>
        </w:tc>
        <w:tc>
          <w:tcPr>
            <w:tcW w:w="8900" w:type="dxa"/>
            <w:vAlign w:val="bottom"/>
          </w:tcPr>
          <w:p>
            <w:pPr>
              <w:ind w:left="60"/>
              <w:spacing w:after="0"/>
              <w:rPr>
                <w:sz w:val="20"/>
                <w:szCs w:val="20"/>
                <w:color w:val="auto"/>
              </w:rPr>
            </w:pPr>
            <w:r>
              <w:rPr>
                <w:rFonts w:ascii="Arial" w:cs="Arial" w:eastAsia="Arial" w:hAnsi="Arial"/>
                <w:sz w:val="18"/>
                <w:szCs w:val="18"/>
                <w:color w:val="auto"/>
              </w:rPr>
              <w:t>Right of Re-entry</w:t>
            </w:r>
          </w:p>
        </w:tc>
        <w:tc>
          <w:tcPr>
            <w:tcW w:w="1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108"/>
        </w:trPr>
        <w:tc>
          <w:tcPr>
            <w:tcW w:w="46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97"/>
              </w:rPr>
              <w:t>12.03</w:t>
            </w:r>
          </w:p>
        </w:tc>
        <w:tc>
          <w:tcPr>
            <w:tcW w:w="8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Reletting</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12.04</w:t>
            </w:r>
          </w:p>
        </w:tc>
        <w:tc>
          <w:tcPr>
            <w:tcW w:w="8900" w:type="dxa"/>
            <w:vAlign w:val="bottom"/>
          </w:tcPr>
          <w:p>
            <w:pPr>
              <w:ind w:left="60"/>
              <w:spacing w:after="0"/>
              <w:rPr>
                <w:sz w:val="20"/>
                <w:szCs w:val="20"/>
                <w:color w:val="auto"/>
              </w:rPr>
            </w:pPr>
            <w:r>
              <w:rPr>
                <w:rFonts w:ascii="Arial" w:cs="Arial" w:eastAsia="Arial" w:hAnsi="Arial"/>
                <w:sz w:val="18"/>
                <w:szCs w:val="18"/>
                <w:color w:val="auto"/>
              </w:rPr>
              <w:t>Right of Landlord to Cure Defaults</w:t>
            </w:r>
          </w:p>
        </w:tc>
        <w:tc>
          <w:tcPr>
            <w:tcW w:w="1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08"/>
        </w:trPr>
        <w:tc>
          <w:tcPr>
            <w:tcW w:w="46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97"/>
              </w:rPr>
              <w:t>12.05</w:t>
            </w:r>
          </w:p>
        </w:tc>
        <w:tc>
          <w:tcPr>
            <w:tcW w:w="8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Remedies Not Exclusive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12.06</w:t>
            </w:r>
          </w:p>
        </w:tc>
        <w:tc>
          <w:tcPr>
            <w:tcW w:w="8900" w:type="dxa"/>
            <w:vAlign w:val="bottom"/>
          </w:tcPr>
          <w:p>
            <w:pPr>
              <w:ind w:left="60"/>
              <w:spacing w:after="0"/>
              <w:rPr>
                <w:sz w:val="20"/>
                <w:szCs w:val="20"/>
                <w:color w:val="auto"/>
              </w:rPr>
            </w:pPr>
            <w:r>
              <w:rPr>
                <w:rFonts w:ascii="Arial" w:cs="Arial" w:eastAsia="Arial" w:hAnsi="Arial"/>
                <w:sz w:val="18"/>
                <w:szCs w:val="18"/>
                <w:color w:val="auto"/>
              </w:rPr>
              <w:t>Non-Waiver</w:t>
            </w:r>
          </w:p>
        </w:tc>
        <w:tc>
          <w:tcPr>
            <w:tcW w:w="1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08"/>
        </w:trPr>
        <w:tc>
          <w:tcPr>
            <w:tcW w:w="46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97"/>
              </w:rPr>
              <w:t>12.07</w:t>
            </w:r>
          </w:p>
        </w:tc>
        <w:tc>
          <w:tcPr>
            <w:tcW w:w="8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Recovery of Adjustments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460" w:type="dxa"/>
            <w:vAlign w:val="bottom"/>
          </w:tcPr>
          <w:p>
            <w:pPr>
              <w:spacing w:after="0"/>
              <w:rPr>
                <w:sz w:val="24"/>
                <w:szCs w:val="24"/>
                <w:color w:val="auto"/>
              </w:rPr>
            </w:pPr>
          </w:p>
        </w:tc>
        <w:tc>
          <w:tcPr>
            <w:tcW w:w="8900" w:type="dxa"/>
            <w:vAlign w:val="bottom"/>
          </w:tcPr>
          <w:p>
            <w:pPr>
              <w:jc w:val="center"/>
              <w:ind w:left="1050"/>
              <w:spacing w:after="0"/>
              <w:rPr>
                <w:sz w:val="20"/>
                <w:szCs w:val="20"/>
                <w:color w:val="auto"/>
              </w:rPr>
            </w:pPr>
            <w:r>
              <w:rPr>
                <w:rFonts w:ascii="Arial" w:cs="Arial" w:eastAsia="Arial" w:hAnsi="Arial"/>
                <w:sz w:val="18"/>
                <w:szCs w:val="18"/>
                <w:b w:val="1"/>
                <w:bCs w:val="1"/>
                <w:color w:val="auto"/>
              </w:rPr>
              <w:t>ARTICLE 13 - SUBORDINATION &amp; ACKNOWLEDGMENTS</w:t>
            </w:r>
          </w:p>
        </w:tc>
        <w:tc>
          <w:tcPr>
            <w:tcW w:w="1660" w:type="dxa"/>
            <w:vAlign w:val="bottom"/>
          </w:tcPr>
          <w:p>
            <w:pPr>
              <w:spacing w:after="0"/>
              <w:rPr>
                <w:sz w:val="24"/>
                <w:szCs w:val="24"/>
                <w:color w:val="auto"/>
              </w:rPr>
            </w:pPr>
          </w:p>
        </w:tc>
      </w:tr>
      <w:tr>
        <w:trPr>
          <w:trHeight w:val="108"/>
        </w:trPr>
        <w:tc>
          <w:tcPr>
            <w:tcW w:w="46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97"/>
              </w:rPr>
              <w:t>13.01</w:t>
            </w:r>
          </w:p>
        </w:tc>
        <w:tc>
          <w:tcPr>
            <w:tcW w:w="8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Hypothecs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13.02</w:t>
            </w:r>
          </w:p>
        </w:tc>
        <w:tc>
          <w:tcPr>
            <w:tcW w:w="8900" w:type="dxa"/>
            <w:vAlign w:val="bottom"/>
          </w:tcPr>
          <w:p>
            <w:pPr>
              <w:ind w:left="60"/>
              <w:spacing w:after="0"/>
              <w:rPr>
                <w:sz w:val="20"/>
                <w:szCs w:val="20"/>
                <w:color w:val="auto"/>
              </w:rPr>
            </w:pPr>
            <w:r>
              <w:rPr>
                <w:rFonts w:ascii="Arial" w:cs="Arial" w:eastAsia="Arial" w:hAnsi="Arial"/>
                <w:sz w:val="18"/>
                <w:szCs w:val="18"/>
                <w:color w:val="auto"/>
              </w:rPr>
              <w:t>Certificates</w:t>
            </w: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08"/>
        </w:trPr>
        <w:tc>
          <w:tcPr>
            <w:tcW w:w="46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97"/>
              </w:rPr>
              <w:t>13.03</w:t>
            </w:r>
          </w:p>
        </w:tc>
        <w:tc>
          <w:tcPr>
            <w:tcW w:w="8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Co-Ownership</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460" w:type="dxa"/>
            <w:vAlign w:val="bottom"/>
          </w:tcPr>
          <w:p>
            <w:pPr>
              <w:spacing w:after="0"/>
              <w:rPr>
                <w:sz w:val="24"/>
                <w:szCs w:val="24"/>
                <w:color w:val="auto"/>
              </w:rPr>
            </w:pPr>
          </w:p>
        </w:tc>
        <w:tc>
          <w:tcPr>
            <w:tcW w:w="8900" w:type="dxa"/>
            <w:vAlign w:val="bottom"/>
          </w:tcPr>
          <w:p>
            <w:pPr>
              <w:jc w:val="center"/>
              <w:ind w:left="1050"/>
              <w:spacing w:after="0"/>
              <w:rPr>
                <w:sz w:val="20"/>
                <w:szCs w:val="20"/>
                <w:color w:val="auto"/>
              </w:rPr>
            </w:pPr>
            <w:r>
              <w:rPr>
                <w:rFonts w:ascii="Arial" w:cs="Arial" w:eastAsia="Arial" w:hAnsi="Arial"/>
                <w:sz w:val="18"/>
                <w:szCs w:val="18"/>
                <w:b w:val="1"/>
                <w:bCs w:val="1"/>
                <w:color w:val="auto"/>
                <w:w w:val="99"/>
              </w:rPr>
              <w:t>ARTICLE 14 - ACCESS BY LANDLORD</w:t>
            </w:r>
          </w:p>
        </w:tc>
        <w:tc>
          <w:tcPr>
            <w:tcW w:w="1660" w:type="dxa"/>
            <w:vAlign w:val="bottom"/>
          </w:tcPr>
          <w:p>
            <w:pPr>
              <w:spacing w:after="0"/>
              <w:rPr>
                <w:sz w:val="24"/>
                <w:szCs w:val="24"/>
                <w:color w:val="auto"/>
              </w:rPr>
            </w:pPr>
          </w:p>
        </w:tc>
      </w:tr>
      <w:tr>
        <w:trPr>
          <w:trHeight w:val="108"/>
        </w:trPr>
        <w:tc>
          <w:tcPr>
            <w:tcW w:w="46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97"/>
              </w:rPr>
              <w:t>14.01</w:t>
            </w:r>
          </w:p>
        </w:tc>
        <w:tc>
          <w:tcPr>
            <w:tcW w:w="8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Exhibiting Leased Premises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14.02</w:t>
            </w:r>
          </w:p>
        </w:tc>
        <w:tc>
          <w:tcPr>
            <w:tcW w:w="8900" w:type="dxa"/>
            <w:vAlign w:val="bottom"/>
          </w:tcPr>
          <w:p>
            <w:pPr>
              <w:ind w:left="60"/>
              <w:spacing w:after="0"/>
              <w:rPr>
                <w:sz w:val="20"/>
                <w:szCs w:val="20"/>
                <w:color w:val="auto"/>
              </w:rPr>
            </w:pPr>
            <w:r>
              <w:rPr>
                <w:rFonts w:ascii="Arial" w:cs="Arial" w:eastAsia="Arial" w:hAnsi="Arial"/>
                <w:sz w:val="18"/>
                <w:szCs w:val="18"/>
                <w:color w:val="auto"/>
              </w:rPr>
              <w:t>Expansion, Alteration</w:t>
            </w:r>
          </w:p>
        </w:tc>
        <w:tc>
          <w:tcPr>
            <w:tcW w:w="1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65"/>
        </w:trPr>
        <w:tc>
          <w:tcPr>
            <w:tcW w:w="460" w:type="dxa"/>
            <w:vAlign w:val="bottom"/>
          </w:tcPr>
          <w:p>
            <w:pPr>
              <w:spacing w:after="0"/>
              <w:rPr>
                <w:sz w:val="24"/>
                <w:szCs w:val="24"/>
                <w:color w:val="auto"/>
              </w:rPr>
            </w:pPr>
          </w:p>
        </w:tc>
        <w:tc>
          <w:tcPr>
            <w:tcW w:w="8900" w:type="dxa"/>
            <w:vAlign w:val="bottom"/>
          </w:tcPr>
          <w:p>
            <w:pPr>
              <w:jc w:val="center"/>
              <w:ind w:left="1090"/>
              <w:spacing w:after="0"/>
              <w:rPr>
                <w:sz w:val="20"/>
                <w:szCs w:val="20"/>
                <w:color w:val="auto"/>
              </w:rPr>
            </w:pPr>
            <w:r>
              <w:rPr>
                <w:rFonts w:ascii="Arial" w:cs="Arial" w:eastAsia="Arial" w:hAnsi="Arial"/>
                <w:sz w:val="18"/>
                <w:szCs w:val="18"/>
                <w:color w:val="auto"/>
              </w:rPr>
              <w:t>iii</w:t>
            </w:r>
          </w:p>
        </w:tc>
        <w:tc>
          <w:tcPr>
            <w:tcW w:w="16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396"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421" w:name="page422"/>
    <w:bookmarkEnd w:id="421"/>
    <w:tbl>
      <w:tblPr>
        <w:tblLayout w:type="fixed"/>
        <w:tblInd w:w="0" w:type="dxa"/>
        <w:tblCellMar>
          <w:top w:w="0" w:type="dxa"/>
          <w:left w:w="0" w:type="dxa"/>
          <w:bottom w:w="0" w:type="dxa"/>
          <w:right w:w="0" w:type="dxa"/>
        </w:tblCellMar>
      </w:tblPr>
      <w:tr>
        <w:trPr>
          <w:trHeight w:val="216"/>
        </w:trPr>
        <w:tc>
          <w:tcPr>
            <w:tcW w:w="4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7020" w:type="dxa"/>
            <w:vAlign w:val="bottom"/>
            <w:shd w:val="clear" w:color="auto" w:fill="CCEEFF"/>
          </w:tcPr>
          <w:p>
            <w:pPr>
              <w:jc w:val="right"/>
              <w:ind w:right="4070"/>
              <w:spacing w:after="0"/>
              <w:rPr>
                <w:sz w:val="20"/>
                <w:szCs w:val="20"/>
                <w:color w:val="auto"/>
              </w:rPr>
            </w:pPr>
            <w:r>
              <w:rPr>
                <w:rFonts w:ascii="Arial" w:cs="Arial" w:eastAsia="Arial" w:hAnsi="Arial"/>
                <w:sz w:val="18"/>
                <w:szCs w:val="18"/>
                <w:b w:val="1"/>
                <w:bCs w:val="1"/>
                <w:color w:val="auto"/>
              </w:rPr>
              <w:t>ARTICLE 15 - MISCELLANEOUS</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15.01</w:t>
            </w:r>
          </w:p>
        </w:tc>
        <w:tc>
          <w:tcPr>
            <w:tcW w:w="3540" w:type="dxa"/>
            <w:vAlign w:val="bottom"/>
          </w:tcPr>
          <w:p>
            <w:pPr>
              <w:ind w:left="60"/>
              <w:spacing w:after="0"/>
              <w:rPr>
                <w:sz w:val="20"/>
                <w:szCs w:val="20"/>
                <w:color w:val="auto"/>
              </w:rPr>
            </w:pPr>
            <w:r>
              <w:rPr>
                <w:rFonts w:ascii="Arial" w:cs="Arial" w:eastAsia="Arial" w:hAnsi="Arial"/>
                <w:sz w:val="18"/>
                <w:szCs w:val="18"/>
                <w:color w:val="auto"/>
              </w:rPr>
              <w:t>Notice</w:t>
            </w:r>
          </w:p>
        </w:tc>
        <w:tc>
          <w:tcPr>
            <w:tcW w:w="7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08"/>
        </w:trPr>
        <w:tc>
          <w:tcPr>
            <w:tcW w:w="4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7020" w:type="dxa"/>
            <w:vAlign w:val="bottom"/>
          </w:tcPr>
          <w:p>
            <w:pPr>
              <w:spacing w:after="0"/>
              <w:rPr>
                <w:sz w:val="9"/>
                <w:szCs w:val="9"/>
                <w:color w:val="auto"/>
              </w:rPr>
            </w:pPr>
          </w:p>
        </w:tc>
      </w:tr>
      <w:tr>
        <w:trPr>
          <w:trHeight w:val="216"/>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15.02</w:t>
            </w:r>
          </w:p>
        </w:tc>
        <w:tc>
          <w:tcPr>
            <w:tcW w:w="3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Registration</w:t>
            </w:r>
          </w:p>
        </w:tc>
        <w:tc>
          <w:tcPr>
            <w:tcW w:w="7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15.03</w:t>
            </w:r>
          </w:p>
        </w:tc>
        <w:tc>
          <w:tcPr>
            <w:tcW w:w="3540" w:type="dxa"/>
            <w:vAlign w:val="bottom"/>
          </w:tcPr>
          <w:p>
            <w:pPr>
              <w:ind w:left="60"/>
              <w:spacing w:after="0"/>
              <w:rPr>
                <w:sz w:val="20"/>
                <w:szCs w:val="20"/>
                <w:color w:val="auto"/>
              </w:rPr>
            </w:pPr>
            <w:r>
              <w:rPr>
                <w:rFonts w:ascii="Arial" w:cs="Arial" w:eastAsia="Arial" w:hAnsi="Arial"/>
                <w:sz w:val="18"/>
                <w:szCs w:val="18"/>
                <w:color w:val="auto"/>
              </w:rPr>
              <w:t>Obligations as Covenants</w:t>
            </w:r>
          </w:p>
        </w:tc>
        <w:tc>
          <w:tcPr>
            <w:tcW w:w="7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108"/>
        </w:trPr>
        <w:tc>
          <w:tcPr>
            <w:tcW w:w="4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7020" w:type="dxa"/>
            <w:vAlign w:val="bottom"/>
          </w:tcPr>
          <w:p>
            <w:pPr>
              <w:spacing w:after="0"/>
              <w:rPr>
                <w:sz w:val="9"/>
                <w:szCs w:val="9"/>
                <w:color w:val="auto"/>
              </w:rPr>
            </w:pPr>
          </w:p>
        </w:tc>
      </w:tr>
      <w:tr>
        <w:trPr>
          <w:trHeight w:val="216"/>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15.04</w:t>
            </w:r>
          </w:p>
        </w:tc>
        <w:tc>
          <w:tcPr>
            <w:tcW w:w="3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Severability</w:t>
            </w:r>
          </w:p>
        </w:tc>
        <w:tc>
          <w:tcPr>
            <w:tcW w:w="7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15.05</w:t>
            </w:r>
          </w:p>
        </w:tc>
        <w:tc>
          <w:tcPr>
            <w:tcW w:w="3540" w:type="dxa"/>
            <w:vAlign w:val="bottom"/>
          </w:tcPr>
          <w:p>
            <w:pPr>
              <w:ind w:left="60"/>
              <w:spacing w:after="0"/>
              <w:rPr>
                <w:sz w:val="20"/>
                <w:szCs w:val="20"/>
                <w:color w:val="auto"/>
              </w:rPr>
            </w:pPr>
            <w:r>
              <w:rPr>
                <w:rFonts w:ascii="Arial" w:cs="Arial" w:eastAsia="Arial" w:hAnsi="Arial"/>
                <w:sz w:val="18"/>
                <w:szCs w:val="18"/>
                <w:color w:val="auto"/>
              </w:rPr>
              <w:t>Unavoidable Delays</w:t>
            </w:r>
          </w:p>
        </w:tc>
        <w:tc>
          <w:tcPr>
            <w:tcW w:w="7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108"/>
        </w:trPr>
        <w:tc>
          <w:tcPr>
            <w:tcW w:w="4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7020" w:type="dxa"/>
            <w:vAlign w:val="bottom"/>
          </w:tcPr>
          <w:p>
            <w:pPr>
              <w:spacing w:after="0"/>
              <w:rPr>
                <w:sz w:val="9"/>
                <w:szCs w:val="9"/>
                <w:color w:val="auto"/>
              </w:rPr>
            </w:pPr>
          </w:p>
        </w:tc>
      </w:tr>
      <w:tr>
        <w:trPr>
          <w:trHeight w:val="216"/>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15.06</w:t>
            </w:r>
          </w:p>
        </w:tc>
        <w:tc>
          <w:tcPr>
            <w:tcW w:w="3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Evidence of Payments</w:t>
            </w:r>
          </w:p>
        </w:tc>
        <w:tc>
          <w:tcPr>
            <w:tcW w:w="7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15.07</w:t>
            </w:r>
          </w:p>
        </w:tc>
        <w:tc>
          <w:tcPr>
            <w:tcW w:w="3540" w:type="dxa"/>
            <w:vAlign w:val="bottom"/>
          </w:tcPr>
          <w:p>
            <w:pPr>
              <w:ind w:left="60"/>
              <w:spacing w:after="0"/>
              <w:rPr>
                <w:sz w:val="20"/>
                <w:szCs w:val="20"/>
                <w:color w:val="auto"/>
              </w:rPr>
            </w:pPr>
            <w:r>
              <w:rPr>
                <w:rFonts w:ascii="Arial" w:cs="Arial" w:eastAsia="Arial" w:hAnsi="Arial"/>
                <w:sz w:val="18"/>
                <w:szCs w:val="18"/>
                <w:color w:val="auto"/>
              </w:rPr>
              <w:t>Overholding</w:t>
            </w:r>
          </w:p>
        </w:tc>
        <w:tc>
          <w:tcPr>
            <w:tcW w:w="7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108"/>
        </w:trPr>
        <w:tc>
          <w:tcPr>
            <w:tcW w:w="4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7020" w:type="dxa"/>
            <w:vAlign w:val="bottom"/>
          </w:tcPr>
          <w:p>
            <w:pPr>
              <w:spacing w:after="0"/>
              <w:rPr>
                <w:sz w:val="9"/>
                <w:szCs w:val="9"/>
                <w:color w:val="auto"/>
              </w:rPr>
            </w:pPr>
          </w:p>
        </w:tc>
      </w:tr>
      <w:tr>
        <w:trPr>
          <w:trHeight w:val="216"/>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15.08</w:t>
            </w:r>
          </w:p>
        </w:tc>
        <w:tc>
          <w:tcPr>
            <w:tcW w:w="3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Security/Movable Hypothec</w:t>
            </w:r>
          </w:p>
        </w:tc>
        <w:tc>
          <w:tcPr>
            <w:tcW w:w="7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15.09</w:t>
            </w:r>
          </w:p>
        </w:tc>
        <w:tc>
          <w:tcPr>
            <w:tcW w:w="3540" w:type="dxa"/>
            <w:vAlign w:val="bottom"/>
          </w:tcPr>
          <w:p>
            <w:pPr>
              <w:ind w:left="60"/>
              <w:spacing w:after="0"/>
              <w:rPr>
                <w:sz w:val="20"/>
                <w:szCs w:val="20"/>
                <w:color w:val="auto"/>
              </w:rPr>
            </w:pPr>
            <w:r>
              <w:rPr>
                <w:rFonts w:ascii="Arial" w:cs="Arial" w:eastAsia="Arial" w:hAnsi="Arial"/>
                <w:sz w:val="18"/>
                <w:szCs w:val="18"/>
                <w:color w:val="auto"/>
                <w:w w:val="89"/>
              </w:rPr>
              <w:t>Goods and Services Tax and Québec Sales Tax</w:t>
            </w:r>
          </w:p>
        </w:tc>
        <w:tc>
          <w:tcPr>
            <w:tcW w:w="7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108"/>
        </w:trPr>
        <w:tc>
          <w:tcPr>
            <w:tcW w:w="4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7020" w:type="dxa"/>
            <w:vAlign w:val="bottom"/>
          </w:tcPr>
          <w:p>
            <w:pPr>
              <w:spacing w:after="0"/>
              <w:rPr>
                <w:sz w:val="9"/>
                <w:szCs w:val="9"/>
                <w:color w:val="auto"/>
              </w:rPr>
            </w:pPr>
          </w:p>
        </w:tc>
      </w:tr>
      <w:tr>
        <w:trPr>
          <w:trHeight w:val="216"/>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15.10</w:t>
            </w:r>
          </w:p>
        </w:tc>
        <w:tc>
          <w:tcPr>
            <w:tcW w:w="3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Time of Essence</w:t>
            </w:r>
          </w:p>
        </w:tc>
        <w:tc>
          <w:tcPr>
            <w:tcW w:w="7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15.11</w:t>
            </w:r>
          </w:p>
        </w:tc>
        <w:tc>
          <w:tcPr>
            <w:tcW w:w="354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7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108"/>
        </w:trPr>
        <w:tc>
          <w:tcPr>
            <w:tcW w:w="4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7020" w:type="dxa"/>
            <w:vAlign w:val="bottom"/>
          </w:tcPr>
          <w:p>
            <w:pPr>
              <w:spacing w:after="0"/>
              <w:rPr>
                <w:sz w:val="9"/>
                <w:szCs w:val="9"/>
                <w:color w:val="auto"/>
              </w:rPr>
            </w:pPr>
          </w:p>
        </w:tc>
      </w:tr>
      <w:tr>
        <w:trPr>
          <w:trHeight w:val="216"/>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15.12</w:t>
            </w:r>
          </w:p>
        </w:tc>
        <w:tc>
          <w:tcPr>
            <w:tcW w:w="3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Captions/Headings</w:t>
            </w:r>
          </w:p>
        </w:tc>
        <w:tc>
          <w:tcPr>
            <w:tcW w:w="7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15.13</w:t>
            </w:r>
          </w:p>
        </w:tc>
        <w:tc>
          <w:tcPr>
            <w:tcW w:w="3540" w:type="dxa"/>
            <w:vAlign w:val="bottom"/>
          </w:tcPr>
          <w:p>
            <w:pPr>
              <w:ind w:left="60"/>
              <w:spacing w:after="0"/>
              <w:rPr>
                <w:sz w:val="20"/>
                <w:szCs w:val="20"/>
                <w:color w:val="auto"/>
              </w:rPr>
            </w:pPr>
            <w:r>
              <w:rPr>
                <w:rFonts w:ascii="Arial" w:cs="Arial" w:eastAsia="Arial" w:hAnsi="Arial"/>
                <w:sz w:val="18"/>
                <w:szCs w:val="18"/>
                <w:color w:val="auto"/>
              </w:rPr>
              <w:t>Solidarily Liability</w:t>
            </w:r>
          </w:p>
        </w:tc>
        <w:tc>
          <w:tcPr>
            <w:tcW w:w="7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108"/>
        </w:trPr>
        <w:tc>
          <w:tcPr>
            <w:tcW w:w="4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7020" w:type="dxa"/>
            <w:vAlign w:val="bottom"/>
          </w:tcPr>
          <w:p>
            <w:pPr>
              <w:spacing w:after="0"/>
              <w:rPr>
                <w:sz w:val="9"/>
                <w:szCs w:val="9"/>
                <w:color w:val="auto"/>
              </w:rPr>
            </w:pPr>
          </w:p>
        </w:tc>
      </w:tr>
      <w:tr>
        <w:trPr>
          <w:trHeight w:val="216"/>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15.14</w:t>
            </w:r>
          </w:p>
        </w:tc>
        <w:tc>
          <w:tcPr>
            <w:tcW w:w="3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Tenant Partnership</w:t>
            </w:r>
          </w:p>
        </w:tc>
        <w:tc>
          <w:tcPr>
            <w:tcW w:w="7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15.15</w:t>
            </w:r>
          </w:p>
        </w:tc>
        <w:tc>
          <w:tcPr>
            <w:tcW w:w="3540" w:type="dxa"/>
            <w:vAlign w:val="bottom"/>
          </w:tcPr>
          <w:p>
            <w:pPr>
              <w:ind w:left="60"/>
              <w:spacing w:after="0"/>
              <w:rPr>
                <w:sz w:val="20"/>
                <w:szCs w:val="20"/>
                <w:color w:val="auto"/>
              </w:rPr>
            </w:pPr>
            <w:r>
              <w:rPr>
                <w:rFonts w:ascii="Arial" w:cs="Arial" w:eastAsia="Arial" w:hAnsi="Arial"/>
                <w:sz w:val="18"/>
                <w:szCs w:val="18"/>
                <w:color w:val="auto"/>
              </w:rPr>
              <w:t>Environmental Covenants</w:t>
            </w:r>
          </w:p>
        </w:tc>
        <w:tc>
          <w:tcPr>
            <w:tcW w:w="7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108"/>
        </w:trPr>
        <w:tc>
          <w:tcPr>
            <w:tcW w:w="4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7020" w:type="dxa"/>
            <w:vAlign w:val="bottom"/>
          </w:tcPr>
          <w:p>
            <w:pPr>
              <w:spacing w:after="0"/>
              <w:rPr>
                <w:sz w:val="9"/>
                <w:szCs w:val="9"/>
                <w:color w:val="auto"/>
              </w:rPr>
            </w:pPr>
          </w:p>
        </w:tc>
      </w:tr>
      <w:tr>
        <w:trPr>
          <w:trHeight w:val="216"/>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15.16</w:t>
            </w:r>
          </w:p>
        </w:tc>
        <w:tc>
          <w:tcPr>
            <w:tcW w:w="3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Servitudes</w:t>
            </w:r>
          </w:p>
        </w:tc>
        <w:tc>
          <w:tcPr>
            <w:tcW w:w="7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15.17</w:t>
            </w:r>
          </w:p>
        </w:tc>
        <w:tc>
          <w:tcPr>
            <w:tcW w:w="354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7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108"/>
        </w:trPr>
        <w:tc>
          <w:tcPr>
            <w:tcW w:w="4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7020" w:type="dxa"/>
            <w:vAlign w:val="bottom"/>
          </w:tcPr>
          <w:p>
            <w:pPr>
              <w:spacing w:after="0"/>
              <w:rPr>
                <w:sz w:val="9"/>
                <w:szCs w:val="9"/>
                <w:color w:val="auto"/>
              </w:rPr>
            </w:pPr>
          </w:p>
        </w:tc>
      </w:tr>
      <w:tr>
        <w:trPr>
          <w:trHeight w:val="216"/>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15.18</w:t>
            </w:r>
          </w:p>
        </w:tc>
        <w:tc>
          <w:tcPr>
            <w:tcW w:w="3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Effect of Lease</w:t>
            </w:r>
          </w:p>
        </w:tc>
        <w:tc>
          <w:tcPr>
            <w:tcW w:w="7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15.19</w:t>
            </w:r>
          </w:p>
        </w:tc>
        <w:tc>
          <w:tcPr>
            <w:tcW w:w="3540" w:type="dxa"/>
            <w:vAlign w:val="bottom"/>
          </w:tcPr>
          <w:p>
            <w:pPr>
              <w:ind w:left="60"/>
              <w:spacing w:after="0"/>
              <w:rPr>
                <w:sz w:val="20"/>
                <w:szCs w:val="20"/>
                <w:color w:val="auto"/>
              </w:rPr>
            </w:pPr>
            <w:r>
              <w:rPr>
                <w:rFonts w:ascii="Arial" w:cs="Arial" w:eastAsia="Arial" w:hAnsi="Arial"/>
                <w:sz w:val="18"/>
                <w:szCs w:val="18"/>
                <w:color w:val="auto"/>
              </w:rPr>
              <w:t>Brokerage Commission</w:t>
            </w:r>
          </w:p>
        </w:tc>
        <w:tc>
          <w:tcPr>
            <w:tcW w:w="7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108"/>
        </w:trPr>
        <w:tc>
          <w:tcPr>
            <w:tcW w:w="4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7020" w:type="dxa"/>
            <w:vAlign w:val="bottom"/>
          </w:tcPr>
          <w:p>
            <w:pPr>
              <w:spacing w:after="0"/>
              <w:rPr>
                <w:sz w:val="9"/>
                <w:szCs w:val="9"/>
                <w:color w:val="auto"/>
              </w:rPr>
            </w:pPr>
          </w:p>
        </w:tc>
      </w:tr>
      <w:tr>
        <w:trPr>
          <w:trHeight w:val="216"/>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15.20</w:t>
            </w:r>
          </w:p>
        </w:tc>
        <w:tc>
          <w:tcPr>
            <w:tcW w:w="3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Schedules</w:t>
            </w:r>
          </w:p>
        </w:tc>
        <w:tc>
          <w:tcPr>
            <w:tcW w:w="7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15.21</w:t>
            </w:r>
          </w:p>
        </w:tc>
        <w:tc>
          <w:tcPr>
            <w:tcW w:w="3540" w:type="dxa"/>
            <w:vAlign w:val="bottom"/>
          </w:tcPr>
          <w:p>
            <w:pPr>
              <w:ind w:left="60"/>
              <w:spacing w:after="0"/>
              <w:rPr>
                <w:sz w:val="20"/>
                <w:szCs w:val="20"/>
                <w:color w:val="auto"/>
              </w:rPr>
            </w:pPr>
            <w:r>
              <w:rPr>
                <w:rFonts w:ascii="Arial" w:cs="Arial" w:eastAsia="Arial" w:hAnsi="Arial"/>
                <w:sz w:val="18"/>
                <w:szCs w:val="18"/>
                <w:color w:val="auto"/>
              </w:rPr>
              <w:t>English Language</w:t>
            </w:r>
          </w:p>
        </w:tc>
        <w:tc>
          <w:tcPr>
            <w:tcW w:w="702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Schedule “A” - Floor Plan of Leased Premises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“B” - Description of 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“C” - Definitions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“D” - Landlord’s 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“E” - Rules and Regulations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“F” - Special Provisions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“G” - Agreement Regarding Letter of Credit and Other Security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“H” - Environmental Questionnaire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“F” - Special Provisions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“G” - Agreement Regarding Letter of Credit and Other Security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“H” - Environmental Questionnaire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20"/>
          </w:cols>
          <w:pgMar w:left="440" w:top="396" w:right="439" w:bottom="1440" w:gutter="0" w:footer="0" w:header="0"/>
        </w:sectPr>
      </w:pPr>
    </w:p>
    <w:bookmarkStart w:id="422" w:name="page423"/>
    <w:bookmarkEnd w:id="422"/>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THIS INDENTURE </w:t>
      </w:r>
      <w:r>
        <w:rPr>
          <w:rFonts w:ascii="Arial" w:cs="Arial" w:eastAsia="Arial" w:hAnsi="Arial"/>
          <w:sz w:val="18"/>
          <w:szCs w:val="18"/>
          <w:color w:val="auto"/>
        </w:rPr>
        <w:t>made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15</w:t>
      </w:r>
      <w:r>
        <w:rPr>
          <w:rFonts w:ascii="Arial" w:cs="Arial" w:eastAsia="Arial" w:hAnsi="Arial"/>
          <w:sz w:val="15"/>
          <w:szCs w:val="15"/>
          <w:u w:val="single" w:color="auto"/>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May</w:t>
      </w:r>
      <w:r>
        <w:rPr>
          <w:rFonts w:ascii="Arial" w:cs="Arial" w:eastAsia="Arial" w:hAnsi="Arial"/>
          <w:sz w:val="18"/>
          <w:szCs w:val="18"/>
          <w:color w:val="auto"/>
        </w:rPr>
        <w:t>,</w:t>
      </w:r>
      <w:r>
        <w:rPr>
          <w:rFonts w:ascii="Arial" w:cs="Arial" w:eastAsia="Arial" w:hAnsi="Arial"/>
          <w:sz w:val="18"/>
          <w:szCs w:val="18"/>
          <w:b w:val="1"/>
          <w:bCs w:val="1"/>
          <w:color w:val="auto"/>
        </w:rPr>
        <w:t xml:space="preserve"> 2014</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17" w:lineRule="exact"/>
        <w:rPr>
          <w:sz w:val="20"/>
          <w:szCs w:val="20"/>
          <w:color w:val="auto"/>
        </w:rPr>
      </w:pPr>
    </w:p>
    <w:p>
      <w:pPr>
        <w:ind w:left="4840" w:right="560"/>
        <w:spacing w:after="0" w:line="347" w:lineRule="auto"/>
        <w:rPr>
          <w:sz w:val="20"/>
          <w:szCs w:val="20"/>
          <w:color w:val="auto"/>
        </w:rPr>
      </w:pPr>
      <w:r>
        <w:rPr>
          <w:rFonts w:ascii="Arial" w:cs="Arial" w:eastAsia="Arial" w:hAnsi="Arial"/>
          <w:sz w:val="16"/>
          <w:szCs w:val="16"/>
          <w:b w:val="1"/>
          <w:bCs w:val="1"/>
          <w:color w:val="auto"/>
        </w:rPr>
        <w:t>CIG III TECHNOPARC NOMINEE INC.</w:t>
      </w:r>
      <w:r>
        <w:rPr>
          <w:rFonts w:ascii="Arial" w:cs="Arial" w:eastAsia="Arial" w:hAnsi="Arial"/>
          <w:sz w:val="16"/>
          <w:szCs w:val="16"/>
          <w:color w:val="auto"/>
        </w:rPr>
        <w:t>, a company duly incorporated</w:t>
      </w:r>
      <w:r>
        <w:rPr>
          <w:rFonts w:ascii="Arial" w:cs="Arial" w:eastAsia="Arial" w:hAnsi="Arial"/>
          <w:sz w:val="16"/>
          <w:szCs w:val="16"/>
          <w:b w:val="1"/>
          <w:bCs w:val="1"/>
          <w:color w:val="auto"/>
        </w:rPr>
        <w:t xml:space="preserve"> </w:t>
      </w:r>
      <w:r>
        <w:rPr>
          <w:rFonts w:ascii="Arial" w:cs="Arial" w:eastAsia="Arial" w:hAnsi="Arial"/>
          <w:sz w:val="16"/>
          <w:szCs w:val="16"/>
          <w:color w:val="auto"/>
        </w:rPr>
        <w:t>according to law and herein represented by ______________ duly authorized;</w:t>
      </w:r>
    </w:p>
    <w:p>
      <w:pPr>
        <w:spacing w:after="0" w:line="1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(hereinafter called the “Landlord”)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THE FIRST PART</w:t>
      </w:r>
    </w:p>
    <w:p>
      <w:pPr>
        <w:spacing w:after="0" w:line="11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 and -</w:t>
      </w:r>
    </w:p>
    <w:p>
      <w:pPr>
        <w:spacing w:after="0" w:line="11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PHARMASCIENCE INC.</w:t>
      </w:r>
      <w:r>
        <w:rPr>
          <w:rFonts w:ascii="Arial" w:cs="Arial" w:eastAsia="Arial" w:hAnsi="Arial"/>
          <w:sz w:val="18"/>
          <w:szCs w:val="18"/>
          <w:color w:val="auto"/>
        </w:rPr>
        <w:t>, a body politic and corporate, duly incorporated</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 xml:space="preserve">according to law and herein represented by </w:t>
      </w:r>
      <w:r>
        <w:rPr>
          <w:rFonts w:ascii="Arial" w:cs="Arial" w:eastAsia="Arial" w:hAnsi="Arial"/>
          <w:sz w:val="18"/>
          <w:szCs w:val="18"/>
          <w:u w:val="single" w:color="auto"/>
          <w:color w:val="auto"/>
        </w:rPr>
        <w:t>Ivan Djynjak</w:t>
      </w:r>
      <w:r>
        <w:rPr>
          <w:rFonts w:ascii="Arial" w:cs="Arial" w:eastAsia="Arial" w:hAnsi="Arial"/>
          <w:sz w:val="18"/>
          <w:szCs w:val="18"/>
          <w:color w:val="auto"/>
        </w:rPr>
        <w:t>, duly authorized;</w:t>
      </w:r>
    </w:p>
    <w:p>
      <w:pPr>
        <w:spacing w:after="0" w:line="10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(hereinafter called the “Tenant”)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760" w:type="dxa"/>
            <w:vAlign w:val="bottom"/>
          </w:tcPr>
          <w:p>
            <w:pPr>
              <w:ind w:left="6880"/>
              <w:spacing w:after="0"/>
              <w:rPr>
                <w:sz w:val="20"/>
                <w:szCs w:val="20"/>
                <w:color w:val="auto"/>
              </w:rPr>
            </w:pPr>
            <w:r>
              <w:rPr>
                <w:rFonts w:ascii="Arial" w:cs="Arial" w:eastAsia="Arial" w:hAnsi="Arial"/>
                <w:sz w:val="18"/>
                <w:szCs w:val="18"/>
                <w:color w:val="auto"/>
                <w:w w:val="92"/>
              </w:rPr>
              <w:t>OF THE SECOND PART</w:t>
            </w:r>
          </w:p>
        </w:tc>
      </w:tr>
      <w:tr>
        <w:trPr>
          <w:trHeight w:val="648"/>
        </w:trPr>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760" w:type="dxa"/>
            <w:vAlign w:val="bottom"/>
          </w:tcPr>
          <w:p>
            <w:pPr>
              <w:ind w:left="1460"/>
              <w:spacing w:after="0"/>
              <w:rPr>
                <w:sz w:val="20"/>
                <w:szCs w:val="20"/>
                <w:color w:val="auto"/>
              </w:rPr>
            </w:pPr>
            <w:r>
              <w:rPr>
                <w:rFonts w:ascii="Arial" w:cs="Arial" w:eastAsia="Arial" w:hAnsi="Arial"/>
                <w:sz w:val="18"/>
                <w:szCs w:val="18"/>
                <w:b w:val="1"/>
                <w:bCs w:val="1"/>
                <w:color w:val="auto"/>
              </w:rPr>
              <w:t>ARTICLE 1 - LEASED PREMISES &amp; TERM</w:t>
            </w:r>
          </w:p>
        </w:tc>
      </w:tr>
      <w:tr>
        <w:trPr>
          <w:trHeight w:val="418"/>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1.01</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5"/>
              </w:rPr>
              <w:t>Leased Premises</w:t>
            </w:r>
          </w:p>
        </w:tc>
        <w:tc>
          <w:tcPr>
            <w:tcW w:w="8760" w:type="dxa"/>
            <w:vAlign w:val="bottom"/>
          </w:tcPr>
          <w:p>
            <w:pPr>
              <w:spacing w:after="0"/>
              <w:rPr>
                <w:sz w:val="24"/>
                <w:szCs w:val="24"/>
                <w:color w:val="auto"/>
              </w:rPr>
            </w:pPr>
          </w:p>
        </w:tc>
      </w:tr>
    </w:tbl>
    <w:p>
      <w:pPr>
        <w:spacing w:after="0" w:line="117" w:lineRule="exact"/>
        <w:rPr>
          <w:sz w:val="20"/>
          <w:szCs w:val="20"/>
          <w:color w:val="auto"/>
        </w:rPr>
      </w:pPr>
    </w:p>
    <w:p>
      <w:pPr>
        <w:ind w:right="160" w:firstLine="991"/>
        <w:spacing w:after="0" w:line="347" w:lineRule="auto"/>
        <w:rPr>
          <w:sz w:val="20"/>
          <w:szCs w:val="20"/>
          <w:color w:val="auto"/>
        </w:rPr>
      </w:pPr>
      <w:r>
        <w:rPr>
          <w:rFonts w:ascii="Arial" w:cs="Arial" w:eastAsia="Arial" w:hAnsi="Arial"/>
          <w:sz w:val="16"/>
          <w:szCs w:val="16"/>
          <w:b w:val="1"/>
          <w:bCs w:val="1"/>
          <w:color w:val="auto"/>
        </w:rPr>
        <w:t xml:space="preserve">WITNESSETH </w:t>
      </w:r>
      <w:r>
        <w:rPr>
          <w:rFonts w:ascii="Arial" w:cs="Arial" w:eastAsia="Arial" w:hAnsi="Arial"/>
          <w:sz w:val="16"/>
          <w:szCs w:val="16"/>
          <w:color w:val="auto"/>
        </w:rPr>
        <w:t>that in consideration of the rents, covenants and agreements hereinafter reserved and contained on the part of the Tenant</w:t>
      </w:r>
      <w:r>
        <w:rPr>
          <w:rFonts w:ascii="Arial" w:cs="Arial" w:eastAsia="Arial" w:hAnsi="Arial"/>
          <w:sz w:val="16"/>
          <w:szCs w:val="16"/>
          <w:b w:val="1"/>
          <w:bCs w:val="1"/>
          <w:color w:val="auto"/>
        </w:rPr>
        <w:t xml:space="preserve"> </w:t>
      </w:r>
      <w:r>
        <w:rPr>
          <w:rFonts w:ascii="Arial" w:cs="Arial" w:eastAsia="Arial" w:hAnsi="Arial"/>
          <w:sz w:val="16"/>
          <w:szCs w:val="16"/>
          <w:color w:val="auto"/>
        </w:rPr>
        <w:t>to be paid, observed and performed, the Landlord does lease unto the Tenant and the Tenant leases from the Landlord, the Leased Premises.</w:t>
      </w: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u w:val="single" w:color="auto"/>
          <w:color w:val="auto"/>
        </w:rPr>
        <w:t>Use of Common Areas</w:t>
      </w:r>
    </w:p>
    <w:p>
      <w:pPr>
        <w:spacing w:after="0" w:line="121" w:lineRule="exact"/>
        <w:rPr>
          <w:sz w:val="20"/>
          <w:szCs w:val="20"/>
          <w:color w:val="auto"/>
        </w:rPr>
      </w:pPr>
    </w:p>
    <w:p>
      <w:pPr>
        <w:jc w:val="both"/>
        <w:ind w:right="320" w:firstLine="991"/>
        <w:spacing w:after="0" w:line="311" w:lineRule="auto"/>
        <w:rPr>
          <w:sz w:val="20"/>
          <w:szCs w:val="20"/>
          <w:color w:val="auto"/>
        </w:rPr>
      </w:pPr>
      <w:r>
        <w:rPr>
          <w:rFonts w:ascii="Arial" w:cs="Arial" w:eastAsia="Arial" w:hAnsi="Arial"/>
          <w:sz w:val="16"/>
          <w:szCs w:val="16"/>
          <w:color w:val="auto"/>
        </w:rPr>
        <w:t>The use and occupation by the Tenant of the Leased Premises includes the non-exclusive right of the Tenant, its employees, agents and invitees and persons having business with the Tenant, in common with the Landlord and all others entitled thereto, to use the areas designated by the Landlord from time to time as Common Areas, including, without limitation, the driveways, sidewalks and entrances and parking areas.</w:t>
      </w:r>
    </w:p>
    <w:p>
      <w:pPr>
        <w:spacing w:after="0" w:line="2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b w:val="1"/>
          <w:bCs w:val="1"/>
          <w:u w:val="single" w:color="auto"/>
          <w:color w:val="auto"/>
        </w:rPr>
        <w:t>Term</w:t>
      </w:r>
    </w:p>
    <w:p>
      <w:pPr>
        <w:spacing w:after="0" w:line="117" w:lineRule="exact"/>
        <w:rPr>
          <w:sz w:val="20"/>
          <w:szCs w:val="20"/>
          <w:color w:val="auto"/>
        </w:rPr>
      </w:pPr>
    </w:p>
    <w:p>
      <w:pPr>
        <w:ind w:right="120" w:firstLine="991"/>
        <w:spacing w:after="0" w:line="266" w:lineRule="auto"/>
        <w:rPr>
          <w:sz w:val="20"/>
          <w:szCs w:val="20"/>
          <w:color w:val="auto"/>
        </w:rPr>
      </w:pPr>
      <w:r>
        <w:rPr>
          <w:rFonts w:ascii="Arial" w:cs="Arial" w:eastAsia="Arial" w:hAnsi="Arial"/>
          <w:sz w:val="18"/>
          <w:szCs w:val="18"/>
          <w:b w:val="1"/>
          <w:bCs w:val="1"/>
          <w:color w:val="auto"/>
        </w:rPr>
        <w:t>To have and to hold the Leased Premises for and during a term of seven (7) years and one (1) month, commencing on July 1, 2014 (the “Commencement Date”), subject to any delay thereof as contemplated in the third paragraph of Section 1.0 of Schedule “F” attached hereto and ending on July 31, 2021 (the “Term”).</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20"/>
          </w:cols>
          <w:pgMar w:left="440" w:top="270" w:right="439" w:bottom="1440" w:gutter="0" w:footer="0" w:header="0"/>
        </w:sectPr>
      </w:pPr>
    </w:p>
    <w:bookmarkStart w:id="423" w:name="page424"/>
    <w:bookmarkEnd w:id="423"/>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[Intentionally Deleted]</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u w:val="single" w:color="auto"/>
          <w:color w:val="auto"/>
        </w:rPr>
        <w:t>Acceptance of Premises and Existing Equipment</w:t>
      </w:r>
    </w:p>
    <w:p>
      <w:pPr>
        <w:spacing w:after="0" w:line="117"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b w:val="1"/>
          <w:bCs w:val="1"/>
          <w:color w:val="auto"/>
        </w:rPr>
        <w:t xml:space="preserve">Tenant shall give written notice to Landlord, within ninety (90) days of the Occupancy Date, of any defects in or in respect of Landlord’s Work and the Improvements (as defined in Section 1.0 of Schedule “F”) which would materially diminish Tenant’s use or enjoyment of the Leased Premises (except for the HVAC System where a thirty (30) day period shall commence as of the Commencement Date). Except to the extent Tenant notifies Landlord of such defects in such manner and within such delay, the Tenant shall be conclusively deemed to have accepted and agreed that Landlord has delivered the Leased Premises with Landlord’s Work and the Improvements and otherwise as required under the Lease and by law, and Landlord shall have no further or other obligation to Tenant regarding defect(s) in or in respect of the Leased Premises or Landlord’s Work or the Improvements. In the event that Tenant does notify Landlord of such defects in such manner and within such delay, Landlord shall be responsible, at his expense, to remedy any defect within thirty (30) days (unless such defect would reasonably require more than thirty (30) days to remedy, provided that Landlord has commenced remediation of such defect) to the extent the defect in question is the Landlord’s responsibility under the Lease. </w:t>
      </w:r>
      <w:r>
        <w:rPr>
          <w:rFonts w:ascii="Arial" w:cs="Arial" w:eastAsia="Arial" w:hAnsi="Arial"/>
          <w:sz w:val="16"/>
          <w:szCs w:val="16"/>
          <w:color w:val="auto"/>
        </w:rPr>
        <w:t>The Tenant acknowledges that the existing leasehold improvements, if any, 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acceptable and that, </w:t>
      </w:r>
      <w:r>
        <w:rPr>
          <w:rFonts w:ascii="Arial" w:cs="Arial" w:eastAsia="Arial" w:hAnsi="Arial"/>
          <w:sz w:val="16"/>
          <w:szCs w:val="16"/>
          <w:b w:val="1"/>
          <w:bCs w:val="1"/>
          <w:color w:val="auto"/>
        </w:rPr>
        <w:t>subject to the Landlord’s Work described in Schedule “D”</w:t>
      </w:r>
      <w:r>
        <w:rPr>
          <w:rFonts w:ascii="Arial" w:cs="Arial" w:eastAsia="Arial" w:hAnsi="Arial"/>
          <w:sz w:val="16"/>
          <w:szCs w:val="16"/>
          <w:color w:val="auto"/>
        </w:rPr>
        <w:t>, the Tenant is taking possession of the Leased Premises “as is”.</w:t>
      </w:r>
    </w:p>
    <w:p>
      <w:pPr>
        <w:spacing w:after="0" w:line="163" w:lineRule="exact"/>
        <w:rPr>
          <w:sz w:val="20"/>
          <w:szCs w:val="20"/>
          <w:color w:val="auto"/>
        </w:rPr>
      </w:pPr>
    </w:p>
    <w:p>
      <w:pPr>
        <w:ind w:right="220" w:firstLine="991"/>
        <w:spacing w:after="0" w:line="255" w:lineRule="auto"/>
        <w:rPr>
          <w:sz w:val="20"/>
          <w:szCs w:val="20"/>
          <w:color w:val="auto"/>
        </w:rPr>
      </w:pPr>
      <w:r>
        <w:rPr>
          <w:rFonts w:ascii="Arial" w:cs="Arial" w:eastAsia="Arial" w:hAnsi="Arial"/>
          <w:sz w:val="18"/>
          <w:szCs w:val="18"/>
          <w:b w:val="1"/>
          <w:bCs w:val="1"/>
          <w:color w:val="auto"/>
        </w:rPr>
        <w:t>During the Term and any extension thereof, the Tenant shall have access to and shall be granted the right to use all existing equipment currently in the Leased Premises as approximately shown in Schedule “I” hereof (the “Equipment”), at no additional cost. The Tenant accepts the Equipment in its “as is” existing condition. The Tenant shall maintain, repair and replace the Equipment at its sole cost during the Term and any extension thereof. The Tenant agrees to return all Equipment to the Landlord at the expiry of the Term or any renewal thereof, in the condition it was in at the time of the Tenant’s taking of possession of the Leased Premises, ordinary wear and tear excepted. However, it is agreed that any Equipment that has been entirely replaced by Tenant, at the Tenant’s cost, shall become the Tenant’s property at the expiry of the Lease.</w:t>
      </w:r>
    </w:p>
    <w:p>
      <w:pPr>
        <w:spacing w:after="0" w:line="3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6"/>
          <w:szCs w:val="16"/>
          <w:b w:val="1"/>
          <w:bCs w:val="1"/>
          <w:u w:val="single" w:color="auto"/>
          <w:color w:val="auto"/>
        </w:rPr>
        <w:t>Quiet Enjoyment</w:t>
      </w:r>
    </w:p>
    <w:p>
      <w:pPr>
        <w:spacing w:after="0" w:line="121" w:lineRule="exact"/>
        <w:rPr>
          <w:sz w:val="20"/>
          <w:szCs w:val="20"/>
          <w:color w:val="auto"/>
        </w:rPr>
      </w:pPr>
    </w:p>
    <w:p>
      <w:pPr>
        <w:jc w:val="both"/>
        <w:ind w:right="220" w:firstLine="991"/>
        <w:spacing w:after="0" w:line="263" w:lineRule="auto"/>
        <w:rPr>
          <w:sz w:val="20"/>
          <w:szCs w:val="20"/>
          <w:color w:val="auto"/>
        </w:rPr>
      </w:pPr>
      <w:r>
        <w:rPr>
          <w:rFonts w:ascii="Arial" w:cs="Arial" w:eastAsia="Arial" w:hAnsi="Arial"/>
          <w:sz w:val="18"/>
          <w:szCs w:val="18"/>
          <w:color w:val="auto"/>
        </w:rPr>
        <w:t>If the Tenant pays the Rent hereby reserved and observes and performs the covenants on its part contained in this Lease, then the Tenant may peaceably possess and enjoy the Leased Premises for the Term hereby granted without disturbance from the Landlord or any other party lawfully claiming by, from or under the Landlord.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0"/>
          </w:cols>
          <w:pgMar w:left="440" w:top="270" w:right="459" w:bottom="1440" w:gutter="0" w:footer="0" w:header="0"/>
        </w:sectPr>
      </w:pPr>
    </w:p>
    <w:bookmarkStart w:id="424" w:name="page425"/>
    <w:bookmarkEnd w:id="4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2 - RENT</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b w:val="1"/>
          <w:bCs w:val="1"/>
          <w:u w:val="single" w:color="auto"/>
          <w:color w:val="auto"/>
        </w:rPr>
        <w:t>Intent of Lease</w:t>
      </w:r>
    </w:p>
    <w:p>
      <w:pPr>
        <w:spacing w:after="0" w:line="121" w:lineRule="exact"/>
        <w:rPr>
          <w:sz w:val="20"/>
          <w:szCs w:val="20"/>
          <w:color w:val="auto"/>
        </w:rPr>
      </w:pPr>
    </w:p>
    <w:p>
      <w:pPr>
        <w:ind w:right="20" w:firstLine="991"/>
        <w:spacing w:after="0" w:line="288" w:lineRule="auto"/>
        <w:rPr>
          <w:sz w:val="20"/>
          <w:szCs w:val="20"/>
          <w:color w:val="auto"/>
        </w:rPr>
      </w:pPr>
      <w:r>
        <w:rPr>
          <w:rFonts w:ascii="Arial" w:cs="Arial" w:eastAsia="Arial" w:hAnsi="Arial"/>
          <w:sz w:val="16"/>
          <w:szCs w:val="16"/>
          <w:color w:val="auto"/>
        </w:rPr>
        <w:t>The Tenant acknowledges that it is intended and agreed that this is a completely carefree net lease for the Landlord except as expressly hereinafter set out and it is the mutual intention of the parties hereto that the Basic Rent herein provided to be paid shall be net to the Landlord clear of all taxes, costs, charges, expenses and outlays arising from or relating to the Property and that the Tenant shall bear its Proportionate Share of all costs relating to the operation, maintenance and repair of the Property (save only as otherwise specifically set out in this Lease) including, and without limiting the generality of the foregoing, the Tenant’s Proportionate Share of Taxes and Operating Costs and all taxes, costs, charges, expenses and outlays of any nature or kind whatsoever relating to the Leased Premises, the use and occupancy thereof, the contents thereof and the business carried on therein. Any amount and any obligation which is not expressly declared herein to be that of the Landlord pertaining to the Property or the Leased Premises shall be deemed to be the obligation of the Tenant to be performed by or at the Tenant’s expense. Charges of a kind personal to the Landlord such as taxes assessed upon the income of the Landlord and principal and interest payments to be made by the Landlord in satisfaction of hypothecs now or hereafter registered against the Property shall not be the responsibility or obligation of the Tenant.</w:t>
      </w:r>
    </w:p>
    <w:p>
      <w:pPr>
        <w:spacing w:after="0" w:line="3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5"/>
          <w:szCs w:val="15"/>
          <w:b w:val="1"/>
          <w:bCs w:val="1"/>
          <w:u w:val="single" w:color="auto"/>
          <w:color w:val="auto"/>
        </w:rPr>
        <w:t>Basic Rent</w:t>
      </w:r>
    </w:p>
    <w:p>
      <w:pPr>
        <w:spacing w:after="0" w:line="121" w:lineRule="exact"/>
        <w:rPr>
          <w:sz w:val="20"/>
          <w:szCs w:val="20"/>
          <w:color w:val="auto"/>
        </w:rPr>
      </w:pPr>
    </w:p>
    <w:p>
      <w:pPr>
        <w:ind w:right="240" w:firstLine="991"/>
        <w:spacing w:after="0" w:line="257" w:lineRule="auto"/>
        <w:rPr>
          <w:sz w:val="20"/>
          <w:szCs w:val="20"/>
          <w:color w:val="auto"/>
        </w:rPr>
      </w:pPr>
      <w:r>
        <w:rPr>
          <w:rFonts w:ascii="Arial" w:cs="Arial" w:eastAsia="Arial" w:hAnsi="Arial"/>
          <w:sz w:val="18"/>
          <w:szCs w:val="18"/>
          <w:color w:val="auto"/>
        </w:rPr>
        <w:t>The Tenant covenants and agrees to pay to the Landlord, without any prior demand therefor and without any deduction, abatement or set-off whatsoever from and after the Commencement Date, a Basic Rent for the Leased Premises payable, in lawful money of Canada to be paid in advance in equal consecutive monthly instalments on the first day of each and every month during the Term (the first of such payments to be made on the Commencement Date of the Term) as follows, subject to adjustment based on measurement of the Rentable Area of the Leased Premises to be performed by Landlord’s Architect: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jc w:val="center"/>
              <w:spacing w:after="0"/>
              <w:rPr>
                <w:sz w:val="20"/>
                <w:szCs w:val="20"/>
                <w:color w:val="auto"/>
              </w:rPr>
            </w:pPr>
            <w:r>
              <w:rPr>
                <w:rFonts w:ascii="Arial" w:cs="Arial" w:eastAsia="Arial" w:hAnsi="Arial"/>
                <w:sz w:val="14"/>
                <w:szCs w:val="14"/>
                <w:b w:val="1"/>
                <w:bCs w:val="1"/>
                <w:color w:val="auto"/>
                <w:w w:val="94"/>
              </w:rPr>
              <w:t>Period of the Time</w:t>
            </w:r>
          </w:p>
        </w:tc>
        <w:tc>
          <w:tcPr>
            <w:tcW w:w="304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Rate per Square Foot Per Annum</w:t>
            </w:r>
          </w:p>
        </w:tc>
        <w:tc>
          <w:tcPr>
            <w:tcW w:w="2540" w:type="dxa"/>
            <w:vAlign w:val="bottom"/>
          </w:tcPr>
          <w:p>
            <w:pPr>
              <w:jc w:val="center"/>
              <w:ind w:right="76"/>
              <w:spacing w:after="0"/>
              <w:rPr>
                <w:sz w:val="20"/>
                <w:szCs w:val="20"/>
                <w:color w:val="auto"/>
              </w:rPr>
            </w:pPr>
            <w:r>
              <w:rPr>
                <w:rFonts w:ascii="Arial" w:cs="Arial" w:eastAsia="Arial" w:hAnsi="Arial"/>
                <w:sz w:val="14"/>
                <w:szCs w:val="14"/>
                <w:b w:val="1"/>
                <w:bCs w:val="1"/>
                <w:color w:val="auto"/>
                <w:w w:val="93"/>
              </w:rPr>
              <w:t>Monthly Basic Rent</w:t>
            </w:r>
          </w:p>
        </w:tc>
        <w:tc>
          <w:tcPr>
            <w:tcW w:w="2500" w:type="dxa"/>
            <w:vAlign w:val="bottom"/>
          </w:tcPr>
          <w:p>
            <w:pPr>
              <w:jc w:val="center"/>
              <w:ind w:left="96"/>
              <w:spacing w:after="0"/>
              <w:rPr>
                <w:sz w:val="20"/>
                <w:szCs w:val="20"/>
                <w:color w:val="auto"/>
              </w:rPr>
            </w:pPr>
            <w:r>
              <w:rPr>
                <w:rFonts w:ascii="Arial" w:cs="Arial" w:eastAsia="Arial" w:hAnsi="Arial"/>
                <w:sz w:val="14"/>
                <w:szCs w:val="14"/>
                <w:b w:val="1"/>
                <w:bCs w:val="1"/>
                <w:color w:val="auto"/>
                <w:w w:val="93"/>
              </w:rPr>
              <w:t>Annual Basic Rent</w:t>
            </w:r>
          </w:p>
        </w:tc>
      </w:tr>
      <w:tr>
        <w:trPr>
          <w:trHeight w:val="216"/>
        </w:trPr>
        <w:tc>
          <w:tcPr>
            <w:tcW w:w="2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July 1, 2014 - June 30, 2017</w:t>
            </w:r>
          </w:p>
        </w:tc>
        <w:tc>
          <w:tcPr>
            <w:tcW w:w="3040" w:type="dxa"/>
            <w:vAlign w:val="bottom"/>
            <w:shd w:val="clear" w:color="auto" w:fill="CCEEFF"/>
          </w:tcPr>
          <w:p>
            <w:pPr>
              <w:jc w:val="center"/>
              <w:ind w:right="96"/>
              <w:spacing w:after="0"/>
              <w:rPr>
                <w:sz w:val="20"/>
                <w:szCs w:val="20"/>
                <w:color w:val="auto"/>
              </w:rPr>
            </w:pPr>
            <w:r>
              <w:rPr>
                <w:rFonts w:ascii="Arial" w:cs="Arial" w:eastAsia="Arial" w:hAnsi="Arial"/>
                <w:sz w:val="18"/>
                <w:szCs w:val="18"/>
                <w:b w:val="1"/>
                <w:bCs w:val="1"/>
                <w:color w:val="auto"/>
                <w:w w:val="90"/>
              </w:rPr>
              <w:t>$14.50</w:t>
            </w:r>
          </w:p>
        </w:tc>
        <w:tc>
          <w:tcPr>
            <w:tcW w:w="2540" w:type="dxa"/>
            <w:vAlign w:val="bottom"/>
            <w:shd w:val="clear" w:color="auto" w:fill="CCEEFF"/>
          </w:tcPr>
          <w:p>
            <w:pPr>
              <w:jc w:val="center"/>
              <w:ind w:right="96"/>
              <w:spacing w:after="0"/>
              <w:rPr>
                <w:sz w:val="20"/>
                <w:szCs w:val="20"/>
                <w:color w:val="auto"/>
              </w:rPr>
            </w:pPr>
            <w:r>
              <w:rPr>
                <w:rFonts w:ascii="Arial" w:cs="Arial" w:eastAsia="Arial" w:hAnsi="Arial"/>
                <w:sz w:val="18"/>
                <w:szCs w:val="18"/>
                <w:b w:val="1"/>
                <w:bCs w:val="1"/>
                <w:color w:val="auto"/>
                <w:w w:val="88"/>
              </w:rPr>
              <w:t>$11,351.08</w:t>
            </w:r>
          </w:p>
        </w:tc>
        <w:tc>
          <w:tcPr>
            <w:tcW w:w="2500" w:type="dxa"/>
            <w:vAlign w:val="bottom"/>
            <w:shd w:val="clear" w:color="auto" w:fill="CCEEFF"/>
          </w:tcPr>
          <w:p>
            <w:pPr>
              <w:jc w:val="center"/>
              <w:ind w:left="76"/>
              <w:spacing w:after="0"/>
              <w:rPr>
                <w:sz w:val="20"/>
                <w:szCs w:val="20"/>
                <w:color w:val="auto"/>
              </w:rPr>
            </w:pPr>
            <w:r>
              <w:rPr>
                <w:rFonts w:ascii="Arial" w:cs="Arial" w:eastAsia="Arial" w:hAnsi="Arial"/>
                <w:sz w:val="18"/>
                <w:szCs w:val="18"/>
                <w:b w:val="1"/>
                <w:bCs w:val="1"/>
                <w:color w:val="auto"/>
                <w:w w:val="89"/>
              </w:rPr>
              <w:t>$136,213.00</w:t>
            </w:r>
          </w:p>
        </w:tc>
      </w:tr>
      <w:tr>
        <w:trPr>
          <w:trHeight w:val="234"/>
        </w:trPr>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1"/>
              </w:rPr>
              <w:t>July 1, 2017 - July 31, 2021</w:t>
            </w:r>
          </w:p>
        </w:tc>
        <w:tc>
          <w:tcPr>
            <w:tcW w:w="3040" w:type="dxa"/>
            <w:vAlign w:val="bottom"/>
          </w:tcPr>
          <w:p>
            <w:pPr>
              <w:jc w:val="center"/>
              <w:ind w:right="96"/>
              <w:spacing w:after="0"/>
              <w:rPr>
                <w:sz w:val="20"/>
                <w:szCs w:val="20"/>
                <w:color w:val="auto"/>
              </w:rPr>
            </w:pPr>
            <w:r>
              <w:rPr>
                <w:rFonts w:ascii="Arial" w:cs="Arial" w:eastAsia="Arial" w:hAnsi="Arial"/>
                <w:sz w:val="18"/>
                <w:szCs w:val="18"/>
                <w:b w:val="1"/>
                <w:bCs w:val="1"/>
                <w:color w:val="auto"/>
                <w:w w:val="90"/>
              </w:rPr>
              <w:t>$16.50</w:t>
            </w:r>
          </w:p>
        </w:tc>
        <w:tc>
          <w:tcPr>
            <w:tcW w:w="2540" w:type="dxa"/>
            <w:vAlign w:val="bottom"/>
          </w:tcPr>
          <w:p>
            <w:pPr>
              <w:jc w:val="center"/>
              <w:ind w:right="96"/>
              <w:spacing w:after="0"/>
              <w:rPr>
                <w:sz w:val="20"/>
                <w:szCs w:val="20"/>
                <w:color w:val="auto"/>
              </w:rPr>
            </w:pPr>
            <w:r>
              <w:rPr>
                <w:rFonts w:ascii="Arial" w:cs="Arial" w:eastAsia="Arial" w:hAnsi="Arial"/>
                <w:sz w:val="18"/>
                <w:szCs w:val="18"/>
                <w:b w:val="1"/>
                <w:bCs w:val="1"/>
                <w:color w:val="auto"/>
                <w:w w:val="88"/>
              </w:rPr>
              <w:t>$12,916.75</w:t>
            </w:r>
          </w:p>
        </w:tc>
        <w:tc>
          <w:tcPr>
            <w:tcW w:w="2500" w:type="dxa"/>
            <w:vAlign w:val="bottom"/>
          </w:tcPr>
          <w:p>
            <w:pPr>
              <w:jc w:val="center"/>
              <w:ind w:left="76"/>
              <w:spacing w:after="0"/>
              <w:rPr>
                <w:sz w:val="20"/>
                <w:szCs w:val="20"/>
                <w:color w:val="auto"/>
              </w:rPr>
            </w:pPr>
            <w:r>
              <w:rPr>
                <w:rFonts w:ascii="Arial" w:cs="Arial" w:eastAsia="Arial" w:hAnsi="Arial"/>
                <w:sz w:val="18"/>
                <w:szCs w:val="18"/>
                <w:b w:val="1"/>
                <w:bCs w:val="1"/>
                <w:color w:val="auto"/>
                <w:w w:val="89"/>
              </w:rPr>
              <w:t>$155,001.00</w:t>
            </w:r>
          </w:p>
        </w:tc>
      </w:tr>
    </w:tbl>
    <w:p>
      <w:pPr>
        <w:spacing w:after="0" w:line="183"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If the Term commences on any day other than the first or ends on any day other than the last day of a month, then Basic Rent for the fractions of a month at the commencement and at the end of the Term shall be adjusted pro rata with the Basic Rent payable for such month being that amount equal to the Basic Rent for the full month multiplied by a fraction having as its numerator, the number of days in such month during the Term and as its denominator, the number of days in such month.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20"/>
          </w:cols>
          <w:pgMar w:left="440" w:top="270" w:right="439" w:bottom="1440" w:gutter="0" w:footer="0" w:header="0"/>
        </w:sectPr>
      </w:pPr>
    </w:p>
    <w:bookmarkStart w:id="425" w:name="page426"/>
    <w:bookmarkEnd w:id="425"/>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2.03</w:t>
      </w:r>
      <w:r>
        <w:rPr>
          <w:sz w:val="20"/>
          <w:szCs w:val="20"/>
          <w:color w:val="auto"/>
        </w:rPr>
        <w:tab/>
      </w:r>
      <w:r>
        <w:rPr>
          <w:rFonts w:ascii="Arial" w:cs="Arial" w:eastAsia="Arial" w:hAnsi="Arial"/>
          <w:sz w:val="16"/>
          <w:szCs w:val="16"/>
          <w:b w:val="1"/>
          <w:bCs w:val="1"/>
          <w:u w:val="single" w:color="auto"/>
          <w:color w:val="auto"/>
        </w:rPr>
        <w:t>Calculation of Basic Rent</w:t>
      </w:r>
    </w:p>
    <w:p>
      <w:pPr>
        <w:spacing w:after="0" w:line="121"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 xml:space="preserve">The Basic Rent is calculated on the basis of the Rentable Area of the Leased Premises multiplied by the rate per square foot per annum set out in Section 2.02 above. </w:t>
      </w:r>
      <w:r>
        <w:rPr>
          <w:rFonts w:ascii="Arial" w:cs="Arial" w:eastAsia="Arial" w:hAnsi="Arial"/>
          <w:sz w:val="18"/>
          <w:szCs w:val="18"/>
          <w:b w:val="1"/>
          <w:bCs w:val="1"/>
          <w:color w:val="auto"/>
        </w:rPr>
        <w:t>The Landlord shall cause the Leased Premises to be measured in accordance with the 1996 BOMA standards of</w:t>
      </w:r>
      <w:r>
        <w:rPr>
          <w:rFonts w:ascii="Arial" w:cs="Arial" w:eastAsia="Arial" w:hAnsi="Arial"/>
          <w:sz w:val="18"/>
          <w:szCs w:val="18"/>
          <w:color w:val="auto"/>
        </w:rPr>
        <w:t xml:space="preserve"> </w:t>
      </w:r>
      <w:r>
        <w:rPr>
          <w:rFonts w:ascii="Arial" w:cs="Arial" w:eastAsia="Arial" w:hAnsi="Arial"/>
          <w:sz w:val="18"/>
          <w:szCs w:val="18"/>
          <w:b w:val="1"/>
          <w:bCs w:val="1"/>
          <w:color w:val="auto"/>
        </w:rPr>
        <w:t>measurement for office buildings. The certificate of the Landlord’s Architect regarding such measurement of the rentable area of the Leased Premises shall be conclusive and binding upon the Tenant and Basic Rent, Additional Rent and all other amounts calculated with reference to the Rentable Area of the Leased Premises and the Tenant’s Proportionate Share shall be adjusted accordingly, such adjustment to be retroactive to the Commencement Date.</w:t>
      </w:r>
    </w:p>
    <w:p>
      <w:pPr>
        <w:spacing w:after="0" w:line="3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u w:val="single" w:color="auto"/>
          <w:color w:val="auto"/>
        </w:rPr>
        <w:t>Additional Rent</w:t>
      </w:r>
    </w:p>
    <w:p>
      <w:pPr>
        <w:spacing w:after="0" w:line="121"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The Tenant shall pay Additional Rent due and owing to the Landlord within ten (10) days of written demand therefor or as otherwise hereinafter expressly set out and all other Additional Rent on the due date thereof.</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5"/>
          <w:szCs w:val="15"/>
          <w:b w:val="1"/>
          <w:bCs w:val="1"/>
          <w:u w:val="single" w:color="auto"/>
          <w:color w:val="auto"/>
        </w:rPr>
        <w:t>Security Deposit</w:t>
      </w:r>
    </w:p>
    <w:p>
      <w:pPr>
        <w:spacing w:after="0" w:line="117" w:lineRule="exact"/>
        <w:rPr>
          <w:sz w:val="20"/>
          <w:szCs w:val="20"/>
          <w:color w:val="auto"/>
        </w:rPr>
      </w:pPr>
    </w:p>
    <w:p>
      <w:pPr>
        <w:ind w:right="240" w:firstLine="991"/>
        <w:spacing w:after="0" w:line="298" w:lineRule="auto"/>
        <w:rPr>
          <w:sz w:val="20"/>
          <w:szCs w:val="20"/>
          <w:color w:val="auto"/>
        </w:rPr>
      </w:pPr>
      <w:r>
        <w:rPr>
          <w:rFonts w:ascii="Arial" w:cs="Arial" w:eastAsia="Arial" w:hAnsi="Arial"/>
          <w:sz w:val="16"/>
          <w:szCs w:val="16"/>
          <w:b w:val="1"/>
          <w:bCs w:val="1"/>
          <w:color w:val="auto"/>
        </w:rPr>
        <w:t>Concurrently with the execution of this Lease, Tenant will execute and deliver to Landlord, Landlord’s standard form of Agreement Regarding Letter of Credit and Other Security, attached hereto as Schedule “G” (the “Security Agreement”) and will furnish to Landlord a security deposit in the amount of ONE HUNDRED THIRTY-FIVE THOUSAND DOLLARS ($135,000.00) (the “Security Deposit”), by way of an irrevocable standby letter of credit, issued by a Schedule I Canadian chartered bank, the whole in accordance to the provisions of the Security Agreement. The Security Deposit shall be governed by the provisions of the Security Agreement.</w:t>
      </w:r>
    </w:p>
    <w:p>
      <w:pPr>
        <w:spacing w:after="0" w:line="3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2.06</w:t>
      </w:r>
      <w:r>
        <w:rPr>
          <w:sz w:val="20"/>
          <w:szCs w:val="20"/>
          <w:color w:val="auto"/>
        </w:rPr>
        <w:tab/>
      </w:r>
      <w:r>
        <w:rPr>
          <w:rFonts w:ascii="Arial" w:cs="Arial" w:eastAsia="Arial" w:hAnsi="Arial"/>
          <w:sz w:val="16"/>
          <w:szCs w:val="16"/>
          <w:b w:val="1"/>
          <w:bCs w:val="1"/>
          <w:u w:val="single" w:color="auto"/>
          <w:color w:val="auto"/>
        </w:rPr>
        <w:t>Payments to Landlord</w:t>
      </w:r>
    </w:p>
    <w:p>
      <w:pPr>
        <w:spacing w:after="0" w:line="121" w:lineRule="exact"/>
        <w:rPr>
          <w:sz w:val="20"/>
          <w:szCs w:val="20"/>
          <w:color w:val="auto"/>
        </w:rPr>
      </w:pPr>
    </w:p>
    <w:p>
      <w:pPr>
        <w:ind w:right="300" w:firstLine="991"/>
        <w:spacing w:after="0" w:line="342" w:lineRule="auto"/>
        <w:rPr>
          <w:sz w:val="20"/>
          <w:szCs w:val="20"/>
          <w:color w:val="auto"/>
        </w:rPr>
      </w:pPr>
      <w:r>
        <w:rPr>
          <w:rFonts w:ascii="Arial" w:cs="Arial" w:eastAsia="Arial" w:hAnsi="Arial"/>
          <w:sz w:val="16"/>
          <w:szCs w:val="16"/>
          <w:color w:val="auto"/>
        </w:rPr>
        <w:t>All payments to be made by the Tenant to the Landlord under this Lease shall be made at the address hereinafter designated or, at such other place or places as the Landlord may designate in writing, or to such agent of the Landlord as the Landlord may from time to time direct.</w:t>
      </w: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2.07</w:t>
      </w:r>
      <w:r>
        <w:rPr>
          <w:sz w:val="20"/>
          <w:szCs w:val="20"/>
          <w:color w:val="auto"/>
        </w:rPr>
        <w:tab/>
      </w:r>
      <w:r>
        <w:rPr>
          <w:rFonts w:ascii="Arial" w:cs="Arial" w:eastAsia="Arial" w:hAnsi="Arial"/>
          <w:sz w:val="16"/>
          <w:szCs w:val="16"/>
          <w:b w:val="1"/>
          <w:bCs w:val="1"/>
          <w:u w:val="single" w:color="auto"/>
          <w:color w:val="auto"/>
        </w:rPr>
        <w:t>Overdue Rent</w:t>
      </w:r>
    </w:p>
    <w:p>
      <w:pPr>
        <w:spacing w:after="0" w:line="12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Tenant covenants to pay the Basic Rent, Additional Rent and all other charges provided for in this Lease on their respective due dates in full. The Tenant shall pay the Landlord interest on all overdue Rent, all such interest to be calculated from the date upon which the amount is first due hereunder until actual payment thereof and at a rate [Intentionally Deleted] equal to the minimum lending rate charged to prime commercial borrowers by the Landlord’s bank from time to time.</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2.08</w:t>
      </w:r>
      <w:r>
        <w:rPr>
          <w:sz w:val="20"/>
          <w:szCs w:val="20"/>
          <w:color w:val="auto"/>
        </w:rPr>
        <w:tab/>
      </w:r>
      <w:r>
        <w:rPr>
          <w:rFonts w:ascii="Arial" w:cs="Arial" w:eastAsia="Arial" w:hAnsi="Arial"/>
          <w:sz w:val="16"/>
          <w:szCs w:val="16"/>
          <w:b w:val="1"/>
          <w:bCs w:val="1"/>
          <w:u w:val="single" w:color="auto"/>
          <w:color w:val="auto"/>
        </w:rPr>
        <w:t>Set-Off</w:t>
      </w:r>
    </w:p>
    <w:p>
      <w:pPr>
        <w:spacing w:after="0" w:line="121"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All Rent payable by the Tenant to the Landlord shall be paid without any deduction, set-off or abatement whatsoever except as hereinafter expressly provided.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60"/>
          </w:cols>
          <w:pgMar w:left="440" w:top="270" w:right="499" w:bottom="1440" w:gutter="0" w:footer="0" w:header="0"/>
        </w:sectPr>
      </w:pPr>
    </w:p>
    <w:bookmarkStart w:id="426" w:name="page427"/>
    <w:bookmarkEnd w:id="426"/>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2.09</w:t>
      </w:r>
      <w:r>
        <w:rPr>
          <w:sz w:val="20"/>
          <w:szCs w:val="20"/>
          <w:color w:val="auto"/>
        </w:rPr>
        <w:tab/>
      </w:r>
      <w:r>
        <w:rPr>
          <w:rFonts w:ascii="Arial" w:cs="Arial" w:eastAsia="Arial" w:hAnsi="Arial"/>
          <w:sz w:val="16"/>
          <w:szCs w:val="16"/>
          <w:b w:val="1"/>
          <w:bCs w:val="1"/>
          <w:u w:val="single" w:color="auto"/>
          <w:color w:val="auto"/>
        </w:rPr>
        <w:t>Review of Tenant’s Financial Statements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If the Tenant is late in the payment of any Rent (or any part thereof) in any </w:t>
      </w:r>
      <w:r>
        <w:rPr>
          <w:rFonts w:ascii="Arial" w:cs="Arial" w:eastAsia="Arial" w:hAnsi="Arial"/>
          <w:sz w:val="16"/>
          <w:szCs w:val="16"/>
          <w:b w:val="1"/>
          <w:bCs w:val="1"/>
          <w:color w:val="auto"/>
        </w:rPr>
        <w:t>three (3)</w:t>
      </w:r>
      <w:r>
        <w:rPr>
          <w:rFonts w:ascii="Arial" w:cs="Arial" w:eastAsia="Arial" w:hAnsi="Arial"/>
          <w:sz w:val="16"/>
          <w:szCs w:val="16"/>
          <w:color w:val="auto"/>
        </w:rPr>
        <w:t xml:space="preserve"> consecutive months or more than twice in any twelve</w:t>
      </w:r>
    </w:p>
    <w:p>
      <w:pPr>
        <w:spacing w:after="0" w:line="50" w:lineRule="exact"/>
        <w:rPr>
          <w:sz w:val="20"/>
          <w:szCs w:val="20"/>
          <w:color w:val="auto"/>
        </w:rPr>
      </w:pPr>
    </w:p>
    <w:p>
      <w:pPr>
        <w:ind w:left="4" w:right="80" w:hanging="4"/>
        <w:spacing w:after="0" w:line="273" w:lineRule="auto"/>
        <w:tabs>
          <w:tab w:leader="none" w:pos="349" w:val="left"/>
        </w:tabs>
        <w:numPr>
          <w:ilvl w:val="0"/>
          <w:numId w:val="252"/>
        </w:numPr>
        <w:rPr>
          <w:rFonts w:ascii="Arial" w:cs="Arial" w:eastAsia="Arial" w:hAnsi="Arial"/>
          <w:sz w:val="17"/>
          <w:szCs w:val="17"/>
          <w:color w:val="auto"/>
        </w:rPr>
      </w:pPr>
      <w:r>
        <w:rPr>
          <w:rFonts w:ascii="Arial" w:cs="Arial" w:eastAsia="Arial" w:hAnsi="Arial"/>
          <w:sz w:val="17"/>
          <w:szCs w:val="17"/>
          <w:color w:val="auto"/>
        </w:rPr>
        <w:t xml:space="preserve">month period, then the Tenant shall </w:t>
      </w:r>
      <w:r>
        <w:rPr>
          <w:rFonts w:ascii="Arial" w:cs="Arial" w:eastAsia="Arial" w:hAnsi="Arial"/>
          <w:sz w:val="17"/>
          <w:szCs w:val="17"/>
          <w:b w:val="1"/>
          <w:bCs w:val="1"/>
          <w:i w:val="1"/>
          <w:iCs w:val="1"/>
          <w:color w:val="auto"/>
        </w:rPr>
        <w:t>[Intentionally Deleted]</w:t>
      </w:r>
      <w:r>
        <w:rPr>
          <w:rFonts w:ascii="Arial" w:cs="Arial" w:eastAsia="Arial" w:hAnsi="Arial"/>
          <w:sz w:val="17"/>
          <w:szCs w:val="17"/>
          <w:color w:val="auto"/>
        </w:rPr>
        <w:t xml:space="preserve"> </w:t>
      </w:r>
      <w:r>
        <w:rPr>
          <w:rFonts w:ascii="Arial" w:cs="Arial" w:eastAsia="Arial" w:hAnsi="Arial"/>
          <w:sz w:val="17"/>
          <w:szCs w:val="17"/>
          <w:b w:val="1"/>
          <w:bCs w:val="1"/>
          <w:color w:val="auto"/>
        </w:rPr>
        <w:t>make available to the Landlord</w:t>
      </w:r>
      <w:r>
        <w:rPr>
          <w:rFonts w:ascii="Arial" w:cs="Arial" w:eastAsia="Arial" w:hAnsi="Arial"/>
          <w:sz w:val="17"/>
          <w:szCs w:val="17"/>
          <w:color w:val="auto"/>
        </w:rPr>
        <w:t xml:space="preserve"> financial records and books of account of the Tenant as may be required by the Landlord so as to adequately enable it to determine to its satisfaction the financial status of the Tenant. </w:t>
      </w:r>
      <w:r>
        <w:rPr>
          <w:rFonts w:ascii="Arial" w:cs="Arial" w:eastAsia="Arial" w:hAnsi="Arial"/>
          <w:sz w:val="17"/>
          <w:szCs w:val="17"/>
          <w:b w:val="1"/>
          <w:bCs w:val="1"/>
          <w:color w:val="auto"/>
        </w:rPr>
        <w:t>The Tenant shall</w:t>
      </w:r>
      <w:r>
        <w:rPr>
          <w:rFonts w:ascii="Arial" w:cs="Arial" w:eastAsia="Arial" w:hAnsi="Arial"/>
          <w:sz w:val="17"/>
          <w:szCs w:val="17"/>
          <w:color w:val="auto"/>
        </w:rPr>
        <w:t xml:space="preserve"> </w:t>
      </w:r>
      <w:r>
        <w:rPr>
          <w:rFonts w:ascii="Arial" w:cs="Arial" w:eastAsia="Arial" w:hAnsi="Arial"/>
          <w:sz w:val="17"/>
          <w:szCs w:val="17"/>
          <w:b w:val="1"/>
          <w:bCs w:val="1"/>
          <w:color w:val="auto"/>
        </w:rPr>
        <w:t>promptly provide the Landlord access to all such financial records and books of account at the Tenant’s head office (or at such any other office maintained by the Tenant in Québec) during Normal Business Hours upon reasonable prior notice.</w:t>
      </w:r>
    </w:p>
    <w:p>
      <w:pPr>
        <w:spacing w:after="0" w:line="32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u w:val="single" w:color="auto"/>
          <w:color w:val="auto"/>
        </w:rPr>
        <w:t>Pre-Authorized Bank Debit or Post-Dated Cheques</w:t>
      </w:r>
    </w:p>
    <w:p>
      <w:pPr>
        <w:spacing w:after="0" w:line="121" w:lineRule="exact"/>
        <w:rPr>
          <w:sz w:val="20"/>
          <w:szCs w:val="20"/>
          <w:color w:val="auto"/>
        </w:rPr>
      </w:pPr>
    </w:p>
    <w:p>
      <w:pPr>
        <w:ind w:left="4" w:right="20" w:firstLine="991"/>
        <w:spacing w:after="0" w:line="255" w:lineRule="auto"/>
        <w:rPr>
          <w:sz w:val="20"/>
          <w:szCs w:val="20"/>
          <w:color w:val="auto"/>
        </w:rPr>
      </w:pPr>
      <w:r>
        <w:rPr>
          <w:rFonts w:ascii="Arial" w:cs="Arial" w:eastAsia="Arial" w:hAnsi="Arial"/>
          <w:sz w:val="18"/>
          <w:szCs w:val="18"/>
          <w:color w:val="auto"/>
        </w:rPr>
        <w:t>If the Tenant is late in the payment of any Rent (or any part thereof) at any time, then the Tenant shall forthwith provide the Landlord upon demand with such written authorizations as may be required from time to time to debit the Tenant’s bank account in favour of the Landlord for outstanding amounts owing by the Tenant to the Landlord under the Lease, or, at the Landlord’s option, the Tenant shall provide the Landlord with post-dated cheques for the monthly payments of Basic Rent and estimated Additional Rent for the next twelve (12) months of the Term and shall, prior to the end of each Year, provide the Landlord with post-dated cheques for the monthly payments of Basic Rent and estimated Additional Rent in respect of the next Year, to the end of the Term.</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3 - TAXES</w:t>
      </w:r>
    </w:p>
    <w:p>
      <w:pPr>
        <w:spacing w:after="0" w:line="252"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6"/>
          <w:szCs w:val="16"/>
          <w:b w:val="1"/>
          <w:bCs w:val="1"/>
          <w:u w:val="single" w:color="auto"/>
          <w:color w:val="auto"/>
        </w:rPr>
        <w:t>Taxes Payable by Landlord</w:t>
      </w:r>
    </w:p>
    <w:p>
      <w:pPr>
        <w:spacing w:after="0" w:line="121"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The Landlord shall pay the Taxes to the applicable taxing authority, subject to reimbursement by the Tenant as hereinafter set out. The Landlord shall have no obligation to contest or litigate the imposition of any Taxes. The Landlord may defer payment of Taxes to the extent permitted by law if it diligently pursues or causes to be pursued the contest or appeal of the Taxes.</w:t>
      </w:r>
    </w:p>
    <w:p>
      <w:pPr>
        <w:spacing w:after="0" w:line="328"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5"/>
          <w:szCs w:val="15"/>
          <w:b w:val="1"/>
          <w:bCs w:val="1"/>
          <w:u w:val="single" w:color="auto"/>
          <w:color w:val="auto"/>
        </w:rPr>
        <w:t>Taxes Payable by Tenant</w:t>
      </w:r>
    </w:p>
    <w:p>
      <w:pPr>
        <w:spacing w:after="0" w:line="135" w:lineRule="exact"/>
        <w:rPr>
          <w:sz w:val="20"/>
          <w:szCs w:val="20"/>
          <w:color w:val="auto"/>
        </w:rPr>
      </w:pPr>
    </w:p>
    <w:p>
      <w:pPr>
        <w:ind w:left="964" w:right="320" w:hanging="532"/>
        <w:spacing w:after="0" w:line="310" w:lineRule="auto"/>
        <w:tabs>
          <w:tab w:leader="none" w:pos="964" w:val="left"/>
        </w:tabs>
        <w:numPr>
          <w:ilvl w:val="0"/>
          <w:numId w:val="253"/>
        </w:numPr>
        <w:rPr>
          <w:rFonts w:ascii="Arial" w:cs="Arial" w:eastAsia="Arial" w:hAnsi="Arial"/>
          <w:sz w:val="15"/>
          <w:szCs w:val="15"/>
          <w:color w:val="auto"/>
        </w:rPr>
      </w:pPr>
      <w:r>
        <w:rPr>
          <w:rFonts w:ascii="Arial" w:cs="Arial" w:eastAsia="Arial" w:hAnsi="Arial"/>
          <w:sz w:val="15"/>
          <w:szCs w:val="15"/>
          <w:color w:val="auto"/>
        </w:rPr>
        <w:t>If there is no separate assessment for Taxes with respect to the Leased Premises, or if there is a separate assessment, but such separate assessment, together with all other separate assessments relating to the Property do not aggregate the total assessment for Taxes for the Property (including its share of the Common Lot), then until such time as there is a separate assessment for Taxes with respect to the Leased Premises which, together with all other such separate assessments, aggregate the total assessment for Taxes for the Property (including its share of the Common Lot), the Tenant shall pay as Additional Rent its Proportionate Share of the Taxes for the Property (including its share of the Common Lot). If there is no separate assessment for Taxes as herein provided and the Property (including its share of the Common Lot) is not fully assessed as a commercial or industrial property for determination of Taxes in any Year, then the Landlord shall adjust the Taxes to an amount that would have been determined if the Property (including its share of the Common Lot) were fully assessed as a commercial or industrial property. If the Leased Premises are at any time during the Term assessed for the</w:t>
      </w:r>
    </w:p>
    <w:p>
      <w:pPr>
        <w:spacing w:after="0" w:line="87" w:lineRule="exact"/>
        <w:rPr>
          <w:rFonts w:ascii="Arial" w:cs="Arial" w:eastAsia="Arial" w:hAnsi="Arial"/>
          <w:sz w:val="15"/>
          <w:szCs w:val="15"/>
          <w:color w:val="auto"/>
        </w:rPr>
      </w:pPr>
    </w:p>
    <w:p>
      <w:pPr>
        <w:ind w:left="5464" w:hanging="106"/>
        <w:spacing w:after="0"/>
        <w:tabs>
          <w:tab w:leader="none" w:pos="5464" w:val="left"/>
        </w:tabs>
        <w:numPr>
          <w:ilvl w:val="1"/>
          <w:numId w:val="253"/>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004"/>
          </w:cols>
          <w:pgMar w:left="436" w:top="270" w:right="459" w:bottom="1440" w:gutter="0" w:footer="0" w:header="0"/>
        </w:sectPr>
      </w:pPr>
    </w:p>
    <w:bookmarkStart w:id="427" w:name="page428"/>
    <w:bookmarkEnd w:id="427"/>
    <w:p>
      <w:pPr>
        <w:ind w:left="9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support of Separate Schools or if the Taxes are increased by reason of any installations made in or upon or any alterations made in or to the Leased Premises by the Tenant or by the Landlord on behalf of the Tenant, the Tenant shall pay the amount of such increase forthwith to the Landlord upon receipt of notice thereof.</w:t>
      </w:r>
    </w:p>
    <w:p>
      <w:pPr>
        <w:spacing w:after="0" w:line="89" w:lineRule="exact"/>
        <w:rPr>
          <w:sz w:val="20"/>
          <w:szCs w:val="20"/>
          <w:color w:val="auto"/>
        </w:rPr>
      </w:pPr>
    </w:p>
    <w:p>
      <w:pPr>
        <w:ind w:left="960" w:right="100" w:hanging="532"/>
        <w:spacing w:after="0" w:line="296" w:lineRule="auto"/>
        <w:tabs>
          <w:tab w:leader="none" w:pos="96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If there is a separate assessment for Taxes with respect to the Leased Premises, and if such separate assessment together with all other separate assessments for the Property (including its share of the Common Lot), aggregate the total assessment for Taxes for the Property (including its share of the Common Lot), the Tenant shall pay as Additional Rent the amount calculated by multiplying the assessment for the Leased Premises by the applicable tax rate, which amount shall, for the purposes of this paragraph only and notwithstanding anything else herein contained, be the Tenant’s “Proportionate Share” of Taxes for the Property (including its share of the Common Lot).</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5"/>
          <w:szCs w:val="15"/>
          <w:b w:val="1"/>
          <w:bCs w:val="1"/>
          <w:u w:val="single" w:color="auto"/>
          <w:color w:val="auto"/>
        </w:rPr>
        <w:t>Tenant’s Business and Other Taxes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In addition to the Taxes payable by the Tenant pursuant to Section 3.02, the Tenant shall pay to the lawful taxing authorities or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Landlord if the Landlord so directs:</w:t>
      </w:r>
    </w:p>
    <w:p>
      <w:pPr>
        <w:spacing w:after="0" w:line="116" w:lineRule="exact"/>
        <w:rPr>
          <w:sz w:val="20"/>
          <w:szCs w:val="20"/>
          <w:color w:val="auto"/>
        </w:rPr>
      </w:pPr>
    </w:p>
    <w:p>
      <w:pPr>
        <w:ind w:left="960" w:right="180" w:hanging="532"/>
        <w:spacing w:after="0" w:line="277" w:lineRule="auto"/>
        <w:tabs>
          <w:tab w:leader="none" w:pos="9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all taxes, rates, duties, assessments and other charges that are levied, rated, charged or assessed against or in respect of all improvements, equipment and facilities of the Tenant on or in the Leased Premises or the Property or any part thereof;</w:t>
      </w:r>
    </w:p>
    <w:p>
      <w:pPr>
        <w:spacing w:after="0" w:line="75" w:lineRule="exact"/>
        <w:rPr>
          <w:rFonts w:ascii="Arial" w:cs="Arial" w:eastAsia="Arial" w:hAnsi="Arial"/>
          <w:sz w:val="18"/>
          <w:szCs w:val="18"/>
          <w:color w:val="auto"/>
        </w:rPr>
      </w:pPr>
    </w:p>
    <w:p>
      <w:pPr>
        <w:ind w:left="960" w:right="180" w:hanging="532"/>
        <w:spacing w:after="0" w:line="257" w:lineRule="auto"/>
        <w:tabs>
          <w:tab w:leader="none" w:pos="9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every tax and license fee which is levied, rated, charged or assessed against or in respect of each and every business carried on in the Leased Premises or in respect of the use or occupancy thereof or any part of the Lands or the Building by the Tenant and every subtenant or licensee of the Tenant or against the Landlord on account of its interest in the Property, and whether in any case, any such taxes, rates, duties, assessments or license fees are rated, charged or assessed by any federal, provincial, municipal, school or other body during the Term; and</w:t>
      </w:r>
    </w:p>
    <w:p>
      <w:pPr>
        <w:spacing w:after="0" w:line="93" w:lineRule="exact"/>
        <w:rPr>
          <w:rFonts w:ascii="Arial" w:cs="Arial" w:eastAsia="Arial" w:hAnsi="Arial"/>
          <w:sz w:val="18"/>
          <w:szCs w:val="18"/>
          <w:color w:val="auto"/>
        </w:rPr>
      </w:pPr>
    </w:p>
    <w:p>
      <w:pPr>
        <w:ind w:left="960" w:right="360" w:hanging="532"/>
        <w:spacing w:after="0" w:line="286" w:lineRule="auto"/>
        <w:tabs>
          <w:tab w:leader="none" w:pos="96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full amount of any taxes in the nature of a business transfer tax, value added tax, sales tax or any other tax levied, rated, charged or assessed in respect of the Rent payable by the Tenant under this Lease or in respect of the rental of space under this Lease, whether characterized as a goods and services tax, sales tax, value added tax, business transfer tax or otherwise.</w:t>
      </w:r>
    </w:p>
    <w:p>
      <w:pPr>
        <w:spacing w:after="0" w:line="3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5"/>
          <w:szCs w:val="15"/>
          <w:b w:val="1"/>
          <w:bCs w:val="1"/>
          <w:u w:val="single" w:color="auto"/>
          <w:color w:val="auto"/>
        </w:rPr>
        <w:t>Payment of Taxes</w:t>
      </w:r>
    </w:p>
    <w:p>
      <w:pPr>
        <w:spacing w:after="0" w:line="131" w:lineRule="exact"/>
        <w:rPr>
          <w:sz w:val="20"/>
          <w:szCs w:val="20"/>
          <w:color w:val="auto"/>
        </w:rPr>
      </w:pPr>
    </w:p>
    <w:p>
      <w:pPr>
        <w:ind w:left="960" w:right="20" w:hanging="532"/>
        <w:spacing w:after="0" w:line="277" w:lineRule="auto"/>
        <w:tabs>
          <w:tab w:leader="none" w:pos="96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The Landlord shall be entitled at any time or times in any Year, upon at least </w:t>
      </w:r>
      <w:r>
        <w:rPr>
          <w:rFonts w:ascii="Arial" w:cs="Arial" w:eastAsia="Arial" w:hAnsi="Arial"/>
          <w:sz w:val="17"/>
          <w:szCs w:val="17"/>
          <w:b w:val="1"/>
          <w:bCs w:val="1"/>
          <w:color w:val="auto"/>
        </w:rPr>
        <w:t>thirty (30) days’</w:t>
      </w:r>
      <w:r>
        <w:rPr>
          <w:rFonts w:ascii="Arial" w:cs="Arial" w:eastAsia="Arial" w:hAnsi="Arial"/>
          <w:sz w:val="17"/>
          <w:szCs w:val="17"/>
          <w:color w:val="auto"/>
        </w:rPr>
        <w:t xml:space="preserve"> notice to the Tenant to require the Tenant to pay to the Landlord the Tenant’s Proportionate Share of the Taxes for such Year in equal monthly instalments. Such monthly amount shall be determined by dividing the Tenant’s Proportionate Share of Taxes by the number of months for the period from January 1st in each Year of the Term until the due date of the final instalment of Taxes as established by the applicable taxing authority from time to time in each Year (“Instalment Period”) and shall be paid by the Tenant to the Landlord, monthly as</w:t>
      </w:r>
    </w:p>
    <w:p>
      <w:pPr>
        <w:spacing w:after="0" w:line="104" w:lineRule="exact"/>
        <w:rPr>
          <w:rFonts w:ascii="Arial" w:cs="Arial" w:eastAsia="Arial" w:hAnsi="Arial"/>
          <w:sz w:val="17"/>
          <w:szCs w:val="17"/>
          <w:color w:val="auto"/>
        </w:rPr>
      </w:pPr>
    </w:p>
    <w:p>
      <w:pPr>
        <w:ind w:left="5460" w:hanging="106"/>
        <w:spacing w:after="0"/>
        <w:tabs>
          <w:tab w:leader="none" w:pos="546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000"/>
          </w:cols>
          <w:pgMar w:left="440" w:top="274" w:right="459" w:bottom="1440" w:gutter="0" w:footer="0" w:header="0"/>
        </w:sectPr>
      </w:pPr>
    </w:p>
    <w:bookmarkStart w:id="428" w:name="page429"/>
    <w:bookmarkEnd w:id="428"/>
    <w:p>
      <w:pPr>
        <w:ind w:left="980"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Additional Rent, on the date for payment of monthly rental payments during the Instalment Period. The Landlord shall be entitled subsequently during such Year, upon at least fifteen (15) days’ notice to the Tenant, to revise its estimate of the amount of increase of such Taxes and the said monthly instalment Initials Landlord shall be revised accordingly. All amounts received under this provision in any Year on account of the estimated amount of such Taxes shall be applied in reduction of the actual amount of such Taxes for such Year. If the amount received is less than the Tenant’s Proportionate Share of the actual Taxes, the Tenant shall pay any deficiency to the Landlord as Additional Rent within </w:t>
      </w:r>
      <w:r>
        <w:rPr>
          <w:rFonts w:ascii="Arial" w:cs="Arial" w:eastAsia="Arial" w:hAnsi="Arial"/>
          <w:sz w:val="16"/>
          <w:szCs w:val="16"/>
          <w:b w:val="1"/>
          <w:bCs w:val="1"/>
          <w:color w:val="auto"/>
        </w:rPr>
        <w:t>thirty (30)</w:t>
      </w:r>
      <w:r>
        <w:rPr>
          <w:rFonts w:ascii="Arial" w:cs="Arial" w:eastAsia="Arial" w:hAnsi="Arial"/>
          <w:sz w:val="16"/>
          <w:szCs w:val="16"/>
          <w:color w:val="auto"/>
        </w:rPr>
        <w:t xml:space="preserve"> days following receipt by the Tenant of notice of the amount of such deficiency. If the amount received is greater than the Tenant’s Proportionate Share of the actual Taxes, the Landlord shall either refund the excess to the Tenant </w:t>
      </w:r>
      <w:r>
        <w:rPr>
          <w:rFonts w:ascii="Arial" w:cs="Arial" w:eastAsia="Arial" w:hAnsi="Arial"/>
          <w:sz w:val="16"/>
          <w:szCs w:val="16"/>
          <w:b w:val="1"/>
          <w:bCs w:val="1"/>
          <w:i w:val="1"/>
          <w:iCs w:val="1"/>
          <w:color w:val="auto"/>
        </w:rPr>
        <w:t xml:space="preserve">[Intentionally Deleted] </w:t>
      </w:r>
      <w:r>
        <w:rPr>
          <w:rFonts w:ascii="Arial" w:cs="Arial" w:eastAsia="Arial" w:hAnsi="Arial"/>
          <w:sz w:val="16"/>
          <w:szCs w:val="16"/>
          <w:b w:val="1"/>
          <w:bCs w:val="1"/>
          <w:color w:val="auto"/>
        </w:rPr>
        <w:t>within thirty (30) days following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end of the Year in respect of which such payments were made or,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Landlord’s option, shall apply such excess against any amounts owing or becoming due to the Landlord by the Tenant.</w:t>
      </w:r>
    </w:p>
    <w:p>
      <w:pPr>
        <w:spacing w:after="0" w:line="72" w:lineRule="exact"/>
        <w:rPr>
          <w:sz w:val="20"/>
          <w:szCs w:val="20"/>
          <w:color w:val="auto"/>
        </w:rPr>
      </w:pPr>
    </w:p>
    <w:p>
      <w:pPr>
        <w:ind w:left="960" w:right="160" w:hanging="532"/>
        <w:spacing w:after="0" w:line="277" w:lineRule="auto"/>
        <w:tabs>
          <w:tab w:leader="none" w:pos="9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Taxes payable pursuant to paragraphs (a) and (b) of Section 3.03 shall be paid by the Tenant when due if separate tax bills are issued and otherwise shall be paid to the Landlord within ten (10) days’ written demand therefor.</w:t>
      </w:r>
    </w:p>
    <w:p>
      <w:pPr>
        <w:spacing w:after="0" w:line="75"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Taxes payable pursuant to paragraph (c) of Section 3.03 shall be paid to the Landlord within ten (10) days’ written demand therefor or at such time or times as the Landlord from time to time determines by notice in writing to the Tenant.</w:t>
      </w:r>
    </w:p>
    <w:p>
      <w:pPr>
        <w:spacing w:after="0" w:line="75" w:lineRule="exact"/>
        <w:rPr>
          <w:rFonts w:ascii="Arial" w:cs="Arial" w:eastAsia="Arial" w:hAnsi="Arial"/>
          <w:sz w:val="18"/>
          <w:szCs w:val="18"/>
          <w:color w:val="auto"/>
        </w:rPr>
      </w:pPr>
    </w:p>
    <w:p>
      <w:pPr>
        <w:ind w:left="960" w:right="200" w:hanging="532"/>
        <w:spacing w:after="0" w:line="277" w:lineRule="auto"/>
        <w:tabs>
          <w:tab w:leader="none" w:pos="9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the Term of this Lease commences or ends on any day other than the first or last day, respectively, of a Year, the Tenant shall be liable only for the portion of the Taxes for such Year as falls within the Term, determined on a per diem basis.</w:t>
      </w:r>
    </w:p>
    <w:p>
      <w:pPr>
        <w:spacing w:after="0" w:line="38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ARTICLE 4 - OPERATING COSTS</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4.01</w:t>
      </w:r>
      <w:r>
        <w:rPr>
          <w:sz w:val="20"/>
          <w:szCs w:val="20"/>
          <w:color w:val="auto"/>
        </w:rPr>
        <w:tab/>
      </w:r>
      <w:r>
        <w:rPr>
          <w:rFonts w:ascii="Arial" w:cs="Arial" w:eastAsia="Arial" w:hAnsi="Arial"/>
          <w:sz w:val="16"/>
          <w:szCs w:val="16"/>
          <w:b w:val="1"/>
          <w:bCs w:val="1"/>
          <w:u w:val="single" w:color="auto"/>
          <w:color w:val="auto"/>
        </w:rPr>
        <w:t>Tenant’s Covenant to Pay Operating Costs</w:t>
      </w:r>
    </w:p>
    <w:p>
      <w:pPr>
        <w:spacing w:after="0" w:line="121"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The Tenant covenants to pay to the Landlord as Additional Rent, the Tenant’s Proportionate Share of the Operating Costs for the Year during each Year of the Term in accordance with the provisions of Section 4.02.</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4.02</w:t>
      </w:r>
      <w:r>
        <w:rPr>
          <w:sz w:val="20"/>
          <w:szCs w:val="20"/>
          <w:color w:val="auto"/>
        </w:rPr>
        <w:tab/>
      </w:r>
      <w:r>
        <w:rPr>
          <w:rFonts w:ascii="Arial" w:cs="Arial" w:eastAsia="Arial" w:hAnsi="Arial"/>
          <w:sz w:val="16"/>
          <w:szCs w:val="16"/>
          <w:b w:val="1"/>
          <w:bCs w:val="1"/>
          <w:u w:val="single" w:color="auto"/>
          <w:color w:val="auto"/>
        </w:rPr>
        <w:t>Payment of Operating Costs</w:t>
      </w:r>
    </w:p>
    <w:p>
      <w:pPr>
        <w:spacing w:after="0" w:line="117"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The Landlord shall be entitled at any time or times in any Year, upon at least </w:t>
      </w:r>
      <w:r>
        <w:rPr>
          <w:rFonts w:ascii="Arial" w:cs="Arial" w:eastAsia="Arial" w:hAnsi="Arial"/>
          <w:sz w:val="17"/>
          <w:szCs w:val="17"/>
          <w:b w:val="1"/>
          <w:bCs w:val="1"/>
          <w:color w:val="auto"/>
        </w:rPr>
        <w:t>thirty (30) days’</w:t>
      </w:r>
      <w:r>
        <w:rPr>
          <w:rFonts w:ascii="Arial" w:cs="Arial" w:eastAsia="Arial" w:hAnsi="Arial"/>
          <w:sz w:val="17"/>
          <w:szCs w:val="17"/>
          <w:color w:val="auto"/>
        </w:rPr>
        <w:t xml:space="preserve"> notice to the Tenant to require the Tenant to pay to the Landlord monthly, on the date for payment of monthly rental instalments, as Additional Rent, an amount equal to one-twelfth (1/12) of the amount estimated by the Landlord to be the amount of the Tenant’s Proportionate Share of the Operating Costs for such Year. The Landlord shall be entitled subsequently during such Year, upon at least fifteen (15) days’ notice to the Tenant, to revise its estimate of the amount of the Tenant’s Proportionate Share of the Operating Costs and the said monthly instalment shall be revised accordingly. All amounts received under this provision in any Year on account of the estimated amount of the Tenant’s Proportionate Share of the Operating Costs shall be applied in reduction of the actual amount of the Tenant’s Proportionate Share of the Operating Costs for such</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60"/>
          </w:cols>
          <w:pgMar w:left="440" w:top="274" w:right="499" w:bottom="1440" w:gutter="0" w:footer="0" w:header="0"/>
        </w:sectPr>
      </w:pPr>
    </w:p>
    <w:bookmarkStart w:id="429" w:name="page430"/>
    <w:bookmarkEnd w:id="429"/>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Year. Within a reasonable time after the end of the period for which the estimated payments have been made, the Landlord shall deliver to the Tenant a written statement </w:t>
      </w:r>
      <w:r>
        <w:rPr>
          <w:rFonts w:ascii="Arial" w:cs="Arial" w:eastAsia="Arial" w:hAnsi="Arial"/>
          <w:sz w:val="16"/>
          <w:szCs w:val="16"/>
          <w:b w:val="1"/>
          <w:bCs w:val="1"/>
          <w:color w:val="auto"/>
        </w:rPr>
        <w:t>certified by an independent firm of chartered accountants</w:t>
      </w:r>
      <w:r>
        <w:rPr>
          <w:rFonts w:ascii="Arial" w:cs="Arial" w:eastAsia="Arial" w:hAnsi="Arial"/>
          <w:sz w:val="16"/>
          <w:szCs w:val="16"/>
          <w:color w:val="auto"/>
        </w:rPr>
        <w:t xml:space="preserve"> setting out in reasonable detail the amount of the Operating Costs for such period calculated on the basis of a calendar year and the Tenant’s Proportionate Share thereof. If the amount received is less than the actual amount of the Tenant’s Proportionate Share of the Operating Costs for such Year, the Tenant shall pay any deficiency to the Landlord as Additional Rent within thirty (30) days following receipt by the Tenant of notice of the amount of such deficiency. If the amount received is greater than the actual amount of the Tenant’s Proportionate Share of the Operating Costs, the Landlord shall either refund the excess to the Tenant </w:t>
      </w:r>
      <w:r>
        <w:rPr>
          <w:rFonts w:ascii="Arial" w:cs="Arial" w:eastAsia="Arial" w:hAnsi="Arial"/>
          <w:sz w:val="16"/>
          <w:szCs w:val="16"/>
          <w:b w:val="1"/>
          <w:bCs w:val="1"/>
          <w:i w:val="1"/>
          <w:iCs w:val="1"/>
          <w:color w:val="auto"/>
        </w:rPr>
        <w:t>[Intentionally Deleted]</w:t>
      </w:r>
      <w:r>
        <w:rPr>
          <w:rFonts w:ascii="Arial" w:cs="Arial" w:eastAsia="Arial" w:hAnsi="Arial"/>
          <w:sz w:val="16"/>
          <w:szCs w:val="16"/>
          <w:color w:val="auto"/>
        </w:rPr>
        <w:t xml:space="preserve"> </w:t>
      </w:r>
      <w:r>
        <w:rPr>
          <w:rFonts w:ascii="Arial" w:cs="Arial" w:eastAsia="Arial" w:hAnsi="Arial"/>
          <w:sz w:val="16"/>
          <w:szCs w:val="16"/>
          <w:b w:val="1"/>
          <w:bCs w:val="1"/>
          <w:color w:val="auto"/>
        </w:rPr>
        <w:t>within thirty</w:t>
      </w:r>
    </w:p>
    <w:p>
      <w:pPr>
        <w:spacing w:after="0" w:line="4" w:lineRule="exact"/>
        <w:rPr>
          <w:sz w:val="20"/>
          <w:szCs w:val="20"/>
          <w:color w:val="auto"/>
        </w:rPr>
      </w:pPr>
    </w:p>
    <w:p>
      <w:pPr>
        <w:ind w:left="4" w:right="120" w:hanging="4"/>
        <w:spacing w:after="0" w:line="260" w:lineRule="auto"/>
        <w:tabs>
          <w:tab w:leader="none" w:pos="349"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days following </w:t>
      </w:r>
      <w:r>
        <w:rPr>
          <w:rFonts w:ascii="Arial" w:cs="Arial" w:eastAsia="Arial" w:hAnsi="Arial"/>
          <w:sz w:val="18"/>
          <w:szCs w:val="18"/>
          <w:color w:val="auto"/>
        </w:rPr>
        <w:t>the end of the Year in respect of which such payments were made, or at the Landlord’s option, shall apply such excess against any</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owing or becoming due to the Landlord by the Tenant.</w:t>
      </w:r>
    </w:p>
    <w:p>
      <w:pPr>
        <w:spacing w:after="0" w:line="185" w:lineRule="exact"/>
        <w:rPr>
          <w:sz w:val="20"/>
          <w:szCs w:val="20"/>
          <w:color w:val="auto"/>
        </w:rPr>
      </w:pPr>
    </w:p>
    <w:p>
      <w:pPr>
        <w:ind w:left="4" w:right="20" w:firstLine="991"/>
        <w:spacing w:after="0" w:line="290" w:lineRule="auto"/>
        <w:rPr>
          <w:sz w:val="20"/>
          <w:szCs w:val="20"/>
          <w:color w:val="auto"/>
        </w:rPr>
      </w:pPr>
      <w:r>
        <w:rPr>
          <w:rFonts w:ascii="Arial" w:cs="Arial" w:eastAsia="Arial" w:hAnsi="Arial"/>
          <w:sz w:val="16"/>
          <w:szCs w:val="16"/>
          <w:color w:val="auto"/>
        </w:rPr>
        <w:t xml:space="preserve">The Tenant shall have sixty (60) days after receipt of any such statement to dispute such statement by way of notice in writing to the Landlord. Failing such notice within such sixty (60) day period, such statement shall be conclusive and binding upon the Tenant. In the event the Tenant disputes any such statement by notice in writing to the Landlord within not more than sixty (60) days after receipt of such statement, then the Landlord shall have its accountant prepare a report in respect of the Operating Costs for the period dealt with in such statement. Any such report shall be conclusive and binding upon the Tenant. </w:t>
      </w:r>
      <w:r>
        <w:rPr>
          <w:rFonts w:ascii="Arial" w:cs="Arial" w:eastAsia="Arial" w:hAnsi="Arial"/>
          <w:sz w:val="16"/>
          <w:szCs w:val="16"/>
          <w:b w:val="1"/>
          <w:bCs w:val="1"/>
          <w:color w:val="auto"/>
        </w:rPr>
        <w:t>If the report concludes that the Operating Costs for such period has a variation which is within three</w:t>
      </w:r>
      <w:r>
        <w:rPr>
          <w:rFonts w:ascii="Arial" w:cs="Arial" w:eastAsia="Arial" w:hAnsi="Arial"/>
          <w:sz w:val="16"/>
          <w:szCs w:val="16"/>
          <w:color w:val="auto"/>
        </w:rPr>
        <w:t xml:space="preserve"> </w:t>
      </w:r>
      <w:r>
        <w:rPr>
          <w:rFonts w:ascii="Arial" w:cs="Arial" w:eastAsia="Arial" w:hAnsi="Arial"/>
          <w:sz w:val="16"/>
          <w:szCs w:val="16"/>
          <w:b w:val="1"/>
          <w:bCs w:val="1"/>
          <w:color w:val="auto"/>
        </w:rPr>
        <w:t>percent (3%) of the Operating Costs for such period indicated in the Landlord’s statement, then the costs of the report shall be borne by the Tenant; however, if such report concludes that the Operating Costs for such period has a variation greater than three percent (3%) of the Operating Costs for the period indicated in the Landlord’s statement, then the costs of the report shall be borne by the Landlord.</w:t>
      </w:r>
    </w:p>
    <w:p>
      <w:pPr>
        <w:spacing w:after="0" w:line="161" w:lineRule="exact"/>
        <w:rPr>
          <w:sz w:val="20"/>
          <w:szCs w:val="20"/>
          <w:color w:val="auto"/>
        </w:rPr>
      </w:pPr>
    </w:p>
    <w:p>
      <w:pPr>
        <w:ind w:left="4" w:right="100" w:firstLine="991"/>
        <w:spacing w:after="0" w:line="303" w:lineRule="auto"/>
        <w:rPr>
          <w:sz w:val="20"/>
          <w:szCs w:val="20"/>
          <w:color w:val="auto"/>
        </w:rPr>
      </w:pPr>
      <w:r>
        <w:rPr>
          <w:rFonts w:ascii="Arial" w:cs="Arial" w:eastAsia="Arial" w:hAnsi="Arial"/>
          <w:sz w:val="16"/>
          <w:szCs w:val="16"/>
          <w:b w:val="1"/>
          <w:bCs w:val="1"/>
          <w:color w:val="auto"/>
        </w:rPr>
        <w:t>The Landlord estimates but does not in any way warrant, Tenant’s Proportionate Share of Taxes and Operating Costs to be Fourteen Dollars and Nineteen Cents ($14.19) per square foot of the Rentable Area of the Leased Premises for the twelve (12) month period ending December 31, 2014. This amount is subject to adjustment in the manner indicated in this Lease when the actual amount of Taxes and Operating Costs is determined. This amount includes the fifteen percent (15%) management fee mentioned in paragraph (q) of Schedule “C”.</w:t>
      </w:r>
    </w:p>
    <w:p>
      <w:pPr>
        <w:spacing w:after="0" w:line="36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ARTICLE 5 - UTILITIES</w:t>
      </w:r>
    </w:p>
    <w:p>
      <w:pPr>
        <w:spacing w:after="0" w:line="252"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5.01</w:t>
      </w:r>
      <w:r>
        <w:rPr>
          <w:sz w:val="20"/>
          <w:szCs w:val="20"/>
          <w:color w:val="auto"/>
        </w:rPr>
        <w:tab/>
      </w:r>
      <w:r>
        <w:rPr>
          <w:rFonts w:ascii="Arial" w:cs="Arial" w:eastAsia="Arial" w:hAnsi="Arial"/>
          <w:sz w:val="16"/>
          <w:szCs w:val="16"/>
          <w:b w:val="1"/>
          <w:bCs w:val="1"/>
          <w:u w:val="single" w:color="auto"/>
          <w:color w:val="auto"/>
        </w:rPr>
        <w:t>Utility Charges, Bulbs, etc.</w:t>
      </w:r>
    </w:p>
    <w:p>
      <w:pPr>
        <w:spacing w:after="0" w:line="117" w:lineRule="exact"/>
        <w:rPr>
          <w:sz w:val="20"/>
          <w:szCs w:val="20"/>
          <w:color w:val="auto"/>
        </w:rPr>
      </w:pPr>
    </w:p>
    <w:p>
      <w:pPr>
        <w:ind w:left="4" w:right="40" w:firstLine="991"/>
        <w:spacing w:after="0" w:line="298" w:lineRule="auto"/>
        <w:rPr>
          <w:sz w:val="20"/>
          <w:szCs w:val="20"/>
          <w:color w:val="auto"/>
        </w:rPr>
      </w:pPr>
      <w:r>
        <w:rPr>
          <w:rFonts w:ascii="Arial" w:cs="Arial" w:eastAsia="Arial" w:hAnsi="Arial"/>
          <w:sz w:val="16"/>
          <w:szCs w:val="16"/>
          <w:b w:val="1"/>
          <w:bCs w:val="1"/>
          <w:color w:val="auto"/>
        </w:rPr>
        <w:t>The Tenant shall pay for the cost of all utilities consumed or used for the Leased Premises, same to include, without limitation, the cost of water, gas, electricity, steam, fuel or other energy and Tenant shall pay for the cost of all fittings, machines, apparatus, meters or other things leased in respect thereof and for all work or services performed by any corporation or commission in connection with any such utilities. The Tenant’s obligations under this Section 5.01 include, without limitation, the obligation to pay for the cost of all electricity or other utilities consumed or used to heat, ventilate and, if applicable, air condition the Leased Premises. It is an essential condition of this Lease and Tenant’s</w:t>
      </w:r>
    </w:p>
    <w:p>
      <w:pPr>
        <w:spacing w:after="0" w:line="9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64"/>
          </w:cols>
          <w:pgMar w:left="436" w:top="274" w:right="499" w:bottom="1440" w:gutter="0" w:footer="0" w:header="0"/>
        </w:sectPr>
      </w:pPr>
    </w:p>
    <w:bookmarkStart w:id="430" w:name="page431"/>
    <w:bookmarkEnd w:id="430"/>
    <w:p>
      <w:pPr>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responsibility that Tenant communicate with all utility suppliers on or before the Commencement Date to ensure that all accounts for utilities separately metered for the Leased Premises and billed by the utility supplier (including without limitation gas and electricity) are transferred in its name as of the Commencement Date. Landlord reserves the right to effect such transfer of account(s) for and on behalf of the Tenant where Tenant has failed to do so, at Tenant’s sole cost and expense including Landlord’s administration fee on account thereof. The foregoing is without prejudice to the Tenant’s obligation to pay for all utilities consumed in the Leased Premises regardless of the date any particular utility account is transferred to its name.</w:t>
      </w:r>
    </w:p>
    <w:p>
      <w:pPr>
        <w:spacing w:after="0" w:line="187" w:lineRule="exact"/>
        <w:rPr>
          <w:sz w:val="20"/>
          <w:szCs w:val="20"/>
          <w:color w:val="auto"/>
        </w:rPr>
      </w:pPr>
    </w:p>
    <w:p>
      <w:pPr>
        <w:ind w:right="40" w:firstLine="991"/>
        <w:spacing w:after="0" w:line="266" w:lineRule="auto"/>
        <w:rPr>
          <w:sz w:val="20"/>
          <w:szCs w:val="20"/>
          <w:color w:val="auto"/>
        </w:rPr>
      </w:pPr>
      <w:r>
        <w:rPr>
          <w:rFonts w:ascii="Arial" w:cs="Arial" w:eastAsia="Arial" w:hAnsi="Arial"/>
          <w:sz w:val="18"/>
          <w:szCs w:val="18"/>
          <w:b w:val="1"/>
          <w:bCs w:val="1"/>
          <w:color w:val="auto"/>
        </w:rPr>
        <w:t>Tenant will retain evidence of payment of any charges referred to in this Section 5.01 which it pays directly to any public authority for inspection by Landlord at Tenant’s offices during normal business hours upon reasonable prior notice, the whole for a period of two (2) years following the dates for payment of said charges.</w:t>
      </w:r>
    </w:p>
    <w:p>
      <w:pPr>
        <w:spacing w:after="0" w:line="3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5.02</w:t>
      </w:r>
      <w:r>
        <w:rPr>
          <w:sz w:val="20"/>
          <w:szCs w:val="20"/>
          <w:color w:val="auto"/>
        </w:rPr>
        <w:tab/>
      </w:r>
      <w:r>
        <w:rPr>
          <w:rFonts w:ascii="Arial" w:cs="Arial" w:eastAsia="Arial" w:hAnsi="Arial"/>
          <w:sz w:val="16"/>
          <w:szCs w:val="16"/>
          <w:b w:val="1"/>
          <w:bCs w:val="1"/>
          <w:u w:val="single" w:color="auto"/>
          <w:color w:val="auto"/>
        </w:rPr>
        <w:t>Water Heaters</w:t>
      </w:r>
    </w:p>
    <w:p>
      <w:pPr>
        <w:spacing w:after="0" w:line="121" w:lineRule="exact"/>
        <w:rPr>
          <w:sz w:val="20"/>
          <w:szCs w:val="20"/>
          <w:color w:val="auto"/>
        </w:rPr>
      </w:pPr>
    </w:p>
    <w:p>
      <w:pPr>
        <w:ind w:right="220" w:firstLine="991"/>
        <w:spacing w:after="0" w:line="308" w:lineRule="auto"/>
        <w:rPr>
          <w:sz w:val="20"/>
          <w:szCs w:val="20"/>
          <w:color w:val="auto"/>
        </w:rPr>
      </w:pPr>
      <w:r>
        <w:rPr>
          <w:rFonts w:ascii="Arial" w:cs="Arial" w:eastAsia="Arial" w:hAnsi="Arial"/>
          <w:sz w:val="17"/>
          <w:szCs w:val="17"/>
          <w:color w:val="auto"/>
        </w:rPr>
        <w:t>In the event that the Tenant shall require a hot water heater or heaters, the Tenant agrees to install same at its costs or to lease same from Hydro-Québec and to pay all charges as same become due for rental or work services required in connection therewith.</w:t>
      </w: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5.03</w:t>
      </w:r>
      <w:r>
        <w:rPr>
          <w:sz w:val="20"/>
          <w:szCs w:val="20"/>
          <w:color w:val="auto"/>
        </w:rPr>
        <w:tab/>
      </w:r>
      <w:r>
        <w:rPr>
          <w:rFonts w:ascii="Arial" w:cs="Arial" w:eastAsia="Arial" w:hAnsi="Arial"/>
          <w:sz w:val="15"/>
          <w:szCs w:val="15"/>
          <w:b w:val="1"/>
          <w:bCs w:val="1"/>
          <w:u w:val="single" w:color="auto"/>
          <w:color w:val="auto"/>
        </w:rPr>
        <w:t>Service Contracts</w:t>
      </w:r>
    </w:p>
    <w:p>
      <w:pPr>
        <w:spacing w:after="0" w:line="121"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The Tenant shall take out and maintain in force such service contracts with reputable service providers (for matters such as but not limited to the maintenance and repair of the HVAC System, plumbing and other mechanical systems, services and equipment which are its responsibility pursuant to the provisions of this Lease, garbage, refuse, rubbish, trash and waste removal, security and the like) as Landlord, acting reasonably, may from time to time determine to be necessary or advisable for the good order, appearance, safety and care of the Leased Premises. Copies of all such contracts shall be exhibited to Landlord upon demand.</w:t>
      </w:r>
    </w:p>
    <w:p>
      <w:pPr>
        <w:spacing w:after="0" w:line="3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5.04</w:t>
      </w:r>
      <w:r>
        <w:rPr>
          <w:sz w:val="20"/>
          <w:szCs w:val="20"/>
          <w:color w:val="auto"/>
        </w:rPr>
        <w:tab/>
      </w:r>
      <w:r>
        <w:rPr>
          <w:rFonts w:ascii="Arial" w:cs="Arial" w:eastAsia="Arial" w:hAnsi="Arial"/>
          <w:sz w:val="16"/>
          <w:szCs w:val="16"/>
          <w:b w:val="1"/>
          <w:bCs w:val="1"/>
          <w:u w:val="single" w:color="auto"/>
          <w:color w:val="auto"/>
        </w:rPr>
        <w:t>Heating and Ventilation</w:t>
      </w:r>
    </w:p>
    <w:p>
      <w:pPr>
        <w:spacing w:after="0" w:line="117" w:lineRule="exact"/>
        <w:rPr>
          <w:sz w:val="20"/>
          <w:szCs w:val="20"/>
          <w:color w:val="auto"/>
        </w:rPr>
      </w:pPr>
    </w:p>
    <w:p>
      <w:pPr>
        <w:ind w:firstLine="991"/>
        <w:spacing w:after="0" w:line="261" w:lineRule="auto"/>
        <w:rPr>
          <w:sz w:val="20"/>
          <w:szCs w:val="20"/>
          <w:color w:val="auto"/>
        </w:rPr>
      </w:pPr>
      <w:r>
        <w:rPr>
          <w:rFonts w:ascii="Arial" w:cs="Arial" w:eastAsia="Arial" w:hAnsi="Arial"/>
          <w:sz w:val="18"/>
          <w:szCs w:val="18"/>
          <w:b w:val="1"/>
          <w:bCs w:val="1"/>
          <w:color w:val="auto"/>
        </w:rPr>
        <w:t>“HVAC System” as used herein means the whole of any system which supplies heating, ventilating and/or cooling exclusively to the Leased Premises, wherever any such system is located, and including all fixtures, appurtenances, equipment and systems associated with or for such system and including the apparatus for the further processing and distribution or exhaust of air such as ducts, diffusers, reheat coils, controls and other apparatus and equipment therefor.</w:t>
      </w:r>
    </w:p>
    <w:p>
      <w:pPr>
        <w:spacing w:after="0" w:line="180"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b w:val="1"/>
          <w:bCs w:val="1"/>
          <w:color w:val="auto"/>
        </w:rPr>
        <w:t>The Tenant shall operate, maintain, repair and replace the HVAC System serving its Leased Premises as would a prudent owner, to the satisfaction of the Landlord with all costs to provide heating, ventilating and air-conditioning services being borne by the Tenant. The Tenant will operate and regulate those parts of the HVAC System for its Leased Premises in conformity with Building standards determined from time to time in order to maintain a temperature in the Leased Premises at all times at the same level of comfort as is maintained in other premises within the Building and in any event at a temperature sufficient to ensure that no direct or indirect appropriation of heating, ventilating and/or air-conditioning from any other HVAC systems serving the Building occurs and that no damage ensues to such system(s), the HVAC System or any part of the Building. The Tenant shall maintain preventive maintenance contracts for such HVAC System in accordance with the provisions of 5.03 above.</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0"/>
          </w:cols>
          <w:pgMar w:left="440" w:top="270" w:right="459" w:bottom="1440" w:gutter="0" w:footer="0" w:header="0"/>
        </w:sectPr>
      </w:pPr>
    </w:p>
    <w:bookmarkStart w:id="431" w:name="page432"/>
    <w:bookmarkEnd w:id="431"/>
    <w:p>
      <w:pPr>
        <w:ind w:right="100" w:firstLine="991"/>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in the event that the Tenant fails to effect any maintenance, repairs and/or replacements required to the HVAC System for the Leased Premises in accordance with the provisions of this Lease, the Tenant agrees that the Landlord may at any time elect to effect the maintenance, repairs and replacements required to the HVAC System for the Leased Premises. The Tenant shall then pay as Additional Rent to the Landlord within ten (10) days after demand therefor, all costs incurred by the Landlord in connection with the maintenance, repair and replacement of the HVAC System, including without limitation any costs incurred to maintain any maintenance contracts entered into by the Landlord in connection therewith (plus an administration fee of ten percent (10%) of the total of such costs.</w:t>
      </w:r>
    </w:p>
    <w:p>
      <w:pPr>
        <w:spacing w:after="0" w:line="3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5.05</w:t>
      </w:r>
      <w:r>
        <w:rPr>
          <w:sz w:val="20"/>
          <w:szCs w:val="20"/>
          <w:color w:val="auto"/>
        </w:rPr>
        <w:tab/>
      </w:r>
      <w:r>
        <w:rPr>
          <w:rFonts w:ascii="Arial" w:cs="Arial" w:eastAsia="Arial" w:hAnsi="Arial"/>
          <w:sz w:val="16"/>
          <w:szCs w:val="16"/>
          <w:b w:val="1"/>
          <w:bCs w:val="1"/>
          <w:u w:val="single" w:color="auto"/>
          <w:color w:val="auto"/>
        </w:rPr>
        <w:t>Replacement of Bulbs, Ballasts and Starters</w:t>
      </w:r>
    </w:p>
    <w:p>
      <w:pPr>
        <w:spacing w:after="0" w:line="121" w:lineRule="exact"/>
        <w:rPr>
          <w:sz w:val="20"/>
          <w:szCs w:val="20"/>
          <w:color w:val="auto"/>
        </w:rPr>
      </w:pPr>
    </w:p>
    <w:p>
      <w:pPr>
        <w:ind w:right="120" w:firstLine="991"/>
        <w:spacing w:after="0" w:line="291" w:lineRule="auto"/>
        <w:rPr>
          <w:sz w:val="20"/>
          <w:szCs w:val="20"/>
          <w:color w:val="auto"/>
        </w:rPr>
      </w:pPr>
      <w:r>
        <w:rPr>
          <w:rFonts w:ascii="Arial" w:cs="Arial" w:eastAsia="Arial" w:hAnsi="Arial"/>
          <w:sz w:val="16"/>
          <w:szCs w:val="16"/>
          <w:color w:val="auto"/>
        </w:rPr>
        <w:t>The Landlord shall have the exclusive right to attend to any replacement of electric light bulbs, tubes and ballasts in the Leased Premises throughout the Term and any renewal thereof. The Landlord may adopt a system of relamping and reballasting periodically on a group basis in accordance with good practice. The Tenant shall pay to the Landlord as Additional Rent on the first day of each and every month during the Term and any renewal thereof, a monthly charge per bulb, tube and ballast on account of the cost of such replacement. If the cost of such replacement shall increase or decrease during the Term or any renewal thereof, the Landlord shall adjust the Additional Rent payable for such replacement hereunder on an equitable basis and the Tenant agrees to pay such Additional Rent as adjusted, on demand. The decision of the Landlord, acting reasonably, with respect to any such adjustment or adjustments and Additional Rent shall be final and binding upon the parties hereto.</w:t>
      </w:r>
    </w:p>
    <w:p>
      <w:pPr>
        <w:spacing w:after="0" w:line="37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ARTICLE 6 - MAINTENANCE, REPAIR &amp; ALTERATIONS</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6.01</w:t>
      </w:r>
      <w:r>
        <w:rPr>
          <w:sz w:val="20"/>
          <w:szCs w:val="20"/>
          <w:color w:val="auto"/>
        </w:rPr>
        <w:tab/>
      </w:r>
      <w:r>
        <w:rPr>
          <w:rFonts w:ascii="Arial" w:cs="Arial" w:eastAsia="Arial" w:hAnsi="Arial"/>
          <w:sz w:val="16"/>
          <w:szCs w:val="16"/>
          <w:b w:val="1"/>
          <w:bCs w:val="1"/>
          <w:u w:val="single" w:color="auto"/>
          <w:color w:val="auto"/>
        </w:rPr>
        <w:t>Tenant to Maintain and Repair</w:t>
      </w:r>
    </w:p>
    <w:p>
      <w:pPr>
        <w:spacing w:after="0" w:line="121"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The Tenant shall at its own cost, repair, replace, maintain and keep the Leased Premises and every part thereof, including without limitation the Leasehold Improvements and the HVAC System, fixtures and furnishings (whether or not installed or furnished by the Tenant), in good and substantial repair and condition (including any improvements, new requirements and/or installations required by any governmental authority having jurisdiction in accordance with Section 8.03) as a prudent owner would do, damage by fire and any other perils against which the Landlord is required under this Lease to insure, only excepted. The Tenant agrees that the Landlord may enter and view the state of repair and condition and that the Tenant shall repair in accordance with notice in writing from the Landlord; provided that if the Tenant neglects to so maintain or to make such repairs or replacements promptly after notice, the Landlord may, at its option, do such maintenance or make such repairs or replacements at the expense of the Tenant, and in any and every such case the Tenant covenants with the Landlord to pay to the Landlord forthwith as Additional Rent all sums which the Landlord may have expended in doing such maintenance and making such repairs and/or replacements; provided further that the doing of such maintenance or the making of any such repairs or replacements by the Landlord shall not relieve the Tenant from its obligation to maintain, repair and replace.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0" w:right="499" w:bottom="1440" w:gutter="0" w:footer="0" w:header="0"/>
        </w:sectPr>
      </w:pPr>
    </w:p>
    <w:bookmarkStart w:id="432" w:name="page433"/>
    <w:bookmarkEnd w:id="432"/>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6.02</w:t>
      </w:r>
      <w:r>
        <w:rPr>
          <w:sz w:val="20"/>
          <w:szCs w:val="20"/>
          <w:color w:val="auto"/>
        </w:rPr>
        <w:tab/>
      </w:r>
      <w:r>
        <w:rPr>
          <w:rFonts w:ascii="Arial" w:cs="Arial" w:eastAsia="Arial" w:hAnsi="Arial"/>
          <w:sz w:val="16"/>
          <w:szCs w:val="16"/>
          <w:b w:val="1"/>
          <w:bCs w:val="1"/>
          <w:u w:val="single" w:color="auto"/>
          <w:color w:val="auto"/>
        </w:rPr>
        <w:t>Repair Where Tenant At Fault</w:t>
      </w:r>
    </w:p>
    <w:p>
      <w:pPr>
        <w:spacing w:after="0" w:line="121"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If the Lands or any part of any of the buildings thereon (save only the Leased Premises), including, without limitation, the boilers, engines, pipes and other apparatus (or any of them) used for the purposes of heating, ventilating or air-conditioning any of the buildings or if the water pipes, drainage pipes, electric lighting or other equipment of a building or if the roof or outside walls of a building require repair or become damaged or destroyed through the use of the Leased Premises or the willful act, negligence, carelessness or misuse of the Tenant or those for whom at law it is responsible, the expense of the necessary repairs, replacements or alterations, shall be borne by the Tenant who shall pay the same to the Landlord forthwith upon demand.</w:t>
      </w:r>
    </w:p>
    <w:p>
      <w:pPr>
        <w:spacing w:after="0" w:line="3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6.03</w:t>
      </w:r>
      <w:r>
        <w:rPr>
          <w:sz w:val="20"/>
          <w:szCs w:val="20"/>
          <w:color w:val="auto"/>
        </w:rPr>
        <w:tab/>
      </w:r>
      <w:r>
        <w:rPr>
          <w:rFonts w:ascii="Arial" w:cs="Arial" w:eastAsia="Arial" w:hAnsi="Arial"/>
          <w:sz w:val="16"/>
          <w:szCs w:val="16"/>
          <w:b w:val="1"/>
          <w:bCs w:val="1"/>
          <w:u w:val="single" w:color="auto"/>
          <w:color w:val="auto"/>
        </w:rPr>
        <w:t>Alterations</w:t>
      </w:r>
    </w:p>
    <w:p>
      <w:pPr>
        <w:spacing w:after="0" w:line="121"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The Tenant shall not, without the prior written approval of the Landlord, make any installations, alterations, additions, partitions, repairs or improvements in or to the Leased Premises, including, without limitation, doing anything which might affect the structural portions of the Leased Premises or the electrical, lighting, HVAC System, sprinkler, fire protection or other systems therein. The Tenant’s request for approval shall be in writing and accompanied by an adequate description of the contemplated work, and where appropriate, working drawings and specifications therefor; the Landlord’s costs of having its architects, engineers or others examine such drawings and specifications shall be payable by the Tenant upon demand as Additional Rent; the Landlord may require that any or all such work be done by the Landlord’s contractors or workmen or by contractors or workmen engaged by the Tenant but first approved by the Landlord. All such work shall be subject to inspection by and the reasonable supervision of the Landlord and shall be performed in accordance with all applicable laws and any reasonable conditions (including but not limited to a reasonable supervision fee of the Landlord to be paid by the Tenant) and regulations imposed by the Landlord, and shall be completed in a good and workmanlike manner and with reasonable diligence in accordance with the approvals given by the Landlord. Any connections of apparatus to the base electrical systems and the HVAC System shall be deemed to be an alteration within the meaning of this Section. The Tenant shall, at its own cost and before commencement of any work, obtain all necessary building or other permits and keep same in force.</w:t>
      </w:r>
    </w:p>
    <w:p>
      <w:pPr>
        <w:spacing w:after="0" w:line="3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6.04</w:t>
      </w:r>
      <w:r>
        <w:rPr>
          <w:sz w:val="20"/>
          <w:szCs w:val="20"/>
          <w:color w:val="auto"/>
        </w:rPr>
        <w:tab/>
      </w:r>
      <w:r>
        <w:rPr>
          <w:rFonts w:ascii="Arial" w:cs="Arial" w:eastAsia="Arial" w:hAnsi="Arial"/>
          <w:sz w:val="15"/>
          <w:szCs w:val="15"/>
          <w:b w:val="1"/>
          <w:bCs w:val="1"/>
          <w:u w:val="single" w:color="auto"/>
          <w:color w:val="auto"/>
        </w:rPr>
        <w:t>Notice of Accidents</w:t>
      </w:r>
    </w:p>
    <w:p>
      <w:pPr>
        <w:spacing w:after="0" w:line="121" w:lineRule="exact"/>
        <w:rPr>
          <w:sz w:val="20"/>
          <w:szCs w:val="20"/>
          <w:color w:val="auto"/>
        </w:rPr>
      </w:pPr>
    </w:p>
    <w:p>
      <w:pPr>
        <w:jc w:val="both"/>
        <w:ind w:right="200" w:firstLine="991"/>
        <w:spacing w:after="0" w:line="286" w:lineRule="auto"/>
        <w:rPr>
          <w:sz w:val="20"/>
          <w:szCs w:val="20"/>
          <w:color w:val="auto"/>
        </w:rPr>
      </w:pPr>
      <w:r>
        <w:rPr>
          <w:rFonts w:ascii="Arial" w:cs="Arial" w:eastAsia="Arial" w:hAnsi="Arial"/>
          <w:sz w:val="17"/>
          <w:szCs w:val="17"/>
          <w:color w:val="auto"/>
        </w:rPr>
        <w:t>The Tenant shall notify the Landlord promptly and in writing of any accident or damages to or defect in the Leased Premises, any of the buildings on the Lands, or any part thereof including, without limitation, the heating, ventilating and air-conditioning apparatus, water and gas pipes, telephone lines, electrical apparatus or other building services of which it is aware or ought to have been aware.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0" w:right="479" w:bottom="1440" w:gutter="0" w:footer="0" w:header="0"/>
        </w:sectPr>
      </w:pPr>
    </w:p>
    <w:bookmarkStart w:id="433" w:name="page434"/>
    <w:bookmarkEnd w:id="433"/>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6.05</w:t>
      </w:r>
      <w:r>
        <w:rPr>
          <w:sz w:val="20"/>
          <w:szCs w:val="20"/>
          <w:color w:val="auto"/>
        </w:rPr>
        <w:tab/>
      </w:r>
      <w:r>
        <w:rPr>
          <w:rFonts w:ascii="Arial" w:cs="Arial" w:eastAsia="Arial" w:hAnsi="Arial"/>
          <w:sz w:val="16"/>
          <w:szCs w:val="16"/>
          <w:b w:val="1"/>
          <w:bCs w:val="1"/>
          <w:u w:val="single" w:color="auto"/>
          <w:color w:val="auto"/>
        </w:rPr>
        <w:t>Legal Hypothec for Construction Works</w:t>
      </w:r>
    </w:p>
    <w:p>
      <w:pPr>
        <w:spacing w:after="0" w:line="121"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color w:val="auto"/>
        </w:rPr>
        <w:t>The Tenant covenants to pay promptly all the persons having taken part in the construction or renovation of the Leased Premises or the Property or the Lands and do any and all things necessary to minimize the possibility of having a legal hypothec or any other charge registered against the Leased Premises or any part of the Property or the Lands and, should any such hypothec or charge be registered or filed, the Tenant shall discharge the same forthwith (after notice thereof is given to the Tenant) at the Tenant’s expense. In the event the Tenant shall fail to cause any such hypothec or charge to be discharged as aforesaid, then, in addition to any other right or remedy of the Landlord, the Landlord may, but it shall not be so obligated, discharge same by paying the amount claimed to be due into Court or directly to any such hypothecary claimant and the amount so paid by the Landlord and all costs and expenses including but not limited to solicitor’s fees (on a solicitor and client basis), incurred for the discharge of such lien shall be due and payable by the Tenant to the Landlord as Additional Rent on demand.</w:t>
      </w:r>
    </w:p>
    <w:p>
      <w:pPr>
        <w:spacing w:after="0" w:line="3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6.06</w:t>
      </w:r>
      <w:r>
        <w:rPr>
          <w:sz w:val="20"/>
          <w:szCs w:val="20"/>
          <w:color w:val="auto"/>
        </w:rPr>
        <w:tab/>
      </w:r>
      <w:r>
        <w:rPr>
          <w:rFonts w:ascii="Arial" w:cs="Arial" w:eastAsia="Arial" w:hAnsi="Arial"/>
          <w:sz w:val="16"/>
          <w:szCs w:val="16"/>
          <w:b w:val="1"/>
          <w:bCs w:val="1"/>
          <w:u w:val="single" w:color="auto"/>
          <w:color w:val="auto"/>
        </w:rPr>
        <w:t>Removal of Fixtures and Improvements</w:t>
      </w:r>
    </w:p>
    <w:p>
      <w:pPr>
        <w:spacing w:after="0" w:line="121"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Leasehold Improvements shall immediately become the property of the Landlord upon affixation or installation without compensation therefor to the Tenant but the Landlord is under no obligation to repair, maintain or insure Leasehold Improvements. Leasehold Improvements shall not be removed from the Leased Premises either during or at the expiration or earlier termination of the Term, except that the Tenant shall, at the end of the Term, remove such Leasehold Improvements installed or constructed by or on behalf of the Tenant as the Landlord may require to be removed. The Tenant may, during the Term, remove its trade fixtures provided that the Tenant is not in default under this Lease and such trade fixtures are immediately replaced by trade fixtures of equal or better value. The Tenant shall at the expiration or earlier termination of the Term remove its trade fixtures as the Landlord may require. Any removal of Leasehold Improvements and/or the Tenant’s trade fixtures shall be done at the Tenant’s sole cost and expense and the Tenant shall forthwith repair at its own cost any damage caused to the Leased Premises or the Building or any part thereof by the installation or removal of Leasehold Improvements and/or trade fixtures. If the Tenant does not remove its trade fixtures at the expiration or earlier termination of the Term, then the trade fixtures shall, at the option of the Landlord, become the property of the Landlord and may be removed from the Leased Premises and/or sold or otherwise disposed of by the Landlord in such manner as it deems advisable. For greater certainty, the Tenant’s trade fixtures shall not include any heating, ventilating or air-conditioning equipment or other building services or floor covering affixed to the floor of the Leased Premises. The obligations of the Tenant set forth in this Section shall survive the expiry or other termination of the Term.</w:t>
      </w:r>
    </w:p>
    <w:p>
      <w:pPr>
        <w:spacing w:after="0" w:line="3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6.07</w:t>
      </w:r>
      <w:r>
        <w:rPr>
          <w:sz w:val="20"/>
          <w:szCs w:val="20"/>
          <w:color w:val="auto"/>
        </w:rPr>
        <w:tab/>
      </w:r>
      <w:r>
        <w:rPr>
          <w:rFonts w:ascii="Arial" w:cs="Arial" w:eastAsia="Arial" w:hAnsi="Arial"/>
          <w:sz w:val="16"/>
          <w:szCs w:val="16"/>
          <w:b w:val="1"/>
          <w:bCs w:val="1"/>
          <w:u w:val="single" w:color="auto"/>
          <w:color w:val="auto"/>
        </w:rPr>
        <w:t>Repair on Termination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 the expiration or sooner termination of the Term the Tenant shall, at its own expense:</w:t>
      </w:r>
    </w:p>
    <w:p>
      <w:pPr>
        <w:spacing w:after="0" w:line="131" w:lineRule="exact"/>
        <w:rPr>
          <w:sz w:val="20"/>
          <w:szCs w:val="20"/>
          <w:color w:val="auto"/>
        </w:rPr>
      </w:pPr>
    </w:p>
    <w:p>
      <w:pPr>
        <w:ind w:left="960" w:right="140" w:hanging="532"/>
        <w:spacing w:after="0" w:line="259" w:lineRule="auto"/>
        <w:tabs>
          <w:tab w:leader="none" w:pos="9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deliver up possession of the Leased Premises to the Landlord in the same condition in which the Tenant is required under this Lease to repair and maintain the Leased Premises, </w:t>
      </w:r>
      <w:r>
        <w:rPr>
          <w:rFonts w:ascii="Arial" w:cs="Arial" w:eastAsia="Arial" w:hAnsi="Arial"/>
          <w:sz w:val="18"/>
          <w:szCs w:val="18"/>
          <w:b w:val="1"/>
          <w:bCs w:val="1"/>
          <w:color w:val="auto"/>
        </w:rPr>
        <w:t>outside of the normal wear and tear</w:t>
      </w:r>
      <w:r>
        <w:rPr>
          <w:rFonts w:ascii="Arial" w:cs="Arial" w:eastAsia="Arial" w:hAnsi="Arial"/>
          <w:sz w:val="18"/>
          <w:szCs w:val="18"/>
          <w:color w:val="auto"/>
        </w:rPr>
        <w:t>, together with all Leasehold Improvements which the Tenant is required or permitted to leave therein or thereon free and clear of all encumbrances and in a clean and tidy condition and free of all rubbish and to deliver to the Landlord all keys and security devices;</w:t>
      </w:r>
    </w:p>
    <w:p>
      <w:pPr>
        <w:spacing w:after="0" w:line="119" w:lineRule="exact"/>
        <w:rPr>
          <w:rFonts w:ascii="Arial" w:cs="Arial" w:eastAsia="Arial" w:hAnsi="Arial"/>
          <w:sz w:val="18"/>
          <w:szCs w:val="18"/>
          <w:color w:val="auto"/>
        </w:rPr>
      </w:pPr>
    </w:p>
    <w:p>
      <w:pPr>
        <w:ind w:left="5420" w:hanging="111"/>
        <w:spacing w:after="0"/>
        <w:tabs>
          <w:tab w:leader="none" w:pos="542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000"/>
          </w:cols>
          <w:pgMar w:left="440" w:top="270" w:right="459" w:bottom="1440" w:gutter="0" w:footer="0" w:header="0"/>
        </w:sectPr>
      </w:pPr>
    </w:p>
    <w:bookmarkStart w:id="434" w:name="page435"/>
    <w:bookmarkEnd w:id="434"/>
    <w:p>
      <w:pPr>
        <w:ind w:left="960" w:right="440" w:hanging="532"/>
        <w:spacing w:after="0" w:line="342" w:lineRule="auto"/>
        <w:tabs>
          <w:tab w:leader="none" w:pos="960" w:val="left"/>
        </w:tabs>
        <w:numPr>
          <w:ilvl w:val="0"/>
          <w:numId w:val="2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remove from the Property, at the option of and to the satisfaction of the Landlord, all machine bases, cabling (electrical or otherwise), piping (pneumatic, water or otherwise) and wiring (electrical, computer or otherwise) installed by or on behalf of the Tenant;</w:t>
      </w:r>
    </w:p>
    <w:p>
      <w:pPr>
        <w:spacing w:after="0" w:line="29" w:lineRule="exact"/>
        <w:rPr>
          <w:rFonts w:ascii="Arial" w:cs="Arial" w:eastAsia="Arial" w:hAnsi="Arial"/>
          <w:sz w:val="16"/>
          <w:szCs w:val="16"/>
          <w:color w:val="auto"/>
        </w:rPr>
      </w:pPr>
    </w:p>
    <w:p>
      <w:pPr>
        <w:ind w:left="960" w:hanging="532"/>
        <w:spacing w:after="0" w:line="259" w:lineRule="auto"/>
        <w:tabs>
          <w:tab w:leader="none" w:pos="9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remove any and all materials which may be deemed by any applicable legislation as contaminated or hazardous (and which have been brought onto the Property by or on behalf of the Tenant or which are a result of the Tenant’s use or occupation of the Leased Premises), and clean up and/or remediate any and all resulting contamination in compliance with all applicable laws and regulations and comply with all requirements of Section 15.16; and</w:t>
      </w:r>
    </w:p>
    <w:p>
      <w:pPr>
        <w:spacing w:after="0" w:line="92" w:lineRule="exact"/>
        <w:rPr>
          <w:rFonts w:ascii="Arial" w:cs="Arial" w:eastAsia="Arial" w:hAnsi="Arial"/>
          <w:sz w:val="18"/>
          <w:szCs w:val="18"/>
          <w:color w:val="auto"/>
        </w:rPr>
      </w:pPr>
    </w:p>
    <w:p>
      <w:pPr>
        <w:jc w:val="both"/>
        <w:ind w:left="960" w:right="120" w:hanging="532"/>
        <w:spacing w:after="0" w:line="263" w:lineRule="auto"/>
        <w:tabs>
          <w:tab w:leader="none" w:pos="9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remove from the Property at the option of the Landlord, in compliance with all applicable laws and regulations, any and all storage and/or holding tanks (whether above or below ground) installed by or on behalf of the Tenant and all pits and trenches created by or on behalf of the Tenant.</w:t>
      </w:r>
    </w:p>
    <w:p>
      <w:pPr>
        <w:spacing w:after="0" w:line="18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covenants contained in this Section shall survive the expiry or other termination of the Term.</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7 - ASSIGNING &amp; SUBLETTING</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7.01</w:t>
      </w:r>
      <w:r>
        <w:rPr>
          <w:sz w:val="20"/>
          <w:szCs w:val="20"/>
          <w:color w:val="auto"/>
        </w:rPr>
        <w:tab/>
      </w:r>
      <w:r>
        <w:rPr>
          <w:rFonts w:ascii="Arial" w:cs="Arial" w:eastAsia="Arial" w:hAnsi="Arial"/>
          <w:sz w:val="15"/>
          <w:szCs w:val="15"/>
          <w:b w:val="1"/>
          <w:bCs w:val="1"/>
          <w:u w:val="single" w:color="auto"/>
          <w:color w:val="auto"/>
        </w:rPr>
        <w:t>Assigning or Subletting</w:t>
      </w:r>
    </w:p>
    <w:p>
      <w:pPr>
        <w:spacing w:after="0" w:line="135" w:lineRule="exact"/>
        <w:rPr>
          <w:sz w:val="20"/>
          <w:szCs w:val="20"/>
          <w:color w:val="auto"/>
        </w:rPr>
      </w:pPr>
    </w:p>
    <w:p>
      <w:pPr>
        <w:ind w:left="960" w:right="40" w:hanging="532"/>
        <w:spacing w:after="0" w:line="268" w:lineRule="auto"/>
        <w:tabs>
          <w:tab w:leader="none" w:pos="9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 xml:space="preserve">The Tenant shall not assign this Lease or sublet or franchise, license, grant concessions in, or otherwise part with or share possession of the Leased Premises or any part thereof (hereinafter referred to as a “Transfer”) without the prior written consent of the Landlord; at the time the Tenant requests such consent the Tenant shall deliver to the Landlord </w:t>
      </w:r>
      <w:r>
        <w:rPr>
          <w:rFonts w:ascii="Arial" w:cs="Arial" w:eastAsia="Arial" w:hAnsi="Arial"/>
          <w:sz w:val="17"/>
          <w:szCs w:val="17"/>
          <w:b w:val="1"/>
          <w:bCs w:val="1"/>
          <w:i w:val="1"/>
          <w:iCs w:val="1"/>
          <w:color w:val="auto"/>
        </w:rPr>
        <w:t>[Intentionally Deleted]</w:t>
      </w:r>
      <w:r>
        <w:rPr>
          <w:rFonts w:ascii="Arial" w:cs="Arial" w:eastAsia="Arial" w:hAnsi="Arial"/>
          <w:sz w:val="17"/>
          <w:szCs w:val="17"/>
          <w:color w:val="auto"/>
        </w:rPr>
        <w:t xml:space="preserve"> </w:t>
      </w:r>
      <w:r>
        <w:rPr>
          <w:rFonts w:ascii="Arial" w:cs="Arial" w:eastAsia="Arial" w:hAnsi="Arial"/>
          <w:sz w:val="17"/>
          <w:szCs w:val="17"/>
          <w:b w:val="1"/>
          <w:bCs w:val="1"/>
          <w:color w:val="auto"/>
        </w:rPr>
        <w:t>Required Information (defined below)</w:t>
      </w:r>
      <w:r>
        <w:rPr>
          <w:rFonts w:ascii="Arial" w:cs="Arial" w:eastAsia="Arial" w:hAnsi="Arial"/>
          <w:sz w:val="17"/>
          <w:szCs w:val="17"/>
          <w:color w:val="auto"/>
        </w:rPr>
        <w:t xml:space="preserve"> as the Landlord may reasonably require, including, without limitation, a copy of the proposed offer or agreement, if any, to Transfer and the name, address and nature of business and evidence as to the financial strength of the proposed assignee or subtenant or other user (hereinafter referred to as a “Transferee”); upon receipt of such request and all </w:t>
      </w:r>
      <w:r>
        <w:rPr>
          <w:rFonts w:ascii="Arial" w:cs="Arial" w:eastAsia="Arial" w:hAnsi="Arial"/>
          <w:sz w:val="17"/>
          <w:szCs w:val="17"/>
          <w:b w:val="1"/>
          <w:bCs w:val="1"/>
          <w:color w:val="auto"/>
        </w:rPr>
        <w:t>Required Information</w:t>
      </w:r>
      <w:r>
        <w:rPr>
          <w:rFonts w:ascii="Arial" w:cs="Arial" w:eastAsia="Arial" w:hAnsi="Arial"/>
          <w:sz w:val="17"/>
          <w:szCs w:val="17"/>
          <w:color w:val="auto"/>
        </w:rPr>
        <w:t xml:space="preserve">, the Landlord shall have </w:t>
      </w:r>
      <w:r>
        <w:rPr>
          <w:rFonts w:ascii="Arial" w:cs="Arial" w:eastAsia="Arial" w:hAnsi="Arial"/>
          <w:sz w:val="17"/>
          <w:szCs w:val="17"/>
          <w:b w:val="1"/>
          <w:bCs w:val="1"/>
          <w:i w:val="1"/>
          <w:iCs w:val="1"/>
          <w:color w:val="auto"/>
        </w:rPr>
        <w:t xml:space="preserve">[Intentionally Deleted] </w:t>
      </w:r>
      <w:r>
        <w:rPr>
          <w:rFonts w:ascii="Arial" w:cs="Arial" w:eastAsia="Arial" w:hAnsi="Arial"/>
          <w:sz w:val="17"/>
          <w:szCs w:val="17"/>
          <w:color w:val="auto"/>
        </w:rPr>
        <w:t>fourteen (14) days</w:t>
      </w:r>
      <w:r>
        <w:rPr>
          <w:rFonts w:ascii="Arial" w:cs="Arial" w:eastAsia="Arial" w:hAnsi="Arial"/>
          <w:sz w:val="17"/>
          <w:szCs w:val="17"/>
          <w:b w:val="1"/>
          <w:bCs w:val="1"/>
          <w:i w:val="1"/>
          <w:iCs w:val="1"/>
          <w:color w:val="auto"/>
        </w:rPr>
        <w:t xml:space="preserve"> [Intentionally Deleted] </w:t>
      </w:r>
      <w:r>
        <w:rPr>
          <w:rFonts w:ascii="Arial" w:cs="Arial" w:eastAsia="Arial" w:hAnsi="Arial"/>
          <w:sz w:val="17"/>
          <w:szCs w:val="17"/>
          <w:b w:val="1"/>
          <w:bCs w:val="1"/>
          <w:color w:val="auto"/>
        </w:rPr>
        <w:t>to consider the Tenant’s request and provide or withhold its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consent. The Landlord shall be deemed to have refused consent if it does not respond to Tenant’s request within fourteen (14) days of receiving any Required Information</w:t>
      </w:r>
      <w:r>
        <w:rPr>
          <w:rFonts w:ascii="Arial" w:cs="Arial" w:eastAsia="Arial" w:hAnsi="Arial"/>
          <w:sz w:val="17"/>
          <w:szCs w:val="17"/>
          <w:color w:val="auto"/>
        </w:rPr>
        <w:t>. Notwithstanding anything else herein contained, in no event shall any Transfer of this Lease</w:t>
      </w:r>
      <w:r>
        <w:rPr>
          <w:rFonts w:ascii="Arial" w:cs="Arial" w:eastAsia="Arial" w:hAnsi="Arial"/>
          <w:sz w:val="17"/>
          <w:szCs w:val="17"/>
          <w:b w:val="1"/>
          <w:bCs w:val="1"/>
          <w:color w:val="auto"/>
        </w:rPr>
        <w:t xml:space="preserve"> </w:t>
      </w:r>
      <w:r>
        <w:rPr>
          <w:rFonts w:ascii="Arial" w:cs="Arial" w:eastAsia="Arial" w:hAnsi="Arial"/>
          <w:sz w:val="17"/>
          <w:szCs w:val="17"/>
          <w:color w:val="auto"/>
        </w:rPr>
        <w:t>release or relieve the Tenant in any regard whatsoever from any of its obligations or liabilities under or in respect of the Lease and the Tenant shall remain solidarily responsible with the Transferee (and, in the circumstances contemplated in Section 7.02 hereof, with the party who acquires control), without benefit of division or discussion, for the performance of all obligations and liabilities of the Tenant under this Lease.</w:t>
      </w:r>
    </w:p>
    <w:p>
      <w:pPr>
        <w:spacing w:after="0" w:line="118" w:lineRule="exact"/>
        <w:rPr>
          <w:rFonts w:ascii="Arial" w:cs="Arial" w:eastAsia="Arial" w:hAnsi="Arial"/>
          <w:sz w:val="17"/>
          <w:szCs w:val="17"/>
          <w:color w:val="auto"/>
        </w:rPr>
      </w:pPr>
    </w:p>
    <w:p>
      <w:pPr>
        <w:ind w:left="5420" w:hanging="111"/>
        <w:spacing w:after="0"/>
        <w:tabs>
          <w:tab w:leader="none" w:pos="542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020"/>
          </w:cols>
          <w:pgMar w:left="440" w:top="274" w:right="439" w:bottom="1440" w:gutter="0" w:footer="0" w:header="0"/>
        </w:sectPr>
      </w:pPr>
    </w:p>
    <w:bookmarkStart w:id="435" w:name="page436"/>
    <w:bookmarkEnd w:id="435"/>
    <w:p>
      <w:pPr>
        <w:ind w:right="1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purposes herein, “Required Information” means all information and documents which Landlord may reasonably require including without limitation:</w:t>
      </w:r>
    </w:p>
    <w:p>
      <w:pPr>
        <w:spacing w:after="0" w:line="67" w:lineRule="exact"/>
        <w:rPr>
          <w:sz w:val="20"/>
          <w:szCs w:val="20"/>
          <w:color w:val="auto"/>
        </w:rPr>
      </w:pPr>
    </w:p>
    <w:p>
      <w:pPr>
        <w:ind w:left="980" w:hanging="533"/>
        <w:spacing w:after="0" w:line="266" w:lineRule="auto"/>
        <w:tabs>
          <w:tab w:leader="none" w:pos="98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the name, address and local telephone number of the proposed Transferee and, if it is a corporation, the names of the directors and majority shareholders (or in the case of a change of control, the names of those who would subsequently acquire effective voting control);</w:t>
      </w:r>
    </w:p>
    <w:p>
      <w:pPr>
        <w:spacing w:after="0" w:line="81" w:lineRule="exact"/>
        <w:rPr>
          <w:rFonts w:ascii="Arial" w:cs="Arial" w:eastAsia="Arial" w:hAnsi="Arial"/>
          <w:sz w:val="18"/>
          <w:szCs w:val="18"/>
          <w:b w:val="1"/>
          <w:bCs w:val="1"/>
          <w:color w:val="auto"/>
        </w:rPr>
      </w:pPr>
    </w:p>
    <w:p>
      <w:pPr>
        <w:ind w:left="980" w:right="180" w:hanging="533"/>
        <w:spacing w:after="0" w:line="282" w:lineRule="auto"/>
        <w:tabs>
          <w:tab w:leader="none" w:pos="98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the proposed Transferee’s prior business experience and the specific terms and conditions of the proposed assignment, sublease or use; and</w:t>
      </w:r>
    </w:p>
    <w:p>
      <w:pPr>
        <w:spacing w:after="0" w:line="67" w:lineRule="exact"/>
        <w:rPr>
          <w:rFonts w:ascii="Arial" w:cs="Arial" w:eastAsia="Arial" w:hAnsi="Arial"/>
          <w:sz w:val="18"/>
          <w:szCs w:val="18"/>
          <w:b w:val="1"/>
          <w:bCs w:val="1"/>
          <w:color w:val="auto"/>
        </w:rPr>
      </w:pPr>
    </w:p>
    <w:p>
      <w:pPr>
        <w:ind w:left="980" w:right="500" w:hanging="533"/>
        <w:spacing w:after="0" w:line="347" w:lineRule="auto"/>
        <w:tabs>
          <w:tab w:leader="none" w:pos="980" w:val="left"/>
        </w:tabs>
        <w:numPr>
          <w:ilvl w:val="0"/>
          <w:numId w:val="262"/>
        </w:numPr>
        <w:rPr>
          <w:rFonts w:ascii="Arial" w:cs="Arial" w:eastAsia="Arial" w:hAnsi="Arial"/>
          <w:sz w:val="16"/>
          <w:szCs w:val="16"/>
          <w:b w:val="1"/>
          <w:bCs w:val="1"/>
          <w:color w:val="auto"/>
        </w:rPr>
      </w:pPr>
      <w:r>
        <w:rPr>
          <w:rFonts w:ascii="Arial" w:cs="Arial" w:eastAsia="Arial" w:hAnsi="Arial"/>
          <w:sz w:val="16"/>
          <w:szCs w:val="16"/>
          <w:b w:val="1"/>
          <w:bCs w:val="1"/>
          <w:color w:val="auto"/>
        </w:rPr>
        <w:t>bank and other credit references, financial statements and such other information as Landlord may reasonably require in order to assess the business and financial responsibility and standing of the proposed Transferee.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PROVIDED </w:t>
      </w:r>
      <w:r>
        <w:rPr>
          <w:rFonts w:ascii="Arial" w:cs="Arial" w:eastAsia="Arial" w:hAnsi="Arial"/>
          <w:sz w:val="18"/>
          <w:szCs w:val="18"/>
          <w:color w:val="auto"/>
        </w:rPr>
        <w:t>however, and it is made a condition to any Transfer that:</w:t>
      </w:r>
    </w:p>
    <w:p>
      <w:pPr>
        <w:spacing w:after="0" w:line="135" w:lineRule="exact"/>
        <w:rPr>
          <w:sz w:val="20"/>
          <w:szCs w:val="20"/>
          <w:color w:val="auto"/>
        </w:rPr>
      </w:pPr>
    </w:p>
    <w:p>
      <w:pPr>
        <w:ind w:left="440" w:right="40" w:hanging="439"/>
        <w:spacing w:after="0" w:line="277" w:lineRule="auto"/>
        <w:tabs>
          <w:tab w:leader="none" w:pos="4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proposed Transferee shall agree in writing to assume and perform all of the terms, covenants, conditions and agreements by this Lease imposed upon the Tenant herein in a form to be approved by the solicitor for the Landlord;</w:t>
      </w:r>
    </w:p>
    <w:p>
      <w:pPr>
        <w:spacing w:after="0" w:line="71" w:lineRule="exact"/>
        <w:rPr>
          <w:rFonts w:ascii="Arial" w:cs="Arial" w:eastAsia="Arial" w:hAnsi="Arial"/>
          <w:sz w:val="18"/>
          <w:szCs w:val="18"/>
          <w:color w:val="auto"/>
        </w:rPr>
      </w:pPr>
    </w:p>
    <w:p>
      <w:pPr>
        <w:ind w:left="440" w:hanging="439"/>
        <w:spacing w:after="0"/>
        <w:tabs>
          <w:tab w:leader="none" w:pos="44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The Tenant shall pay the Landlord all </w:t>
      </w:r>
      <w:r>
        <w:rPr>
          <w:rFonts w:ascii="Arial" w:cs="Arial" w:eastAsia="Arial" w:hAnsi="Arial"/>
          <w:sz w:val="16"/>
          <w:szCs w:val="16"/>
          <w:b w:val="1"/>
          <w:bCs w:val="1"/>
          <w:color w:val="auto"/>
        </w:rPr>
        <w:t>reasonable</w:t>
      </w:r>
      <w:r>
        <w:rPr>
          <w:rFonts w:ascii="Arial" w:cs="Arial" w:eastAsia="Arial" w:hAnsi="Arial"/>
          <w:sz w:val="16"/>
          <w:szCs w:val="16"/>
          <w:color w:val="auto"/>
        </w:rPr>
        <w:t xml:space="preserve"> legal fees and </w:t>
      </w:r>
      <w:r>
        <w:rPr>
          <w:rFonts w:ascii="Arial" w:cs="Arial" w:eastAsia="Arial" w:hAnsi="Arial"/>
          <w:sz w:val="16"/>
          <w:szCs w:val="16"/>
          <w:b w:val="1"/>
          <w:bCs w:val="1"/>
          <w:color w:val="auto"/>
        </w:rPr>
        <w:t>reasonable</w:t>
      </w:r>
      <w:r>
        <w:rPr>
          <w:rFonts w:ascii="Arial" w:cs="Arial" w:eastAsia="Arial" w:hAnsi="Arial"/>
          <w:sz w:val="16"/>
          <w:szCs w:val="16"/>
          <w:color w:val="auto"/>
        </w:rPr>
        <w:t xml:space="preserve"> administration fees in connection with the Transfer;</w:t>
      </w:r>
    </w:p>
    <w:p>
      <w:pPr>
        <w:spacing w:after="0" w:line="157" w:lineRule="exact"/>
        <w:rPr>
          <w:rFonts w:ascii="Arial" w:cs="Arial" w:eastAsia="Arial" w:hAnsi="Arial"/>
          <w:sz w:val="16"/>
          <w:szCs w:val="16"/>
          <w:color w:val="auto"/>
        </w:rPr>
      </w:pPr>
    </w:p>
    <w:p>
      <w:pPr>
        <w:ind w:left="440" w:right="520" w:hanging="439"/>
        <w:spacing w:after="0" w:line="277" w:lineRule="auto"/>
        <w:tabs>
          <w:tab w:leader="none" w:pos="4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consent of the Landlord is not a waiver of the requirement upon the Tenant for the Landlord’s consent for any subsequent Transfer;</w:t>
      </w:r>
    </w:p>
    <w:p>
      <w:pPr>
        <w:spacing w:after="0" w:line="75" w:lineRule="exact"/>
        <w:rPr>
          <w:rFonts w:ascii="Arial" w:cs="Arial" w:eastAsia="Arial" w:hAnsi="Arial"/>
          <w:sz w:val="18"/>
          <w:szCs w:val="18"/>
          <w:color w:val="auto"/>
        </w:rPr>
      </w:pPr>
    </w:p>
    <w:p>
      <w:pPr>
        <w:ind w:left="440" w:right="340" w:hanging="439"/>
        <w:spacing w:after="0" w:line="308" w:lineRule="auto"/>
        <w:tabs>
          <w:tab w:leader="none" w:pos="44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acceptance by the Landlord of Rent from a Transferee without the Landlord’s consent to such Transfer shall not constitute a waiver of the requirement of such consent nor shall it constitute an acceptance of such party as the Tenant;</w:t>
      </w:r>
    </w:p>
    <w:p>
      <w:pPr>
        <w:spacing w:after="0" w:line="51" w:lineRule="exact"/>
        <w:rPr>
          <w:rFonts w:ascii="Arial" w:cs="Arial" w:eastAsia="Arial" w:hAnsi="Arial"/>
          <w:sz w:val="17"/>
          <w:szCs w:val="17"/>
          <w:color w:val="auto"/>
        </w:rPr>
      </w:pPr>
    </w:p>
    <w:p>
      <w:pPr>
        <w:ind w:left="440" w:right="60" w:hanging="439"/>
        <w:spacing w:after="0" w:line="277" w:lineRule="auto"/>
        <w:tabs>
          <w:tab w:leader="none" w:pos="4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Landlord may, at its option, cancel (i) any options to renew the Lease or extend the Term and/or (ii) any rights of first refusal or first opportunity regarding additional space;</w:t>
      </w:r>
    </w:p>
    <w:p>
      <w:pPr>
        <w:spacing w:after="0" w:line="75" w:lineRule="exact"/>
        <w:rPr>
          <w:rFonts w:ascii="Arial" w:cs="Arial" w:eastAsia="Arial" w:hAnsi="Arial"/>
          <w:sz w:val="18"/>
          <w:szCs w:val="18"/>
          <w:color w:val="auto"/>
        </w:rPr>
      </w:pPr>
    </w:p>
    <w:p>
      <w:pPr>
        <w:ind w:left="440" w:right="280" w:hanging="439"/>
        <w:spacing w:after="0" w:line="342" w:lineRule="auto"/>
        <w:tabs>
          <w:tab w:leader="none" w:pos="44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If the Transfer does not take place within sixty (60) days of the giving of consent by the Landlord, then the Landlord’s consent to such Transfer shall, unless </w:t>
      </w:r>
      <w:r>
        <w:rPr>
          <w:rFonts w:ascii="Arial" w:cs="Arial" w:eastAsia="Arial" w:hAnsi="Arial"/>
          <w:sz w:val="16"/>
          <w:szCs w:val="16"/>
          <w:b w:val="1"/>
          <w:bCs w:val="1"/>
          <w:color w:val="auto"/>
        </w:rPr>
        <w:t>otherwise agreed by the parties</w:t>
      </w:r>
      <w:r>
        <w:rPr>
          <w:rFonts w:ascii="Arial" w:cs="Arial" w:eastAsia="Arial" w:hAnsi="Arial"/>
          <w:sz w:val="16"/>
          <w:szCs w:val="16"/>
          <w:color w:val="auto"/>
        </w:rPr>
        <w:t>, at the Landlord’s option, expire and become null and void; and</w:t>
      </w:r>
    </w:p>
    <w:p>
      <w:pPr>
        <w:spacing w:after="0" w:line="29" w:lineRule="exact"/>
        <w:rPr>
          <w:rFonts w:ascii="Arial" w:cs="Arial" w:eastAsia="Arial" w:hAnsi="Arial"/>
          <w:sz w:val="16"/>
          <w:szCs w:val="16"/>
          <w:color w:val="auto"/>
        </w:rPr>
      </w:pPr>
    </w:p>
    <w:p>
      <w:pPr>
        <w:jc w:val="both"/>
        <w:ind w:left="440" w:right="80" w:hanging="439"/>
        <w:spacing w:after="0" w:line="311" w:lineRule="auto"/>
        <w:tabs>
          <w:tab w:leader="none" w:pos="44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If the Lease is disaffirmed, disclaimed or terminated by any trustee in bankruptcy of a Transferee, then the original Tenant named in this Lease will be deemed on notice from the Landlord given within sixty (60) days from the date of such disaffirmation, disclaimer or termination to have entered into a Lease with the Landlord containing the same terms and conditions as in this Lease.</w:t>
      </w:r>
    </w:p>
    <w:p>
      <w:pPr>
        <w:spacing w:after="0" w:line="81" w:lineRule="exact"/>
        <w:rPr>
          <w:rFonts w:ascii="Arial" w:cs="Arial" w:eastAsia="Arial" w:hAnsi="Arial"/>
          <w:sz w:val="16"/>
          <w:szCs w:val="16"/>
          <w:color w:val="auto"/>
        </w:rPr>
      </w:pPr>
    </w:p>
    <w:p>
      <w:pPr>
        <w:ind w:left="4440" w:hanging="111"/>
        <w:spacing w:after="0"/>
        <w:tabs>
          <w:tab w:leader="none" w:pos="444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000"/>
          </w:cols>
          <w:pgMar w:left="1420" w:top="270" w:right="479" w:bottom="1440" w:gutter="0" w:footer="0" w:header="0"/>
        </w:sectPr>
      </w:pPr>
    </w:p>
    <w:bookmarkStart w:id="436" w:name="page437"/>
    <w:bookmarkEnd w:id="436"/>
    <w:p>
      <w:pPr>
        <w:ind w:left="960" w:right="20" w:hanging="532"/>
        <w:spacing w:after="0" w:line="286" w:lineRule="auto"/>
        <w:tabs>
          <w:tab w:leader="none" w:pos="960" w:val="left"/>
        </w:tabs>
        <w:numPr>
          <w:ilvl w:val="0"/>
          <w:numId w:val="2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Transfer occurs without the consent of the Landlord when required, then the Landlord may collect Rent from the party in whose favour the Transfer was made and apply the net amount collected to the Rent herein reserved but no such Transfer will be considered a waiver of this covenant or the acceptance of the party in whose favour the Transfer was made as a tenant hereunder.</w:t>
      </w:r>
    </w:p>
    <w:p>
      <w:pPr>
        <w:spacing w:after="0" w:line="70" w:lineRule="exact"/>
        <w:rPr>
          <w:rFonts w:ascii="Arial" w:cs="Arial" w:eastAsia="Arial" w:hAnsi="Arial"/>
          <w:sz w:val="17"/>
          <w:szCs w:val="17"/>
          <w:color w:val="auto"/>
        </w:rPr>
      </w:pPr>
    </w:p>
    <w:p>
      <w:pPr>
        <w:ind w:left="960" w:right="80" w:hanging="532"/>
        <w:spacing w:after="0" w:line="263" w:lineRule="auto"/>
        <w:tabs>
          <w:tab w:leader="none" w:pos="9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Landlord shall not be liable for any claims or actions by or for any damages, liabilities, losses or expenses of the Tenant arising out of the Landlord unreasonably withholding its consent to any Transfer and the Tenant’s only recourse shall be to bring an application for a declaration that the Landlord shall grant its consent to such Transfer.</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7.02</w:t>
      </w:r>
      <w:r>
        <w:rPr>
          <w:sz w:val="20"/>
          <w:szCs w:val="20"/>
          <w:color w:val="auto"/>
        </w:rPr>
        <w:tab/>
      </w:r>
      <w:r>
        <w:rPr>
          <w:rFonts w:ascii="Arial" w:cs="Arial" w:eastAsia="Arial" w:hAnsi="Arial"/>
          <w:sz w:val="16"/>
          <w:szCs w:val="16"/>
          <w:b w:val="1"/>
          <w:bCs w:val="1"/>
          <w:u w:val="single" w:color="auto"/>
          <w:color w:val="auto"/>
        </w:rPr>
        <w:t>Change of Control</w:t>
      </w:r>
    </w:p>
    <w:p>
      <w:pPr>
        <w:spacing w:after="0" w:line="121"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If the Tenant or any assignee or subtenant is a private corporation and any part or all of the corporate shares of the Tenant or such assignee or subtenant shall be transferred by sale, assignment, amalgamation, legacy, inheritance, operation of law or other disposition or dispositions so as to result in a change in the control of the corporation, such change of control shall be considered a Transfer and shall be subject to the provisions of Section 7.01 hereof. The Tenant shall make available to the Landlord upon its request for inspection and copying, all books and records of the Tenant, any assignee or subtenant and their respective shareholders which, alone or with other data, may show the applicability or inapplicability of this Section.</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7.03</w:t>
      </w:r>
      <w:r>
        <w:rPr>
          <w:sz w:val="20"/>
          <w:szCs w:val="20"/>
          <w:color w:val="auto"/>
        </w:rPr>
        <w:tab/>
      </w:r>
      <w:r>
        <w:rPr>
          <w:rFonts w:ascii="Arial" w:cs="Arial" w:eastAsia="Arial" w:hAnsi="Arial"/>
          <w:sz w:val="15"/>
          <w:szCs w:val="15"/>
          <w:b w:val="1"/>
          <w:bCs w:val="1"/>
          <w:u w:val="single" w:color="auto"/>
          <w:color w:val="auto"/>
        </w:rPr>
        <w:t>Sublet of Part of Leased Premises</w:t>
      </w:r>
    </w:p>
    <w:p>
      <w:pPr>
        <w:spacing w:after="0" w:line="121"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Notwithstanding anything else to the contrary provided in this Lease and/or any act or rule of law or regulation now or hereafter in force to the contrary, the Landlord may in its sole and unfettered discretion refuse to give its consent to any Transfer by the Tenant of less than the whole of the Leased Premises resulting in separate premises therein.</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7.04</w:t>
      </w:r>
      <w:r>
        <w:rPr>
          <w:sz w:val="20"/>
          <w:szCs w:val="20"/>
          <w:color w:val="auto"/>
        </w:rPr>
        <w:tab/>
      </w:r>
      <w:r>
        <w:rPr>
          <w:rFonts w:ascii="Arial" w:cs="Arial" w:eastAsia="Arial" w:hAnsi="Arial"/>
          <w:sz w:val="15"/>
          <w:szCs w:val="15"/>
          <w:b w:val="1"/>
          <w:bCs w:val="1"/>
          <w:u w:val="single" w:color="auto"/>
          <w:color w:val="auto"/>
        </w:rPr>
        <w:t>Excess Rent</w:t>
      </w:r>
    </w:p>
    <w:p>
      <w:pPr>
        <w:spacing w:after="0" w:line="121"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In the event that the Basic Rent or any other amount is payable under any Transfer is in excess of the Basic Rent reserved hereunder or is in excess of the proportionate Basic Rent reserved in the event of a sublease of part of the Leased Premises, whether the excess be in the form of cash, goods or services from the Transferee or anyone acting on its behalf, the Tenant shall pay all of such excess to the Landlord immediately upon receipt thereof; in the event that such excess is represented by goods or services rendered to the Tenant or its nominee, the value of those goods or services shall be determined by the Landlord and Tenant and that value shall be paid in cash to the Landlord immediately upon such determination.</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7.05</w:t>
      </w:r>
      <w:r>
        <w:rPr>
          <w:sz w:val="20"/>
          <w:szCs w:val="20"/>
          <w:color w:val="auto"/>
        </w:rPr>
        <w:tab/>
      </w:r>
      <w:r>
        <w:rPr>
          <w:rFonts w:ascii="Arial" w:cs="Arial" w:eastAsia="Arial" w:hAnsi="Arial"/>
          <w:sz w:val="15"/>
          <w:szCs w:val="15"/>
          <w:b w:val="1"/>
          <w:bCs w:val="1"/>
          <w:u w:val="single" w:color="auto"/>
          <w:color w:val="auto"/>
        </w:rPr>
        <w:t>Hypothec of Leasehold</w:t>
      </w:r>
    </w:p>
    <w:p>
      <w:pPr>
        <w:spacing w:after="0" w:line="121" w:lineRule="exact"/>
        <w:rPr>
          <w:sz w:val="20"/>
          <w:szCs w:val="20"/>
          <w:color w:val="auto"/>
        </w:rPr>
      </w:pPr>
    </w:p>
    <w:p>
      <w:pPr>
        <w:ind w:right="760" w:firstLine="991"/>
        <w:spacing w:after="0" w:line="277" w:lineRule="auto"/>
        <w:rPr>
          <w:sz w:val="20"/>
          <w:szCs w:val="20"/>
          <w:color w:val="auto"/>
        </w:rPr>
      </w:pPr>
      <w:r>
        <w:rPr>
          <w:rFonts w:ascii="Arial" w:cs="Arial" w:eastAsia="Arial" w:hAnsi="Arial"/>
          <w:sz w:val="18"/>
          <w:szCs w:val="18"/>
          <w:color w:val="auto"/>
        </w:rPr>
        <w:t>The Tenant shall not hypothecate or otherwise encumber all or any portion of the Tenant’s interest in this Lease or the Leasehold Improvements.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437" w:name="page438"/>
    <w:bookmarkEnd w:id="437"/>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7.06</w:t>
      </w:r>
      <w:r>
        <w:rPr>
          <w:sz w:val="20"/>
          <w:szCs w:val="20"/>
          <w:color w:val="auto"/>
        </w:rPr>
        <w:tab/>
      </w:r>
      <w:r>
        <w:rPr>
          <w:rFonts w:ascii="Arial" w:cs="Arial" w:eastAsia="Arial" w:hAnsi="Arial"/>
          <w:sz w:val="15"/>
          <w:szCs w:val="15"/>
          <w:b w:val="1"/>
          <w:bCs w:val="1"/>
          <w:u w:val="single" w:color="auto"/>
          <w:color w:val="auto"/>
        </w:rPr>
        <w:t>Advertising Leased Premises</w:t>
      </w:r>
    </w:p>
    <w:p>
      <w:pPr>
        <w:spacing w:after="0" w:line="121"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The Tenant shall not advertise or allow the Leased Premises or a portion thereof to be advertised as being available for assignment, sublease or otherwise without the prior written approval of the Landlord as to the form, size, content and location of such advertisement, which approval shall not be unreasonably withheld, provided that (i) no such advertising shall contain any reference to the Rent for the Leased Premises and (ii) any such advertising shall be on a standard ground-mounted real estate sign.</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7.07</w:t>
      </w:r>
      <w:r>
        <w:rPr>
          <w:sz w:val="20"/>
          <w:szCs w:val="20"/>
          <w:color w:val="auto"/>
        </w:rPr>
        <w:tab/>
      </w:r>
      <w:r>
        <w:rPr>
          <w:rFonts w:ascii="Arial" w:cs="Arial" w:eastAsia="Arial" w:hAnsi="Arial"/>
          <w:sz w:val="16"/>
          <w:szCs w:val="16"/>
          <w:b w:val="1"/>
          <w:bCs w:val="1"/>
          <w:u w:val="single" w:color="auto"/>
          <w:color w:val="auto"/>
        </w:rPr>
        <w:t>Disposition by Landlord</w:t>
      </w:r>
    </w:p>
    <w:p>
      <w:pPr>
        <w:spacing w:after="0" w:line="121" w:lineRule="exact"/>
        <w:rPr>
          <w:sz w:val="20"/>
          <w:szCs w:val="20"/>
          <w:color w:val="auto"/>
        </w:rPr>
      </w:pPr>
    </w:p>
    <w:p>
      <w:pPr>
        <w:ind w:right="360" w:firstLine="991"/>
        <w:spacing w:after="0" w:line="263" w:lineRule="auto"/>
        <w:rPr>
          <w:sz w:val="20"/>
          <w:szCs w:val="20"/>
          <w:color w:val="auto"/>
        </w:rPr>
      </w:pPr>
      <w:r>
        <w:rPr>
          <w:rFonts w:ascii="Arial" w:cs="Arial" w:eastAsia="Arial" w:hAnsi="Arial"/>
          <w:sz w:val="18"/>
          <w:szCs w:val="18"/>
          <w:color w:val="auto"/>
        </w:rPr>
        <w:t>If the Landlord sells or leases the Lands, the Building, the Property or any part thereof, or assigns this Lease, and to the extent that the covenants and obligations of the Landlord under this Lease are assumed by the purchaser, lessee or assignee, the Landlord, without further written agreement, will be discharged and relieved of liability under the said covenants and obligations.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8 - USE</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8.01</w:t>
      </w:r>
      <w:r>
        <w:rPr>
          <w:sz w:val="20"/>
          <w:szCs w:val="20"/>
          <w:color w:val="auto"/>
        </w:rPr>
        <w:tab/>
      </w:r>
      <w:r>
        <w:rPr>
          <w:rFonts w:ascii="Arial" w:cs="Arial" w:eastAsia="Arial" w:hAnsi="Arial"/>
          <w:sz w:val="15"/>
          <w:szCs w:val="15"/>
          <w:b w:val="1"/>
          <w:bCs w:val="1"/>
          <w:u w:val="single" w:color="auto"/>
          <w:color w:val="auto"/>
        </w:rPr>
        <w:t>Use of Leased Premises</w:t>
      </w:r>
    </w:p>
    <w:p>
      <w:pPr>
        <w:spacing w:after="0" w:line="135" w:lineRule="exact"/>
        <w:rPr>
          <w:sz w:val="20"/>
          <w:szCs w:val="20"/>
          <w:color w:val="auto"/>
        </w:rPr>
      </w:pPr>
    </w:p>
    <w:p>
      <w:pPr>
        <w:ind w:left="960" w:right="120" w:hanging="532"/>
        <w:spacing w:after="0" w:line="301" w:lineRule="auto"/>
        <w:tabs>
          <w:tab w:leader="none" w:pos="96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xml:space="preserve">Subject to paragraph (b) of this Section, the Tenant shall not use the Leased Premises nor allow the Leased Premises to be used for any purpose other than the permitted use as set out in the Summary of Basic Lease Provisions at the beginning of this Lease and shall conduct such use only (i) in compliance with the provisions of this Lease, </w:t>
      </w:r>
      <w:r>
        <w:rPr>
          <w:rFonts w:ascii="Arial" w:cs="Arial" w:eastAsia="Arial" w:hAnsi="Arial"/>
          <w:sz w:val="16"/>
          <w:szCs w:val="16"/>
          <w:b w:val="1"/>
          <w:bCs w:val="1"/>
          <w:color w:val="auto"/>
        </w:rPr>
        <w:t>including without limitation the provision of Section 15.15 hereof</w:t>
      </w:r>
      <w:r>
        <w:rPr>
          <w:rFonts w:ascii="Arial" w:cs="Arial" w:eastAsia="Arial" w:hAnsi="Arial"/>
          <w:sz w:val="16"/>
          <w:szCs w:val="16"/>
          <w:color w:val="auto"/>
        </w:rPr>
        <w:t>, and (ii) as permitted by all applicable laws, by-laws and other governmental regulations from time to time in force.</w:t>
      </w:r>
    </w:p>
    <w:p>
      <w:pPr>
        <w:spacing w:after="0" w:line="45" w:lineRule="exact"/>
        <w:rPr>
          <w:rFonts w:ascii="Arial" w:cs="Arial" w:eastAsia="Arial" w:hAnsi="Arial"/>
          <w:sz w:val="16"/>
          <w:szCs w:val="16"/>
          <w:color w:val="auto"/>
        </w:rPr>
      </w:pPr>
    </w:p>
    <w:p>
      <w:pPr>
        <w:ind w:left="980"/>
        <w:spacing w:after="0" w:line="282" w:lineRule="auto"/>
        <w:rPr>
          <w:rFonts w:ascii="Arial" w:cs="Arial" w:eastAsia="Arial" w:hAnsi="Arial"/>
          <w:sz w:val="16"/>
          <w:szCs w:val="16"/>
          <w:color w:val="auto"/>
        </w:rPr>
      </w:pPr>
      <w:r>
        <w:rPr>
          <w:rFonts w:ascii="Arial" w:cs="Arial" w:eastAsia="Arial" w:hAnsi="Arial"/>
          <w:sz w:val="18"/>
          <w:szCs w:val="18"/>
          <w:b w:val="1"/>
          <w:bCs w:val="1"/>
          <w:color w:val="auto"/>
        </w:rPr>
        <w:t>The Landlord acknowledges that the permitted use set out in the Summary of Basic Lease Provisions at the beginning of this Lease is permitted by the current zoning by-laws.</w:t>
      </w:r>
    </w:p>
    <w:p>
      <w:pPr>
        <w:spacing w:after="0" w:line="71" w:lineRule="exact"/>
        <w:rPr>
          <w:rFonts w:ascii="Arial" w:cs="Arial" w:eastAsia="Arial" w:hAnsi="Arial"/>
          <w:sz w:val="16"/>
          <w:szCs w:val="16"/>
          <w:color w:val="auto"/>
        </w:rPr>
      </w:pPr>
    </w:p>
    <w:p>
      <w:pPr>
        <w:ind w:left="960" w:hanging="532"/>
        <w:spacing w:after="0"/>
        <w:tabs>
          <w:tab w:leader="none" w:pos="9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Tenant covenants not to use or permit the Leased Premises to be used for any retail sales whatsoever.</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8.02</w:t>
      </w:r>
      <w:r>
        <w:rPr>
          <w:sz w:val="20"/>
          <w:szCs w:val="20"/>
          <w:color w:val="auto"/>
        </w:rPr>
        <w:tab/>
      </w:r>
      <w:r>
        <w:rPr>
          <w:rFonts w:ascii="Arial" w:cs="Arial" w:eastAsia="Arial" w:hAnsi="Arial"/>
          <w:sz w:val="15"/>
          <w:szCs w:val="15"/>
          <w:b w:val="1"/>
          <w:bCs w:val="1"/>
          <w:u w:val="single" w:color="auto"/>
          <w:color w:val="auto"/>
        </w:rPr>
        <w:t>Rules and Regulations</w:t>
      </w:r>
    </w:p>
    <w:p>
      <w:pPr>
        <w:spacing w:after="0" w:line="121"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The Tenant and its employees and all persons visiting or doing business on the Leased Premises shall be bound by and shall observe and perform all reasonable rules and regulations made by the Landlord from time to time and of which notice in writing shall be given to the Tenant, and all such rules and regulations shall be deemed to be incorporated into and form part of this Lease.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438" w:name="page439"/>
    <w:bookmarkEnd w:id="438"/>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8.03</w:t>
      </w:r>
      <w:r>
        <w:rPr>
          <w:sz w:val="20"/>
          <w:szCs w:val="20"/>
          <w:color w:val="auto"/>
        </w:rPr>
        <w:tab/>
      </w:r>
      <w:r>
        <w:rPr>
          <w:rFonts w:ascii="Arial" w:cs="Arial" w:eastAsia="Arial" w:hAnsi="Arial"/>
          <w:sz w:val="16"/>
          <w:szCs w:val="16"/>
          <w:b w:val="1"/>
          <w:bCs w:val="1"/>
          <w:u w:val="single" w:color="auto"/>
          <w:color w:val="auto"/>
        </w:rPr>
        <w:t>Observance of Law</w:t>
      </w:r>
    </w:p>
    <w:p>
      <w:pPr>
        <w:spacing w:after="0" w:line="121" w:lineRule="exact"/>
        <w:rPr>
          <w:sz w:val="20"/>
          <w:szCs w:val="20"/>
          <w:color w:val="auto"/>
        </w:rPr>
      </w:pPr>
    </w:p>
    <w:p>
      <w:pPr>
        <w:ind w:left="4" w:firstLine="991"/>
        <w:spacing w:after="0" w:line="271" w:lineRule="auto"/>
        <w:rPr>
          <w:sz w:val="20"/>
          <w:szCs w:val="20"/>
          <w:color w:val="auto"/>
        </w:rPr>
      </w:pPr>
      <w:r>
        <w:rPr>
          <w:rFonts w:ascii="Arial" w:cs="Arial" w:eastAsia="Arial" w:hAnsi="Arial"/>
          <w:sz w:val="17"/>
          <w:szCs w:val="17"/>
          <w:color w:val="auto"/>
        </w:rPr>
        <w:t>The Tenant shall comply promptly with and conform to the requirements of all applicable statutes, by-laws, laws, regulations, ordinances and orders from time to time or at any time in force during the Term and affecting the condition, maintenance, repair, use or occupation of the Leased Premises (or equipment therein) and with every applicable regulation, order and requirement of any insurance advisory organization operating within the Province in which the Leased Premises are located or any body having similar functions or of any liability or fire insurance company by which the Landlord and the Tenant or either of them may be insured at any time during the Term, and, in the event of the default of the Tenant under the provisions of this Section, the Landlord may itself comply with any such requirements as aforesaid and the Tenant will forthwith pay all costs and expenses incurred by the Landlord in this regard and the Tenant agrees that all such costs and expenses shall be recoverable by the Landlord as if the same were Additional Rent reserved and in arrears under this Lease.</w:t>
      </w:r>
    </w:p>
    <w:p>
      <w:pPr>
        <w:spacing w:after="0" w:line="323"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8.04</w:t>
      </w:r>
      <w:r>
        <w:rPr>
          <w:sz w:val="20"/>
          <w:szCs w:val="20"/>
          <w:color w:val="auto"/>
        </w:rPr>
        <w:tab/>
      </w:r>
      <w:r>
        <w:rPr>
          <w:rFonts w:ascii="Arial" w:cs="Arial" w:eastAsia="Arial" w:hAnsi="Arial"/>
          <w:sz w:val="16"/>
          <w:szCs w:val="16"/>
          <w:b w:val="1"/>
          <w:bCs w:val="1"/>
          <w:u w:val="single" w:color="auto"/>
          <w:color w:val="auto"/>
        </w:rPr>
        <w:t>Waste and Nuisance</w:t>
      </w:r>
    </w:p>
    <w:p>
      <w:pPr>
        <w:spacing w:after="0" w:line="121" w:lineRule="exact"/>
        <w:rPr>
          <w:sz w:val="20"/>
          <w:szCs w:val="20"/>
          <w:color w:val="auto"/>
        </w:rPr>
      </w:pPr>
    </w:p>
    <w:p>
      <w:pPr>
        <w:ind w:left="4" w:right="20" w:firstLine="991"/>
        <w:spacing w:after="0" w:line="272" w:lineRule="auto"/>
        <w:rPr>
          <w:sz w:val="20"/>
          <w:szCs w:val="20"/>
          <w:color w:val="auto"/>
        </w:rPr>
      </w:pPr>
      <w:r>
        <w:rPr>
          <w:rFonts w:ascii="Arial" w:cs="Arial" w:eastAsia="Arial" w:hAnsi="Arial"/>
          <w:sz w:val="17"/>
          <w:szCs w:val="17"/>
          <w:color w:val="auto"/>
        </w:rPr>
        <w:t>The Tenant shall not do or suffer any waste, damage, disfiguration or injury to the Leased Premises or the fixtures and equipment thereof and shall not use or permit to be used any part of the Leased Premises for any dangerous, noxious or offensive trade or business and shall not do anything or permit anything to be done upon or about the Leased Premises nor permit anything to be brought thereon which may reasonably be deemed to be a nuisance, annoyance, grievance, damage or disturbance to the occupiers or owners of the Property or of adjacent lands or premises, nor do or permit anything to be done therein which, in the opinion of the Landlord acting reasonably, is detrimental to the Property or the Building, and the Tenant shall take every reasonable precaution to protect the Leased Premises and the Building from danger of fire, water damage or the elements and shall keep the Leased Premises and the Lands free of hazardous waste and contamination.</w:t>
      </w:r>
    </w:p>
    <w:p>
      <w:pPr>
        <w:spacing w:after="0" w:line="322"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8.05</w:t>
      </w:r>
      <w:r>
        <w:rPr>
          <w:sz w:val="20"/>
          <w:szCs w:val="20"/>
          <w:color w:val="auto"/>
        </w:rPr>
        <w:tab/>
      </w:r>
      <w:r>
        <w:rPr>
          <w:rFonts w:ascii="Arial" w:cs="Arial" w:eastAsia="Arial" w:hAnsi="Arial"/>
          <w:sz w:val="17"/>
          <w:szCs w:val="17"/>
          <w:b w:val="1"/>
          <w:bCs w:val="1"/>
          <w:u w:val="single" w:color="auto"/>
          <w:color w:val="auto"/>
        </w:rPr>
        <w:t>Interior Walls</w:t>
      </w:r>
    </w:p>
    <w:p>
      <w:pPr>
        <w:spacing w:after="0" w:line="121" w:lineRule="exact"/>
        <w:rPr>
          <w:sz w:val="20"/>
          <w:szCs w:val="20"/>
          <w:color w:val="auto"/>
        </w:rPr>
      </w:pPr>
    </w:p>
    <w:p>
      <w:pPr>
        <w:ind w:left="4" w:right="160" w:firstLine="991"/>
        <w:spacing w:after="0" w:line="263" w:lineRule="auto"/>
        <w:rPr>
          <w:sz w:val="20"/>
          <w:szCs w:val="20"/>
          <w:color w:val="auto"/>
        </w:rPr>
      </w:pPr>
      <w:r>
        <w:rPr>
          <w:rFonts w:ascii="Arial" w:cs="Arial" w:eastAsia="Arial" w:hAnsi="Arial"/>
          <w:sz w:val="18"/>
          <w:szCs w:val="18"/>
          <w:color w:val="auto"/>
        </w:rPr>
        <w:t>The Tenant shall not deface or mark any part of the Building and will not permit any hole to be drilled or made or nails, screws, hooks or spikes to be driven into the interior walls, doors, floors, stone or brick work of the Building or any appurtenances thereof without the prior written consent of the Landlord, which consent shall not be unreasonably withheld.</w:t>
      </w:r>
    </w:p>
    <w:p>
      <w:pPr>
        <w:spacing w:after="0" w:line="328"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8.06</w:t>
      </w:r>
      <w:r>
        <w:rPr>
          <w:sz w:val="20"/>
          <w:szCs w:val="20"/>
          <w:color w:val="auto"/>
        </w:rPr>
        <w:tab/>
      </w:r>
      <w:r>
        <w:rPr>
          <w:rFonts w:ascii="Arial" w:cs="Arial" w:eastAsia="Arial" w:hAnsi="Arial"/>
          <w:sz w:val="15"/>
          <w:szCs w:val="15"/>
          <w:b w:val="1"/>
          <w:bCs w:val="1"/>
          <w:u w:val="single" w:color="auto"/>
          <w:color w:val="auto"/>
        </w:rPr>
        <w:t>Signs</w:t>
      </w:r>
    </w:p>
    <w:p>
      <w:pPr>
        <w:spacing w:after="0" w:line="121" w:lineRule="exact"/>
        <w:rPr>
          <w:sz w:val="20"/>
          <w:szCs w:val="20"/>
          <w:color w:val="auto"/>
        </w:rPr>
      </w:pPr>
    </w:p>
    <w:p>
      <w:pPr>
        <w:ind w:left="4" w:right="40" w:hanging="4"/>
        <w:spacing w:after="0" w:line="273" w:lineRule="auto"/>
        <w:tabs>
          <w:tab w:leader="none" w:pos="299" w:val="left"/>
        </w:tabs>
        <w:numPr>
          <w:ilvl w:val="0"/>
          <w:numId w:val="266"/>
        </w:numPr>
        <w:rPr>
          <w:rFonts w:ascii="Arial" w:cs="Arial" w:eastAsia="Arial" w:hAnsi="Arial"/>
          <w:sz w:val="17"/>
          <w:szCs w:val="17"/>
          <w:b w:val="1"/>
          <w:bCs w:val="1"/>
          <w:color w:val="auto"/>
        </w:rPr>
      </w:pPr>
      <w:r>
        <w:rPr>
          <w:rFonts w:ascii="Arial" w:cs="Arial" w:eastAsia="Arial" w:hAnsi="Arial"/>
          <w:sz w:val="17"/>
          <w:szCs w:val="17"/>
          <w:color w:val="auto"/>
        </w:rPr>
        <w:t>The Tenant covenants and agrees not to paint, affix, display, or cause to be painted, affixed or displayed any picture, advertisement, notice, lettering, decoration or sign on any part of the exterior of the Leased Premises (including, without limitation, the windows) without in each instance the prior written approval of the Landlord. All signs erected by the Tenant with the Landlord’s approval, as aforesaid, shall nevertheless be of uniform size, lettering and location as the signs of all other tenants in the Building or Property, as the Landlord shall determine. (Provided, however, that if the Landlord shall, in its sole discretion, desire to establish a uniform sign policy for the tenants of the Building or the Property, then the Tenant acknowledges and agrees that the Landlord, at its option, shall be entitled to erect all such signage material in or on</w:t>
      </w:r>
    </w:p>
    <w:p>
      <w:pPr>
        <w:spacing w:after="0" w:line="110" w:lineRule="exact"/>
        <w:rPr>
          <w:rFonts w:ascii="Arial" w:cs="Arial" w:eastAsia="Arial" w:hAnsi="Arial"/>
          <w:sz w:val="17"/>
          <w:szCs w:val="17"/>
          <w:b w:val="1"/>
          <w:bCs w:val="1"/>
          <w:color w:val="auto"/>
        </w:rPr>
      </w:pPr>
    </w:p>
    <w:p>
      <w:pPr>
        <w:ind w:left="5424" w:hanging="111"/>
        <w:spacing w:after="0"/>
        <w:tabs>
          <w:tab w:leader="none" w:pos="5424" w:val="left"/>
        </w:tabs>
        <w:numPr>
          <w:ilvl w:val="1"/>
          <w:numId w:val="266"/>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004"/>
          </w:cols>
          <w:pgMar w:left="436" w:top="270" w:right="459" w:bottom="1440" w:gutter="0" w:footer="0" w:header="0"/>
        </w:sectPr>
      </w:pPr>
    </w:p>
    <w:bookmarkStart w:id="439" w:name="page440"/>
    <w:bookmarkEnd w:id="439"/>
    <w:p>
      <w:pPr>
        <w:ind w:left="4"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Building advertising the respective tenants’ business operations therein (including the Tenant’s business)). The cost of all such signs and the installation and erection thereof shall be borne by the Tenant and shall be payable forthwith on demand. All signs shall be erected in strict conformance with all applicable municipal regulations, requirements and by-laws in existence from time to time. All signs shall be removed by the Tenant at its own expense at the termination of this Lease and the Tenant shall promptly repair at its own expense to the satisfaction of the Landlord, acting reasonably, any and all damage caused by such removal and this covenant shall survive the expiry or other termination of the Term.</w:t>
      </w:r>
    </w:p>
    <w:p>
      <w:pPr>
        <w:spacing w:after="0" w:line="306" w:lineRule="exact"/>
        <w:rPr>
          <w:sz w:val="20"/>
          <w:szCs w:val="20"/>
          <w:color w:val="auto"/>
        </w:rPr>
      </w:pPr>
    </w:p>
    <w:p>
      <w:pPr>
        <w:ind w:left="984" w:hanging="984"/>
        <w:spacing w:after="0"/>
        <w:tabs>
          <w:tab w:leader="none" w:pos="984"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Pylon Signage</w:t>
      </w:r>
    </w:p>
    <w:p>
      <w:pPr>
        <w:spacing w:after="0" w:line="121"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Provided the Tenant is PHARMASCIENCE INC. and provided Tenant obtains all required written approvals from all relevant authorities having jurisdiction over the installation, maintenance and use of such signs, and subject to rights granted to other tenants prior to this Lease, the Tenant may, at its sole expense and upon Landlord’s prior written approval, install one (1) exterior sign representing the Tenant’s logo (the “Sign”) on the Building’s existing pylon signage in the area designated by the Landlord.</w:t>
      </w:r>
    </w:p>
    <w:p>
      <w:pPr>
        <w:spacing w:after="0" w:line="187" w:lineRule="exact"/>
        <w:rPr>
          <w:sz w:val="20"/>
          <w:szCs w:val="20"/>
          <w:color w:val="auto"/>
        </w:rPr>
      </w:pPr>
    </w:p>
    <w:p>
      <w:pPr>
        <w:ind w:left="4" w:right="40"/>
        <w:spacing w:after="0" w:line="255" w:lineRule="auto"/>
        <w:rPr>
          <w:sz w:val="20"/>
          <w:szCs w:val="20"/>
          <w:color w:val="auto"/>
        </w:rPr>
      </w:pPr>
      <w:r>
        <w:rPr>
          <w:rFonts w:ascii="Arial" w:cs="Arial" w:eastAsia="Arial" w:hAnsi="Arial"/>
          <w:sz w:val="18"/>
          <w:szCs w:val="18"/>
          <w:color w:val="auto"/>
        </w:rPr>
        <w:t>The Tenant shall submit to Landlord plans and specifications with respect to the Sign, including without limitation, the type of sign, the size and the method of fixation, for Landlord’s prior written approval, failing which the Landlord will be under no obligation to permit the installation of the said Sign. The Tenant shall be solely responsible for costs of construction, installation, maintenance and operation of the Sign, including electricity, if applicable. The Tenant shall be responsible for and shall indemnify and hold the Landlord harmless from and against any loss, damage, claim or costs arising from the installation, maintenance, repair, replacement or removal work of the Sign and/or by reason of damage or destruction of the sign or the Building as a result of such sign.</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Tenant shall maintain and keep the Sign in good order and condition, including all replacements, alterations, additions and improvements thereto.</w:t>
      </w:r>
    </w:p>
    <w:p>
      <w:pPr>
        <w:spacing w:after="0" w:line="248"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Tenant acknowledges and agrees that it shall be responsible for all costs incurred by Landlord to verify the Sign installations effected by Tenant, and Tenant shall comply with requirements of the Landlord in connection with such installations.</w:t>
      </w:r>
    </w:p>
    <w:p>
      <w:pPr>
        <w:spacing w:after="0" w:line="170"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 xml:space="preserve">At the expiry or earlier termination of the Lease, the Tenant shall at its expense, remove the Sign and repair all damage caused by the installation and/or removal, including without limitation damage to the Building, in default of which Landlord shall proceed to such removal and repair and any and all costs incurred by the Landlord in so doing (including the Landlord’s administration fee equal to </w:t>
      </w:r>
      <w:r>
        <w:rPr>
          <w:rFonts w:ascii="Arial" w:cs="Arial" w:eastAsia="Arial" w:hAnsi="Arial"/>
          <w:sz w:val="18"/>
          <w:szCs w:val="18"/>
          <w:b w:val="1"/>
          <w:bCs w:val="1"/>
          <w:color w:val="auto"/>
        </w:rPr>
        <w:t>ten percent (10%)</w:t>
      </w:r>
      <w:r>
        <w:rPr>
          <w:rFonts w:ascii="Arial" w:cs="Arial" w:eastAsia="Arial" w:hAnsi="Arial"/>
          <w:sz w:val="18"/>
          <w:szCs w:val="18"/>
          <w:color w:val="auto"/>
        </w:rPr>
        <w:t xml:space="preserve"> of the total costs thereof), shall be borne by the Tenant and furthermore, such removal and repair shall be without compensation to the Tenant and without liability of any nature whatsoever on the part of the Landlord to the Tenant.</w:t>
      </w:r>
    </w:p>
    <w:p>
      <w:pPr>
        <w:spacing w:after="0" w:line="200" w:lineRule="exact"/>
        <w:rPr>
          <w:sz w:val="20"/>
          <w:szCs w:val="20"/>
          <w:color w:val="auto"/>
        </w:rPr>
      </w:pPr>
    </w:p>
    <w:p>
      <w:pPr>
        <w:spacing w:after="0" w:line="28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4"/>
          </w:cols>
          <w:pgMar w:left="436" w:top="274" w:right="539" w:bottom="1440" w:gutter="0" w:footer="0" w:header="0"/>
        </w:sectPr>
      </w:pPr>
    </w:p>
    <w:bookmarkStart w:id="440" w:name="page441"/>
    <w:bookmarkEnd w:id="440"/>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8.07</w:t>
      </w:r>
      <w:r>
        <w:rPr>
          <w:sz w:val="20"/>
          <w:szCs w:val="20"/>
          <w:color w:val="auto"/>
        </w:rPr>
        <w:tab/>
      </w:r>
      <w:r>
        <w:rPr>
          <w:rFonts w:ascii="Arial" w:cs="Arial" w:eastAsia="Arial" w:hAnsi="Arial"/>
          <w:sz w:val="16"/>
          <w:szCs w:val="16"/>
          <w:b w:val="1"/>
          <w:bCs w:val="1"/>
          <w:u w:val="single" w:color="auto"/>
          <w:color w:val="auto"/>
        </w:rPr>
        <w:t>Parking</w:t>
      </w:r>
    </w:p>
    <w:p>
      <w:pPr>
        <w:spacing w:after="0" w:line="121"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The Tenant shall have the non-exclusive right during normal business hours, in common with all other tenants and occupants of the Project, to park cars belonging to its employees, servants, agents, contractors and invitees in those areas on the Common Lot designated by the Landlord from time to time as parking areas for the Leased Premises and shall not park nor permit its employees, servants, agents, contractors or invitees to park in any other areas whatsoever. The Tenant shall not park nor permit to be parked any vehicles (cars, trucks, trailers or otherwise) anywhere on the Common Lot at any time other than during normal business hours and in such areas so designated by the Landlord. The Tenant shall not park or permit to be parked any trucks or trailers in any areas of the Lands designed and/or designated for car parking. </w:t>
      </w:r>
      <w:r>
        <w:rPr>
          <w:rFonts w:ascii="Arial" w:cs="Arial" w:eastAsia="Arial" w:hAnsi="Arial"/>
          <w:sz w:val="16"/>
          <w:szCs w:val="16"/>
          <w:b w:val="1"/>
          <w:bCs w:val="1"/>
          <w:color w:val="auto"/>
        </w:rPr>
        <w:t>Notwithstanding the foregoing, parking of</w:t>
      </w:r>
      <w:r>
        <w:rPr>
          <w:rFonts w:ascii="Arial" w:cs="Arial" w:eastAsia="Arial" w:hAnsi="Arial"/>
          <w:sz w:val="16"/>
          <w:szCs w:val="16"/>
          <w:color w:val="auto"/>
        </w:rPr>
        <w:t xml:space="preserve"> </w:t>
      </w:r>
      <w:r>
        <w:rPr>
          <w:rFonts w:ascii="Arial" w:cs="Arial" w:eastAsia="Arial" w:hAnsi="Arial"/>
          <w:sz w:val="16"/>
          <w:szCs w:val="16"/>
          <w:b w:val="1"/>
          <w:bCs w:val="1"/>
          <w:color w:val="auto"/>
        </w:rPr>
        <w:t>any vehicle at such time the owner or user of a vehicle is working or conducting business at the Leased Premises outside normal business hours shall be permitted, subject to all applicable laws, by-laws, regulations and ordinances from any competent authority.</w:t>
      </w:r>
    </w:p>
    <w:p>
      <w:pPr>
        <w:spacing w:after="0" w:line="161" w:lineRule="exact"/>
        <w:rPr>
          <w:sz w:val="20"/>
          <w:szCs w:val="20"/>
          <w:color w:val="auto"/>
        </w:rPr>
      </w:pPr>
    </w:p>
    <w:p>
      <w:pPr>
        <w:ind w:right="80" w:firstLine="991"/>
        <w:spacing w:after="0" w:line="294" w:lineRule="auto"/>
        <w:rPr>
          <w:sz w:val="20"/>
          <w:szCs w:val="20"/>
          <w:color w:val="auto"/>
        </w:rPr>
      </w:pPr>
      <w:r>
        <w:rPr>
          <w:rFonts w:ascii="Arial" w:cs="Arial" w:eastAsia="Arial" w:hAnsi="Arial"/>
          <w:sz w:val="16"/>
          <w:szCs w:val="16"/>
          <w:b w:val="1"/>
          <w:bCs w:val="1"/>
          <w:color w:val="auto"/>
        </w:rPr>
        <w:t>The Tenant shall have the right to have parking signage (“Parking Signage”) to indicate four (4) parking spaces for the Tenant’s use to be located in the area adjacent to the Building in a location to be determined by Landlord. The Parking Signage (comprising signs, steel poles and concrete bases) shall be installed by Landlord at the Landlord’s cost. The Tenant shall be responsible for the supervision of these parking spaces, and for any maintenance or replacement costs, if any, of the Parking Signage and for the removal of such signage at the expiry of the Term. The Landlord shall have the right, at any time and from time to time during the Term and any renewal or extension thereof, to relocate the Parking Signage (and the four exterior parking spaces) at its discretion elsewhere in the exterior parking facilities of the Project.</w:t>
      </w:r>
    </w:p>
    <w:p>
      <w:pPr>
        <w:spacing w:after="0" w:line="3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8.08</w:t>
      </w:r>
      <w:r>
        <w:rPr>
          <w:sz w:val="20"/>
          <w:szCs w:val="20"/>
          <w:color w:val="auto"/>
        </w:rPr>
        <w:tab/>
      </w:r>
      <w:r>
        <w:rPr>
          <w:rFonts w:ascii="Arial" w:cs="Arial" w:eastAsia="Arial" w:hAnsi="Arial"/>
          <w:sz w:val="16"/>
          <w:szCs w:val="16"/>
          <w:b w:val="1"/>
          <w:bCs w:val="1"/>
          <w:u w:val="single" w:color="auto"/>
          <w:color w:val="auto"/>
        </w:rPr>
        <w:t>Refuse and Garbage</w:t>
      </w:r>
    </w:p>
    <w:p>
      <w:pPr>
        <w:spacing w:after="0" w:line="121"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Tenant agrees that it will not allow any waste, refuse, garbage, ashes or other loose or objectionable material to accumulate in or about the Leased Premises and will provide covered metal receptacles for the same and will at all times keep the Leased Premises in a clean and tidy condition.</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8.09</w:t>
      </w:r>
      <w:r>
        <w:rPr>
          <w:sz w:val="20"/>
          <w:szCs w:val="20"/>
          <w:color w:val="auto"/>
        </w:rPr>
        <w:tab/>
      </w:r>
      <w:r>
        <w:rPr>
          <w:rFonts w:ascii="Arial" w:cs="Arial" w:eastAsia="Arial" w:hAnsi="Arial"/>
          <w:sz w:val="16"/>
          <w:szCs w:val="16"/>
          <w:b w:val="1"/>
          <w:bCs w:val="1"/>
          <w:u w:val="single" w:color="auto"/>
          <w:color w:val="auto"/>
        </w:rPr>
        <w:t>Overloading Floors</w:t>
      </w:r>
    </w:p>
    <w:p>
      <w:pPr>
        <w:spacing w:after="0" w:line="121" w:lineRule="exact"/>
        <w:rPr>
          <w:sz w:val="20"/>
          <w:szCs w:val="20"/>
          <w:color w:val="auto"/>
        </w:rPr>
      </w:pPr>
    </w:p>
    <w:p>
      <w:pPr>
        <w:ind w:right="100" w:firstLine="991"/>
        <w:spacing w:after="0" w:line="296" w:lineRule="auto"/>
        <w:rPr>
          <w:sz w:val="20"/>
          <w:szCs w:val="20"/>
          <w:color w:val="auto"/>
        </w:rPr>
      </w:pPr>
      <w:r>
        <w:rPr>
          <w:rFonts w:ascii="Arial" w:cs="Arial" w:eastAsia="Arial" w:hAnsi="Arial"/>
          <w:sz w:val="16"/>
          <w:szCs w:val="16"/>
          <w:color w:val="auto"/>
        </w:rPr>
        <w:t>The Tenant covenants that it will not bring upon the Leased Premises or any part thereof any machinery, equipment, article or thing that, by reason of its weight, size, configuration, operation or otherwise, might damage the Leased Premises and will not at any time overload or damage the floors of the Leased Premises. The Tenant shall remove any such machinery, equipment (including but not limited to mobile equipment such as a forklift), article or thing within five (5) days’ written notice thereof and if any damage is caused to the Leased Premises by any machinery, equipment, article or thing or by overloading, the Tenant shall forthwith repair such damage at its own expense to the satisfaction of the Landlord.</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6"/>
          <w:szCs w:val="16"/>
          <w:b w:val="1"/>
          <w:bCs w:val="1"/>
          <w:u w:val="single" w:color="auto"/>
          <w:color w:val="auto"/>
        </w:rPr>
        <w:t>Outside Storage</w:t>
      </w:r>
    </w:p>
    <w:p>
      <w:pPr>
        <w:spacing w:after="0" w:line="121"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The Tenant agrees that it will not store any goods or matter of any kind whatsoever outside the Leased Premises without the express written consent of the Landlord first had and obtained.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0" w:right="479" w:bottom="1440" w:gutter="0" w:footer="0" w:header="0"/>
        </w:sectPr>
      </w:pPr>
    </w:p>
    <w:bookmarkStart w:id="441" w:name="page442"/>
    <w:bookmarkEnd w:id="44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8.11</w:t>
      </w:r>
      <w:r>
        <w:rPr>
          <w:sz w:val="20"/>
          <w:szCs w:val="20"/>
          <w:color w:val="auto"/>
        </w:rPr>
        <w:tab/>
      </w:r>
      <w:r>
        <w:rPr>
          <w:rFonts w:ascii="Arial" w:cs="Arial" w:eastAsia="Arial" w:hAnsi="Arial"/>
          <w:sz w:val="16"/>
          <w:szCs w:val="16"/>
          <w:b w:val="1"/>
          <w:bCs w:val="1"/>
          <w:u w:val="single" w:color="auto"/>
          <w:color w:val="auto"/>
        </w:rPr>
        <w:t>Plumbing Fixtures</w:t>
      </w:r>
    </w:p>
    <w:p>
      <w:pPr>
        <w:spacing w:after="0" w:line="121" w:lineRule="exact"/>
        <w:rPr>
          <w:sz w:val="20"/>
          <w:szCs w:val="20"/>
          <w:color w:val="auto"/>
        </w:rPr>
      </w:pPr>
    </w:p>
    <w:p>
      <w:pPr>
        <w:ind w:right="120" w:firstLine="991"/>
        <w:spacing w:after="0" w:line="311" w:lineRule="auto"/>
        <w:rPr>
          <w:sz w:val="20"/>
          <w:szCs w:val="20"/>
          <w:color w:val="auto"/>
        </w:rPr>
      </w:pPr>
      <w:r>
        <w:rPr>
          <w:rFonts w:ascii="Arial" w:cs="Arial" w:eastAsia="Arial" w:hAnsi="Arial"/>
          <w:sz w:val="16"/>
          <w:szCs w:val="16"/>
          <w:color w:val="auto"/>
        </w:rPr>
        <w:t>The plumbing fixtures shall not be used for any purpose other than that for which they were constructed and no foreign substances of any kind shall be deposited therein, and the expense of any breakage, stoppage, or damage caused by the Tenant or those for whom Tenant is at law responsible, or by the negligent acts or omissions of the Tenant or those for whom Tenant is at law responsible, shall be borne by the Tenant.</w:t>
      </w:r>
    </w:p>
    <w:p>
      <w:pPr>
        <w:spacing w:after="0" w:line="2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6"/>
          <w:szCs w:val="16"/>
          <w:b w:val="1"/>
          <w:bCs w:val="1"/>
          <w:u w:val="single" w:color="auto"/>
          <w:color w:val="auto"/>
        </w:rPr>
        <w:t>Energy Conservation</w:t>
      </w:r>
    </w:p>
    <w:p>
      <w:pPr>
        <w:spacing w:after="0" w:line="121" w:lineRule="exact"/>
        <w:rPr>
          <w:sz w:val="20"/>
          <w:szCs w:val="20"/>
          <w:color w:val="auto"/>
        </w:rPr>
      </w:pPr>
    </w:p>
    <w:p>
      <w:pPr>
        <w:jc w:val="both"/>
        <w:ind w:right="80" w:firstLine="991"/>
        <w:spacing w:after="0" w:line="311" w:lineRule="auto"/>
        <w:rPr>
          <w:sz w:val="20"/>
          <w:szCs w:val="20"/>
          <w:color w:val="auto"/>
        </w:rPr>
      </w:pPr>
      <w:r>
        <w:rPr>
          <w:rFonts w:ascii="Arial" w:cs="Arial" w:eastAsia="Arial" w:hAnsi="Arial"/>
          <w:sz w:val="16"/>
          <w:szCs w:val="16"/>
          <w:color w:val="auto"/>
        </w:rPr>
        <w:t>The Tenant shall co-operate with the Landlord in conserving energy of all types in the Building, including but not limited to complying at the Tenant’s own cost with all reasonable requests and demands of the Landlord made with a view to energy conservation. Any reasonable expenditures made by the Landlord in an effort to promote energy conservation shall be added to Operating Costs in the Year such expenditures are incurred.</w:t>
      </w:r>
    </w:p>
    <w:p>
      <w:pPr>
        <w:spacing w:after="0" w:line="2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5"/>
          <w:szCs w:val="15"/>
          <w:b w:val="1"/>
          <w:bCs w:val="1"/>
          <w:u w:val="single" w:color="auto"/>
          <w:color w:val="auto"/>
        </w:rPr>
        <w:t>Overloading Systems</w:t>
      </w:r>
    </w:p>
    <w:p>
      <w:pPr>
        <w:spacing w:after="0" w:line="121" w:lineRule="exact"/>
        <w:rPr>
          <w:sz w:val="20"/>
          <w:szCs w:val="20"/>
          <w:color w:val="auto"/>
        </w:rPr>
      </w:pPr>
    </w:p>
    <w:p>
      <w:pPr>
        <w:jc w:val="both"/>
        <w:ind w:right="160" w:firstLine="991"/>
        <w:spacing w:after="0" w:line="279" w:lineRule="auto"/>
        <w:rPr>
          <w:sz w:val="20"/>
          <w:szCs w:val="20"/>
          <w:color w:val="auto"/>
        </w:rPr>
      </w:pPr>
      <w:r>
        <w:rPr>
          <w:rFonts w:ascii="Arial" w:cs="Arial" w:eastAsia="Arial" w:hAnsi="Arial"/>
          <w:sz w:val="17"/>
          <w:szCs w:val="17"/>
          <w:color w:val="auto"/>
        </w:rPr>
        <w:t>The Tenant shall not install or use any electrical or other equipment or electrical arrangement which may overload the electrical or other service facilities unless it does so with the express prior written consent of the Landlord and at its own expense makes whatever changes are necessary to comply with the reasonable and lawful requirements of the Landlord’s insurance underwriters and governmental authorities having jurisdiction. The Tenant shall submit all applicable plans and specifications to the Landlord at the time of applying for such consent.</w:t>
      </w:r>
    </w:p>
    <w:p>
      <w:pPr>
        <w:spacing w:after="0" w:line="3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8.14</w:t>
      </w:r>
      <w:r>
        <w:rPr>
          <w:sz w:val="20"/>
          <w:szCs w:val="20"/>
          <w:color w:val="auto"/>
        </w:rPr>
        <w:tab/>
      </w:r>
      <w:r>
        <w:rPr>
          <w:rFonts w:ascii="Arial" w:cs="Arial" w:eastAsia="Arial" w:hAnsi="Arial"/>
          <w:sz w:val="16"/>
          <w:szCs w:val="16"/>
          <w:b w:val="1"/>
          <w:bCs w:val="1"/>
          <w:u w:val="single" w:color="auto"/>
          <w:color w:val="auto"/>
        </w:rPr>
        <w:t>Name of Building</w:t>
      </w:r>
    </w:p>
    <w:p>
      <w:pPr>
        <w:spacing w:after="0" w:line="121"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The Tenant shall not refer to the Building or Project by any name or names other than such name or names as may be designated from time to time by the Landlord, nor to use such name or names for any purpose other than that of the business address of the Tenant.</w:t>
      </w: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8.15</w:t>
      </w:r>
      <w:r>
        <w:rPr>
          <w:sz w:val="20"/>
          <w:szCs w:val="20"/>
          <w:color w:val="auto"/>
        </w:rPr>
        <w:tab/>
      </w:r>
      <w:r>
        <w:rPr>
          <w:rFonts w:ascii="Arial" w:cs="Arial" w:eastAsia="Arial" w:hAnsi="Arial"/>
          <w:sz w:val="16"/>
          <w:szCs w:val="16"/>
          <w:b w:val="1"/>
          <w:bCs w:val="1"/>
          <w:u w:val="single" w:color="auto"/>
          <w:color w:val="auto"/>
        </w:rPr>
        <w:t>Fire and Safety</w:t>
      </w:r>
    </w:p>
    <w:p>
      <w:pPr>
        <w:spacing w:after="0" w:line="121"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The Tenant shall co-operate and participate and cause its employees, agents, invitees and licensees to co-operate and participate in any fire drills, evacuation drills and similar exercises as may be arranged or organized by the Landlord from time to time, and shall hold the Landlord harmless from any personal or material loss, damage or injury arising therefrom.</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 INSURANCE AND INDEMNITY</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9.01</w:t>
      </w:r>
      <w:r>
        <w:rPr>
          <w:sz w:val="20"/>
          <w:szCs w:val="20"/>
          <w:color w:val="auto"/>
        </w:rPr>
        <w:tab/>
      </w:r>
      <w:r>
        <w:rPr>
          <w:rFonts w:ascii="Arial" w:cs="Arial" w:eastAsia="Arial" w:hAnsi="Arial"/>
          <w:sz w:val="16"/>
          <w:szCs w:val="16"/>
          <w:b w:val="1"/>
          <w:bCs w:val="1"/>
          <w:u w:val="single" w:color="auto"/>
          <w:color w:val="auto"/>
        </w:rPr>
        <w:t>Tenant’s Insurance</w:t>
      </w:r>
    </w:p>
    <w:p>
      <w:pPr>
        <w:spacing w:after="0" w:line="121"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The Tenant shall, at its expense, maintain in force during the Term, and any other period of occupation, in the name of the Tenant (with the Landlord, the Landlord’s property manager, asset manager and hypothecary creditor, if any, named as additional insureds as their respective interests may appear) the following insurance: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442" w:name="page443"/>
    <w:bookmarkEnd w:id="442"/>
    <w:p>
      <w:pPr>
        <w:ind w:left="964" w:hanging="532"/>
        <w:spacing w:after="0" w:line="257" w:lineRule="auto"/>
        <w:tabs>
          <w:tab w:leader="none" w:pos="964" w:val="left"/>
        </w:tabs>
        <w:numPr>
          <w:ilvl w:val="0"/>
          <w:numId w:val="2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comprehensive general liability insurance against claims for personal injury, death or property damage (including but not limited to tenants’ legal liability, personal injury liability, products liability, property damage and contractual liability to cover all indemnities) with respect to the business or operations carried on in and from the Leased Premises, in amounts required by the Landlord and any hypothecary creditor of the Building or any part thereof from time to time but in no event less than Five Million Dollars ($5,000,000.00) per occurrence;</w:t>
      </w:r>
    </w:p>
    <w:p>
      <w:pPr>
        <w:spacing w:after="0" w:line="93" w:lineRule="exact"/>
        <w:rPr>
          <w:rFonts w:ascii="Arial" w:cs="Arial" w:eastAsia="Arial" w:hAnsi="Arial"/>
          <w:sz w:val="18"/>
          <w:szCs w:val="18"/>
          <w:color w:val="auto"/>
        </w:rPr>
      </w:pPr>
    </w:p>
    <w:p>
      <w:pPr>
        <w:ind w:left="964" w:right="80" w:hanging="532"/>
        <w:spacing w:after="0" w:line="257" w:lineRule="auto"/>
        <w:tabs>
          <w:tab w:leader="none" w:pos="96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“All Risks” insurance including flood, earthquake and sewer backup, with extended coverage endorsement and water damage insurance (including, if applicable, sprinkler leakage) covering all contents of the Leased Premises and all other property for which the Tenant is legally liable for or responsible for pursuant to this Lease and/or which has been installed by or on behalf of the Tenant (including without limitation all movables, equipment, machinery, furniture, inventory, fixtures and all Leasehold Improvements) in an amount equal to the full replacement value thereof;</w:t>
      </w:r>
    </w:p>
    <w:p>
      <w:pPr>
        <w:spacing w:after="0" w:line="93" w:lineRule="exact"/>
        <w:rPr>
          <w:rFonts w:ascii="Arial" w:cs="Arial" w:eastAsia="Arial" w:hAnsi="Arial"/>
          <w:sz w:val="18"/>
          <w:szCs w:val="18"/>
          <w:color w:val="auto"/>
        </w:rPr>
      </w:pPr>
    </w:p>
    <w:p>
      <w:pPr>
        <w:ind w:left="964" w:right="240" w:hanging="532"/>
        <w:spacing w:after="0" w:line="259" w:lineRule="auto"/>
        <w:tabs>
          <w:tab w:leader="none" w:pos="96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broad form boiler and machinery insurance on a blanket repair and replacement basis with limits for each accident in the amount of not less than the replacement cost of all Leasehold Improvements and of all boilers, pressure vessels, air conditioning equipment and miscellaneous electrical apparatus owned or operated by the Tenant or by others (other than the Landlord) on behalf of the Tenant in the Leased Premises;</w:t>
      </w:r>
    </w:p>
    <w:p>
      <w:pPr>
        <w:spacing w:after="0" w:line="92" w:lineRule="exact"/>
        <w:rPr>
          <w:rFonts w:ascii="Arial" w:cs="Arial" w:eastAsia="Arial" w:hAnsi="Arial"/>
          <w:sz w:val="18"/>
          <w:szCs w:val="18"/>
          <w:color w:val="auto"/>
        </w:rPr>
      </w:pPr>
    </w:p>
    <w:p>
      <w:pPr>
        <w:ind w:left="964" w:right="280" w:hanging="532"/>
        <w:spacing w:after="0" w:line="277" w:lineRule="auto"/>
        <w:tabs>
          <w:tab w:leader="none" w:pos="96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business interruption insurance in such amounts as will reimburse the Tenant for direct or indirect loss of earnings including continuing and extra expenses attributable to all perils insured against by the Tenant hereunder;</w:t>
      </w:r>
    </w:p>
    <w:p>
      <w:pPr>
        <w:spacing w:after="0" w:line="75" w:lineRule="exact"/>
        <w:rPr>
          <w:rFonts w:ascii="Arial" w:cs="Arial" w:eastAsia="Arial" w:hAnsi="Arial"/>
          <w:sz w:val="18"/>
          <w:szCs w:val="18"/>
          <w:color w:val="auto"/>
        </w:rPr>
      </w:pPr>
    </w:p>
    <w:p>
      <w:pPr>
        <w:ind w:left="964" w:right="260" w:hanging="532"/>
        <w:spacing w:after="0" w:line="277" w:lineRule="auto"/>
        <w:tabs>
          <w:tab w:leader="none" w:pos="96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glass insurance, for the benefit of the Landlord and the Tenant, covering all exterior and interior glass in the Leased Premises, including plate glass windows and doors; and</w:t>
      </w:r>
    </w:p>
    <w:p>
      <w:pPr>
        <w:spacing w:after="0" w:line="75" w:lineRule="exact"/>
        <w:rPr>
          <w:rFonts w:ascii="Arial" w:cs="Arial" w:eastAsia="Arial" w:hAnsi="Arial"/>
          <w:sz w:val="18"/>
          <w:szCs w:val="18"/>
          <w:color w:val="auto"/>
        </w:rPr>
      </w:pPr>
    </w:p>
    <w:p>
      <w:pPr>
        <w:ind w:left="964" w:right="80" w:hanging="532"/>
        <w:spacing w:after="0" w:line="277" w:lineRule="auto"/>
        <w:tabs>
          <w:tab w:leader="none" w:pos="96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such other forms of insurance as may be reasonably required by the Landlord, its representatives and its hypothecary creditor from time to time.</w:t>
      </w:r>
    </w:p>
    <w:p>
      <w:pPr>
        <w:spacing w:after="0" w:line="170" w:lineRule="exact"/>
        <w:rPr>
          <w:sz w:val="20"/>
          <w:szCs w:val="20"/>
          <w:color w:val="auto"/>
        </w:rPr>
      </w:pPr>
    </w:p>
    <w:p>
      <w:pPr>
        <w:ind w:left="4" w:right="160" w:firstLine="991"/>
        <w:spacing w:after="0" w:line="283" w:lineRule="auto"/>
        <w:rPr>
          <w:sz w:val="20"/>
          <w:szCs w:val="20"/>
          <w:color w:val="auto"/>
        </w:rPr>
      </w:pPr>
      <w:r>
        <w:rPr>
          <w:rFonts w:ascii="Arial" w:cs="Arial" w:eastAsia="Arial" w:hAnsi="Arial"/>
          <w:sz w:val="16"/>
          <w:szCs w:val="16"/>
          <w:color w:val="auto"/>
        </w:rPr>
        <w:t xml:space="preserve">All policies required to be written on behalf of the Tenant pursuant to this Section shall contain the Landlord’s hypothecary creditor standard hypothecary clause as applicable, and shall contain a waiver of any subrogation rights which the Tenant’s insurers may have against the Landlord, </w:t>
      </w:r>
      <w:r>
        <w:rPr>
          <w:rFonts w:ascii="Arial" w:cs="Arial" w:eastAsia="Arial" w:hAnsi="Arial"/>
          <w:sz w:val="16"/>
          <w:szCs w:val="16"/>
          <w:b w:val="1"/>
          <w:bCs w:val="1"/>
          <w:color w:val="auto"/>
        </w:rPr>
        <w:t>its property manager</w:t>
      </w:r>
      <w:r>
        <w:rPr>
          <w:rFonts w:ascii="Arial" w:cs="Arial" w:eastAsia="Arial" w:hAnsi="Arial"/>
          <w:sz w:val="16"/>
          <w:szCs w:val="16"/>
          <w:color w:val="auto"/>
        </w:rPr>
        <w:t xml:space="preserve"> and against those for whom the Landlord is in law responsible, whether any such damage is caused by the act, omission or negligence of the Landlord or those for whom the Landlord is in law responsible. All policies will have reasonable deductibles and will be primary and not call into contribution or be in excess of any other insurance available to the Landlord or any additional insureds. All policies shall be taken out with insurers acceptable to the Landlord and shall be in a form satisfactory from time to time to the Landlord. The Tenant agrees that certificates of insurance on the Landlord’s standard form or if required by the Landlord or the Landlord’s hypothecary creditor certified copies of each such insurance policy will be delivered to the Landlord immediately after the placing, removal, amendment or extension of the required insurance. All policies shall contain an undertaking by the insurers to notify the Landlord and the Landlord’s hypothecary creditor in writing not less than thirty</w:t>
      </w:r>
    </w:p>
    <w:p>
      <w:pPr>
        <w:spacing w:after="0" w:line="6" w:lineRule="exact"/>
        <w:rPr>
          <w:sz w:val="20"/>
          <w:szCs w:val="20"/>
          <w:color w:val="auto"/>
        </w:rPr>
      </w:pPr>
    </w:p>
    <w:p>
      <w:pPr>
        <w:ind w:left="344" w:hanging="344"/>
        <w:spacing w:after="0"/>
        <w:tabs>
          <w:tab w:leader="none" w:pos="344" w:val="left"/>
        </w:tabs>
        <w:numPr>
          <w:ilvl w:val="0"/>
          <w:numId w:val="269"/>
        </w:numPr>
        <w:rPr>
          <w:rFonts w:ascii="Arial" w:cs="Arial" w:eastAsia="Arial" w:hAnsi="Arial"/>
          <w:sz w:val="18"/>
          <w:szCs w:val="18"/>
          <w:color w:val="auto"/>
        </w:rPr>
      </w:pPr>
      <w:r>
        <w:rPr>
          <w:rFonts w:ascii="Arial" w:cs="Arial" w:eastAsia="Arial" w:hAnsi="Arial"/>
          <w:sz w:val="18"/>
          <w:szCs w:val="18"/>
          <w:color w:val="auto"/>
        </w:rPr>
        <w:t>days prior to any material change, cancellation or termination thereof.</w:t>
      </w:r>
    </w:p>
    <w:p>
      <w:pPr>
        <w:spacing w:after="0" w:line="143" w:lineRule="exact"/>
        <w:rPr>
          <w:rFonts w:ascii="Arial" w:cs="Arial" w:eastAsia="Arial" w:hAnsi="Arial"/>
          <w:sz w:val="18"/>
          <w:szCs w:val="18"/>
          <w:color w:val="auto"/>
        </w:rPr>
      </w:pPr>
    </w:p>
    <w:p>
      <w:pPr>
        <w:ind w:left="5424" w:hanging="111"/>
        <w:spacing w:after="0"/>
        <w:tabs>
          <w:tab w:leader="none" w:pos="5424" w:val="left"/>
        </w:tabs>
        <w:numPr>
          <w:ilvl w:val="1"/>
          <w:numId w:val="269"/>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004"/>
          </w:cols>
          <w:pgMar w:left="436" w:top="274" w:right="459" w:bottom="1440" w:gutter="0" w:footer="0" w:header="0"/>
        </w:sectPr>
      </w:pPr>
    </w:p>
    <w:bookmarkStart w:id="443" w:name="page444"/>
    <w:bookmarkEnd w:id="443"/>
    <w:p>
      <w:pPr>
        <w:ind w:right="340"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Tenant agrees that if the Tenant fails to take out or keep in force any such insurance referred to in this Section, or should any such insurance not be approved by either the Landlord or the Landlord’s hypothecary creditor and should the Tenant not rectify the situation immediately after written notice by the Landlord to the Tenant, the Landlord has the right without assuming any obligation in connection therewith to effect such insurance at the sole cost of the Tenant and all outlays by the Landlord shall be immediately paid by the Tenant to the Landlord as Additional Rent without prejudice to any other rights and remedies of the Landlord under this Lease.</w:t>
      </w:r>
    </w:p>
    <w:p>
      <w:pPr>
        <w:spacing w:after="0" w:line="3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9.02</w:t>
      </w:r>
      <w:r>
        <w:rPr>
          <w:sz w:val="20"/>
          <w:szCs w:val="20"/>
          <w:color w:val="auto"/>
        </w:rPr>
        <w:tab/>
      </w:r>
      <w:r>
        <w:rPr>
          <w:rFonts w:ascii="Arial" w:cs="Arial" w:eastAsia="Arial" w:hAnsi="Arial"/>
          <w:sz w:val="16"/>
          <w:szCs w:val="16"/>
          <w:b w:val="1"/>
          <w:bCs w:val="1"/>
          <w:u w:val="single" w:color="auto"/>
          <w:color w:val="auto"/>
        </w:rPr>
        <w:t>Landlord’s Insurance</w:t>
      </w:r>
    </w:p>
    <w:p>
      <w:pPr>
        <w:spacing w:after="0" w:line="121"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Throughout the Term of this Lease the Landlord shall provide and keep in force property insurance in respect of the buildings and the Lands (including the Leased Premises but not including the property of the Tenant which the Tenant is required to insure for pursuant to paragraph (b) of Section 9.01 hereof) against fire and such other perils as are normally insured against in the circumstances by prudent landlords of similar buildings and loss of rental income insurance, subject to reasonable deductions and exceptions as the Landlord may determine and to amounts which the Landlord shall from time to time determine as being reasonable or sufficient. Notwithstanding any contribution by the Tenant to the cost of any insurance effected by the Landlord, no insurable interest is conferred upon the Tenant under any such policies of insurance and the Tenant has no right to receive any proceeds under any such insurance.</w:t>
      </w:r>
    </w:p>
    <w:p>
      <w:pPr>
        <w:spacing w:after="0" w:line="3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9.03</w:t>
      </w:r>
      <w:r>
        <w:rPr>
          <w:sz w:val="20"/>
          <w:szCs w:val="20"/>
          <w:color w:val="auto"/>
        </w:rPr>
        <w:tab/>
      </w:r>
      <w:r>
        <w:rPr>
          <w:rFonts w:ascii="Arial" w:cs="Arial" w:eastAsia="Arial" w:hAnsi="Arial"/>
          <w:sz w:val="16"/>
          <w:szCs w:val="16"/>
          <w:b w:val="1"/>
          <w:bCs w:val="1"/>
          <w:u w:val="single" w:color="auto"/>
          <w:color w:val="auto"/>
        </w:rPr>
        <w:t>Not to Affect Landlord’s Insurance</w:t>
      </w:r>
    </w:p>
    <w:p>
      <w:pPr>
        <w:spacing w:after="0" w:line="121"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Neither the Tenant nor its officers, directors, agents, servants, licencees or concessionaires, assignees or subtenants shall bring onto the Leased Premises, the Property or the Project or do or omit or permit to be done or omitted to be done upon or about the Leased Premises, the Property or the Project anything which shall cause the rate of insurance upon the Leased Premises, the Property or the Project or any part thereof or its contents to be increased, and if the said rate of insurance shall be increased by reason of the use made of the Leased Premises even though such use may be a permitted use hereunder or by reason of anything done or omitted or permitted to be done or omitted to be done on the Property or Project by the Tenant or its officers, directors, agents, servants, licensees, concessionaires, assignees or subtenants or by anyone permitted by the Tenant to be upon the Property or Project, the Tenant shall pay to the Landlord forthwith upon demand the amount of such increase.</w:t>
      </w:r>
    </w:p>
    <w:p>
      <w:pPr>
        <w:spacing w:after="0" w:line="3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9.04</w:t>
      </w:r>
      <w:r>
        <w:rPr>
          <w:sz w:val="20"/>
          <w:szCs w:val="20"/>
          <w:color w:val="auto"/>
        </w:rPr>
        <w:tab/>
      </w:r>
      <w:r>
        <w:rPr>
          <w:rFonts w:ascii="Arial" w:cs="Arial" w:eastAsia="Arial" w:hAnsi="Arial"/>
          <w:sz w:val="17"/>
          <w:szCs w:val="17"/>
          <w:b w:val="1"/>
          <w:bCs w:val="1"/>
          <w:u w:val="single" w:color="auto"/>
          <w:color w:val="auto"/>
        </w:rPr>
        <w:t>Limit of Landlord’s Liability</w:t>
      </w:r>
    </w:p>
    <w:p>
      <w:pPr>
        <w:spacing w:after="0" w:line="121" w:lineRule="exact"/>
        <w:rPr>
          <w:sz w:val="20"/>
          <w:szCs w:val="20"/>
          <w:color w:val="auto"/>
        </w:rPr>
      </w:pPr>
    </w:p>
    <w:p>
      <w:pPr>
        <w:jc w:val="both"/>
        <w:ind w:firstLine="991"/>
        <w:spacing w:after="0" w:line="259" w:lineRule="auto"/>
        <w:rPr>
          <w:sz w:val="20"/>
          <w:szCs w:val="20"/>
          <w:color w:val="auto"/>
        </w:rPr>
      </w:pPr>
      <w:r>
        <w:rPr>
          <w:rFonts w:ascii="Arial" w:cs="Arial" w:eastAsia="Arial" w:hAnsi="Arial"/>
          <w:sz w:val="18"/>
          <w:szCs w:val="18"/>
          <w:color w:val="auto"/>
        </w:rPr>
        <w:t>The Tenant agrees that the Landlord shall not be responsible in any way for any injury to any person (including but not limited to death) or for any loss of or damage to any property belonging to the Tenant or to other occupants of the Leased Premises or to their respective employees, agents, invitees, licensees or other persons from time to time attending at the Leased Premises while such person or property is in or about the Lands, the Leased Premises, the buildings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444" w:name="page445"/>
    <w:bookmarkEnd w:id="444"/>
    <w:p>
      <w:pPr>
        <w:ind w:right="2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the Lands, including the Building, or any areaways, parking areas, lawns, sidewalks, steps, truckways, platforms, corridors, stairways, elevators or escalators in connection therewith, including without limiting the foregoing, any loss of or damage to any property caused by theft or breakage, or by steam, water, rain or snow or for any loss or damage caused by or attributable to the condition or arrangements of any electrical or other wiring or for any damage caused by smoke or anything done or omitted to be done by any other tenant of premises in the Property or Project or for any other loss whatsoever with respect to the Leased Premises, goods placed therein or any business carried on therein.</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9.05</w:t>
      </w:r>
      <w:r>
        <w:rPr>
          <w:sz w:val="20"/>
          <w:szCs w:val="20"/>
          <w:color w:val="auto"/>
        </w:rPr>
        <w:tab/>
      </w:r>
      <w:r>
        <w:rPr>
          <w:rFonts w:ascii="Arial" w:cs="Arial" w:eastAsia="Arial" w:hAnsi="Arial"/>
          <w:sz w:val="16"/>
          <w:szCs w:val="16"/>
          <w:b w:val="1"/>
          <w:bCs w:val="1"/>
          <w:u w:val="single" w:color="auto"/>
          <w:color w:val="auto"/>
        </w:rPr>
        <w:t>Limited Recourse</w:t>
      </w:r>
    </w:p>
    <w:p>
      <w:pPr>
        <w:spacing w:after="0" w:line="121"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Tenant will look solely to the interest of the Landlord in the Property for the collection or satisfaction of any money or judgement which the Tenant may recover against the Landlord, and the Tenant will not look for the collection or satisfaction of any such money or judgement to the personal assets of any person who is at any time a partner, joint venturer or co-tenant in the Property.</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9.06</w:t>
      </w:r>
      <w:r>
        <w:rPr>
          <w:sz w:val="20"/>
          <w:szCs w:val="20"/>
          <w:color w:val="auto"/>
        </w:rPr>
        <w:tab/>
      </w:r>
      <w:r>
        <w:rPr>
          <w:rFonts w:ascii="Arial" w:cs="Arial" w:eastAsia="Arial" w:hAnsi="Arial"/>
          <w:sz w:val="16"/>
          <w:szCs w:val="16"/>
          <w:b w:val="1"/>
          <w:bCs w:val="1"/>
          <w:u w:val="single" w:color="auto"/>
          <w:color w:val="auto"/>
        </w:rPr>
        <w:t>Indemnity</w:t>
      </w:r>
    </w:p>
    <w:p>
      <w:pPr>
        <w:spacing w:after="0" w:line="121"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color w:val="auto"/>
        </w:rPr>
        <w:t xml:space="preserve">The Tenant shall promptly indemnify and save the Landlord harmless from any and all liabilities, damages, costs, expenses, claims, suits or actions arising out of any breach, violation or non-observance by the Tenant of any of its obligations under the Lease; from any damage to property while such property shall be in or about the Leased Premises including but not limited to the systems, furnishings and amenities thereof, as a result of the willful or negligent act or omission of the Tenant, its employees, agents, invitees or licensees; and from any injury to any employee, agent, invitee or licensee, of the Tenant, including but not limited to death resulting at any time therefrom, occurring on or about the Property or Project or any part thereof. The Tenant shall pay all such costs and expenses to the Landlord </w:t>
      </w:r>
      <w:r>
        <w:rPr>
          <w:rFonts w:ascii="Arial" w:cs="Arial" w:eastAsia="Arial" w:hAnsi="Arial"/>
          <w:sz w:val="16"/>
          <w:szCs w:val="16"/>
          <w:b w:val="1"/>
          <w:bCs w:val="1"/>
          <w:i w:val="1"/>
          <w:iCs w:val="1"/>
          <w:color w:val="auto"/>
        </w:rPr>
        <w:t>[Intentionally Deleted]</w:t>
      </w:r>
      <w:r>
        <w:rPr>
          <w:rFonts w:ascii="Arial" w:cs="Arial" w:eastAsia="Arial" w:hAnsi="Arial"/>
          <w:sz w:val="16"/>
          <w:szCs w:val="16"/>
          <w:color w:val="auto"/>
        </w:rPr>
        <w:t xml:space="preserve"> </w:t>
      </w:r>
      <w:r>
        <w:rPr>
          <w:rFonts w:ascii="Arial" w:cs="Arial" w:eastAsia="Arial" w:hAnsi="Arial"/>
          <w:sz w:val="16"/>
          <w:szCs w:val="16"/>
          <w:b w:val="1"/>
          <w:bCs w:val="1"/>
          <w:color w:val="auto"/>
        </w:rPr>
        <w:t>within fifteen (15) days of written demand therefor</w:t>
      </w:r>
      <w:r>
        <w:rPr>
          <w:rFonts w:ascii="Arial" w:cs="Arial" w:eastAsia="Arial" w:hAnsi="Arial"/>
          <w:sz w:val="16"/>
          <w:szCs w:val="16"/>
          <w:color w:val="auto"/>
        </w:rPr>
        <w:t>. Notwithstanding anything else herein contained, this indemnity shall survive the expiry or earlier termination of the Term.</w:t>
      </w:r>
    </w:p>
    <w:p>
      <w:pPr>
        <w:spacing w:after="0" w:line="162" w:lineRule="exact"/>
        <w:rPr>
          <w:sz w:val="20"/>
          <w:szCs w:val="20"/>
          <w:color w:val="auto"/>
        </w:rPr>
      </w:pPr>
    </w:p>
    <w:p>
      <w:pPr>
        <w:ind w:right="60" w:firstLine="991"/>
        <w:spacing w:after="0" w:line="287" w:lineRule="auto"/>
        <w:rPr>
          <w:sz w:val="20"/>
          <w:szCs w:val="20"/>
          <w:color w:val="auto"/>
        </w:rPr>
      </w:pPr>
      <w:r>
        <w:rPr>
          <w:rFonts w:ascii="Arial" w:cs="Arial" w:eastAsia="Arial" w:hAnsi="Arial"/>
          <w:sz w:val="16"/>
          <w:szCs w:val="16"/>
          <w:b w:val="1"/>
          <w:bCs w:val="1"/>
          <w:color w:val="auto"/>
        </w:rPr>
        <w:t>The Landlord shall promptly indemnify and save the Tenant harmless from any and all liabilities, damages, costs, expenses, claims, suits or actions arising out of any breach, violation or non-observance by the Landlord of any of its obligations under the Lease; from any damage to property while such property shall be in or about the Property (excluding however the Leased Premises) including but not limited to the systems, furnishings and amenities thereof, as a result of the willful or negligent act or omission of the Landlord, its employees, agents, invitees or licensees; and from any injury to any employee, agent, invitee or licensee, of the Landlord, including but not limited to death resulting at any time therefrom, occurring on or about the Property or Project or any part thereof (excluding however the Leased Premises), the whole save and except where such liabilities, damages, costs, expenses, claims, suits or actions in question are insured against or required to be insured against by the Tenant pursuant to the provisions of Section 9.01 of this Lease, in which case the foregoing indemnification by the Landlord shall not apply and Landlord will be released from any such claims by the Tenant. In the event the foregoing indemnity does apply, where applicable the Landlord shall, at its sole option, either pay all such costs and expenses to the Tenant within fifteen (15) days of written demand therefor or deduct the amount of such costs and expenses against any amounts owing or becoming due to the Landlord by the Tenant. Notwithstanding anything else herein contained, this indemnity shall survive the expiry or earlier termination of the Term.</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445" w:name="page446"/>
    <w:bookmarkEnd w:id="445"/>
    <w:p>
      <w:pPr>
        <w:ind w:right="120" w:firstLine="991"/>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either the Landlord or the Tenant is entitled to indemnification under the provision of this Section 9.06 (the “Indemnitee”), it shall notify in writing the other party (the “Indemnitor”) promptly of any claim threatened or commenced against it for which it is so entitled. The Indemnitor shall assume control and direct the defense, investigation and handling of the claim for and on behalf of the Indemnitee, provided however that the Indemnitor shall not settle or consent to judgment without the Indemnitee’s approval, which approval shall not be unreasonably withheld. The Indemnitee shall cooperate with the Indemnitor, and may participate, at the Indemnitee’s expense, in the defense of such claim.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10 - CONTROL OF PROPERTY AND SERVICES</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10.01</w:t>
      </w:r>
      <w:r>
        <w:rPr>
          <w:sz w:val="20"/>
          <w:szCs w:val="20"/>
          <w:color w:val="auto"/>
        </w:rPr>
        <w:tab/>
      </w:r>
      <w:r>
        <w:rPr>
          <w:rFonts w:ascii="Arial" w:cs="Arial" w:eastAsia="Arial" w:hAnsi="Arial"/>
          <w:sz w:val="16"/>
          <w:szCs w:val="16"/>
          <w:b w:val="1"/>
          <w:bCs w:val="1"/>
          <w:u w:val="single" w:color="auto"/>
          <w:color w:val="auto"/>
        </w:rPr>
        <w:t>Control of Property</w:t>
      </w:r>
    </w:p>
    <w:p>
      <w:pPr>
        <w:spacing w:after="0" w:line="135" w:lineRule="exact"/>
        <w:rPr>
          <w:sz w:val="20"/>
          <w:szCs w:val="20"/>
          <w:color w:val="auto"/>
        </w:rPr>
      </w:pPr>
    </w:p>
    <w:p>
      <w:pPr>
        <w:ind w:left="960" w:right="20" w:hanging="532"/>
        <w:spacing w:after="0" w:line="277" w:lineRule="auto"/>
        <w:tabs>
          <w:tab w:leader="none" w:pos="9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Property shall, at all times, be subject to the exclusive control of the Landlord and, without limiting the generality of the foregoing, the Landlord shall have the right from time to time throughout the Term:</w:t>
      </w:r>
    </w:p>
    <w:p>
      <w:pPr>
        <w:spacing w:after="0" w:line="75" w:lineRule="exact"/>
        <w:rPr>
          <w:rFonts w:ascii="Arial" w:cs="Arial" w:eastAsia="Arial" w:hAnsi="Arial"/>
          <w:sz w:val="18"/>
          <w:szCs w:val="18"/>
          <w:color w:val="auto"/>
        </w:rPr>
      </w:pPr>
    </w:p>
    <w:p>
      <w:pPr>
        <w:ind w:left="1420" w:right="100" w:hanging="439"/>
        <w:spacing w:after="0" w:line="277" w:lineRule="auto"/>
        <w:tabs>
          <w:tab w:leader="none" w:pos="142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to construct in, to or on the Property, to make alterations, additions and subtractions thereto and therefrom to erect new buildings on the Property and to build additional storeys on the existing buildings;</w:t>
      </w:r>
    </w:p>
    <w:p>
      <w:pPr>
        <w:spacing w:after="0" w:line="75" w:lineRule="exact"/>
        <w:rPr>
          <w:rFonts w:ascii="Arial" w:cs="Arial" w:eastAsia="Arial" w:hAnsi="Arial"/>
          <w:sz w:val="18"/>
          <w:szCs w:val="18"/>
          <w:color w:val="auto"/>
        </w:rPr>
      </w:pPr>
    </w:p>
    <w:p>
      <w:pPr>
        <w:ind w:left="1420" w:right="260" w:hanging="439"/>
        <w:spacing w:after="0" w:line="277" w:lineRule="auto"/>
        <w:tabs>
          <w:tab w:leader="none" w:pos="142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to monitor access to any of the parking areas by means of barriers, control booths or any other method which the Landlord deems proper;</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to change the location of driveways and sidewalks and the location, layout or size of the parking area; and</w:t>
      </w:r>
    </w:p>
    <w:p>
      <w:pPr>
        <w:spacing w:after="0" w:line="130" w:lineRule="exact"/>
        <w:rPr>
          <w:rFonts w:ascii="Arial" w:cs="Arial" w:eastAsia="Arial" w:hAnsi="Arial"/>
          <w:sz w:val="18"/>
          <w:szCs w:val="18"/>
          <w:color w:val="auto"/>
        </w:rPr>
      </w:pPr>
    </w:p>
    <w:p>
      <w:pPr>
        <w:ind w:left="1420" w:right="380" w:hanging="439"/>
        <w:spacing w:after="0" w:line="277" w:lineRule="auto"/>
        <w:tabs>
          <w:tab w:leader="none" w:pos="142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to do or perform such other acts in and to the Property as the Landlord, acting as a prudent owner, deems advisable for the more efficient and proper operation of the Property.</w:t>
      </w:r>
    </w:p>
    <w:p>
      <w:pPr>
        <w:spacing w:after="0" w:line="75" w:lineRule="exact"/>
        <w:rPr>
          <w:rFonts w:ascii="Arial" w:cs="Arial" w:eastAsia="Arial" w:hAnsi="Arial"/>
          <w:sz w:val="18"/>
          <w:szCs w:val="18"/>
          <w:color w:val="auto"/>
        </w:rPr>
      </w:pPr>
    </w:p>
    <w:p>
      <w:pPr>
        <w:ind w:left="960" w:hanging="532"/>
        <w:spacing w:after="0" w:line="286" w:lineRule="auto"/>
        <w:tabs>
          <w:tab w:leader="none" w:pos="9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Landlord will operate and maintain the Property in such a manner as the Landlord in its sole discretion shall determine from time to time. Without limiting the scope of such discretion, the Landlord shall have the full right and authority to employ all personnel and to make all rules and regulations pertaining to and necessary for the proper operation and maintenance of the Property.</w:t>
      </w:r>
    </w:p>
    <w:p>
      <w:pPr>
        <w:spacing w:after="0" w:line="70" w:lineRule="exact"/>
        <w:rPr>
          <w:rFonts w:ascii="Arial" w:cs="Arial" w:eastAsia="Arial" w:hAnsi="Arial"/>
          <w:sz w:val="17"/>
          <w:szCs w:val="17"/>
          <w:color w:val="auto"/>
        </w:rPr>
      </w:pPr>
    </w:p>
    <w:p>
      <w:pPr>
        <w:jc w:val="both"/>
        <w:ind w:left="960" w:right="220" w:hanging="532"/>
        <w:spacing w:after="0" w:line="342" w:lineRule="auto"/>
        <w:tabs>
          <w:tab w:leader="none" w:pos="96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Landlord shall not be liable for any diminution or alteration of the Common Areas of the Property resulting from the exercise of the Landlord’s rights under this Section and the Tenant shall not be entitled to a reduction or abatement of Rent or to compensation therefor.</w:t>
      </w:r>
    </w:p>
    <w:p>
      <w:pPr>
        <w:spacing w:after="0" w:line="56" w:lineRule="exact"/>
        <w:rPr>
          <w:rFonts w:ascii="Arial" w:cs="Arial" w:eastAsia="Arial" w:hAnsi="Arial"/>
          <w:sz w:val="16"/>
          <w:szCs w:val="16"/>
          <w:color w:val="auto"/>
        </w:rPr>
      </w:pPr>
    </w:p>
    <w:p>
      <w:pPr>
        <w:ind w:left="5420" w:hanging="111"/>
        <w:spacing w:after="0"/>
        <w:tabs>
          <w:tab w:leader="none" w:pos="5420" w:val="left"/>
        </w:tabs>
        <w:numPr>
          <w:ilvl w:val="2"/>
          <w:numId w:val="270"/>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000"/>
          </w:cols>
          <w:pgMar w:left="440" w:top="270" w:right="459" w:bottom="1440" w:gutter="0" w:footer="0" w:header="0"/>
        </w:sectPr>
      </w:pPr>
    </w:p>
    <w:bookmarkStart w:id="446" w:name="page447"/>
    <w:bookmarkEnd w:id="446"/>
    <w:p>
      <w:pPr>
        <w:ind w:left="960" w:right="20" w:hanging="532"/>
        <w:spacing w:after="0" w:line="271" w:lineRule="auto"/>
        <w:tabs>
          <w:tab w:leader="none" w:pos="960" w:val="left"/>
        </w:tabs>
        <w:numPr>
          <w:ilvl w:val="0"/>
          <w:numId w:val="2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Without prejudice to any rights of the Landlord in the event of default, and notwithstanding anything to the contrary in this Lease, if the Landlord, in its sole and absolute discretion, requires vacant possession of the Leased Premises in order to reconstruct or redevelop all of a substantial part of the Property, or to change the use of or sell all or a substantial part of the Property, or to demolish all or any portion of the Property, the Landlord may terminate this Lease by giving not less than </w:t>
      </w:r>
      <w:r>
        <w:rPr>
          <w:rFonts w:ascii="Arial" w:cs="Arial" w:eastAsia="Arial" w:hAnsi="Arial"/>
          <w:sz w:val="17"/>
          <w:szCs w:val="17"/>
          <w:b w:val="1"/>
          <w:bCs w:val="1"/>
          <w:color w:val="auto"/>
        </w:rPr>
        <w:t>twelve (12)</w:t>
      </w:r>
      <w:r>
        <w:rPr>
          <w:rFonts w:ascii="Arial" w:cs="Arial" w:eastAsia="Arial" w:hAnsi="Arial"/>
          <w:sz w:val="17"/>
          <w:szCs w:val="17"/>
          <w:color w:val="auto"/>
        </w:rPr>
        <w:t xml:space="preserve"> months’ notice in writing to the Tenant. In the event of such termination, the Tenant shall deliver up vacant possession of the Leased Premises in the condition in which the Tenant is required to maintain and repair the Leased Premises in accordance with the provisions of this Lease and will execute all documents and other assurances as are reasonably required to give effect to the provisions of this Section 10.01(d). Upon the date of termination, any necessary adjustments in Rent shall be made between the Landlord and the Tenant.</w:t>
      </w:r>
    </w:p>
    <w:p>
      <w:pPr>
        <w:spacing w:after="0" w:line="79" w:lineRule="exact"/>
        <w:rPr>
          <w:rFonts w:ascii="Arial" w:cs="Arial" w:eastAsia="Arial" w:hAnsi="Arial"/>
          <w:sz w:val="17"/>
          <w:szCs w:val="17"/>
          <w:color w:val="auto"/>
        </w:rPr>
      </w:pPr>
    </w:p>
    <w:p>
      <w:pPr>
        <w:ind w:left="960" w:hanging="532"/>
        <w:spacing w:after="0"/>
        <w:tabs>
          <w:tab w:leader="none" w:pos="960"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t>[Intentionally Deleted]</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10.02</w:t>
      </w:r>
      <w:r>
        <w:rPr>
          <w:sz w:val="20"/>
          <w:szCs w:val="20"/>
          <w:color w:val="auto"/>
        </w:rPr>
        <w:tab/>
      </w:r>
      <w:r>
        <w:rPr>
          <w:rFonts w:ascii="Arial" w:cs="Arial" w:eastAsia="Arial" w:hAnsi="Arial"/>
          <w:sz w:val="15"/>
          <w:szCs w:val="15"/>
          <w:b w:val="1"/>
          <w:bCs w:val="1"/>
          <w:u w:val="single" w:color="auto"/>
          <w:color w:val="auto"/>
        </w:rPr>
        <w:t>Services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Landlord covenants with the Tenant as follows: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Heating &amp; Air-Conditioning</w:t>
      </w:r>
    </w:p>
    <w:p>
      <w:pPr>
        <w:spacing w:after="0" w:line="127" w:lineRule="exact"/>
        <w:rPr>
          <w:sz w:val="20"/>
          <w:szCs w:val="20"/>
          <w:color w:val="auto"/>
        </w:rPr>
      </w:pPr>
    </w:p>
    <w:p>
      <w:pPr>
        <w:ind w:left="980" w:right="8280" w:hanging="552"/>
        <w:spacing w:after="0" w:line="385" w:lineRule="auto"/>
        <w:tabs>
          <w:tab w:leader="none" w:pos="961" w:val="left"/>
        </w:tabs>
        <w:numPr>
          <w:ilvl w:val="0"/>
          <w:numId w:val="272"/>
        </w:numPr>
        <w:rPr>
          <w:rFonts w:ascii="Arial" w:cs="Arial" w:eastAsia="Arial" w:hAnsi="Arial"/>
          <w:sz w:val="18"/>
          <w:szCs w:val="18"/>
          <w:color w:val="auto"/>
        </w:rPr>
      </w:pPr>
      <w:r>
        <w:rPr>
          <w:rFonts w:ascii="Arial" w:cs="Arial" w:eastAsia="Arial" w:hAnsi="Arial"/>
          <w:sz w:val="18"/>
          <w:szCs w:val="18"/>
          <w:b w:val="1"/>
          <w:bCs w:val="1"/>
          <w:color w:val="auto"/>
        </w:rPr>
        <w:t xml:space="preserve">[Intentionally Deleted] </w:t>
      </w:r>
      <w:r>
        <w:rPr>
          <w:rFonts w:ascii="Arial" w:cs="Arial" w:eastAsia="Arial" w:hAnsi="Arial"/>
          <w:sz w:val="18"/>
          <w:szCs w:val="18"/>
          <w:u w:val="single" w:color="auto"/>
          <w:color w:val="auto"/>
        </w:rPr>
        <w:t>Elevator</w:t>
      </w:r>
    </w:p>
    <w:p>
      <w:pPr>
        <w:spacing w:after="0" w:line="1" w:lineRule="exact"/>
        <w:rPr>
          <w:rFonts w:ascii="Arial" w:cs="Arial" w:eastAsia="Arial" w:hAnsi="Arial"/>
          <w:sz w:val="18"/>
          <w:szCs w:val="18"/>
          <w:color w:val="auto"/>
        </w:rPr>
      </w:pPr>
    </w:p>
    <w:p>
      <w:pPr>
        <w:jc w:val="both"/>
        <w:ind w:left="960" w:right="140" w:hanging="532"/>
        <w:spacing w:after="0" w:line="263" w:lineRule="auto"/>
        <w:tabs>
          <w:tab w:leader="none" w:pos="9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to furnish, except when repairs are being made, passenger elevator service during Normal Business Hours and limited elevator service at other times; operator less and automatic elevator service if made available shall be deemed elevator service; and to permit the Tenant and its employees to have free use of such elevator service in common with others.</w:t>
      </w:r>
    </w:p>
    <w:p>
      <w:pPr>
        <w:spacing w:after="0" w:line="7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u w:val="single" w:color="auto"/>
          <w:color w:val="auto"/>
        </w:rPr>
        <w:t>Access</w:t>
      </w:r>
    </w:p>
    <w:p>
      <w:pPr>
        <w:spacing w:after="0" w:line="130" w:lineRule="exact"/>
        <w:rPr>
          <w:rFonts w:ascii="Arial" w:cs="Arial" w:eastAsia="Arial" w:hAnsi="Arial"/>
          <w:sz w:val="18"/>
          <w:szCs w:val="18"/>
          <w:color w:val="auto"/>
        </w:rPr>
      </w:pPr>
    </w:p>
    <w:p>
      <w:pPr>
        <w:ind w:left="960" w:hanging="532"/>
        <w:spacing w:after="0" w:line="342" w:lineRule="auto"/>
        <w:tabs>
          <w:tab w:leader="none" w:pos="96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to permit the Tenant and its employees and all persons lawfully requiring communication with them in common with others to have the use during Normal Business Hours of the entrances, stairways, corridors and halls in the Building leading to the Leased Premises.</w:t>
      </w:r>
    </w:p>
    <w:p>
      <w:pPr>
        <w:spacing w:after="0" w:line="15"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u w:val="single" w:color="auto"/>
          <w:color w:val="auto"/>
        </w:rPr>
        <w:t>Washrooms</w:t>
      </w:r>
    </w:p>
    <w:p>
      <w:pPr>
        <w:spacing w:after="0" w:line="130" w:lineRule="exact"/>
        <w:rPr>
          <w:rFonts w:ascii="Arial" w:cs="Arial" w:eastAsia="Arial" w:hAnsi="Arial"/>
          <w:sz w:val="16"/>
          <w:szCs w:val="16"/>
          <w:color w:val="auto"/>
        </w:rPr>
      </w:pPr>
    </w:p>
    <w:p>
      <w:pPr>
        <w:ind w:left="960" w:right="620" w:hanging="532"/>
        <w:spacing w:after="0" w:line="277" w:lineRule="auto"/>
        <w:tabs>
          <w:tab w:leader="none" w:pos="9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to permit the Tenant and its employees in common with others entitled thereto to use the washrooms in the Building which may be designated for the Leased Premises.</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0980"/>
          </w:cols>
          <w:pgMar w:left="440" w:top="274" w:right="479" w:bottom="1440" w:gutter="0" w:footer="0" w:header="0"/>
        </w:sectPr>
      </w:pPr>
    </w:p>
    <w:bookmarkStart w:id="447" w:name="page448"/>
    <w:bookmarkEnd w:id="447"/>
    <w:p>
      <w:pPr>
        <w:ind w:lef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Janitor Services and Cleaning of Laboratory</w:t>
      </w:r>
    </w:p>
    <w:p>
      <w:pPr>
        <w:spacing w:after="0" w:line="121" w:lineRule="exact"/>
        <w:rPr>
          <w:sz w:val="20"/>
          <w:szCs w:val="20"/>
          <w:color w:val="auto"/>
        </w:rPr>
      </w:pPr>
    </w:p>
    <w:p>
      <w:pPr>
        <w:ind w:left="980"/>
        <w:spacing w:after="0" w:line="287" w:lineRule="auto"/>
        <w:rPr>
          <w:sz w:val="20"/>
          <w:szCs w:val="20"/>
          <w:color w:val="auto"/>
        </w:rPr>
      </w:pPr>
      <w:r>
        <w:rPr>
          <w:rFonts w:ascii="Arial" w:cs="Arial" w:eastAsia="Arial" w:hAnsi="Arial"/>
          <w:sz w:val="16"/>
          <w:szCs w:val="16"/>
          <w:color w:val="auto"/>
        </w:rPr>
        <w:t xml:space="preserve">to cause, when reasonably necessary from time to time, the floors to be swept and windows to be cleaned and the desks, tables and other furniture of the Tenant to be dusted all in keeping with a first-class office building but with the exception of the obligation to cause such work to be done, the Landlord shall not be responsible for any act of omission or commission on the part of the person or persons employed to perform such work; such work shall be done at the Landlord’s direction without interference by the Tenant, his agents or employees. The Tenant acknowledges that the Landlord shall be relieved from the foregoing obligations in respect of any part of the Leased Premises to which access is not granted to the person or persons employed or retained to do such work. </w:t>
      </w:r>
      <w:r>
        <w:rPr>
          <w:rFonts w:ascii="Arial" w:cs="Arial" w:eastAsia="Arial" w:hAnsi="Arial"/>
          <w:sz w:val="16"/>
          <w:szCs w:val="16"/>
          <w:b w:val="1"/>
          <w:bCs w:val="1"/>
          <w:color w:val="auto"/>
        </w:rPr>
        <w:t>The Tenant acknowledges</w:t>
      </w:r>
      <w:r>
        <w:rPr>
          <w:rFonts w:ascii="Arial" w:cs="Arial" w:eastAsia="Arial" w:hAnsi="Arial"/>
          <w:sz w:val="16"/>
          <w:szCs w:val="16"/>
          <w:color w:val="auto"/>
        </w:rPr>
        <w:t xml:space="preserve"> </w:t>
      </w:r>
      <w:r>
        <w:rPr>
          <w:rFonts w:ascii="Arial" w:cs="Arial" w:eastAsia="Arial" w:hAnsi="Arial"/>
          <w:sz w:val="16"/>
          <w:szCs w:val="16"/>
          <w:b w:val="1"/>
          <w:bCs w:val="1"/>
          <w:color w:val="auto"/>
        </w:rPr>
        <w:t>and agrees that the cleaning of the laboratory portion of the Leased Premises (save for floor sweeping and mopping), shall require special cleaning and maintenance services, including without limitation the cleaning of laboratory equipment and disposal of Noxious Substances. Such special cleaning and maintenance services, if requested by Tenant, shall be provided by the Landlord, at the sole cost and expense of the Tenant, through designated contractors which have recognized expertise in providing such specialized services. Landlord shall be entitled to an administration fee of ten percent (10%) of the cost of providing such services. Any designated contractors for such purposes selected by the Landlord will be at competitive rates.</w:t>
      </w:r>
    </w:p>
    <w:p>
      <w:pPr>
        <w:spacing w:after="0" w:line="56"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Snow and Ice Load on the Roof</w:t>
      </w:r>
    </w:p>
    <w:p>
      <w:pPr>
        <w:spacing w:after="0" w:line="135" w:lineRule="exact"/>
        <w:rPr>
          <w:sz w:val="20"/>
          <w:szCs w:val="20"/>
          <w:color w:val="auto"/>
        </w:rPr>
      </w:pPr>
    </w:p>
    <w:p>
      <w:pPr>
        <w:ind w:left="960" w:right="120" w:hanging="532"/>
        <w:spacing w:after="0" w:line="277" w:lineRule="auto"/>
        <w:tabs>
          <w:tab w:leader="none" w:pos="9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 monitor the “snow and ice load” on the roof as would a prudent landlord of a similar property and the costs thereof shall be included in the Operating Costs.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11 - DAMAGE &amp; DESTRUCTION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11.01</w:t>
      </w:r>
      <w:r>
        <w:rPr>
          <w:sz w:val="20"/>
          <w:szCs w:val="20"/>
          <w:color w:val="auto"/>
        </w:rPr>
        <w:tab/>
      </w:r>
      <w:r>
        <w:rPr>
          <w:rFonts w:ascii="Arial" w:cs="Arial" w:eastAsia="Arial" w:hAnsi="Arial"/>
          <w:sz w:val="16"/>
          <w:szCs w:val="16"/>
          <w:b w:val="1"/>
          <w:bCs w:val="1"/>
          <w:u w:val="single" w:color="auto"/>
          <w:color w:val="auto"/>
        </w:rPr>
        <w:t>Abatement of Rent</w:t>
      </w:r>
    </w:p>
    <w:p>
      <w:pPr>
        <w:spacing w:after="0" w:line="121" w:lineRule="exact"/>
        <w:rPr>
          <w:sz w:val="20"/>
          <w:szCs w:val="20"/>
          <w:color w:val="auto"/>
        </w:rPr>
      </w:pPr>
    </w:p>
    <w:p>
      <w:pPr>
        <w:ind w:right="60" w:firstLine="991"/>
        <w:spacing w:after="0" w:line="287" w:lineRule="auto"/>
        <w:rPr>
          <w:sz w:val="20"/>
          <w:szCs w:val="20"/>
          <w:color w:val="auto"/>
        </w:rPr>
      </w:pPr>
      <w:r>
        <w:rPr>
          <w:rFonts w:ascii="Arial" w:cs="Arial" w:eastAsia="Arial" w:hAnsi="Arial"/>
          <w:sz w:val="16"/>
          <w:szCs w:val="16"/>
          <w:color w:val="auto"/>
        </w:rPr>
        <w:t>If the Leased Premises or any portion thereof is damaged or destroyed by fire or by other casualty against which the Landlord is required to insure under this Lease, Rent shall abate in proportion to the area of that portion of the Leased Premises which, in the reasonable opinion of the Landlord, is thereby rendered unfit for the purposes of the Tenant bears to the area of the entire Leased Premises (but only to the extent to which the Landlord actually receives proceeds under its loss of rental income insurance) until the Leased Premises are repaired and rebuilt as certified by the Landlord’s Architect and the Landlord agrees that it will, with reasonable diligence, repair and rebuild the Leased Premises, subject to Section 11.02. The Landlord’s obligation to rebuild and restore the Leased Premises shall not include the obligation to rebuild, restore, replace or repair any movable, fixture or Leasehold Improvements or any other thing that is the property of the Tenant and/or for which the Tenant is to maintain insurance under paragraph (b) of Section 9.01 (in this Section collectively called “Tenant’s Improvements”); the Leased Premises shall be deemed repaired and rebuilt when the Landlord’s Architect certifies that it has been substantially repaired and rebuilt to the state where the Tenant could occupy it for the purpose of rebuilding, restoring, replacing or repairing the Tenant’s Improvements. The issuance of the certificate of the Landlord’s Architect shall not relieve the Landlord of its obligation to complete the repairing and rebuilding as aforesaid, but the Tenant shall forthwith after issuance of such certificate proceed to rebuild, restore, replace and repair the Tenant’s Improvements, and the provisions of Section 6.03 shall apply to such work, mutatis mutandis.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448" w:name="page449"/>
    <w:bookmarkEnd w:id="448"/>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11.02</w:t>
      </w:r>
      <w:r>
        <w:rPr>
          <w:sz w:val="20"/>
          <w:szCs w:val="20"/>
          <w:color w:val="auto"/>
        </w:rPr>
        <w:tab/>
      </w:r>
      <w:r>
        <w:rPr>
          <w:rFonts w:ascii="Arial" w:cs="Arial" w:eastAsia="Arial" w:hAnsi="Arial"/>
          <w:sz w:val="16"/>
          <w:szCs w:val="16"/>
          <w:b w:val="1"/>
          <w:bCs w:val="1"/>
          <w:u w:val="single" w:color="auto"/>
          <w:color w:val="auto"/>
        </w:rPr>
        <w:t>Termination</w:t>
      </w:r>
    </w:p>
    <w:p>
      <w:pPr>
        <w:spacing w:after="0" w:line="135" w:lineRule="exact"/>
        <w:rPr>
          <w:sz w:val="20"/>
          <w:szCs w:val="20"/>
          <w:color w:val="auto"/>
        </w:rPr>
      </w:pPr>
    </w:p>
    <w:p>
      <w:pPr>
        <w:ind w:left="960" w:right="20" w:hanging="532"/>
        <w:spacing w:after="0" w:line="272" w:lineRule="auto"/>
        <w:tabs>
          <w:tab w:leader="none" w:pos="96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Notwithstanding the provisions of Section 11.01 hereof, if the Leased Premises or any portion thereof are (i) damaged or destroyed by any cause whatsoever and cannot in the reasonable opinion of the Landlord be rebuilt or made fit for the purposes of the Tenant as aforesaid within one hundred and eighty (180) days of the date of such damage or destruction, (ii) the Leased Premises are damaged or destroyed by an uninsured peril, or (iii) such damage and destruction occurs in the last two years of the Term, the Landlord may, at its option, terminate this Lease by giving to the Tenant, within sixty (60) days after the date of such damage or destruction, notice of termination and thereupon Rent shall be apportioned and paid to the date of such damage or destruction and the Tenant shall immediately deliver up possession of the Leased Premises to the Landlord.</w:t>
      </w:r>
    </w:p>
    <w:p>
      <w:pPr>
        <w:spacing w:after="0" w:line="82" w:lineRule="exact"/>
        <w:rPr>
          <w:rFonts w:ascii="Arial" w:cs="Arial" w:eastAsia="Arial" w:hAnsi="Arial"/>
          <w:sz w:val="17"/>
          <w:szCs w:val="17"/>
          <w:color w:val="auto"/>
        </w:rPr>
      </w:pPr>
    </w:p>
    <w:p>
      <w:pPr>
        <w:ind w:left="960" w:right="20" w:hanging="532"/>
        <w:spacing w:after="0" w:line="290" w:lineRule="auto"/>
        <w:tabs>
          <w:tab w:leader="none" w:pos="96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Irrespective of whether the Leased Premises or any portion thereof are damaged or destroyed as aforesaid, in the event that fifty percent (50%) or more of the Building, or any building on the Property as determined by the Landlord, is damaged or destroyed by any cause whatsoever and if, in the reasonable opinion of the Landlord, such area cannot be rebuilt or made fit for the purposes of the tenants thereof within one hundred and eighty (180) days of the date of such damage or destruction or any of the buildings on the Lands are damaged or destroyed by an uninsured peril, the Landlord may at its option terminate this Lease by giving to the Tenant within sixty (60) days after the date of such damage and destruction, notice of termination requiring vacant possession of the Leased Premises sixty (60) days after delivery of the notice of termination and thereupon Rent shall be apportioned and paid to the date on which vacant possession is given and the Tenant shall deliver up possession of the Leased Premises to the Landlord in accordance with such notice of termination.</w:t>
      </w:r>
    </w:p>
    <w:p>
      <w:pPr>
        <w:spacing w:after="0" w:line="70" w:lineRule="exact"/>
        <w:rPr>
          <w:rFonts w:ascii="Arial" w:cs="Arial" w:eastAsia="Arial" w:hAnsi="Arial"/>
          <w:sz w:val="16"/>
          <w:szCs w:val="16"/>
          <w:color w:val="auto"/>
        </w:rPr>
      </w:pPr>
    </w:p>
    <w:p>
      <w:pPr>
        <w:ind w:left="960" w:right="240" w:hanging="532"/>
        <w:spacing w:after="0" w:line="342" w:lineRule="auto"/>
        <w:tabs>
          <w:tab w:leader="none" w:pos="96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If the Landlord does not elect to terminate the Lease pursuant to paragraphs (a) or (b) of this Section, it shall, with reasonable diligence, repair and restore the Leased Premises and/or the damaged building in accordance with the provisions of Section 11.01.</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12 - DEFAULT</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12.01</w:t>
      </w:r>
      <w:r>
        <w:rPr>
          <w:sz w:val="20"/>
          <w:szCs w:val="20"/>
          <w:color w:val="auto"/>
        </w:rPr>
        <w:tab/>
      </w:r>
      <w:r>
        <w:rPr>
          <w:rFonts w:ascii="Arial" w:cs="Arial" w:eastAsia="Arial" w:hAnsi="Arial"/>
          <w:sz w:val="16"/>
          <w:szCs w:val="16"/>
          <w:b w:val="1"/>
          <w:bCs w:val="1"/>
          <w:u w:val="single" w:color="auto"/>
          <w:color w:val="auto"/>
        </w:rPr>
        <w:t>Events of Default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 “Event of Default” shall occur whenever:</w:t>
      </w:r>
    </w:p>
    <w:p>
      <w:pPr>
        <w:spacing w:after="0" w:line="131" w:lineRule="exact"/>
        <w:rPr>
          <w:sz w:val="20"/>
          <w:szCs w:val="20"/>
          <w:color w:val="auto"/>
        </w:rPr>
      </w:pPr>
    </w:p>
    <w:p>
      <w:pPr>
        <w:ind w:left="960" w:right="80" w:hanging="532"/>
        <w:spacing w:after="0" w:line="277" w:lineRule="auto"/>
        <w:tabs>
          <w:tab w:leader="none" w:pos="9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Tenant fails to pay the Rent hereby reserved or any part thereof on the day appointed for payment thereof, whether lawfully demanded or not;</w:t>
      </w:r>
    </w:p>
    <w:p>
      <w:pPr>
        <w:spacing w:after="0" w:line="75" w:lineRule="exact"/>
        <w:rPr>
          <w:rFonts w:ascii="Arial" w:cs="Arial" w:eastAsia="Arial" w:hAnsi="Arial"/>
          <w:sz w:val="18"/>
          <w:szCs w:val="18"/>
          <w:color w:val="auto"/>
        </w:rPr>
      </w:pPr>
    </w:p>
    <w:p>
      <w:pPr>
        <w:ind w:left="960" w:hanging="532"/>
        <w:spacing w:after="0" w:line="311" w:lineRule="auto"/>
        <w:tabs>
          <w:tab w:leader="none" w:pos="96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Tenant shall have breached or failed to comply with any of its covenants and agreements contained in this Lease (save for non-payment of Rent) and shall have failed to remedy such breach or non-compliance within fifteen (15) days (or such longer period as the Landlord may reasonably determine, having regard to the nature of the default) after written notice thereof given by the Landlord to the Tenant;</w:t>
      </w:r>
    </w:p>
    <w:p>
      <w:pPr>
        <w:spacing w:after="0" w:line="81" w:lineRule="exact"/>
        <w:rPr>
          <w:rFonts w:ascii="Arial" w:cs="Arial" w:eastAsia="Arial" w:hAnsi="Arial"/>
          <w:sz w:val="16"/>
          <w:szCs w:val="16"/>
          <w:color w:val="auto"/>
        </w:rPr>
      </w:pPr>
    </w:p>
    <w:p>
      <w:pPr>
        <w:ind w:left="5420" w:hanging="111"/>
        <w:spacing w:after="0"/>
        <w:tabs>
          <w:tab w:leader="none" w:pos="54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0980"/>
          </w:cols>
          <w:pgMar w:left="440" w:top="270" w:right="479" w:bottom="1440" w:gutter="0" w:footer="0" w:header="0"/>
        </w:sectPr>
      </w:pPr>
    </w:p>
    <w:bookmarkStart w:id="449" w:name="page450"/>
    <w:bookmarkEnd w:id="449"/>
    <w:p>
      <w:pPr>
        <w:ind w:left="532" w:right="280" w:hanging="532"/>
        <w:spacing w:after="0" w:line="277" w:lineRule="auto"/>
        <w:tabs>
          <w:tab w:leader="none" w:pos="532" w:val="left"/>
        </w:tabs>
        <w:numPr>
          <w:ilvl w:val="0"/>
          <w:numId w:val="2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Tenant shall make any assignment for the benefit of creditors or become bankrupt or insolvent or take the benefit of any Act now or hereinafter in force for bankrupt or insolvent debtors;</w:t>
      </w:r>
    </w:p>
    <w:p>
      <w:pPr>
        <w:spacing w:after="0" w:line="75" w:lineRule="exact"/>
        <w:rPr>
          <w:rFonts w:ascii="Arial" w:cs="Arial" w:eastAsia="Arial" w:hAnsi="Arial"/>
          <w:sz w:val="18"/>
          <w:szCs w:val="18"/>
          <w:color w:val="auto"/>
        </w:rPr>
      </w:pPr>
    </w:p>
    <w:p>
      <w:pPr>
        <w:ind w:left="532" w:right="80" w:hanging="532"/>
        <w:spacing w:after="0" w:line="277" w:lineRule="auto"/>
        <w:tabs>
          <w:tab w:leader="none" w:pos="532"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Tenant is a corporation and any order shall be made for the winding-up of the Tenant or other termination of the corporate existence of the Tenant;</w:t>
      </w:r>
    </w:p>
    <w:p>
      <w:pPr>
        <w:spacing w:after="0" w:line="75" w:lineRule="exact"/>
        <w:rPr>
          <w:rFonts w:ascii="Arial" w:cs="Arial" w:eastAsia="Arial" w:hAnsi="Arial"/>
          <w:sz w:val="18"/>
          <w:szCs w:val="18"/>
          <w:color w:val="auto"/>
        </w:rPr>
      </w:pPr>
    </w:p>
    <w:p>
      <w:pPr>
        <w:ind w:left="532" w:hanging="532"/>
        <w:spacing w:after="0"/>
        <w:tabs>
          <w:tab w:leader="none" w:pos="532"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Tenant makes or attempts to make a bulk sale of assets not in the ordinary course of the Tenant’s business;</w:t>
      </w:r>
    </w:p>
    <w:p>
      <w:pPr>
        <w:spacing w:after="0" w:line="130" w:lineRule="exact"/>
        <w:rPr>
          <w:rFonts w:ascii="Arial" w:cs="Arial" w:eastAsia="Arial" w:hAnsi="Arial"/>
          <w:sz w:val="18"/>
          <w:szCs w:val="18"/>
          <w:color w:val="auto"/>
        </w:rPr>
      </w:pPr>
    </w:p>
    <w:p>
      <w:pPr>
        <w:ind w:left="532" w:right="60" w:hanging="532"/>
        <w:spacing w:after="0" w:line="277" w:lineRule="auto"/>
        <w:tabs>
          <w:tab w:leader="none" w:pos="532"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 trustee, receiver, interim receiver, receiver and manager, custodian or liquidator is appointed for the business, property, affairs or revenue of the Tenant;</w:t>
      </w:r>
    </w:p>
    <w:p>
      <w:pPr>
        <w:spacing w:after="0" w:line="75" w:lineRule="exact"/>
        <w:rPr>
          <w:rFonts w:ascii="Arial" w:cs="Arial" w:eastAsia="Arial" w:hAnsi="Arial"/>
          <w:sz w:val="18"/>
          <w:szCs w:val="18"/>
          <w:color w:val="auto"/>
        </w:rPr>
      </w:pPr>
    </w:p>
    <w:p>
      <w:pPr>
        <w:ind w:left="532" w:right="80" w:hanging="532"/>
        <w:spacing w:after="0" w:line="277" w:lineRule="auto"/>
        <w:tabs>
          <w:tab w:leader="none" w:pos="532"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this Lease or any of the Tenant’s assets on the Leased Premises are taken or seized under writ of execution, an assignment, pledge, charge, debenture or other security instrument;</w:t>
      </w:r>
    </w:p>
    <w:p>
      <w:pPr>
        <w:spacing w:after="0" w:line="75" w:lineRule="exact"/>
        <w:rPr>
          <w:rFonts w:ascii="Arial" w:cs="Arial" w:eastAsia="Arial" w:hAnsi="Arial"/>
          <w:sz w:val="18"/>
          <w:szCs w:val="18"/>
          <w:color w:val="auto"/>
        </w:rPr>
      </w:pPr>
    </w:p>
    <w:p>
      <w:pPr>
        <w:ind w:left="532" w:hanging="532"/>
        <w:spacing w:after="0"/>
        <w:tabs>
          <w:tab w:leader="none" w:pos="532"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Tenant abandons or attempts to abandon the Leased Premises;</w:t>
      </w:r>
    </w:p>
    <w:p>
      <w:pPr>
        <w:spacing w:after="0" w:line="130" w:lineRule="exact"/>
        <w:rPr>
          <w:rFonts w:ascii="Arial" w:cs="Arial" w:eastAsia="Arial" w:hAnsi="Arial"/>
          <w:sz w:val="18"/>
          <w:szCs w:val="18"/>
          <w:color w:val="auto"/>
        </w:rPr>
      </w:pPr>
    </w:p>
    <w:p>
      <w:pPr>
        <w:ind w:left="532" w:right="60" w:hanging="532"/>
        <w:spacing w:after="0" w:line="277" w:lineRule="auto"/>
        <w:tabs>
          <w:tab w:leader="none" w:pos="532"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Leased Premises shall be used by any person other than the Tenant or the Tenant’s permitted assignees or for any purpose other than as set out in Section 8.01;</w:t>
      </w:r>
    </w:p>
    <w:p>
      <w:pPr>
        <w:spacing w:after="0" w:line="75" w:lineRule="exact"/>
        <w:rPr>
          <w:rFonts w:ascii="Arial" w:cs="Arial" w:eastAsia="Arial" w:hAnsi="Arial"/>
          <w:sz w:val="18"/>
          <w:szCs w:val="18"/>
          <w:color w:val="auto"/>
        </w:rPr>
      </w:pPr>
    </w:p>
    <w:p>
      <w:pPr>
        <w:ind w:left="532" w:hanging="532"/>
        <w:spacing w:after="0" w:line="279" w:lineRule="auto"/>
        <w:tabs>
          <w:tab w:leader="none" w:pos="532" w:val="left"/>
        </w:tabs>
        <w:numPr>
          <w:ilvl w:val="0"/>
          <w:numId w:val="276"/>
        </w:numPr>
        <w:rPr>
          <w:rFonts w:ascii="Arial" w:cs="Arial" w:eastAsia="Arial" w:hAnsi="Arial"/>
          <w:sz w:val="17"/>
          <w:szCs w:val="17"/>
          <w:color w:val="auto"/>
        </w:rPr>
      </w:pPr>
      <w:r>
        <w:rPr>
          <w:rFonts w:ascii="Arial" w:cs="Arial" w:eastAsia="Arial" w:hAnsi="Arial"/>
          <w:sz w:val="17"/>
          <w:szCs w:val="17"/>
          <w:color w:val="auto"/>
        </w:rPr>
        <w:t>any insurance policy on the Property or any part thereof shall be cancelled or shall be threatened by the insurer to be cancelled or the coverage thereunder reduced in any way by the insurer by reason of the use or occupation of the Leased Premises or any part thereof by the Tenant and the Tenant shall have failed to remedy the condition giving rise to such cancellation, threatened cancellation or reduction of coverage within forty-eight (48) hours written notice given by the Landlord to the Tenant;</w:t>
      </w:r>
    </w:p>
    <w:p>
      <w:pPr>
        <w:spacing w:after="0" w:line="76" w:lineRule="exact"/>
        <w:rPr>
          <w:rFonts w:ascii="Arial" w:cs="Arial" w:eastAsia="Arial" w:hAnsi="Arial"/>
          <w:sz w:val="17"/>
          <w:szCs w:val="17"/>
          <w:color w:val="auto"/>
        </w:rPr>
      </w:pPr>
    </w:p>
    <w:p>
      <w:pPr>
        <w:ind w:left="532" w:right="200" w:hanging="532"/>
        <w:spacing w:after="0" w:line="263" w:lineRule="auto"/>
        <w:tabs>
          <w:tab w:leader="none" w:pos="532"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Tenant sells or disposes of the goods, movables or equipment in the Leased Premises or removes, commences or threatens to remove them from the Leased Premises so that in the opinion of the Landlord there would not, in the event of such sale, disposal or removal, be sufficient goods on the Leased Premises;</w:t>
      </w:r>
    </w:p>
    <w:p>
      <w:pPr>
        <w:spacing w:after="0" w:line="89" w:lineRule="exact"/>
        <w:rPr>
          <w:rFonts w:ascii="Arial" w:cs="Arial" w:eastAsia="Arial" w:hAnsi="Arial"/>
          <w:sz w:val="18"/>
          <w:szCs w:val="18"/>
          <w:color w:val="auto"/>
        </w:rPr>
      </w:pPr>
    </w:p>
    <w:p>
      <w:pPr>
        <w:ind w:left="532" w:right="20" w:hanging="532"/>
        <w:spacing w:after="0" w:line="259" w:lineRule="auto"/>
        <w:tabs>
          <w:tab w:leader="none" w:pos="532"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Tenant shall at any time during the Term use the Leased Premises, whether within the use permitted by Section 8.01 or not, in a manner which imposes upon the Landlord any obligation to modify, extend, alter or replace any part of the Leased Premises or any of the machinery, equipment or other facilities used in connection with the Leased Premises, which obligation is not fulfilled by the Tenant at its own cost in a timely manner;</w:t>
      </w:r>
    </w:p>
    <w:p>
      <w:pPr>
        <w:spacing w:after="0" w:line="119" w:lineRule="exact"/>
        <w:rPr>
          <w:rFonts w:ascii="Arial" w:cs="Arial" w:eastAsia="Arial" w:hAnsi="Arial"/>
          <w:sz w:val="18"/>
          <w:szCs w:val="18"/>
          <w:color w:val="auto"/>
        </w:rPr>
      </w:pPr>
    </w:p>
    <w:p>
      <w:pPr>
        <w:ind w:left="4992" w:hanging="111"/>
        <w:spacing w:after="0"/>
        <w:tabs>
          <w:tab w:leader="none" w:pos="4992" w:val="left"/>
        </w:tabs>
        <w:numPr>
          <w:ilvl w:val="1"/>
          <w:numId w:val="276"/>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0572"/>
          </w:cols>
          <w:pgMar w:left="868" w:top="274" w:right="459" w:bottom="1440" w:gutter="0" w:footer="0" w:header="0"/>
        </w:sectPr>
      </w:pPr>
    </w:p>
    <w:bookmarkStart w:id="450" w:name="page451"/>
    <w:bookmarkEnd w:id="450"/>
    <w:p>
      <w:pPr>
        <w:ind w:left="960" w:hanging="532"/>
        <w:spacing w:after="0" w:line="277" w:lineRule="auto"/>
        <w:tabs>
          <w:tab w:leader="none" w:pos="9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Tenant defaults under any other agreement it has entered into with the Landlord, such as a lease of other premises, storage agreement or parking agreement; or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Leased Premises are vacant for any period in excess of fifteen (15) days other than during repairs or renovations.</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Notwithstanding the </w:t>
      </w:r>
      <w:r>
        <w:rPr>
          <w:rFonts w:ascii="Arial" w:cs="Arial" w:eastAsia="Arial" w:hAnsi="Arial"/>
          <w:sz w:val="18"/>
          <w:szCs w:val="18"/>
          <w:i w:val="1"/>
          <w:iCs w:val="1"/>
          <w:color w:val="auto"/>
        </w:rPr>
        <w:t>Bankruptcy and Insolvency Act</w:t>
      </w:r>
      <w:r>
        <w:rPr>
          <w:rFonts w:ascii="Arial" w:cs="Arial" w:eastAsia="Arial" w:hAnsi="Arial"/>
          <w:sz w:val="18"/>
          <w:szCs w:val="18"/>
          <w:color w:val="auto"/>
        </w:rPr>
        <w:t xml:space="preserve"> (Canada) or otherwise, upon the occurrence of an Event of Default, the then current month’s Rent and next ensuing three (3) months’ Rent shall immediately become due and be paid by the Tenant to the Landlord as accelerated Rent. </w:t>
      </w:r>
      <w:r>
        <w:rPr>
          <w:rFonts w:ascii="Arial" w:cs="Arial" w:eastAsia="Arial" w:hAnsi="Arial"/>
          <w:sz w:val="18"/>
          <w:szCs w:val="18"/>
          <w:b w:val="1"/>
          <w:bCs w:val="1"/>
          <w:color w:val="auto"/>
        </w:rPr>
        <w:t>For</w:t>
      </w:r>
      <w:r>
        <w:rPr>
          <w:rFonts w:ascii="Arial" w:cs="Arial" w:eastAsia="Arial" w:hAnsi="Arial"/>
          <w:sz w:val="18"/>
          <w:szCs w:val="18"/>
          <w:color w:val="auto"/>
        </w:rPr>
        <w:t xml:space="preserve"> </w:t>
      </w:r>
      <w:r>
        <w:rPr>
          <w:rFonts w:ascii="Arial" w:cs="Arial" w:eastAsia="Arial" w:hAnsi="Arial"/>
          <w:sz w:val="18"/>
          <w:szCs w:val="18"/>
          <w:b w:val="1"/>
          <w:bCs w:val="1"/>
          <w:color w:val="auto"/>
        </w:rPr>
        <w:t>greater certainty, subject to the provisions of the second paragraph of Article 1.04, all Equipment shall remain the property of the Landlord at all times, including at the expiry or early termination of the Lease.</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12.02</w:t>
      </w:r>
      <w:r>
        <w:rPr>
          <w:sz w:val="20"/>
          <w:szCs w:val="20"/>
          <w:color w:val="auto"/>
        </w:rPr>
        <w:tab/>
      </w:r>
      <w:r>
        <w:rPr>
          <w:rFonts w:ascii="Arial" w:cs="Arial" w:eastAsia="Arial" w:hAnsi="Arial"/>
          <w:sz w:val="16"/>
          <w:szCs w:val="16"/>
          <w:b w:val="1"/>
          <w:bCs w:val="1"/>
          <w:u w:val="single" w:color="auto"/>
          <w:color w:val="auto"/>
        </w:rPr>
        <w:t>Right of Re-entry</w:t>
      </w:r>
    </w:p>
    <w:p>
      <w:pPr>
        <w:spacing w:after="0" w:line="135" w:lineRule="exact"/>
        <w:rPr>
          <w:sz w:val="20"/>
          <w:szCs w:val="20"/>
          <w:color w:val="auto"/>
        </w:rPr>
      </w:pPr>
    </w:p>
    <w:p>
      <w:pPr>
        <w:ind w:left="960" w:right="240" w:hanging="532"/>
        <w:spacing w:after="0" w:line="257" w:lineRule="auto"/>
        <w:tabs>
          <w:tab w:leader="none" w:pos="9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Upon the occurrence of an Event of Default, the Landlord may at any time thereafter, without notice to the Tenant, re-enter the Leased Premises or any part thereof in the name of the whole and, at the Landlord’s option, and without prejudice to the Landlord’s right to recover all Rent payable under this Lease for the remainder of the Term, terminate this Lease and all the rights of the Tenant thereunder, provided that no action of the Landlord shall be deemed to be a termination of this Lease except an express termination of this Lease in writing.</w:t>
      </w:r>
    </w:p>
    <w:p>
      <w:pPr>
        <w:spacing w:after="0" w:line="93"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If and whenever the Landlord exercises its option to re-enter the Leased Premises and terminate this Lease pursuant to paragraph (a) of this Section:</w:t>
      </w:r>
    </w:p>
    <w:p>
      <w:pPr>
        <w:spacing w:after="0" w:line="75" w:lineRule="exact"/>
        <w:rPr>
          <w:rFonts w:ascii="Arial" w:cs="Arial" w:eastAsia="Arial" w:hAnsi="Arial"/>
          <w:sz w:val="18"/>
          <w:szCs w:val="18"/>
          <w:color w:val="auto"/>
        </w:rPr>
      </w:pPr>
    </w:p>
    <w:p>
      <w:pPr>
        <w:ind w:left="1420" w:right="260" w:hanging="439"/>
        <w:spacing w:after="0" w:line="279" w:lineRule="auto"/>
        <w:tabs>
          <w:tab w:leader="none" w:pos="1420" w:val="left"/>
        </w:tabs>
        <w:numPr>
          <w:ilvl w:val="1"/>
          <w:numId w:val="278"/>
        </w:numPr>
        <w:rPr>
          <w:rFonts w:ascii="Arial" w:cs="Arial" w:eastAsia="Arial" w:hAnsi="Arial"/>
          <w:sz w:val="17"/>
          <w:szCs w:val="17"/>
          <w:color w:val="auto"/>
        </w:rPr>
      </w:pPr>
      <w:r>
        <w:rPr>
          <w:rFonts w:ascii="Arial" w:cs="Arial" w:eastAsia="Arial" w:hAnsi="Arial"/>
          <w:sz w:val="17"/>
          <w:szCs w:val="17"/>
          <w:color w:val="auto"/>
        </w:rPr>
        <w:t>the Tenant shall immediately vacate the Leased Premises and the Landlord may remove or cause to be removed from the Leased Premises the Tenant and/or any other occupant or occupants thereof and may remove all property therefrom and sell or dispose of such property as the Landlord considers appropriate without liability for loss or damage and without prejudice to the rights of the Landlord to recover arrears of Rent or damages incurred by the Landlord;</w:t>
      </w:r>
    </w:p>
    <w:p>
      <w:pPr>
        <w:spacing w:after="0" w:line="76" w:lineRule="exact"/>
        <w:rPr>
          <w:rFonts w:ascii="Arial" w:cs="Arial" w:eastAsia="Arial" w:hAnsi="Arial"/>
          <w:sz w:val="17"/>
          <w:szCs w:val="17"/>
          <w:color w:val="auto"/>
        </w:rPr>
      </w:pPr>
    </w:p>
    <w:p>
      <w:pPr>
        <w:ind w:left="1420" w:right="180" w:hanging="439"/>
        <w:spacing w:after="0" w:line="263" w:lineRule="auto"/>
        <w:tabs>
          <w:tab w:leader="none" w:pos="142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the Landlord shall be immediately entitled to the payment of Rent up to the date of termination together with all expenses incurred by the Landlord in respect of such termination and the value of the Rent, calculated at the date of termination, for the unexpired portion of the Term.</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12.03</w:t>
      </w:r>
      <w:r>
        <w:rPr>
          <w:sz w:val="20"/>
          <w:szCs w:val="20"/>
          <w:color w:val="auto"/>
        </w:rPr>
        <w:tab/>
      </w:r>
      <w:r>
        <w:rPr>
          <w:rFonts w:ascii="Arial" w:cs="Arial" w:eastAsia="Arial" w:hAnsi="Arial"/>
          <w:sz w:val="16"/>
          <w:szCs w:val="16"/>
          <w:b w:val="1"/>
          <w:bCs w:val="1"/>
          <w:u w:val="single" w:color="auto"/>
          <w:color w:val="auto"/>
        </w:rPr>
        <w:t>Reletting</w:t>
      </w:r>
    </w:p>
    <w:p>
      <w:pPr>
        <w:spacing w:after="0" w:line="121"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At any time when the Landlord is entitled to re-enter the Leased Premises or terminate this Lease, the Landlord may without notice to the Tenant and without terminating the Lease enter upon and take custody of the Leased Premises in the name of and as agent of the Tenant, together with all of the Tenant’s improvements, fixtures and furnishings, and sublet the Leased Premises in the name of and as the agent of the Tenant on whatever terms the Landlord may deem appropriate but no such action by the Landlord shall waive any of the obligations of the Tenant or limit the subsequent exercise of any of the Landlord’s remedies for default. If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451" w:name="page452"/>
    <w:bookmarkEnd w:id="451"/>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Landlord shall sublet the Leased Premises as aforesaid, the Landlord shall be entitled to receive all sublease rent and apply the same in its discretion to any indebtedness of the Tenant to the Landlord under this Lease and/or to the payment of any costs and expenses of reletting, and the Landlord shall be liable to account to the Tenant only for the excess, if any, of monies actually received by it. If the sublease rent is less than is necessary to pay and discharge all the then existing and continuing obligations of the Tenant hereunder, the Tenant shall pay such deficiency to the Landlord upon demand from time to time. Notwithstanding any such re-entry and subletting without termination, the Landlord may at any time thereafter terminate this Lease by reason of the previous or any other default under the Lease and the provisions of Section 12.02 shall apply.</w:t>
      </w:r>
    </w:p>
    <w:p>
      <w:pPr>
        <w:spacing w:after="0" w:line="3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12.04</w:t>
      </w:r>
      <w:r>
        <w:rPr>
          <w:sz w:val="20"/>
          <w:szCs w:val="20"/>
          <w:color w:val="auto"/>
        </w:rPr>
        <w:tab/>
      </w:r>
      <w:r>
        <w:rPr>
          <w:rFonts w:ascii="Arial" w:cs="Arial" w:eastAsia="Arial" w:hAnsi="Arial"/>
          <w:sz w:val="16"/>
          <w:szCs w:val="16"/>
          <w:b w:val="1"/>
          <w:bCs w:val="1"/>
          <w:u w:val="single" w:color="auto"/>
          <w:color w:val="auto"/>
        </w:rPr>
        <w:t>Right of Landlord to Cure Defaults</w:t>
      </w:r>
    </w:p>
    <w:p>
      <w:pPr>
        <w:spacing w:after="0" w:line="121"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If the Tenant fails to perform or cause to be performed any of the covenants or obligations of the Tenant herein, the Landlord shall have the right (but shall not be so obligated) to perform or cause to be performed and to do or cause to be done such things as may be necessary or incidental thereto (including without limiting the foregoing, the right to make repairs, installations, erections and expend monies), and all payments, expenses, charges, fees and disbursements incurred or paid by or on behalf of the Landlord in respect thereof shall be deemed to be Additional Rent and shall be paid by the Tenant to the Landlord within ten (10) days’ of written demand therefor together with all reasonable legal and administrative costs of the Landlord in respect thereof.</w:t>
      </w:r>
    </w:p>
    <w:p>
      <w:pPr>
        <w:spacing w:after="0" w:line="3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12.05</w:t>
      </w:r>
      <w:r>
        <w:rPr>
          <w:sz w:val="20"/>
          <w:szCs w:val="20"/>
          <w:color w:val="auto"/>
        </w:rPr>
        <w:tab/>
      </w:r>
      <w:r>
        <w:rPr>
          <w:rFonts w:ascii="Arial" w:cs="Arial" w:eastAsia="Arial" w:hAnsi="Arial"/>
          <w:sz w:val="15"/>
          <w:szCs w:val="15"/>
          <w:b w:val="1"/>
          <w:bCs w:val="1"/>
          <w:u w:val="single" w:color="auto"/>
          <w:color w:val="auto"/>
        </w:rPr>
        <w:t>Remedies Not Exclusive</w:t>
      </w:r>
    </w:p>
    <w:p>
      <w:pPr>
        <w:spacing w:after="0" w:line="12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Mention in this Lease of any particular remedy or remedies in respect of any default or threatened default by the Tenant in the performance of its obligations shall not preclude the Landlord from exercising, or limit the extent of, any other remedy in respect thereof, whether at law, in equity or pursuant to any express provision hereof. No remedy shall be interpreted as exclusive or dependent upon any other remedy, and the Landlord may from time to time exercise any one or more of such remedies independently or in combination.</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12.06</w:t>
      </w:r>
      <w:r>
        <w:rPr>
          <w:sz w:val="20"/>
          <w:szCs w:val="20"/>
          <w:color w:val="auto"/>
        </w:rPr>
        <w:tab/>
      </w:r>
      <w:r>
        <w:rPr>
          <w:rFonts w:ascii="Arial" w:cs="Arial" w:eastAsia="Arial" w:hAnsi="Arial"/>
          <w:sz w:val="16"/>
          <w:szCs w:val="16"/>
          <w:b w:val="1"/>
          <w:bCs w:val="1"/>
          <w:u w:val="single" w:color="auto"/>
          <w:color w:val="auto"/>
        </w:rPr>
        <w:t>Non-Waiver</w:t>
      </w:r>
    </w:p>
    <w:p>
      <w:pPr>
        <w:spacing w:after="0" w:line="121"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No condoning, excusing or overlooking by the Landlord or any default, breach or non-observance by the Tenant at any time or times in respect of any covenant, proviso or condition herein contained shall operate as a waiver of the Landlord’s rights hereunder in respect of any continuing or subsequent default, breach or non-observance, or so as to defeat or affect in any way the rights of the Landlord herein in respect of any such continuing or subsequent default or breach, and no waiver shall be inferred from or implied by anything done or omitted by the Landlord, save only an express waiver by the Landlord in writing.</w:t>
      </w:r>
    </w:p>
    <w:p>
      <w:pPr>
        <w:spacing w:after="0" w:line="3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12.07</w:t>
      </w:r>
      <w:r>
        <w:rPr>
          <w:sz w:val="20"/>
          <w:szCs w:val="20"/>
          <w:color w:val="auto"/>
        </w:rPr>
        <w:tab/>
      </w:r>
      <w:r>
        <w:rPr>
          <w:rFonts w:ascii="Arial" w:cs="Arial" w:eastAsia="Arial" w:hAnsi="Arial"/>
          <w:sz w:val="16"/>
          <w:szCs w:val="16"/>
          <w:b w:val="1"/>
          <w:bCs w:val="1"/>
          <w:u w:val="single" w:color="auto"/>
          <w:color w:val="auto"/>
        </w:rPr>
        <w:t>Recovery of Adjustments</w:t>
      </w:r>
    </w:p>
    <w:p>
      <w:pPr>
        <w:spacing w:after="0" w:line="121" w:lineRule="exact"/>
        <w:rPr>
          <w:sz w:val="20"/>
          <w:szCs w:val="20"/>
          <w:color w:val="auto"/>
        </w:rPr>
      </w:pPr>
    </w:p>
    <w:p>
      <w:pPr>
        <w:ind w:right="100" w:firstLine="991"/>
        <w:spacing w:after="0" w:line="342" w:lineRule="auto"/>
        <w:rPr>
          <w:sz w:val="20"/>
          <w:szCs w:val="20"/>
          <w:color w:val="auto"/>
        </w:rPr>
      </w:pPr>
      <w:r>
        <w:rPr>
          <w:rFonts w:ascii="Arial" w:cs="Arial" w:eastAsia="Arial" w:hAnsi="Arial"/>
          <w:sz w:val="16"/>
          <w:szCs w:val="16"/>
          <w:color w:val="auto"/>
        </w:rPr>
        <w:t>The Landlord shall have (in addition to any other right or remedy of the Landlord) the same rights and remedies in the event of default by the Tenant in payment of any amount payable by the Tenant hereunder as the Landlord would have in the case of default in payment of Rent.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52" w:name="page453"/>
    <w:bookmarkEnd w:id="4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13 - SUBORDINATION &amp; ACKNOWLEDGMENTS</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13.01</w:t>
      </w:r>
      <w:r>
        <w:rPr>
          <w:sz w:val="20"/>
          <w:szCs w:val="20"/>
          <w:color w:val="auto"/>
        </w:rPr>
        <w:tab/>
      </w:r>
      <w:r>
        <w:rPr>
          <w:rFonts w:ascii="Arial" w:cs="Arial" w:eastAsia="Arial" w:hAnsi="Arial"/>
          <w:sz w:val="16"/>
          <w:szCs w:val="16"/>
          <w:b w:val="1"/>
          <w:bCs w:val="1"/>
          <w:u w:val="single" w:color="auto"/>
          <w:color w:val="auto"/>
        </w:rPr>
        <w:t>Hypothecs</w:t>
      </w:r>
    </w:p>
    <w:p>
      <w:pPr>
        <w:spacing w:after="0" w:line="121"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At the option of the Landlord, this Lease shall be subject and subordinate to any and all hypothecs, charges and deeds of trust, which may now or at any time hereafter affect the Leased Premises in whole or in part, or the Property whether or not any such hypothec, charge or deed of trust affects only the Leased Premises or the Property or affects other premises as well. On request at any time and from time to time of the Landlord or of the hypothecary creditor, chargee or trustee under any such hypothec, charge or deed of trust, the Tenant shall promptly, at no cost to the Landlord or hypothecary creditor, chargee or trustee:</w:t>
      </w:r>
    </w:p>
    <w:p>
      <w:pPr>
        <w:spacing w:after="0" w:line="93" w:lineRule="exact"/>
        <w:rPr>
          <w:sz w:val="20"/>
          <w:szCs w:val="20"/>
          <w:color w:val="auto"/>
        </w:rPr>
      </w:pPr>
    </w:p>
    <w:p>
      <w:pPr>
        <w:ind w:left="960" w:hanging="532"/>
        <w:spacing w:after="0" w:line="311" w:lineRule="auto"/>
        <w:tabs>
          <w:tab w:leader="none" w:pos="96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attorn to such hypothecary creditor, chargee or trustee and become its tenant of the Leased Premises or the tenant of the Leased Premises of any purchaser from such hypothecary creditor, chargee or trustee in the event of an exercise of any permitted power of sale contained in any such hypothec, charge or deed of trust for the then unexpired residue of the Term on the terms herein contained; and/or</w:t>
      </w:r>
    </w:p>
    <w:p>
      <w:pPr>
        <w:spacing w:after="0" w:line="54" w:lineRule="exact"/>
        <w:rPr>
          <w:rFonts w:ascii="Arial" w:cs="Arial" w:eastAsia="Arial" w:hAnsi="Arial"/>
          <w:sz w:val="16"/>
          <w:szCs w:val="16"/>
          <w:color w:val="auto"/>
        </w:rPr>
      </w:pPr>
    </w:p>
    <w:p>
      <w:pPr>
        <w:ind w:left="960" w:right="20" w:hanging="532"/>
        <w:spacing w:after="0" w:line="257" w:lineRule="auto"/>
        <w:tabs>
          <w:tab w:leader="none" w:pos="9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postpone and subordinate this Lease to such hypothec, charge or deed of trust to the intent that this Lease and all right, title and interest of the Tenant in the Leased Premises shall be subject to the rights of such hypothecary creditor, chargee or trustee as fully as if such hypothec, charge or deed of trust had been executed and registered and the money thereby secured had been advanced before the execution of this Lease (and notwithstanding any authority or consent of such hypothecary creditor, or trustee, express or implied, to the making of this Lease).</w:t>
      </w:r>
    </w:p>
    <w:p>
      <w:pPr>
        <w:spacing w:after="0" w:line="188" w:lineRule="exact"/>
        <w:rPr>
          <w:sz w:val="20"/>
          <w:szCs w:val="20"/>
          <w:color w:val="auto"/>
        </w:rPr>
      </w:pPr>
    </w:p>
    <w:p>
      <w:pPr>
        <w:ind w:right="60" w:firstLine="991"/>
        <w:spacing w:after="0" w:line="311" w:lineRule="auto"/>
        <w:rPr>
          <w:sz w:val="20"/>
          <w:szCs w:val="20"/>
          <w:color w:val="auto"/>
        </w:rPr>
      </w:pPr>
      <w:r>
        <w:rPr>
          <w:rFonts w:ascii="Arial" w:cs="Arial" w:eastAsia="Arial" w:hAnsi="Arial"/>
          <w:sz w:val="16"/>
          <w:szCs w:val="16"/>
          <w:color w:val="auto"/>
        </w:rPr>
        <w:t>Any such attornment or postponement and subordination shall extend to all renewals, modifications, consolidations, replacements and extension of any such hypothec, charge or deed of trust and every instrument supplemental or ancillary thereto or in implementation thereof. The Tenant shall forthwith execute any instruments of attornment or postponement and subordination which may be so requested to give effect to this Section.</w:t>
      </w:r>
    </w:p>
    <w:p>
      <w:pPr>
        <w:spacing w:after="0" w:line="149"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Any such hypothecary creditor, chargee or trustee under any hypothec, charge or deed of trust may, at its option, subordinate its interest in such hypothec, charge or deed of trust to the interest of the Tenant in this Lease and the Leased Premises.</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13.02</w:t>
      </w:r>
      <w:r>
        <w:rPr>
          <w:sz w:val="20"/>
          <w:szCs w:val="20"/>
          <w:color w:val="auto"/>
        </w:rPr>
        <w:tab/>
      </w:r>
      <w:r>
        <w:rPr>
          <w:rFonts w:ascii="Arial" w:cs="Arial" w:eastAsia="Arial" w:hAnsi="Arial"/>
          <w:sz w:val="16"/>
          <w:szCs w:val="16"/>
          <w:b w:val="1"/>
          <w:bCs w:val="1"/>
          <w:u w:val="single" w:color="auto"/>
          <w:color w:val="auto"/>
        </w:rPr>
        <w:t>Certificates</w:t>
      </w:r>
    </w:p>
    <w:p>
      <w:pPr>
        <w:spacing w:after="0" w:line="121"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The Tenant shall, within not more than ten (10) days’ written request therefor, execute and return to the Landlord as required by the Landlord from time to time and without cost to the Landlord, a statement in writing certifying that this Lease is unmodified and in full force and effect (or if modified, stating the modifications and that the Lease is in full force and effect as modified), the amount of the annual Basic Rent then being paid hereunder, the dates to which the same, by instalment or otherwise, and other charges hereunder have been paid, the amount of any prepaid Rent, whether or not there is any existing default on the part of the Landlord of which the Tenant has notice, and any other information reasonably required.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0" w:right="439" w:bottom="1440" w:gutter="0" w:footer="0" w:header="0"/>
        </w:sectPr>
      </w:pPr>
    </w:p>
    <w:bookmarkStart w:id="453" w:name="page454"/>
    <w:bookmarkEnd w:id="453"/>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13.03</w:t>
      </w:r>
      <w:r>
        <w:rPr>
          <w:sz w:val="20"/>
          <w:szCs w:val="20"/>
          <w:color w:val="auto"/>
        </w:rPr>
        <w:tab/>
      </w:r>
      <w:r>
        <w:rPr>
          <w:rFonts w:ascii="Arial" w:cs="Arial" w:eastAsia="Arial" w:hAnsi="Arial"/>
          <w:sz w:val="16"/>
          <w:szCs w:val="16"/>
          <w:b w:val="1"/>
          <w:bCs w:val="1"/>
          <w:u w:val="single" w:color="auto"/>
          <w:color w:val="auto"/>
        </w:rPr>
        <w:t>Co-Ownership</w:t>
      </w:r>
    </w:p>
    <w:p>
      <w:pPr>
        <w:spacing w:after="0" w:line="121" w:lineRule="exact"/>
        <w:rPr>
          <w:sz w:val="20"/>
          <w:szCs w:val="20"/>
          <w:color w:val="auto"/>
        </w:rPr>
      </w:pPr>
    </w:p>
    <w:p>
      <w:pPr>
        <w:jc w:val="both"/>
        <w:ind w:right="140" w:firstLine="991"/>
        <w:spacing w:after="0" w:line="259" w:lineRule="auto"/>
        <w:rPr>
          <w:sz w:val="20"/>
          <w:szCs w:val="20"/>
          <w:color w:val="auto"/>
        </w:rPr>
      </w:pPr>
      <w:r>
        <w:rPr>
          <w:rFonts w:ascii="Arial" w:cs="Arial" w:eastAsia="Arial" w:hAnsi="Arial"/>
          <w:sz w:val="18"/>
          <w:szCs w:val="18"/>
          <w:color w:val="auto"/>
        </w:rPr>
        <w:t>The Tenant recognizes that the Leased Premises and the Property are subject to the Co-Ownership Agreement. The Tenant agrees not to take or permit any action from anyone under its charge or responsibility that would contravene with Landlord’s obligations under said Co-Ownership Agreement. Without limiting the generality of the foregoing, the Tenant undertakes to respect said Co-Ownership Agreement and any other rules and regulations of the Property as may be implemented from time to time.</w:t>
      </w:r>
    </w:p>
    <w:p>
      <w:pPr>
        <w:spacing w:after="0" w:line="187" w:lineRule="exact"/>
        <w:rPr>
          <w:sz w:val="20"/>
          <w:szCs w:val="20"/>
          <w:color w:val="auto"/>
        </w:rPr>
      </w:pPr>
    </w:p>
    <w:p>
      <w:pPr>
        <w:ind w:right="100" w:firstLine="991"/>
        <w:spacing w:after="0" w:line="342" w:lineRule="auto"/>
        <w:rPr>
          <w:sz w:val="20"/>
          <w:szCs w:val="20"/>
          <w:color w:val="auto"/>
        </w:rPr>
      </w:pPr>
      <w:r>
        <w:rPr>
          <w:rFonts w:ascii="Arial" w:cs="Arial" w:eastAsia="Arial" w:hAnsi="Arial"/>
          <w:sz w:val="16"/>
          <w:szCs w:val="16"/>
          <w:color w:val="auto"/>
        </w:rPr>
        <w:t>Furthermore, the Tenant acknowledges that for the purposes hereof, any covenants, obligations or undertaking pertaining or attributed to the Landlord hereunder shall at all times be subject and subordinated to the provisions of the Co-Ownership Agreement and any related documents.</w:t>
      </w: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14 - ACCESS BY LANDLORD</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14.01</w:t>
      </w:r>
      <w:r>
        <w:rPr>
          <w:sz w:val="20"/>
          <w:szCs w:val="20"/>
          <w:color w:val="auto"/>
        </w:rPr>
        <w:tab/>
      </w:r>
      <w:r>
        <w:rPr>
          <w:rFonts w:ascii="Arial" w:cs="Arial" w:eastAsia="Arial" w:hAnsi="Arial"/>
          <w:sz w:val="15"/>
          <w:szCs w:val="15"/>
          <w:b w:val="1"/>
          <w:bCs w:val="1"/>
          <w:u w:val="single" w:color="auto"/>
          <w:color w:val="auto"/>
        </w:rPr>
        <w:t>Exhibiting Leased Premises</w:t>
      </w:r>
    </w:p>
    <w:p>
      <w:pPr>
        <w:spacing w:after="0" w:line="121"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The Tenant shall permit the Landlord or its agents, during Normal Business Hours but upon forty-eight (48) hours advance notice, to exhibit the Leased Premises: (a) to prospective tenants during the last six (6) months of the Term; and (b) to prospective purchasers of the Property or any part thereof at any time during the Term.</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14.02</w:t>
      </w:r>
      <w:r>
        <w:rPr>
          <w:sz w:val="20"/>
          <w:szCs w:val="20"/>
          <w:color w:val="auto"/>
        </w:rPr>
        <w:tab/>
      </w:r>
      <w:r>
        <w:rPr>
          <w:rFonts w:ascii="Arial" w:cs="Arial" w:eastAsia="Arial" w:hAnsi="Arial"/>
          <w:sz w:val="16"/>
          <w:szCs w:val="16"/>
          <w:b w:val="1"/>
          <w:bCs w:val="1"/>
          <w:u w:val="single" w:color="auto"/>
          <w:color w:val="auto"/>
        </w:rPr>
        <w:t>Expansion, Alteration</w:t>
      </w:r>
    </w:p>
    <w:p>
      <w:pPr>
        <w:spacing w:after="0" w:line="121"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The Landlord shall have the right to enter into the Leased Premises and to bring its workmen and materials thereon to inspect the Leased Premises and to make additions, alterations, improvements, installations and repairs to the Property, Leased Premises, the Lands, the Building, and/or the Common Areas and services thereof as such may exist from time to time. The Landlord may cause such reasonable obstructions and interference with the use and enjoyment of the Property, the Building and the Leased Premises as may be necessary for the purposes aforesaid and may interrupt or suspend the supply of electricity, water or other utilities or services when necessary and until the additions, alterations, improvements, installations or repairs have been completed, and there shall be no abatement in Rent nor shall the Landlord be liable by reason thereof, provided all such work is done as expeditiously as reasonably possible. The Landlord shall have the right to use, install, maintain and repair pipes, wires, ducts, shafts or other installations in, under or through the Leased Premises for or in connection with the supply of any services to the Leased Premises or any other premises in the Building.</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15 - MISCELLANEOUS</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15.01</w:t>
      </w:r>
      <w:r>
        <w:rPr>
          <w:sz w:val="20"/>
          <w:szCs w:val="20"/>
          <w:color w:val="auto"/>
        </w:rPr>
        <w:tab/>
      </w:r>
      <w:r>
        <w:rPr>
          <w:rFonts w:ascii="Arial" w:cs="Arial" w:eastAsia="Arial" w:hAnsi="Arial"/>
          <w:sz w:val="16"/>
          <w:szCs w:val="16"/>
          <w:b w:val="1"/>
          <w:bCs w:val="1"/>
          <w:u w:val="single" w:color="auto"/>
          <w:color w:val="auto"/>
        </w:rPr>
        <w:t>Notice</w:t>
      </w:r>
    </w:p>
    <w:p>
      <w:pPr>
        <w:spacing w:after="0" w:line="135" w:lineRule="exact"/>
        <w:rPr>
          <w:sz w:val="20"/>
          <w:szCs w:val="20"/>
          <w:color w:val="auto"/>
        </w:rPr>
      </w:pPr>
    </w:p>
    <w:p>
      <w:pPr>
        <w:ind w:left="960" w:right="100" w:hanging="532"/>
        <w:spacing w:after="0" w:line="277" w:lineRule="auto"/>
        <w:tabs>
          <w:tab w:leader="none" w:pos="9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Any notice, request, statement or other writing pursuant to this Lease shall be deemed to have been given if personally delivered, mailed by registered mail, postage prepaid or sent by facsimile as follows:</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0900"/>
          </w:cols>
          <w:pgMar w:left="440" w:top="270" w:right="559" w:bottom="1440" w:gutter="0" w:footer="0" w:header="0"/>
        </w:sectPr>
      </w:pPr>
    </w:p>
    <w:bookmarkStart w:id="454" w:name="page455"/>
    <w:bookmarkEnd w:id="454"/>
    <w:p>
      <w:pPr>
        <w:ind w:left="99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case of the Landlord, to:</w:t>
      </w:r>
    </w:p>
    <w:p>
      <w:pPr>
        <w:spacing w:after="0" w:line="113" w:lineRule="exact"/>
        <w:rPr>
          <w:sz w:val="20"/>
          <w:szCs w:val="20"/>
          <w:color w:val="auto"/>
        </w:rPr>
      </w:pPr>
    </w:p>
    <w:p>
      <w:pPr>
        <w:ind w:left="992"/>
        <w:spacing w:after="0"/>
        <w:rPr>
          <w:sz w:val="20"/>
          <w:szCs w:val="20"/>
          <w:color w:val="auto"/>
        </w:rPr>
      </w:pPr>
      <w:r>
        <w:rPr>
          <w:rFonts w:ascii="Arial" w:cs="Arial" w:eastAsia="Arial" w:hAnsi="Arial"/>
          <w:sz w:val="18"/>
          <w:szCs w:val="18"/>
          <w:b w:val="1"/>
          <w:bCs w:val="1"/>
          <w:color w:val="auto"/>
        </w:rPr>
        <w:t>CANDEREL MANAGEMENT INC.</w:t>
      </w:r>
    </w:p>
    <w:p>
      <w:pPr>
        <w:spacing w:after="0" w:line="27" w:lineRule="exact"/>
        <w:rPr>
          <w:sz w:val="20"/>
          <w:szCs w:val="20"/>
          <w:color w:val="auto"/>
        </w:rPr>
      </w:pPr>
    </w:p>
    <w:p>
      <w:pPr>
        <w:ind w:left="992"/>
        <w:spacing w:after="0"/>
        <w:rPr>
          <w:sz w:val="20"/>
          <w:szCs w:val="20"/>
          <w:color w:val="auto"/>
        </w:rPr>
      </w:pPr>
      <w:r>
        <w:rPr>
          <w:rFonts w:ascii="Arial" w:cs="Arial" w:eastAsia="Arial" w:hAnsi="Arial"/>
          <w:sz w:val="18"/>
          <w:szCs w:val="18"/>
          <w:color w:val="auto"/>
        </w:rPr>
        <w:t>2000 Peel Street, Suite 900,</w:t>
      </w:r>
    </w:p>
    <w:p>
      <w:pPr>
        <w:spacing w:after="0" w:line="9" w:lineRule="exact"/>
        <w:rPr>
          <w:sz w:val="20"/>
          <w:szCs w:val="20"/>
          <w:color w:val="auto"/>
        </w:rPr>
      </w:pPr>
    </w:p>
    <w:p>
      <w:pPr>
        <w:ind w:left="992"/>
        <w:spacing w:after="0"/>
        <w:rPr>
          <w:sz w:val="20"/>
          <w:szCs w:val="20"/>
          <w:color w:val="auto"/>
        </w:rPr>
      </w:pPr>
      <w:r>
        <w:rPr>
          <w:rFonts w:ascii="Arial" w:cs="Arial" w:eastAsia="Arial" w:hAnsi="Arial"/>
          <w:sz w:val="18"/>
          <w:szCs w:val="18"/>
          <w:color w:val="auto"/>
        </w:rPr>
        <w:t>Montréal, Québec H3A 2W5</w:t>
      </w:r>
    </w:p>
    <w:p>
      <w:pPr>
        <w:spacing w:after="0" w:line="103" w:lineRule="exact"/>
        <w:rPr>
          <w:sz w:val="20"/>
          <w:szCs w:val="20"/>
          <w:color w:val="auto"/>
        </w:rPr>
      </w:pPr>
    </w:p>
    <w:p>
      <w:pPr>
        <w:ind w:left="992"/>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992"/>
        <w:spacing w:after="0"/>
        <w:rPr>
          <w:sz w:val="20"/>
          <w:szCs w:val="20"/>
          <w:color w:val="auto"/>
        </w:rPr>
      </w:pPr>
      <w:r>
        <w:rPr>
          <w:rFonts w:ascii="Arial" w:cs="Arial" w:eastAsia="Arial" w:hAnsi="Arial"/>
          <w:sz w:val="18"/>
          <w:szCs w:val="18"/>
          <w:color w:val="auto"/>
        </w:rPr>
        <w:t>Fax No.:</w:t>
      </w:r>
    </w:p>
    <w:p>
      <w:pPr>
        <w:spacing w:after="0" w:line="103" w:lineRule="exact"/>
        <w:rPr>
          <w:sz w:val="20"/>
          <w:szCs w:val="20"/>
          <w:color w:val="auto"/>
        </w:rPr>
      </w:pPr>
    </w:p>
    <w:p>
      <w:pPr>
        <w:ind w:left="992"/>
        <w:spacing w:after="0"/>
        <w:rPr>
          <w:sz w:val="20"/>
          <w:szCs w:val="20"/>
          <w:color w:val="auto"/>
        </w:rPr>
      </w:pPr>
      <w:r>
        <w:rPr>
          <w:rFonts w:ascii="Arial" w:cs="Arial" w:eastAsia="Arial" w:hAnsi="Arial"/>
          <w:sz w:val="18"/>
          <w:szCs w:val="18"/>
          <w:color w:val="auto"/>
        </w:rPr>
        <w:t>With a copy to:</w:t>
      </w:r>
    </w:p>
    <w:p>
      <w:pPr>
        <w:spacing w:after="0" w:line="113" w:lineRule="exact"/>
        <w:rPr>
          <w:sz w:val="20"/>
          <w:szCs w:val="20"/>
          <w:color w:val="auto"/>
        </w:rPr>
      </w:pPr>
    </w:p>
    <w:p>
      <w:pPr>
        <w:ind w:left="992"/>
        <w:spacing w:after="0"/>
        <w:rPr>
          <w:sz w:val="20"/>
          <w:szCs w:val="20"/>
          <w:color w:val="auto"/>
        </w:rPr>
      </w:pPr>
      <w:r>
        <w:rPr>
          <w:rFonts w:ascii="Arial" w:cs="Arial" w:eastAsia="Arial" w:hAnsi="Arial"/>
          <w:sz w:val="18"/>
          <w:szCs w:val="18"/>
          <w:b w:val="1"/>
          <w:bCs w:val="1"/>
          <w:color w:val="auto"/>
        </w:rPr>
        <w:t>CIG III TECHNOPARC NOMINEE INC.</w:t>
      </w:r>
    </w:p>
    <w:p>
      <w:pPr>
        <w:spacing w:after="0" w:line="27" w:lineRule="exact"/>
        <w:rPr>
          <w:sz w:val="20"/>
          <w:szCs w:val="20"/>
          <w:color w:val="auto"/>
        </w:rPr>
      </w:pPr>
    </w:p>
    <w:p>
      <w:pPr>
        <w:ind w:left="992"/>
        <w:spacing w:after="0"/>
        <w:rPr>
          <w:sz w:val="20"/>
          <w:szCs w:val="20"/>
          <w:color w:val="auto"/>
        </w:rPr>
      </w:pPr>
      <w:r>
        <w:rPr>
          <w:rFonts w:ascii="Arial" w:cs="Arial" w:eastAsia="Arial" w:hAnsi="Arial"/>
          <w:sz w:val="18"/>
          <w:szCs w:val="18"/>
          <w:color w:val="auto"/>
        </w:rPr>
        <w:t>199 Bay Street, Suite 4610</w:t>
      </w:r>
    </w:p>
    <w:p>
      <w:pPr>
        <w:spacing w:after="0" w:line="9" w:lineRule="exact"/>
        <w:rPr>
          <w:sz w:val="20"/>
          <w:szCs w:val="20"/>
          <w:color w:val="auto"/>
        </w:rPr>
      </w:pPr>
    </w:p>
    <w:p>
      <w:pPr>
        <w:ind w:left="992"/>
        <w:spacing w:after="0"/>
        <w:rPr>
          <w:sz w:val="20"/>
          <w:szCs w:val="20"/>
          <w:color w:val="auto"/>
        </w:rPr>
      </w:pPr>
      <w:r>
        <w:rPr>
          <w:rFonts w:ascii="Arial" w:cs="Arial" w:eastAsia="Arial" w:hAnsi="Arial"/>
          <w:sz w:val="18"/>
          <w:szCs w:val="18"/>
          <w:color w:val="auto"/>
        </w:rPr>
        <w:t>Toronto, Ontario, M5L 1G3</w:t>
      </w:r>
    </w:p>
    <w:p>
      <w:pPr>
        <w:spacing w:after="0" w:line="103" w:lineRule="exact"/>
        <w:rPr>
          <w:sz w:val="20"/>
          <w:szCs w:val="20"/>
          <w:color w:val="auto"/>
        </w:rPr>
      </w:pPr>
    </w:p>
    <w:p>
      <w:pPr>
        <w:ind w:left="992"/>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992"/>
        <w:spacing w:after="0"/>
        <w:rPr>
          <w:sz w:val="20"/>
          <w:szCs w:val="20"/>
          <w:color w:val="auto"/>
        </w:rPr>
      </w:pPr>
      <w:r>
        <w:rPr>
          <w:rFonts w:ascii="Arial" w:cs="Arial" w:eastAsia="Arial" w:hAnsi="Arial"/>
          <w:sz w:val="18"/>
          <w:szCs w:val="18"/>
          <w:color w:val="auto"/>
        </w:rPr>
        <w:t>Fax No.:</w:t>
      </w:r>
    </w:p>
    <w:p>
      <w:pPr>
        <w:spacing w:after="0" w:line="103" w:lineRule="exact"/>
        <w:rPr>
          <w:sz w:val="20"/>
          <w:szCs w:val="20"/>
          <w:color w:val="auto"/>
        </w:rPr>
      </w:pPr>
    </w:p>
    <w:p>
      <w:pPr>
        <w:ind w:left="992"/>
        <w:spacing w:after="0"/>
        <w:rPr>
          <w:sz w:val="20"/>
          <w:szCs w:val="20"/>
          <w:color w:val="auto"/>
        </w:rPr>
      </w:pPr>
      <w:r>
        <w:rPr>
          <w:rFonts w:ascii="Arial" w:cs="Arial" w:eastAsia="Arial" w:hAnsi="Arial"/>
          <w:sz w:val="18"/>
          <w:szCs w:val="18"/>
          <w:color w:val="auto"/>
        </w:rPr>
        <w:t>And in the case of the Tenant, to:</w:t>
      </w:r>
    </w:p>
    <w:p>
      <w:pPr>
        <w:spacing w:after="0" w:line="117" w:lineRule="exact"/>
        <w:rPr>
          <w:sz w:val="20"/>
          <w:szCs w:val="20"/>
          <w:color w:val="auto"/>
        </w:rPr>
      </w:pPr>
    </w:p>
    <w:p>
      <w:pPr>
        <w:ind w:left="992"/>
        <w:spacing w:after="0"/>
        <w:rPr>
          <w:sz w:val="20"/>
          <w:szCs w:val="20"/>
          <w:color w:val="auto"/>
        </w:rPr>
      </w:pPr>
      <w:r>
        <w:rPr>
          <w:rFonts w:ascii="Arial" w:cs="Arial" w:eastAsia="Arial" w:hAnsi="Arial"/>
          <w:sz w:val="18"/>
          <w:szCs w:val="18"/>
          <w:color w:val="auto"/>
        </w:rPr>
        <w:t>the Leased Premises;</w:t>
      </w:r>
    </w:p>
    <w:p>
      <w:pPr>
        <w:spacing w:after="0" w:line="117" w:lineRule="exact"/>
        <w:rPr>
          <w:sz w:val="20"/>
          <w:szCs w:val="20"/>
          <w:color w:val="auto"/>
        </w:rPr>
      </w:pPr>
    </w:p>
    <w:p>
      <w:pPr>
        <w:ind w:left="992"/>
        <w:spacing w:after="0"/>
        <w:rPr>
          <w:sz w:val="20"/>
          <w:szCs w:val="20"/>
          <w:color w:val="auto"/>
        </w:rPr>
      </w:pPr>
      <w:r>
        <w:rPr>
          <w:rFonts w:ascii="Arial" w:cs="Arial" w:eastAsia="Arial" w:hAnsi="Arial"/>
          <w:sz w:val="18"/>
          <w:szCs w:val="18"/>
          <w:color w:val="auto"/>
        </w:rPr>
        <w:t>With copy to:</w:t>
      </w:r>
    </w:p>
    <w:p>
      <w:pPr>
        <w:spacing w:after="0" w:line="113" w:lineRule="exact"/>
        <w:rPr>
          <w:sz w:val="20"/>
          <w:szCs w:val="20"/>
          <w:color w:val="auto"/>
        </w:rPr>
      </w:pPr>
    </w:p>
    <w:p>
      <w:pPr>
        <w:ind w:left="992"/>
        <w:spacing w:after="0"/>
        <w:rPr>
          <w:sz w:val="20"/>
          <w:szCs w:val="20"/>
          <w:color w:val="auto"/>
        </w:rPr>
      </w:pPr>
      <w:r>
        <w:rPr>
          <w:rFonts w:ascii="Arial" w:cs="Arial" w:eastAsia="Arial" w:hAnsi="Arial"/>
          <w:sz w:val="18"/>
          <w:szCs w:val="18"/>
          <w:b w:val="1"/>
          <w:bCs w:val="1"/>
          <w:color w:val="auto"/>
        </w:rPr>
        <w:t>PHARMASCIENCE INC.</w:t>
      </w:r>
    </w:p>
    <w:p>
      <w:pPr>
        <w:spacing w:after="0" w:line="27" w:lineRule="exact"/>
        <w:rPr>
          <w:sz w:val="20"/>
          <w:szCs w:val="20"/>
          <w:color w:val="auto"/>
        </w:rPr>
      </w:pPr>
    </w:p>
    <w:p>
      <w:pPr>
        <w:ind w:left="992"/>
        <w:spacing w:after="0"/>
        <w:rPr>
          <w:sz w:val="20"/>
          <w:szCs w:val="20"/>
          <w:color w:val="auto"/>
        </w:rPr>
      </w:pPr>
      <w:r>
        <w:rPr>
          <w:rFonts w:ascii="Arial" w:cs="Arial" w:eastAsia="Arial" w:hAnsi="Arial"/>
          <w:sz w:val="18"/>
          <w:szCs w:val="18"/>
          <w:color w:val="auto"/>
        </w:rPr>
        <w:t>6111 Royalmount Avenue</w:t>
      </w:r>
    </w:p>
    <w:p>
      <w:pPr>
        <w:spacing w:after="0" w:line="9" w:lineRule="exact"/>
        <w:rPr>
          <w:sz w:val="20"/>
          <w:szCs w:val="20"/>
          <w:color w:val="auto"/>
        </w:rPr>
      </w:pPr>
    </w:p>
    <w:p>
      <w:pPr>
        <w:ind w:left="992"/>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ind w:left="992"/>
        <w:spacing w:after="0"/>
        <w:rPr>
          <w:sz w:val="20"/>
          <w:szCs w:val="20"/>
          <w:color w:val="auto"/>
        </w:rPr>
      </w:pPr>
      <w:r>
        <w:rPr>
          <w:rFonts w:ascii="Arial" w:cs="Arial" w:eastAsia="Arial" w:hAnsi="Arial"/>
          <w:sz w:val="18"/>
          <w:szCs w:val="18"/>
          <w:color w:val="auto"/>
        </w:rPr>
        <w:t>Montréal (Québec) H4P 2T4</w:t>
      </w:r>
    </w:p>
    <w:p>
      <w:pPr>
        <w:spacing w:after="0" w:line="103" w:lineRule="exact"/>
        <w:rPr>
          <w:sz w:val="20"/>
          <w:szCs w:val="20"/>
          <w:color w:val="auto"/>
        </w:rPr>
      </w:pPr>
    </w:p>
    <w:p>
      <w:pPr>
        <w:ind w:left="992"/>
        <w:spacing w:after="0"/>
        <w:rPr>
          <w:sz w:val="20"/>
          <w:szCs w:val="20"/>
          <w:color w:val="auto"/>
        </w:rPr>
      </w:pPr>
      <w:r>
        <w:rPr>
          <w:rFonts w:ascii="Arial" w:cs="Arial" w:eastAsia="Arial" w:hAnsi="Arial"/>
          <w:sz w:val="18"/>
          <w:szCs w:val="18"/>
          <w:color w:val="auto"/>
        </w:rPr>
        <w:t>Attention:</w:t>
      </w:r>
    </w:p>
    <w:p>
      <w:pPr>
        <w:spacing w:after="0" w:line="117" w:lineRule="exact"/>
        <w:rPr>
          <w:sz w:val="20"/>
          <w:szCs w:val="20"/>
          <w:color w:val="auto"/>
        </w:rPr>
      </w:pPr>
    </w:p>
    <w:p>
      <w:pPr>
        <w:jc w:val="both"/>
        <w:ind w:left="992"/>
        <w:spacing w:after="0" w:line="257" w:lineRule="auto"/>
        <w:rPr>
          <w:sz w:val="20"/>
          <w:szCs w:val="20"/>
          <w:color w:val="auto"/>
        </w:rPr>
      </w:pPr>
      <w:r>
        <w:rPr>
          <w:rFonts w:ascii="Arial" w:cs="Arial" w:eastAsia="Arial" w:hAnsi="Arial"/>
          <w:sz w:val="18"/>
          <w:szCs w:val="18"/>
          <w:color w:val="auto"/>
        </w:rPr>
        <w:t>and such notice shall be deemed to have been received by the Landlord or the Tenant (as applicable) on the third business day after the date on which it shall have been so mailed (provided that in the event that there is an interruption of postal service, the aforesaid period shall be extended for a period equivalent to the period of such interruption), or if personally delivered or sent by facsimile, on the date of such personal delivery or facsimile transmission if received before 5:00 p.m. on such day, and if received after 5:00 p.m., on the next business day.</w:t>
      </w:r>
    </w:p>
    <w:p>
      <w:pPr>
        <w:spacing w:after="0" w:line="93" w:lineRule="exact"/>
        <w:rPr>
          <w:sz w:val="20"/>
          <w:szCs w:val="20"/>
          <w:color w:val="auto"/>
        </w:rPr>
      </w:pPr>
    </w:p>
    <w:p>
      <w:pPr>
        <w:ind w:left="532" w:right="20" w:hanging="532"/>
        <w:spacing w:after="0" w:line="257" w:lineRule="auto"/>
        <w:tabs>
          <w:tab w:leader="none" w:pos="53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Notice shall also be sufficiently given if and when the same shall be delivered, in the case of notice to the Landlord, to an executive officer of the Landlord, and in the case of notice to the Tenant, to him personally or to an officer or manager of the Tenant if the Tenant is a corporation. Such notice, if delivered, shall be conclusively deemed to have been given and received at the time of such delivery. If in this Lease two or more persons are named as Tenant, such notice shall also be sufficiently given if and when the same shall be delivered personally to any one of such persons.</w:t>
      </w:r>
    </w:p>
    <w:p>
      <w:pPr>
        <w:spacing w:after="0" w:line="120" w:lineRule="exact"/>
        <w:rPr>
          <w:rFonts w:ascii="Arial" w:cs="Arial" w:eastAsia="Arial" w:hAnsi="Arial"/>
          <w:sz w:val="18"/>
          <w:szCs w:val="18"/>
          <w:color w:val="auto"/>
        </w:rPr>
      </w:pPr>
    </w:p>
    <w:p>
      <w:pPr>
        <w:ind w:left="4992" w:hanging="111"/>
        <w:spacing w:after="0"/>
        <w:tabs>
          <w:tab w:leader="none" w:pos="4992" w:val="left"/>
        </w:tabs>
        <w:numPr>
          <w:ilvl w:val="1"/>
          <w:numId w:val="281"/>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0552"/>
          </w:cols>
          <w:pgMar w:left="868" w:top="274" w:right="479" w:bottom="1440" w:gutter="0" w:footer="0" w:header="0"/>
        </w:sectPr>
      </w:pPr>
    </w:p>
    <w:bookmarkStart w:id="455" w:name="page456"/>
    <w:bookmarkEnd w:id="455"/>
    <w:p>
      <w:pPr>
        <w:ind w:right="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Either the Landlord or the Tenant may from time to time, by notice to the other as aforesaid, designate another address in Canada to which notices issued more than ten (IO) days thereafter shall be addressed.</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15.02</w:t>
      </w:r>
      <w:r>
        <w:rPr>
          <w:sz w:val="20"/>
          <w:szCs w:val="20"/>
          <w:color w:val="auto"/>
        </w:rPr>
        <w:tab/>
      </w:r>
      <w:r>
        <w:rPr>
          <w:rFonts w:ascii="Arial" w:cs="Arial" w:eastAsia="Arial" w:hAnsi="Arial"/>
          <w:sz w:val="16"/>
          <w:szCs w:val="16"/>
          <w:b w:val="1"/>
          <w:bCs w:val="1"/>
          <w:u w:val="single" w:color="auto"/>
          <w:color w:val="auto"/>
        </w:rPr>
        <w:t>Registration</w:t>
      </w:r>
    </w:p>
    <w:p>
      <w:pPr>
        <w:spacing w:after="0" w:line="121"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The Tenant is entitled to publish the rights conferred to it by the present Lease by notice contemplated by Article 2999.1 of the Civil Code of Québec only, and without mention of any of its financial terms. The Tenant undertakes to submit any publication notice to the Landlord for its prior approval. At the end of the Term, the Tenant undertakes to discharge the publication of the present Lease and any renewals, if any, at its cost, failing which the Landlord may do so, at the Tenant’s cost (plus a 10% administrative fee), the Landlord hereby being deemed the Tenant’s mandatary for such purpose, without any other formality, the whole at Tenant’s cost which the Tenant hereby agrees to reimburse to the Landlord upon demand.</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15.03</w:t>
      </w:r>
      <w:r>
        <w:rPr>
          <w:sz w:val="20"/>
          <w:szCs w:val="20"/>
          <w:color w:val="auto"/>
        </w:rPr>
        <w:tab/>
      </w:r>
      <w:r>
        <w:rPr>
          <w:rFonts w:ascii="Arial" w:cs="Arial" w:eastAsia="Arial" w:hAnsi="Arial"/>
          <w:sz w:val="15"/>
          <w:szCs w:val="15"/>
          <w:b w:val="1"/>
          <w:bCs w:val="1"/>
          <w:u w:val="single" w:color="auto"/>
          <w:color w:val="auto"/>
        </w:rPr>
        <w:t>Obligations as Covenants</w:t>
      </w:r>
    </w:p>
    <w:p>
      <w:pPr>
        <w:spacing w:after="0" w:line="121" w:lineRule="exact"/>
        <w:rPr>
          <w:sz w:val="20"/>
          <w:szCs w:val="20"/>
          <w:color w:val="auto"/>
        </w:rPr>
      </w:pPr>
    </w:p>
    <w:p>
      <w:pPr>
        <w:ind w:right="800" w:firstLine="991"/>
        <w:spacing w:after="0" w:line="277" w:lineRule="auto"/>
        <w:rPr>
          <w:sz w:val="20"/>
          <w:szCs w:val="20"/>
          <w:color w:val="auto"/>
        </w:rPr>
      </w:pPr>
      <w:r>
        <w:rPr>
          <w:rFonts w:ascii="Arial" w:cs="Arial" w:eastAsia="Arial" w:hAnsi="Arial"/>
          <w:sz w:val="18"/>
          <w:szCs w:val="18"/>
          <w:color w:val="auto"/>
        </w:rPr>
        <w:t>Each obligation or agreement of the Landlord or the Tenant expressed in this Lease, even though not expressed as a covenant, is considered to be a covenant for all purposes.</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15.04</w:t>
      </w:r>
      <w:r>
        <w:rPr>
          <w:sz w:val="20"/>
          <w:szCs w:val="20"/>
          <w:color w:val="auto"/>
        </w:rPr>
        <w:tab/>
      </w:r>
      <w:r>
        <w:rPr>
          <w:rFonts w:ascii="Arial" w:cs="Arial" w:eastAsia="Arial" w:hAnsi="Arial"/>
          <w:sz w:val="16"/>
          <w:szCs w:val="16"/>
          <w:b w:val="1"/>
          <w:bCs w:val="1"/>
          <w:u w:val="single" w:color="auto"/>
          <w:color w:val="auto"/>
        </w:rPr>
        <w:t>Severability</w:t>
      </w:r>
    </w:p>
    <w:p>
      <w:pPr>
        <w:spacing w:after="0" w:line="121"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Any provision of this Lease that is determined to be illegal or unenforceable at law, shall be considered separate and severable from the remaining provisions which shall remain in force and be binding upon the Landlord and the Tenant.</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15.05</w:t>
      </w:r>
      <w:r>
        <w:rPr>
          <w:sz w:val="20"/>
          <w:szCs w:val="20"/>
          <w:color w:val="auto"/>
        </w:rPr>
        <w:tab/>
      </w:r>
      <w:r>
        <w:rPr>
          <w:rFonts w:ascii="Arial" w:cs="Arial" w:eastAsia="Arial" w:hAnsi="Arial"/>
          <w:sz w:val="16"/>
          <w:szCs w:val="16"/>
          <w:b w:val="1"/>
          <w:bCs w:val="1"/>
          <w:u w:val="single" w:color="auto"/>
          <w:color w:val="auto"/>
        </w:rPr>
        <w:t>Unavoidable Delays</w:t>
      </w:r>
    </w:p>
    <w:p>
      <w:pPr>
        <w:spacing w:after="0" w:line="121"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Whenever and to the extent the Landlord is unable to fulfil or shall be delayed or restricted in the fulfilment of any obligation hereunder by reason of being unable to obtain the material, goods, equipment, service, utility or labour required to enable it to fulfil such obligation or by reason of any statute, law, regulation, by-law or order or by reason of any other cause beyond its reasonable control, whether of the same nature as the foregoing or not, the Landlord shall be relieved from the fulfilment of such obligation for so long as such cause continues. Notwithstanding anything herein contained, the provisions of this Section shall not operate to excuse the Tenant from the prompt payment of Basic Rent or Additional Rent, nor entitle the Tenant to compensation for any inconvenience, nuisance or discomfort thereby occasioned.</w:t>
      </w: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15.06</w:t>
      </w:r>
      <w:r>
        <w:rPr>
          <w:sz w:val="20"/>
          <w:szCs w:val="20"/>
          <w:color w:val="auto"/>
        </w:rPr>
        <w:tab/>
      </w:r>
      <w:r>
        <w:rPr>
          <w:rFonts w:ascii="Arial" w:cs="Arial" w:eastAsia="Arial" w:hAnsi="Arial"/>
          <w:sz w:val="16"/>
          <w:szCs w:val="16"/>
          <w:b w:val="1"/>
          <w:bCs w:val="1"/>
          <w:u w:val="single" w:color="auto"/>
          <w:color w:val="auto"/>
        </w:rPr>
        <w:t>Evidence of Payments</w:t>
      </w:r>
    </w:p>
    <w:p>
      <w:pPr>
        <w:spacing w:after="0" w:line="121"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The Tenant shall produce to the Landlord upon request, satisfactory evidence of due payment by the Tenant of all payments required to be made by the Tenant under this Lease.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56" w:name="page457"/>
    <w:bookmarkEnd w:id="456"/>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15.07</w:t>
      </w:r>
      <w:r>
        <w:rPr>
          <w:sz w:val="20"/>
          <w:szCs w:val="20"/>
          <w:color w:val="auto"/>
        </w:rPr>
        <w:tab/>
      </w:r>
      <w:r>
        <w:rPr>
          <w:rFonts w:ascii="Arial" w:cs="Arial" w:eastAsia="Arial" w:hAnsi="Arial"/>
          <w:sz w:val="16"/>
          <w:szCs w:val="16"/>
          <w:b w:val="1"/>
          <w:bCs w:val="1"/>
          <w:u w:val="single" w:color="auto"/>
          <w:color w:val="auto"/>
        </w:rPr>
        <w:t>Overholding</w:t>
      </w:r>
    </w:p>
    <w:p>
      <w:pPr>
        <w:spacing w:after="0" w:line="121" w:lineRule="exact"/>
        <w:rPr>
          <w:sz w:val="20"/>
          <w:szCs w:val="20"/>
          <w:color w:val="auto"/>
        </w:rPr>
      </w:pPr>
    </w:p>
    <w:p>
      <w:pPr>
        <w:ind w:right="120" w:firstLine="991"/>
        <w:spacing w:after="0" w:line="311" w:lineRule="auto"/>
        <w:rPr>
          <w:sz w:val="20"/>
          <w:szCs w:val="20"/>
          <w:color w:val="auto"/>
        </w:rPr>
      </w:pPr>
      <w:r>
        <w:rPr>
          <w:rFonts w:ascii="Arial" w:cs="Arial" w:eastAsia="Arial" w:hAnsi="Arial"/>
          <w:sz w:val="16"/>
          <w:szCs w:val="16"/>
          <w:color w:val="auto"/>
        </w:rPr>
        <w:t>If the Tenant shall continue to occupy all or part of the Leased Premises after the expiration of the Term with the consent of the Landlord, and without any further written agreement, the Tenant shall be a monthly tenant at one hundred and fifty percent (150%) of the monthly Basic Rent payable during the last year of this Lease and otherwise on the terms and conditions herein set out except as to length of tenancy.</w:t>
      </w:r>
    </w:p>
    <w:p>
      <w:pPr>
        <w:spacing w:after="0" w:line="2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15.08</w:t>
      </w:r>
      <w:r>
        <w:rPr>
          <w:sz w:val="20"/>
          <w:szCs w:val="20"/>
          <w:color w:val="auto"/>
        </w:rPr>
        <w:tab/>
      </w:r>
      <w:r>
        <w:rPr>
          <w:rFonts w:ascii="Arial" w:cs="Arial" w:eastAsia="Arial" w:hAnsi="Arial"/>
          <w:sz w:val="16"/>
          <w:szCs w:val="16"/>
          <w:b w:val="1"/>
          <w:bCs w:val="1"/>
          <w:u w:val="single" w:color="auto"/>
          <w:color w:val="auto"/>
        </w:rPr>
        <w:t>Security/Movable Hypothec</w:t>
      </w:r>
    </w:p>
    <w:p>
      <w:pPr>
        <w:spacing w:after="0" w:line="121"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 xml:space="preserve">The Tenant shall furnish the Leased Premises with and maintain therein a sufficient quantity of furniture, fixtures, equipment and other effects </w:t>
      </w:r>
      <w:r>
        <w:rPr>
          <w:rFonts w:ascii="Arial" w:cs="Arial" w:eastAsia="Arial" w:hAnsi="Arial"/>
          <w:sz w:val="18"/>
          <w:szCs w:val="18"/>
          <w:b w:val="1"/>
          <w:bCs w:val="1"/>
          <w:color w:val="auto"/>
        </w:rPr>
        <w:t>as would a similar tenant in operation in the Leased Premises</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[Intentionally Deleted]</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15.09</w:t>
      </w:r>
      <w:r>
        <w:rPr>
          <w:sz w:val="20"/>
          <w:szCs w:val="20"/>
          <w:color w:val="auto"/>
        </w:rPr>
        <w:tab/>
      </w:r>
      <w:r>
        <w:rPr>
          <w:rFonts w:ascii="Arial" w:cs="Arial" w:eastAsia="Arial" w:hAnsi="Arial"/>
          <w:sz w:val="15"/>
          <w:szCs w:val="15"/>
          <w:b w:val="1"/>
          <w:bCs w:val="1"/>
          <w:u w:val="single" w:color="auto"/>
          <w:color w:val="auto"/>
        </w:rPr>
        <w:t>Goods and Services Tax and Québec Sales Tax</w:t>
      </w:r>
    </w:p>
    <w:p>
      <w:pPr>
        <w:spacing w:after="0" w:line="12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Any amount which is, by the terms of the Lease payable by the Tenant to the Landlord and which is subject to Goods and Services Tax (“GST”) pursuant to the Excise Tax Act (Canada) and to Québec Sales Tax (“QST”) pursuant to the </w:t>
      </w:r>
      <w:r>
        <w:rPr>
          <w:rFonts w:ascii="Arial" w:cs="Arial" w:eastAsia="Arial" w:hAnsi="Arial"/>
          <w:sz w:val="18"/>
          <w:szCs w:val="18"/>
          <w:i w:val="1"/>
          <w:iCs w:val="1"/>
          <w:color w:val="auto"/>
        </w:rPr>
        <w:t>Québec Sales Tax Act</w:t>
      </w:r>
      <w:r>
        <w:rPr>
          <w:rFonts w:ascii="Arial" w:cs="Arial" w:eastAsia="Arial" w:hAnsi="Arial"/>
          <w:sz w:val="18"/>
          <w:szCs w:val="18"/>
          <w:color w:val="auto"/>
        </w:rPr>
        <w:t xml:space="preserve"> (R.S.Q. ch. T-01, as amended) shall be deemed to be exclusive of GST and QST with the intent that GST and QST shall be calculated thereon and paid by the Tenant to the Landlord at the time such amount is payable pursuant to the terms of the Lease.</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15.10</w:t>
      </w:r>
      <w:r>
        <w:rPr>
          <w:sz w:val="20"/>
          <w:szCs w:val="20"/>
          <w:color w:val="auto"/>
        </w:rPr>
        <w:tab/>
      </w:r>
      <w:r>
        <w:rPr>
          <w:rFonts w:ascii="Arial" w:cs="Arial" w:eastAsia="Arial" w:hAnsi="Arial"/>
          <w:sz w:val="15"/>
          <w:szCs w:val="15"/>
          <w:b w:val="1"/>
          <w:bCs w:val="1"/>
          <w:u w:val="single" w:color="auto"/>
          <w:color w:val="auto"/>
        </w:rPr>
        <w:t>Time of Essence</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Time shall be of the essence of this Lease and every part thereof.</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15.11</w:t>
      </w:r>
      <w:r>
        <w:rPr>
          <w:sz w:val="20"/>
          <w:szCs w:val="20"/>
          <w:color w:val="auto"/>
        </w:rPr>
        <w:tab/>
      </w:r>
      <w:r>
        <w:rPr>
          <w:rFonts w:ascii="Arial" w:cs="Arial" w:eastAsia="Arial" w:hAnsi="Arial"/>
          <w:sz w:val="16"/>
          <w:szCs w:val="16"/>
          <w:b w:val="1"/>
          <w:bCs w:val="1"/>
          <w:u w:val="single" w:color="auto"/>
          <w:color w:val="auto"/>
        </w:rPr>
        <w:t>Governing Law</w:t>
      </w:r>
    </w:p>
    <w:p>
      <w:pPr>
        <w:spacing w:after="0" w:line="117" w:lineRule="exact"/>
        <w:rPr>
          <w:sz w:val="20"/>
          <w:szCs w:val="20"/>
          <w:color w:val="auto"/>
        </w:rPr>
      </w:pPr>
    </w:p>
    <w:p>
      <w:pPr>
        <w:ind w:right="160" w:firstLine="991"/>
        <w:spacing w:after="0" w:line="266" w:lineRule="auto"/>
        <w:rPr>
          <w:sz w:val="20"/>
          <w:szCs w:val="20"/>
          <w:color w:val="auto"/>
        </w:rPr>
      </w:pPr>
      <w:r>
        <w:rPr>
          <w:rFonts w:ascii="Arial" w:cs="Arial" w:eastAsia="Arial" w:hAnsi="Arial"/>
          <w:sz w:val="18"/>
          <w:szCs w:val="18"/>
          <w:color w:val="auto"/>
        </w:rPr>
        <w:t xml:space="preserve">This Lease shall be governed by and construed in accordance with the laws of the Province </w:t>
      </w:r>
      <w:r>
        <w:rPr>
          <w:rFonts w:ascii="Arial" w:cs="Arial" w:eastAsia="Arial" w:hAnsi="Arial"/>
          <w:sz w:val="18"/>
          <w:szCs w:val="18"/>
          <w:b w:val="1"/>
          <w:bCs w:val="1"/>
          <w:i w:val="1"/>
          <w:iCs w:val="1"/>
          <w:color w:val="auto"/>
        </w:rPr>
        <w:t>[Intentionally Deleted]</w:t>
      </w:r>
      <w:r>
        <w:rPr>
          <w:rFonts w:ascii="Arial" w:cs="Arial" w:eastAsia="Arial" w:hAnsi="Arial"/>
          <w:sz w:val="18"/>
          <w:szCs w:val="18"/>
          <w:color w:val="auto"/>
        </w:rPr>
        <w:t xml:space="preserve"> </w:t>
      </w:r>
      <w:r>
        <w:rPr>
          <w:rFonts w:ascii="Arial" w:cs="Arial" w:eastAsia="Arial" w:hAnsi="Arial"/>
          <w:sz w:val="18"/>
          <w:szCs w:val="18"/>
          <w:b w:val="1"/>
          <w:bCs w:val="1"/>
          <w:color w:val="auto"/>
        </w:rPr>
        <w:t>of Québec. Any</w:t>
      </w:r>
      <w:r>
        <w:rPr>
          <w:rFonts w:ascii="Arial" w:cs="Arial" w:eastAsia="Arial" w:hAnsi="Arial"/>
          <w:sz w:val="18"/>
          <w:szCs w:val="18"/>
          <w:color w:val="auto"/>
        </w:rPr>
        <w:t xml:space="preserve"> </w:t>
      </w:r>
      <w:r>
        <w:rPr>
          <w:rFonts w:ascii="Arial" w:cs="Arial" w:eastAsia="Arial" w:hAnsi="Arial"/>
          <w:sz w:val="18"/>
          <w:szCs w:val="18"/>
          <w:b w:val="1"/>
          <w:bCs w:val="1"/>
          <w:color w:val="auto"/>
        </w:rPr>
        <w:t>dispute, disagreement, controversy or claim arising out of or relating to this Lease, shall be exclusively submitted to the courts of the Province of Québec, Canada.</w:t>
      </w:r>
    </w:p>
    <w:p>
      <w:pPr>
        <w:spacing w:after="0" w:line="3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15.12</w:t>
      </w:r>
      <w:r>
        <w:rPr>
          <w:sz w:val="20"/>
          <w:szCs w:val="20"/>
          <w:color w:val="auto"/>
        </w:rPr>
        <w:tab/>
      </w:r>
      <w:r>
        <w:rPr>
          <w:rFonts w:ascii="Arial" w:cs="Arial" w:eastAsia="Arial" w:hAnsi="Arial"/>
          <w:sz w:val="16"/>
          <w:szCs w:val="16"/>
          <w:b w:val="1"/>
          <w:bCs w:val="1"/>
          <w:u w:val="single" w:color="auto"/>
          <w:color w:val="auto"/>
        </w:rPr>
        <w:t>Captions/Headings</w:t>
      </w:r>
    </w:p>
    <w:p>
      <w:pPr>
        <w:spacing w:after="0" w:line="121" w:lineRule="exact"/>
        <w:rPr>
          <w:sz w:val="20"/>
          <w:szCs w:val="20"/>
          <w:color w:val="auto"/>
        </w:rPr>
      </w:pPr>
    </w:p>
    <w:p>
      <w:pPr>
        <w:ind w:right="500" w:firstLine="991"/>
        <w:spacing w:after="0" w:line="342" w:lineRule="auto"/>
        <w:rPr>
          <w:sz w:val="20"/>
          <w:szCs w:val="20"/>
          <w:color w:val="auto"/>
        </w:rPr>
      </w:pPr>
      <w:r>
        <w:rPr>
          <w:rFonts w:ascii="Arial" w:cs="Arial" w:eastAsia="Arial" w:hAnsi="Arial"/>
          <w:sz w:val="16"/>
          <w:szCs w:val="16"/>
          <w:color w:val="auto"/>
        </w:rPr>
        <w:t>The captions appearing in the margin of this Lease and in the headings to the Articles of this Lease have been inserted as a matter of convenience of reference only and do not in any way whatsoever define, limit or enlarge the scope or meaning of this Lease or any part thereof.</w:t>
      </w: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15.13</w:t>
      </w:r>
      <w:r>
        <w:rPr>
          <w:sz w:val="20"/>
          <w:szCs w:val="20"/>
          <w:color w:val="auto"/>
        </w:rPr>
        <w:tab/>
      </w:r>
      <w:r>
        <w:rPr>
          <w:rFonts w:ascii="Arial" w:cs="Arial" w:eastAsia="Arial" w:hAnsi="Arial"/>
          <w:sz w:val="17"/>
          <w:szCs w:val="17"/>
          <w:b w:val="1"/>
          <w:bCs w:val="1"/>
          <w:u w:val="single" w:color="auto"/>
          <w:color w:val="auto"/>
        </w:rPr>
        <w:t>Solidarily Liability</w:t>
      </w:r>
    </w:p>
    <w:p>
      <w:pPr>
        <w:spacing w:after="0" w:line="121" w:lineRule="exact"/>
        <w:rPr>
          <w:sz w:val="20"/>
          <w:szCs w:val="20"/>
          <w:color w:val="auto"/>
        </w:rPr>
      </w:pPr>
    </w:p>
    <w:p>
      <w:pPr>
        <w:jc w:val="center"/>
        <w:ind w:right="40"/>
        <w:spacing w:after="0" w:line="449" w:lineRule="auto"/>
        <w:rPr>
          <w:sz w:val="20"/>
          <w:szCs w:val="20"/>
          <w:color w:val="auto"/>
        </w:rPr>
      </w:pPr>
      <w:r>
        <w:rPr>
          <w:rFonts w:ascii="Arial" w:cs="Arial" w:eastAsia="Arial" w:hAnsi="Arial"/>
          <w:sz w:val="18"/>
          <w:szCs w:val="18"/>
          <w:color w:val="auto"/>
        </w:rPr>
        <w:t>If the Tenant shall be comprised of more than one (1) party, the liability of each such party under this Lease shall be solidary. -35-</w:t>
      </w:r>
    </w:p>
    <w:p>
      <w:pPr>
        <w:sectPr>
          <w:pgSz w:w="11900" w:h="16838" w:orient="portrait"/>
          <w:cols w:equalWidth="0" w:num="1">
            <w:col w:w="11000"/>
          </w:cols>
          <w:pgMar w:left="440" w:top="270" w:right="459" w:bottom="1440" w:gutter="0" w:footer="0" w:header="0"/>
        </w:sectPr>
      </w:pPr>
    </w:p>
    <w:bookmarkStart w:id="457" w:name="page458"/>
    <w:bookmarkEnd w:id="457"/>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15.14</w:t>
      </w:r>
      <w:r>
        <w:rPr>
          <w:sz w:val="20"/>
          <w:szCs w:val="20"/>
          <w:color w:val="auto"/>
        </w:rPr>
        <w:tab/>
      </w:r>
      <w:r>
        <w:rPr>
          <w:rFonts w:ascii="Arial" w:cs="Arial" w:eastAsia="Arial" w:hAnsi="Arial"/>
          <w:sz w:val="16"/>
          <w:szCs w:val="16"/>
          <w:b w:val="1"/>
          <w:bCs w:val="1"/>
          <w:u w:val="single" w:color="auto"/>
          <w:color w:val="auto"/>
        </w:rPr>
        <w:t>Tenant Partnership</w:t>
      </w:r>
    </w:p>
    <w:p>
      <w:pPr>
        <w:spacing w:after="0" w:line="121" w:lineRule="exact"/>
        <w:rPr>
          <w:sz w:val="20"/>
          <w:szCs w:val="20"/>
          <w:color w:val="auto"/>
        </w:rPr>
      </w:pPr>
    </w:p>
    <w:p>
      <w:pPr>
        <w:jc w:val="both"/>
        <w:ind w:left="4" w:right="120" w:firstLine="991"/>
        <w:spacing w:after="0" w:line="263" w:lineRule="auto"/>
        <w:rPr>
          <w:sz w:val="20"/>
          <w:szCs w:val="20"/>
          <w:color w:val="auto"/>
        </w:rPr>
      </w:pPr>
      <w:r>
        <w:rPr>
          <w:rFonts w:ascii="Arial" w:cs="Arial" w:eastAsia="Arial" w:hAnsi="Arial"/>
          <w:sz w:val="18"/>
          <w:szCs w:val="18"/>
          <w:color w:val="auto"/>
        </w:rPr>
        <w:t>If the Tenant shall be a partnership, each person who shall be a member of such partnership or successor thereof shall be and continue to be solidarily liable for the performance and observance of all covenants, obligations and agreements of the Tenant under this Lease even if such person ceases to be a member of such partnership or successor thereof.</w:t>
      </w:r>
    </w:p>
    <w:p>
      <w:pPr>
        <w:spacing w:after="0" w:line="328"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15.15</w:t>
      </w:r>
      <w:r>
        <w:rPr>
          <w:sz w:val="20"/>
          <w:szCs w:val="20"/>
          <w:color w:val="auto"/>
        </w:rPr>
        <w:tab/>
      </w:r>
      <w:r>
        <w:rPr>
          <w:rFonts w:ascii="Arial" w:cs="Arial" w:eastAsia="Arial" w:hAnsi="Arial"/>
          <w:sz w:val="16"/>
          <w:szCs w:val="16"/>
          <w:b w:val="1"/>
          <w:bCs w:val="1"/>
          <w:u w:val="single" w:color="auto"/>
          <w:color w:val="auto"/>
        </w:rPr>
        <w:t>Environmental Covenants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[Intentionally Deleted]</w:t>
      </w:r>
      <w:r>
        <w:rPr>
          <w:rFonts w:ascii="Arial" w:cs="Arial" w:eastAsia="Arial" w:hAnsi="Arial"/>
          <w:sz w:val="18"/>
          <w:szCs w:val="18"/>
          <w:color w:val="auto"/>
        </w:rPr>
        <w:t xml:space="preserve"> </w:t>
      </w:r>
      <w:r>
        <w:rPr>
          <w:rFonts w:ascii="Arial" w:cs="Arial" w:eastAsia="Arial" w:hAnsi="Arial"/>
          <w:sz w:val="18"/>
          <w:szCs w:val="18"/>
          <w:b w:val="1"/>
          <w:bCs w:val="1"/>
          <w:color w:val="auto"/>
        </w:rPr>
        <w:t>As used herein, the following expressions shall have the following meanings:</w:t>
      </w:r>
    </w:p>
    <w:p>
      <w:pPr>
        <w:spacing w:after="0" w:line="117" w:lineRule="exact"/>
        <w:rPr>
          <w:sz w:val="20"/>
          <w:szCs w:val="20"/>
          <w:color w:val="auto"/>
        </w:rPr>
      </w:pPr>
    </w:p>
    <w:p>
      <w:pPr>
        <w:jc w:val="both"/>
        <w:ind w:left="4" w:hanging="4"/>
        <w:spacing w:after="0" w:line="266" w:lineRule="auto"/>
        <w:tabs>
          <w:tab w:leader="none" w:pos="219" w:val="left"/>
        </w:tabs>
        <w:numPr>
          <w:ilvl w:val="0"/>
          <w:numId w:val="2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all federal, provincial and municipal laws, regulations, by-laws, standards, requirements, ordinances, codes, policies, guidelines, orders, notices, permits and directives pertaining to the protection, conservation, utilization, impairment or degradation of the environment in effect from time to time;</w:t>
      </w:r>
    </w:p>
    <w:p>
      <w:pPr>
        <w:spacing w:after="0" w:line="67" w:lineRule="exact"/>
        <w:rPr>
          <w:rFonts w:ascii="Arial" w:cs="Arial" w:eastAsia="Arial" w:hAnsi="Arial"/>
          <w:sz w:val="18"/>
          <w:szCs w:val="18"/>
          <w:color w:val="auto"/>
        </w:rPr>
      </w:pPr>
    </w:p>
    <w:p>
      <w:pPr>
        <w:ind w:left="4" w:right="20" w:hanging="4"/>
        <w:spacing w:after="0" w:line="314" w:lineRule="auto"/>
        <w:tabs>
          <w:tab w:leader="none" w:pos="269" w:val="left"/>
        </w:tabs>
        <w:numPr>
          <w:ilvl w:val="0"/>
          <w:numId w:val="2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federal, provincial or municipal parliament, legislature, or any regulatory agency, ministry, department, commission or board, or any court or any other law, regulation or rule-making entity, having or purporting to have jurisdiction, or any person purporting to act under the authority of any of the foregoing or any other authority charged with the administration or enforcement of Environmental Laws;</w:t>
      </w:r>
    </w:p>
    <w:p>
      <w:pPr>
        <w:spacing w:after="0" w:line="33" w:lineRule="exact"/>
        <w:rPr>
          <w:rFonts w:ascii="Arial" w:cs="Arial" w:eastAsia="Arial" w:hAnsi="Arial"/>
          <w:sz w:val="16"/>
          <w:szCs w:val="16"/>
          <w:color w:val="auto"/>
        </w:rPr>
      </w:pPr>
    </w:p>
    <w:p>
      <w:pPr>
        <w:ind w:left="4" w:hanging="4"/>
        <w:spacing w:after="0" w:line="273" w:lineRule="auto"/>
        <w:tabs>
          <w:tab w:leader="none" w:pos="319" w:val="left"/>
        </w:tabs>
        <w:numPr>
          <w:ilvl w:val="0"/>
          <w:numId w:val="28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Substance</w:t>
      </w:r>
      <w:r>
        <w:rPr>
          <w:rFonts w:ascii="Arial" w:cs="Arial" w:eastAsia="Arial" w:hAnsi="Arial"/>
          <w:sz w:val="17"/>
          <w:szCs w:val="17"/>
          <w:color w:val="auto"/>
        </w:rPr>
        <w:t>” means any contaminant, pollutant, substance or material whose release, use, storage, or handling is regulated or prohibited by any Governmental Authority under any Environmental Laws, including, without limiting the generality of the foregoing, any contaminant, pollutant, Noxious Substances, deleterious substance, inflammable liquid, chemical, explosive material or material which may impair, any petroleum or other hydrocarbon and any derivative or by-product thereof, any dangerous goods or potentially dangerous substance or goods, asbestos, any gaseous, solid or liquid waste, any special waste, toxic or hazardous substance or chemical, any hazardous waste, material or substance, any radioactive material, urea formaldehyde, foam insulation, asbestos, PCBs, and any other hazardous, toxic substances or materials, contaminants or pollutants, whether in fact or as defined in or pursuant to any Environmental Laws;</w:t>
      </w:r>
    </w:p>
    <w:p>
      <w:pPr>
        <w:spacing w:after="0" w:line="63" w:lineRule="exact"/>
        <w:rPr>
          <w:rFonts w:ascii="Arial" w:cs="Arial" w:eastAsia="Arial" w:hAnsi="Arial"/>
          <w:sz w:val="17"/>
          <w:szCs w:val="17"/>
          <w:color w:val="auto"/>
        </w:rPr>
      </w:pPr>
    </w:p>
    <w:p>
      <w:pPr>
        <w:ind w:left="4" w:right="20" w:hanging="4"/>
        <w:spacing w:after="0" w:line="298" w:lineRule="auto"/>
        <w:tabs>
          <w:tab w:leader="none" w:pos="309" w:val="left"/>
        </w:tabs>
        <w:numPr>
          <w:ilvl w:val="0"/>
          <w:numId w:val="2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Noxious Substances</w:t>
      </w:r>
      <w:r>
        <w:rPr>
          <w:rFonts w:ascii="Arial" w:cs="Arial" w:eastAsia="Arial" w:hAnsi="Arial"/>
          <w:sz w:val="16"/>
          <w:szCs w:val="16"/>
          <w:color w:val="auto"/>
        </w:rPr>
        <w:t xml:space="preserve">” means any substance or material that is defined prohibited, controlled or regulated pursuant to Environmental </w:t>
      </w:r>
      <w:r>
        <w:rPr>
          <w:rFonts w:ascii="Arial" w:cs="Arial" w:eastAsia="Arial" w:hAnsi="Arial"/>
          <w:sz w:val="16"/>
          <w:szCs w:val="16"/>
          <w:b w:val="1"/>
          <w:bCs w:val="1"/>
          <w:i w:val="1"/>
          <w:iCs w:val="1"/>
          <w:color w:val="auto"/>
        </w:rPr>
        <w:t>[Intentionally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Deleted] </w:t>
      </w:r>
      <w:r>
        <w:rPr>
          <w:rFonts w:ascii="Arial" w:cs="Arial" w:eastAsia="Arial" w:hAnsi="Arial"/>
          <w:sz w:val="16"/>
          <w:szCs w:val="16"/>
          <w:color w:val="auto"/>
        </w:rPr>
        <w:t>Laws including toxic or dangerous or hazardous waste, substance or material, asbestos, polychlorinated biphenals, special nuclear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by-product material, heavy metals, radioactive materials, substances declared to be hazardous or toxic or dangerous under any law or regulation now or hereafter enacted or promulgated by any governmental authority having jurisdiction, pollutant, contaminant or petroleum and any material which, because of its properties, presents a real or potential hazard to the environment or the health of users of the Building or of the Leased Premises.</w:t>
      </w:r>
    </w:p>
    <w:p>
      <w:pPr>
        <w:spacing w:after="0" w:line="211" w:lineRule="exact"/>
        <w:rPr>
          <w:rFonts w:ascii="Arial" w:cs="Arial" w:eastAsia="Arial" w:hAnsi="Arial"/>
          <w:sz w:val="16"/>
          <w:szCs w:val="16"/>
          <w:color w:val="auto"/>
        </w:rPr>
      </w:pPr>
    </w:p>
    <w:p>
      <w:pPr>
        <w:ind w:left="5424" w:hanging="111"/>
        <w:spacing w:after="0"/>
        <w:tabs>
          <w:tab w:leader="none" w:pos="542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0984"/>
          </w:cols>
          <w:pgMar w:left="436" w:top="270" w:right="479" w:bottom="1440" w:gutter="0" w:footer="0" w:header="0"/>
        </w:sectPr>
      </w:pPr>
    </w:p>
    <w:bookmarkStart w:id="458" w:name="page459"/>
    <w:bookmarkEnd w:id="458"/>
    <w:p>
      <w:pPr>
        <w:ind w:left="4"/>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 The Tenant shall, at its own cost, comply with all </w:t>
      </w:r>
      <w:r>
        <w:rPr>
          <w:rFonts w:ascii="Arial" w:cs="Arial" w:eastAsia="Arial" w:hAnsi="Arial"/>
          <w:sz w:val="17"/>
          <w:szCs w:val="17"/>
          <w:b w:val="1"/>
          <w:bCs w:val="1"/>
          <w:color w:val="auto"/>
        </w:rPr>
        <w:t>Environmental Laws, including without limitation</w:t>
      </w:r>
      <w:r>
        <w:rPr>
          <w:rFonts w:ascii="Arial" w:cs="Arial" w:eastAsia="Arial" w:hAnsi="Arial"/>
          <w:sz w:val="17"/>
          <w:szCs w:val="17"/>
          <w:color w:val="auto"/>
        </w:rPr>
        <w:t xml:space="preserve">, all laws, regulations and government orders or directions relating to the use, generation, manufacture, production, processing, storage, transportation, handling, release, disposal, removal or cleanup of Hazardous Substances and the protection of the environment </w:t>
      </w:r>
      <w:r>
        <w:rPr>
          <w:rFonts w:ascii="Arial" w:cs="Arial" w:eastAsia="Arial" w:hAnsi="Arial"/>
          <w:sz w:val="17"/>
          <w:szCs w:val="17"/>
          <w:b w:val="1"/>
          <w:bCs w:val="1"/>
          <w:i w:val="1"/>
          <w:iCs w:val="1"/>
          <w:color w:val="auto"/>
        </w:rPr>
        <w:t>[Intentionally Deleted]</w:t>
      </w:r>
      <w:r>
        <w:rPr>
          <w:rFonts w:ascii="Arial" w:cs="Arial" w:eastAsia="Arial" w:hAnsi="Arial"/>
          <w:sz w:val="17"/>
          <w:szCs w:val="17"/>
          <w:color w:val="auto"/>
        </w:rPr>
        <w:t xml:space="preserve"> on, under or about the Project, Property, and the Leased Premises. The Tenant shall not use or cause or permit to occur the generation, manufacture, production, processing, storage, handling, release, presence, introduction or disposal (each such action referred to as “handling”) of any Hazardous Substance on, under or about the Project, Property, or the Leased Premises or the transportation to or from the Project, Property, or the Leased Premises of any Hazardous Substance except as specifically disclosed to the Landlord and permitted under this Lease. Upon the request of the Landlord during the Term, the Tenant shall provide to the Landlord an independent audit report, in form and substance and from qualified experts approved by the Landlord acting reasonably, regarding Hazardous Substances on, under or about: (i) the Project or Property (if handled by the Tenant, its employees, agents or anyone for whom the Tenant is in law responsible); or (ii) the Leased Premises during the Term.</w:t>
      </w:r>
    </w:p>
    <w:p>
      <w:pPr>
        <w:spacing w:after="0" w:line="181" w:lineRule="exact"/>
        <w:rPr>
          <w:sz w:val="20"/>
          <w:szCs w:val="20"/>
          <w:color w:val="auto"/>
        </w:rPr>
      </w:pPr>
    </w:p>
    <w:p>
      <w:pPr>
        <w:ind w:left="4" w:firstLine="991"/>
        <w:spacing w:after="0" w:line="293" w:lineRule="auto"/>
        <w:rPr>
          <w:sz w:val="20"/>
          <w:szCs w:val="20"/>
          <w:color w:val="auto"/>
        </w:rPr>
      </w:pPr>
      <w:r>
        <w:rPr>
          <w:rFonts w:ascii="Arial" w:cs="Arial" w:eastAsia="Arial" w:hAnsi="Arial"/>
          <w:sz w:val="16"/>
          <w:szCs w:val="16"/>
          <w:color w:val="auto"/>
        </w:rPr>
        <w:t>If the Tenant shall bring or create upon the Project or Property, including the Leased Premises, any Hazardous Substances, then such Hazardous Substances shall be and remain the sole property of the Tenant. Upon demand by any governmental authority or the Landlord that removal or a cleanup be undertaken because of the presence, introduction, deposit, emission, leak, spill, discharge of Hazardous Substances at the Leased Premises during the Term, the Tenant shall promptly at its own expense, take all remedial action necessary to carry out a full and complete removal, cleanup and remediation in accordance with the law and any governmental order, directive or requirement. No action by the Landlord and no attempt by the Landlord to mitigate damages under any law shall constitute a waiver or release of the Tenant’s obligations hereunder.</w:t>
      </w:r>
    </w:p>
    <w:p>
      <w:pPr>
        <w:spacing w:after="0" w:line="164" w:lineRule="exact"/>
        <w:rPr>
          <w:sz w:val="20"/>
          <w:szCs w:val="20"/>
          <w:color w:val="auto"/>
        </w:rPr>
      </w:pPr>
    </w:p>
    <w:p>
      <w:pPr>
        <w:ind w:left="4" w:right="100" w:firstLine="991"/>
        <w:spacing w:after="0" w:line="291" w:lineRule="auto"/>
        <w:rPr>
          <w:sz w:val="20"/>
          <w:szCs w:val="20"/>
          <w:color w:val="auto"/>
        </w:rPr>
      </w:pPr>
      <w:r>
        <w:rPr>
          <w:rFonts w:ascii="Arial" w:cs="Arial" w:eastAsia="Arial" w:hAnsi="Arial"/>
          <w:sz w:val="16"/>
          <w:szCs w:val="16"/>
          <w:color w:val="auto"/>
        </w:rPr>
        <w:t>In addition to and without restricting any other obligations or covenants herein, the Tenant covenants that it will (i) comply in all respects with all Environmental Laws relating to the Project, Property, the Leased Premises or the use of the Project, Property, and the Leased Premises;</w:t>
      </w:r>
    </w:p>
    <w:p>
      <w:pPr>
        <w:ind w:left="4" w:right="260" w:hanging="4"/>
        <w:spacing w:after="0" w:line="281" w:lineRule="auto"/>
        <w:tabs>
          <w:tab w:leader="none" w:pos="269" w:val="left"/>
        </w:tabs>
        <w:numPr>
          <w:ilvl w:val="0"/>
          <w:numId w:val="283"/>
        </w:numPr>
        <w:rPr>
          <w:rFonts w:ascii="Arial" w:cs="Arial" w:eastAsia="Arial" w:hAnsi="Arial"/>
          <w:sz w:val="16"/>
          <w:szCs w:val="16"/>
          <w:color w:val="auto"/>
        </w:rPr>
      </w:pPr>
      <w:r>
        <w:rPr>
          <w:rFonts w:ascii="Arial" w:cs="Arial" w:eastAsia="Arial" w:hAnsi="Arial"/>
          <w:sz w:val="16"/>
          <w:szCs w:val="16"/>
          <w:color w:val="auto"/>
        </w:rPr>
        <w:t xml:space="preserve">promptly notify the Landlord in writing of any notice by any governmental authority alleging a possible violation of or with respect to any other matter involving any Environmental Laws relating to operations in the Leased Premises or relating to any person for whom it is in law responsible or any notice from any other party concerning any release or alleged release of any Hazardous Substance; and (iii) permit the Landlord, </w:t>
      </w:r>
      <w:r>
        <w:rPr>
          <w:rFonts w:ascii="Arial" w:cs="Arial" w:eastAsia="Arial" w:hAnsi="Arial"/>
          <w:sz w:val="16"/>
          <w:szCs w:val="16"/>
          <w:b w:val="1"/>
          <w:bCs w:val="1"/>
          <w:color w:val="auto"/>
        </w:rPr>
        <w:t>its officers,</w:t>
      </w:r>
      <w:r>
        <w:rPr>
          <w:rFonts w:ascii="Arial" w:cs="Arial" w:eastAsia="Arial" w:hAnsi="Arial"/>
          <w:sz w:val="16"/>
          <w:szCs w:val="16"/>
          <w:color w:val="auto"/>
        </w:rPr>
        <w:t xml:space="preserve"> </w:t>
      </w:r>
      <w:r>
        <w:rPr>
          <w:rFonts w:ascii="Arial" w:cs="Arial" w:eastAsia="Arial" w:hAnsi="Arial"/>
          <w:sz w:val="16"/>
          <w:szCs w:val="16"/>
          <w:b w:val="1"/>
          <w:bCs w:val="1"/>
          <w:color w:val="auto"/>
        </w:rPr>
        <w:t>employees, consultants, authorized representatives and agents, each acting reasonably</w:t>
      </w:r>
      <w:r>
        <w:rPr>
          <w:rFonts w:ascii="Arial" w:cs="Arial" w:eastAsia="Arial" w:hAnsi="Arial"/>
          <w:sz w:val="16"/>
          <w:szCs w:val="16"/>
          <w:color w:val="auto"/>
        </w:rPr>
        <w:t>, to: (A) enter and inspect the Leased Premises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conducted therein; (B) conduct tests and environmental assessments or appraisals; (C) remove samples from the Leased Premises;</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(D) examine and make copies of any documents or records relating to the Leased Premises and interview the Tenant’s employees as necessary.</w:t>
      </w:r>
    </w:p>
    <w:p>
      <w:pPr>
        <w:spacing w:after="0" w:line="20" w:lineRule="exact"/>
        <w:rPr>
          <w:rFonts w:ascii="Arial" w:cs="Arial" w:eastAsia="Arial" w:hAnsi="Arial"/>
          <w:sz w:val="16"/>
          <w:szCs w:val="16"/>
          <w:color w:val="auto"/>
        </w:rPr>
      </w:pPr>
    </w:p>
    <w:p>
      <w:pPr>
        <w:ind w:left="4" w:right="8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Notwithstanding the foregoing, the Landlord agrees to use reasonable efforts to minimize any disruption of the Tenant’s business operations at the Leased Premises in the exercise of its rights hereunder</w:t>
      </w:r>
      <w:r>
        <w:rPr>
          <w:rFonts w:ascii="Arial" w:cs="Arial" w:eastAsia="Arial" w:hAnsi="Arial"/>
          <w:sz w:val="18"/>
          <w:szCs w:val="18"/>
          <w:color w:val="auto"/>
        </w:rPr>
        <w:t>. The Tenant shall promptly notify the Landlord of the existence of any Hazardous</w:t>
      </w:r>
      <w:r>
        <w:rPr>
          <w:rFonts w:ascii="Arial" w:cs="Arial" w:eastAsia="Arial" w:hAnsi="Arial"/>
          <w:sz w:val="18"/>
          <w:szCs w:val="18"/>
          <w:b w:val="1"/>
          <w:bCs w:val="1"/>
          <w:color w:val="auto"/>
        </w:rPr>
        <w:t xml:space="preserve"> </w:t>
      </w:r>
      <w:r>
        <w:rPr>
          <w:rFonts w:ascii="Arial" w:cs="Arial" w:eastAsia="Arial" w:hAnsi="Arial"/>
          <w:sz w:val="18"/>
          <w:szCs w:val="18"/>
          <w:color w:val="auto"/>
        </w:rPr>
        <w:t>Substance in, on or under the Leased Premises.</w:t>
      </w:r>
    </w:p>
    <w:p>
      <w:pPr>
        <w:spacing w:after="0" w:line="190" w:lineRule="exact"/>
        <w:rPr>
          <w:sz w:val="20"/>
          <w:szCs w:val="20"/>
          <w:color w:val="auto"/>
        </w:rPr>
      </w:pPr>
    </w:p>
    <w:p>
      <w:pPr>
        <w:ind w:left="4" w:right="120" w:firstLine="991"/>
        <w:spacing w:after="0" w:line="271" w:lineRule="auto"/>
        <w:rPr>
          <w:sz w:val="20"/>
          <w:szCs w:val="20"/>
          <w:color w:val="auto"/>
        </w:rPr>
      </w:pPr>
      <w:r>
        <w:rPr>
          <w:rFonts w:ascii="Arial" w:cs="Arial" w:eastAsia="Arial" w:hAnsi="Arial"/>
          <w:sz w:val="17"/>
          <w:szCs w:val="17"/>
          <w:color w:val="auto"/>
        </w:rPr>
        <w:t xml:space="preserve">The Tenant shall indemnify and hold the Landlord harmless at all times from and against any and all losses, damages, penalties, fines, costs, fees and expenses (including legal fees on a full indemnity basis and consultants’ fees and expenses) resulting from any breach of or non-compliance with the foregoing environmental covenants of the Tenant and any legal or administrative action commenced by, or claim made or notice from, any third party, including, without limitation, any governmental authority, to or against the Landlord and pursuant to or under any Environmental Laws or concerning a release or alleged release of any Hazardous Substance at the Project including the Leased Premises into the environment and related to or as a result of the operations of the Tenant or those acting under its authority or control at the Leased Premises </w:t>
      </w:r>
      <w:r>
        <w:rPr>
          <w:rFonts w:ascii="Arial" w:cs="Arial" w:eastAsia="Arial" w:hAnsi="Arial"/>
          <w:sz w:val="17"/>
          <w:szCs w:val="17"/>
          <w:b w:val="1"/>
          <w:bCs w:val="1"/>
          <w:color w:val="auto"/>
        </w:rPr>
        <w:t>including,</w:t>
      </w:r>
      <w:r>
        <w:rPr>
          <w:rFonts w:ascii="Arial" w:cs="Arial" w:eastAsia="Arial" w:hAnsi="Arial"/>
          <w:sz w:val="17"/>
          <w:szCs w:val="17"/>
          <w:color w:val="auto"/>
        </w:rPr>
        <w:t xml:space="preserve"> </w:t>
      </w:r>
      <w:r>
        <w:rPr>
          <w:rFonts w:ascii="Arial" w:cs="Arial" w:eastAsia="Arial" w:hAnsi="Arial"/>
          <w:sz w:val="17"/>
          <w:szCs w:val="17"/>
          <w:b w:val="1"/>
          <w:bCs w:val="1"/>
          <w:color w:val="auto"/>
        </w:rPr>
        <w:t>without limitation, any seepage, spillage, discharge and misuse of any cleaner, solvent, chemical, pollutant, contaminant or hazardous product and waste</w:t>
      </w:r>
      <w:r>
        <w:rPr>
          <w:rFonts w:ascii="Arial" w:cs="Arial" w:eastAsia="Arial" w:hAnsi="Arial"/>
          <w:sz w:val="17"/>
          <w:szCs w:val="17"/>
          <w:color w:val="auto"/>
        </w:rPr>
        <w:t>, and any and all costs associated with air quality issues, if any.</w:t>
      </w:r>
    </w:p>
    <w:p>
      <w:pPr>
        <w:spacing w:after="0" w:line="23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4"/>
          </w:cols>
          <w:pgMar w:left="436" w:top="270" w:right="479" w:bottom="1440" w:gutter="0" w:footer="0" w:header="0"/>
        </w:sectPr>
      </w:pPr>
    </w:p>
    <w:bookmarkStart w:id="459" w:name="page460"/>
    <w:bookmarkEnd w:id="45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 </w:t>
      </w:r>
      <w:r>
        <w:rPr>
          <w:rFonts w:ascii="Arial" w:cs="Arial" w:eastAsia="Arial" w:hAnsi="Arial"/>
          <w:sz w:val="16"/>
          <w:szCs w:val="16"/>
          <w:b w:val="1"/>
          <w:bCs w:val="1"/>
          <w:color w:val="auto"/>
        </w:rPr>
        <w:t>Upon the expiration or early termination of the Term or any renewal thereof, the Tenant at its sole expense shall remove and dispose of all</w:t>
      </w:r>
      <w:r>
        <w:rPr>
          <w:rFonts w:ascii="Arial" w:cs="Arial" w:eastAsia="Arial" w:hAnsi="Arial"/>
          <w:sz w:val="16"/>
          <w:szCs w:val="16"/>
          <w:color w:val="auto"/>
        </w:rPr>
        <w:t xml:space="preserve"> </w:t>
      </w:r>
      <w:r>
        <w:rPr>
          <w:rFonts w:ascii="Arial" w:cs="Arial" w:eastAsia="Arial" w:hAnsi="Arial"/>
          <w:sz w:val="16"/>
          <w:szCs w:val="16"/>
          <w:b w:val="1"/>
          <w:bCs w:val="1"/>
          <w:color w:val="auto"/>
        </w:rPr>
        <w:t>Hazardous Substances and all its storage tanks and other containers therefor in accordance with all Environmental Laws and regulations to the extent required by the Landlord, and to the extent that such removal and disposal involves any excavation work at the Leased Premises, the Building, the Lands or the Property, the Tenant shall restore the Leased Premises, the Building, the Lands or the Property, as the case may be, to the same grade level as immediately prior to excavation, using only clean uncontaminated soil or other material satisfactory to the Landlord.</w:t>
      </w:r>
    </w:p>
    <w:p>
      <w:pPr>
        <w:spacing w:after="0" w:line="4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The Tenant undertakes to remit to the Landlord, the environmental questionnaire attached hereto as Schedule “H”, duly completed, prior to</w:t>
      </w:r>
      <w:r>
        <w:rPr>
          <w:rFonts w:ascii="Arial" w:cs="Arial" w:eastAsia="Arial" w:hAnsi="Arial"/>
          <w:sz w:val="18"/>
          <w:szCs w:val="18"/>
          <w:color w:val="auto"/>
        </w:rPr>
        <w:t xml:space="preserve"> </w:t>
      </w:r>
      <w:r>
        <w:rPr>
          <w:rFonts w:ascii="Arial" w:cs="Arial" w:eastAsia="Arial" w:hAnsi="Arial"/>
          <w:sz w:val="18"/>
          <w:szCs w:val="18"/>
          <w:b w:val="1"/>
          <w:bCs w:val="1"/>
          <w:color w:val="auto"/>
        </w:rPr>
        <w:t>occupying the Leased Premises and thereafter and throughout the Term or any renewal thereof, such environmental questionnaire will be updated as may be requested from time to time by the Landlord.</w:t>
      </w:r>
    </w:p>
    <w:p>
      <w:pPr>
        <w:spacing w:after="0" w:line="68"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color w:val="auto"/>
        </w:rPr>
        <w:t>As part of Tenant’s insurance, the Tenant shall be required to provide insurance coverage with regard to any potential environmental</w:t>
      </w:r>
      <w:r>
        <w:rPr>
          <w:rFonts w:ascii="Arial" w:cs="Arial" w:eastAsia="Arial" w:hAnsi="Arial"/>
          <w:sz w:val="18"/>
          <w:szCs w:val="18"/>
          <w:color w:val="auto"/>
        </w:rPr>
        <w:t xml:space="preserve"> </w:t>
      </w:r>
      <w:r>
        <w:rPr>
          <w:rFonts w:ascii="Arial" w:cs="Arial" w:eastAsia="Arial" w:hAnsi="Arial"/>
          <w:sz w:val="18"/>
          <w:szCs w:val="18"/>
          <w:b w:val="1"/>
          <w:bCs w:val="1"/>
          <w:color w:val="auto"/>
        </w:rPr>
        <w:t>liabilities of the Tenant.</w:t>
      </w:r>
    </w:p>
    <w:p>
      <w:pPr>
        <w:spacing w:after="0" w:line="162" w:lineRule="exact"/>
        <w:rPr>
          <w:sz w:val="20"/>
          <w:szCs w:val="20"/>
          <w:color w:val="auto"/>
        </w:rPr>
      </w:pPr>
    </w:p>
    <w:p>
      <w:pPr>
        <w:jc w:val="both"/>
        <w:ind w:right="160"/>
        <w:spacing w:after="0" w:line="314"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b w:val="1"/>
          <w:bCs w:val="1"/>
          <w:color w:val="auto"/>
        </w:rPr>
        <w:t>Tenant will not do or permit anything to be done in, upon or about the Leased Premises or the Building which will in any way conflict with</w:t>
      </w:r>
      <w:r>
        <w:rPr>
          <w:rFonts w:ascii="Arial" w:cs="Arial" w:eastAsia="Arial" w:hAnsi="Arial"/>
          <w:sz w:val="16"/>
          <w:szCs w:val="16"/>
          <w:color w:val="auto"/>
        </w:rPr>
        <w:t xml:space="preserve"> </w:t>
      </w:r>
      <w:r>
        <w:rPr>
          <w:rFonts w:ascii="Arial" w:cs="Arial" w:eastAsia="Arial" w:hAnsi="Arial"/>
          <w:sz w:val="16"/>
          <w:szCs w:val="16"/>
          <w:b w:val="1"/>
          <w:bCs w:val="1"/>
          <w:color w:val="auto"/>
        </w:rPr>
        <w:t>Environmental Laws whether by Tenant or those acting under its authority or control and Tenant will obtain any required permits relating to the Leased Premises or their use. Tenant shall permit Landlord, its officers, employees, consultants, authorized representatives and agent to:</w:t>
      </w:r>
    </w:p>
    <w:p>
      <w:pPr>
        <w:spacing w:after="0" w:line="47" w:lineRule="exact"/>
        <w:rPr>
          <w:sz w:val="20"/>
          <w:szCs w:val="20"/>
          <w:color w:val="auto"/>
        </w:rPr>
      </w:pPr>
    </w:p>
    <w:p>
      <w:pPr>
        <w:ind w:left="960" w:hanging="532"/>
        <w:spacing w:after="0"/>
        <w:tabs>
          <w:tab w:leader="none" w:pos="960"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inspect the Leased Premises and Tenant’s operations;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conduct tests and environmental assessments;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remove samples from the Premises;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examine and photocopy any documents or records relating to the Leased Premises,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interview Tenant and its employees, agents, contractors and those for whom it is responsible;</w:t>
      </w:r>
    </w:p>
    <w:p>
      <w:pPr>
        <w:spacing w:after="0" w:line="117" w:lineRule="exact"/>
        <w:rPr>
          <w:rFonts w:ascii="Arial" w:cs="Arial" w:eastAsia="Arial" w:hAnsi="Arial"/>
          <w:sz w:val="18"/>
          <w:szCs w:val="18"/>
          <w:color w:val="auto"/>
        </w:rPr>
      </w:pPr>
    </w:p>
    <w:p>
      <w:pPr>
        <w:ind w:left="980" w:right="2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all at such reasonable times and intervals as Landlord may desire and with minimal interference with the business operations of the Tenant at the Leased Premises.</w:t>
      </w:r>
    </w:p>
    <w:p>
      <w:pPr>
        <w:spacing w:after="0" w:line="5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Tenant’s obligations and liabilities hereunder shall survive the expiration of this Lease.</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000"/>
          </w:cols>
          <w:pgMar w:left="440" w:top="270" w:right="459" w:bottom="1440" w:gutter="0" w:footer="0" w:header="0"/>
        </w:sectPr>
      </w:pPr>
    </w:p>
    <w:bookmarkStart w:id="460" w:name="page461"/>
    <w:bookmarkEnd w:id="460"/>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15.16</w:t>
      </w:r>
      <w:r>
        <w:rPr>
          <w:sz w:val="20"/>
          <w:szCs w:val="20"/>
          <w:color w:val="auto"/>
        </w:rPr>
        <w:tab/>
      </w:r>
      <w:r>
        <w:rPr>
          <w:rFonts w:ascii="Arial" w:cs="Arial" w:eastAsia="Arial" w:hAnsi="Arial"/>
          <w:sz w:val="16"/>
          <w:szCs w:val="16"/>
          <w:b w:val="1"/>
          <w:bCs w:val="1"/>
          <w:u w:val="single" w:color="auto"/>
          <w:color w:val="auto"/>
        </w:rPr>
        <w:t>Servitudes</w:t>
      </w:r>
    </w:p>
    <w:p>
      <w:pPr>
        <w:spacing w:after="0" w:line="121"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The Tenant acknowledges that the Property is subject to such servitudes and other permitted encumbrances which are currently registered on title and which the Tenant agrees to comply with at all times. The Tenant agrees to also comply with:</w:t>
      </w:r>
    </w:p>
    <w:p>
      <w:pPr>
        <w:spacing w:after="0" w:line="62" w:lineRule="exact"/>
        <w:rPr>
          <w:sz w:val="20"/>
          <w:szCs w:val="20"/>
          <w:color w:val="auto"/>
        </w:rPr>
      </w:pPr>
    </w:p>
    <w:p>
      <w:pPr>
        <w:ind w:left="1200" w:hanging="213"/>
        <w:spacing w:after="0"/>
        <w:tabs>
          <w:tab w:leader="none" w:pos="12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such further servitudes and permitted encumbrances which may be granted by the Landlord from time to time; and</w:t>
      </w:r>
    </w:p>
    <w:p>
      <w:pPr>
        <w:spacing w:after="0" w:line="117" w:lineRule="exact"/>
        <w:rPr>
          <w:rFonts w:ascii="Arial" w:cs="Arial" w:eastAsia="Arial" w:hAnsi="Arial"/>
          <w:sz w:val="18"/>
          <w:szCs w:val="18"/>
          <w:color w:val="auto"/>
        </w:rPr>
      </w:pPr>
    </w:p>
    <w:p>
      <w:pPr>
        <w:ind w:left="1260" w:hanging="273"/>
        <w:spacing w:after="0"/>
        <w:tabs>
          <w:tab w:leader="none" w:pos="12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servitudes regarding utilities, as may be required from time to time.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15.17</w:t>
      </w:r>
      <w:r>
        <w:rPr>
          <w:sz w:val="20"/>
          <w:szCs w:val="20"/>
          <w:color w:val="auto"/>
        </w:rPr>
        <w:tab/>
      </w:r>
      <w:r>
        <w:rPr>
          <w:rFonts w:ascii="Arial" w:cs="Arial" w:eastAsia="Arial" w:hAnsi="Arial"/>
          <w:sz w:val="16"/>
          <w:szCs w:val="16"/>
          <w:b w:val="1"/>
          <w:bCs w:val="1"/>
          <w:u w:val="single" w:color="auto"/>
          <w:color w:val="auto"/>
        </w:rPr>
        <w:t>Entire Agreement</w:t>
      </w:r>
    </w:p>
    <w:p>
      <w:pPr>
        <w:spacing w:after="0" w:line="121" w:lineRule="exact"/>
        <w:rPr>
          <w:sz w:val="20"/>
          <w:szCs w:val="20"/>
          <w:color w:val="auto"/>
        </w:rPr>
      </w:pPr>
    </w:p>
    <w:p>
      <w:pPr>
        <w:ind w:right="280" w:firstLine="991"/>
        <w:spacing w:after="0" w:line="286" w:lineRule="auto"/>
        <w:rPr>
          <w:sz w:val="20"/>
          <w:szCs w:val="20"/>
          <w:color w:val="auto"/>
        </w:rPr>
      </w:pPr>
      <w:r>
        <w:rPr>
          <w:rFonts w:ascii="Arial" w:cs="Arial" w:eastAsia="Arial" w:hAnsi="Arial"/>
          <w:sz w:val="17"/>
          <w:szCs w:val="17"/>
          <w:color w:val="auto"/>
        </w:rPr>
        <w:t>The Tenant acknowledges that there have been no representations made by the Landlord which are not set out in the Lease. The Tenant further acknowledges that the Lease constitutes the entire agreement between the Landlord and Tenant and may not be modified except as herein explicitly provided or by subsequent agreement in writing duly signed by the Landlord and the Tenant.</w:t>
      </w:r>
    </w:p>
    <w:p>
      <w:pPr>
        <w:spacing w:after="0" w:line="3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15.18</w:t>
      </w:r>
      <w:r>
        <w:rPr>
          <w:sz w:val="20"/>
          <w:szCs w:val="20"/>
          <w:color w:val="auto"/>
        </w:rPr>
        <w:tab/>
      </w:r>
      <w:r>
        <w:rPr>
          <w:rFonts w:ascii="Arial" w:cs="Arial" w:eastAsia="Arial" w:hAnsi="Arial"/>
          <w:sz w:val="16"/>
          <w:szCs w:val="16"/>
          <w:b w:val="1"/>
          <w:bCs w:val="1"/>
          <w:u w:val="single" w:color="auto"/>
          <w:color w:val="auto"/>
        </w:rPr>
        <w:t>Effect of Lease</w:t>
      </w:r>
    </w:p>
    <w:p>
      <w:pPr>
        <w:spacing w:after="0" w:line="121"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This Lease and everything herein contained shall extend to and bind and may be taken advantage of by the respective heirs, executors, administrators, successors and assigns, as the case may be, of each of the parties hereto, subject to the granting of consent by the Landlord as provided herein to any Transfer, and where there is more than one tenant or there is a female party or a corporation, the provisions hereof shall be read with all grammatical changes thereby rendered necessary and all covenants shall be deemed joint and several. Any release, indemnity or covenant for the benefit of the Landlord shall apply equally, to the extent the context allows, to all agents, directors, officers, employees, property managers and hypothecary creditors of the Landlord.</w:t>
      </w:r>
    </w:p>
    <w:p>
      <w:pPr>
        <w:spacing w:after="0" w:line="3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15.19</w:t>
      </w:r>
      <w:r>
        <w:rPr>
          <w:sz w:val="20"/>
          <w:szCs w:val="20"/>
          <w:color w:val="auto"/>
        </w:rPr>
        <w:tab/>
      </w:r>
      <w:r>
        <w:rPr>
          <w:rFonts w:ascii="Arial" w:cs="Arial" w:eastAsia="Arial" w:hAnsi="Arial"/>
          <w:sz w:val="16"/>
          <w:szCs w:val="16"/>
          <w:b w:val="1"/>
          <w:bCs w:val="1"/>
          <w:u w:val="single" w:color="auto"/>
          <w:color w:val="auto"/>
        </w:rPr>
        <w:t>Brokerage Commission</w:t>
      </w:r>
    </w:p>
    <w:p>
      <w:pPr>
        <w:spacing w:after="0" w:line="121" w:lineRule="exact"/>
        <w:rPr>
          <w:sz w:val="20"/>
          <w:szCs w:val="20"/>
          <w:color w:val="auto"/>
        </w:rPr>
      </w:pPr>
    </w:p>
    <w:p>
      <w:pPr>
        <w:ind w:right="180" w:firstLine="991"/>
        <w:spacing w:after="0" w:line="291" w:lineRule="auto"/>
        <w:rPr>
          <w:sz w:val="20"/>
          <w:szCs w:val="20"/>
          <w:color w:val="auto"/>
        </w:rPr>
      </w:pPr>
      <w:r>
        <w:rPr>
          <w:rFonts w:ascii="Arial" w:cs="Arial" w:eastAsia="Arial" w:hAnsi="Arial"/>
          <w:sz w:val="16"/>
          <w:szCs w:val="16"/>
          <w:color w:val="auto"/>
        </w:rPr>
        <w:t xml:space="preserve">As part of the consideration for the granting of this Lease, the Tenant represents and warrants that no broker, agent or other intermediary introduced the parties or negotiated or was instrumental in negotiating or consummating this Lease, </w:t>
      </w:r>
      <w:r>
        <w:rPr>
          <w:rFonts w:ascii="Arial" w:cs="Arial" w:eastAsia="Arial" w:hAnsi="Arial"/>
          <w:sz w:val="16"/>
          <w:szCs w:val="16"/>
          <w:b w:val="1"/>
          <w:bCs w:val="1"/>
          <w:color w:val="auto"/>
        </w:rPr>
        <w:t>other than the GROUPE IMMOBILIER DE</w:t>
      </w:r>
    </w:p>
    <w:p>
      <w:pPr>
        <w:ind w:right="680"/>
        <w:spacing w:after="0" w:line="323" w:lineRule="auto"/>
        <w:rPr>
          <w:sz w:val="20"/>
          <w:szCs w:val="20"/>
          <w:color w:val="auto"/>
        </w:rPr>
      </w:pPr>
      <w:r>
        <w:rPr>
          <w:rFonts w:ascii="Arial" w:cs="Arial" w:eastAsia="Arial" w:hAnsi="Arial"/>
          <w:sz w:val="16"/>
          <w:szCs w:val="16"/>
          <w:b w:val="1"/>
          <w:bCs w:val="1"/>
          <w:color w:val="auto"/>
        </w:rPr>
        <w:t>MONTRÉAL INC. represented by Mr. Martin Vallee, whose commission shall be paid by the Landlord in accordance with Landlord’s agreement with such broker</w:t>
      </w:r>
      <w:r>
        <w:rPr>
          <w:rFonts w:ascii="Arial" w:cs="Arial" w:eastAsia="Arial" w:hAnsi="Arial"/>
          <w:sz w:val="16"/>
          <w:szCs w:val="16"/>
          <w:color w:val="auto"/>
        </w:rPr>
        <w:t>, and Tenant shall indemnify and hold Landlord harmless from claims by any other broker or agent.</w:t>
      </w:r>
    </w:p>
    <w:p>
      <w:pPr>
        <w:spacing w:after="0" w:line="2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15.20</w:t>
      </w:r>
      <w:r>
        <w:rPr>
          <w:sz w:val="20"/>
          <w:szCs w:val="20"/>
          <w:color w:val="auto"/>
        </w:rPr>
        <w:tab/>
      </w:r>
      <w:r>
        <w:rPr>
          <w:rFonts w:ascii="Arial" w:cs="Arial" w:eastAsia="Arial" w:hAnsi="Arial"/>
          <w:sz w:val="15"/>
          <w:szCs w:val="15"/>
          <w:b w:val="1"/>
          <w:bCs w:val="1"/>
          <w:u w:val="single" w:color="auto"/>
          <w:color w:val="auto"/>
        </w:rPr>
        <w:t>Schedules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Schedules attached to this Lease form an integral part of this Lease.</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0" w:right="479" w:bottom="1440" w:gutter="0" w:footer="0" w:header="0"/>
        </w:sectPr>
      </w:pPr>
    </w:p>
    <w:bookmarkStart w:id="461" w:name="page462"/>
    <w:bookmarkEnd w:id="46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15.21</w:t>
      </w:r>
      <w:r>
        <w:rPr>
          <w:sz w:val="20"/>
          <w:szCs w:val="20"/>
          <w:color w:val="auto"/>
        </w:rPr>
        <w:tab/>
      </w:r>
      <w:r>
        <w:rPr>
          <w:rFonts w:ascii="Arial" w:cs="Arial" w:eastAsia="Arial" w:hAnsi="Arial"/>
          <w:sz w:val="16"/>
          <w:szCs w:val="16"/>
          <w:b w:val="1"/>
          <w:bCs w:val="1"/>
          <w:u w:val="single" w:color="auto"/>
          <w:color w:val="auto"/>
        </w:rPr>
        <w:t>English Language</w:t>
      </w:r>
    </w:p>
    <w:p>
      <w:pPr>
        <w:spacing w:after="0" w:line="121"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 xml:space="preserve">The parties declare that they have requested the present agreement (constituting this Lease) and all writings relating thereto to be drawn up in the English language. </w:t>
      </w:r>
      <w:r>
        <w:rPr>
          <w:rFonts w:ascii="Arial" w:cs="Arial" w:eastAsia="Arial" w:hAnsi="Arial"/>
          <w:sz w:val="18"/>
          <w:szCs w:val="18"/>
          <w:i w:val="1"/>
          <w:iCs w:val="1"/>
          <w:color w:val="auto"/>
        </w:rPr>
        <w:t>Les parties déclarent qu’elles ont demandé que la présente convention et toutes correspondences s’y relatant soient rédigées en</w:t>
      </w:r>
      <w:r>
        <w:rPr>
          <w:rFonts w:ascii="Arial" w:cs="Arial" w:eastAsia="Arial" w:hAnsi="Arial"/>
          <w:sz w:val="18"/>
          <w:szCs w:val="18"/>
          <w:color w:val="auto"/>
        </w:rPr>
        <w:t xml:space="preserve"> </w:t>
      </w:r>
      <w:r>
        <w:rPr>
          <w:rFonts w:ascii="Arial" w:cs="Arial" w:eastAsia="Arial" w:hAnsi="Arial"/>
          <w:sz w:val="18"/>
          <w:szCs w:val="18"/>
          <w:i w:val="1"/>
          <w:iCs w:val="1"/>
          <w:color w:val="auto"/>
        </w:rPr>
        <w:t>anglais.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0" w:right="479" w:bottom="1440" w:gutter="0" w:footer="0" w:header="0"/>
        </w:sectPr>
      </w:pPr>
    </w:p>
    <w:bookmarkStart w:id="462" w:name="page463"/>
    <w:bookmarkEnd w:id="4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 Lease.</w:t>
      </w:r>
    </w:p>
    <w:p>
      <w:pPr>
        <w:spacing w:after="0" w:line="252"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LANDLORD:</w:t>
      </w:r>
      <w:r>
        <w:rPr>
          <w:sz w:val="20"/>
          <w:szCs w:val="20"/>
          <w:color w:val="auto"/>
        </w:rPr>
        <w:tab/>
      </w:r>
      <w:r>
        <w:rPr>
          <w:rFonts w:ascii="Arial" w:cs="Arial" w:eastAsia="Arial" w:hAnsi="Arial"/>
          <w:sz w:val="18"/>
          <w:szCs w:val="18"/>
          <w:b w:val="1"/>
          <w:bCs w:val="1"/>
          <w:color w:val="auto"/>
        </w:rPr>
        <w:t>CIG III TECHNOPARC NOMINEE INC.</w:t>
      </w:r>
    </w:p>
    <w:p>
      <w:pPr>
        <w:spacing w:after="0" w:line="229" w:lineRule="exact"/>
        <w:rPr>
          <w:sz w:val="20"/>
          <w:szCs w:val="20"/>
          <w:color w:val="auto"/>
        </w:rPr>
      </w:pPr>
    </w:p>
    <w:p>
      <w:pPr>
        <w:ind w:left="5300"/>
        <w:spacing w:after="0"/>
        <w:tabs>
          <w:tab w:leader="none" w:pos="572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6"/>
          <w:szCs w:val="16"/>
          <w:i w:val="1"/>
          <w:iCs w:val="1"/>
          <w:color w:val="auto"/>
        </w:rPr>
        <w:t>/s/ S.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Authorized Signing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S. Barbieri</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ASO</w:t>
      </w:r>
    </w:p>
    <w:p>
      <w:pPr>
        <w:spacing w:after="0" w:line="22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Authorized Signing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w:t>
      </w:r>
    </w:p>
    <w:p>
      <w:pPr>
        <w:spacing w:after="0" w:line="18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I/We have authority to bind the Corporation</w:t>
      </w:r>
    </w:p>
    <w:p>
      <w:pPr>
        <w:spacing w:after="0" w:line="221"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TENANT:</w:t>
      </w:r>
      <w:r>
        <w:rPr>
          <w:sz w:val="20"/>
          <w:szCs w:val="20"/>
          <w:color w:val="auto"/>
        </w:rPr>
        <w:tab/>
      </w:r>
      <w:r>
        <w:rPr>
          <w:rFonts w:ascii="Arial" w:cs="Arial" w:eastAsia="Arial" w:hAnsi="Arial"/>
          <w:sz w:val="18"/>
          <w:szCs w:val="18"/>
          <w:b w:val="1"/>
          <w:bCs w:val="1"/>
          <w:color w:val="auto"/>
        </w:rPr>
        <w:t>PHARMASCIENCE INC.</w:t>
      </w:r>
    </w:p>
    <w:p>
      <w:pPr>
        <w:spacing w:after="0" w:line="189" w:lineRule="exact"/>
        <w:rPr>
          <w:sz w:val="20"/>
          <w:szCs w:val="20"/>
          <w:color w:val="auto"/>
        </w:rPr>
      </w:pPr>
    </w:p>
    <w:p>
      <w:pPr>
        <w:ind w:left="5300"/>
        <w:spacing w:after="0"/>
        <w:tabs>
          <w:tab w:leader="none" w:pos="572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6"/>
          <w:szCs w:val="16"/>
          <w:i w:val="1"/>
          <w:iCs w:val="1"/>
          <w:color w:val="auto"/>
        </w:rPr>
        <w:t>/s/ Ivan Djvnjak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Authorized Signing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Ivan Djvnjak</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Title: Sr. Director Operations &amp; Investments</w:t>
      </w:r>
    </w:p>
    <w:p>
      <w:pPr>
        <w:spacing w:after="0" w:line="207" w:lineRule="exact"/>
        <w:rPr>
          <w:sz w:val="20"/>
          <w:szCs w:val="20"/>
          <w:color w:val="auto"/>
        </w:rPr>
      </w:pPr>
    </w:p>
    <w:p>
      <w:pPr>
        <w:ind w:left="5300"/>
        <w:spacing w:after="0"/>
        <w:tabs>
          <w:tab w:leader="none" w:pos="572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6"/>
          <w:szCs w:val="16"/>
          <w:color w:val="auto"/>
        </w:rPr>
        <w:t>/s/ Glenn R.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Authorized Signing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Glenn R. Lucas</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Financial officer</w:t>
      </w:r>
    </w:p>
    <w:p>
      <w:pPr>
        <w:spacing w:after="0" w:line="22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I/We have authority to bind the Corporation</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019"/>
          </w:cols>
          <w:pgMar w:left="440" w:top="270" w:right="1440" w:bottom="1440" w:gutter="0" w:footer="0" w:header="0"/>
        </w:sectPr>
      </w:pPr>
    </w:p>
    <w:bookmarkStart w:id="463" w:name="page464"/>
    <w:bookmarkEnd w:id="46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FLOOR PLAN OF LEASED PREMISES</w:t>
      </w:r>
    </w:p>
    <w:p>
      <w:pPr>
        <w:sectPr>
          <w:pgSz w:w="11900" w:h="16838" w:orient="portrait"/>
          <w:cols w:equalWidth="0" w:num="1">
            <w:col w:w="9019"/>
          </w:cols>
          <w:pgMar w:left="1440" w:top="270" w:right="1440" w:bottom="1440" w:gutter="0" w:footer="0" w:header="0"/>
        </w:sectPr>
      </w:pPr>
    </w:p>
    <w:bookmarkStart w:id="464" w:name="page465"/>
    <w:bookmarkEnd w:id="464"/>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“B”</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DESCRIPTION OF LANDS</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That certain emplacement located in the City of Montreal (Saint-Laurent borough), Province of Québec, known and designated as lot number </w:t>
      </w:r>
      <w:r>
        <w:rPr>
          <w:rFonts w:ascii="Arial" w:cs="Arial" w:eastAsia="Arial" w:hAnsi="Arial"/>
          <w:sz w:val="18"/>
          <w:szCs w:val="18"/>
          <w:b w:val="1"/>
          <w:bCs w:val="1"/>
          <w:color w:val="auto"/>
        </w:rPr>
        <w:t>1165 621</w:t>
      </w:r>
      <w:r>
        <w:rPr>
          <w:rFonts w:ascii="Arial" w:cs="Arial" w:eastAsia="Arial" w:hAnsi="Arial"/>
          <w:sz w:val="18"/>
          <w:szCs w:val="18"/>
          <w:color w:val="auto"/>
        </w:rPr>
        <w:t xml:space="preserve"> of the Cadastre du Québec, Registration Division of Montréal, such emplacement being a private portion of the divided co-ownership established pursuant to the Co-Ownership Agreement</w:t>
      </w:r>
    </w:p>
    <w:p>
      <w:pPr>
        <w:sectPr>
          <w:pgSz w:w="11900" w:h="16838" w:orient="portrait"/>
          <w:cols w:equalWidth="0" w:num="1">
            <w:col w:w="10880"/>
          </w:cols>
          <w:pgMar w:left="440" w:top="270" w:right="579" w:bottom="1440" w:gutter="0" w:footer="0" w:header="0"/>
        </w:sectPr>
      </w:pPr>
    </w:p>
    <w:bookmarkStart w:id="465" w:name="page466"/>
    <w:bookmarkEnd w:id="465"/>
    <w:p>
      <w:pPr>
        <w:jc w:val="center"/>
        <w:ind w:right="4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“C”</w:t>
      </w:r>
    </w:p>
    <w:p>
      <w:pPr>
        <w:spacing w:after="0" w:line="22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purpose of this Lease:</w:t>
      </w:r>
    </w:p>
    <w:p>
      <w:pPr>
        <w:spacing w:after="0" w:line="127" w:lineRule="exact"/>
        <w:rPr>
          <w:sz w:val="20"/>
          <w:szCs w:val="20"/>
          <w:color w:val="auto"/>
        </w:rPr>
      </w:pPr>
    </w:p>
    <w:p>
      <w:pPr>
        <w:ind w:left="540" w:right="520" w:hanging="532"/>
        <w:spacing w:after="0" w:line="282" w:lineRule="auto"/>
        <w:tabs>
          <w:tab w:leader="none" w:pos="5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Rent</w:t>
      </w:r>
      <w:r>
        <w:rPr>
          <w:rFonts w:ascii="Arial" w:cs="Arial" w:eastAsia="Arial" w:hAnsi="Arial"/>
          <w:sz w:val="18"/>
          <w:szCs w:val="18"/>
          <w:color w:val="auto"/>
        </w:rPr>
        <w:t>” means all amounts payable by the Tenant under the provisions of this Lease, whether payable to the Landlord or otherwise, other than Basic Rent.</w:t>
      </w:r>
    </w:p>
    <w:p>
      <w:pPr>
        <w:spacing w:after="0" w:line="67" w:lineRule="exact"/>
        <w:rPr>
          <w:rFonts w:ascii="Arial" w:cs="Arial" w:eastAsia="Arial" w:hAnsi="Arial"/>
          <w:sz w:val="18"/>
          <w:szCs w:val="18"/>
          <w:color w:val="auto"/>
        </w:rPr>
      </w:pPr>
    </w:p>
    <w:p>
      <w:pPr>
        <w:ind w:left="540" w:hanging="532"/>
        <w:spacing w:after="0"/>
        <w:tabs>
          <w:tab w:leader="none" w:pos="5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Basic Rent</w:t>
      </w:r>
      <w:r>
        <w:rPr>
          <w:rFonts w:ascii="Arial" w:cs="Arial" w:eastAsia="Arial" w:hAnsi="Arial"/>
          <w:sz w:val="18"/>
          <w:szCs w:val="18"/>
          <w:color w:val="auto"/>
        </w:rPr>
        <w:t>” means those amounts set out as Basic Rent in Section 2.02 of this Lease.</w:t>
      </w:r>
    </w:p>
    <w:p>
      <w:pPr>
        <w:spacing w:after="0" w:line="130" w:lineRule="exact"/>
        <w:rPr>
          <w:rFonts w:ascii="Arial" w:cs="Arial" w:eastAsia="Arial" w:hAnsi="Arial"/>
          <w:sz w:val="18"/>
          <w:szCs w:val="18"/>
          <w:color w:val="auto"/>
        </w:rPr>
      </w:pPr>
    </w:p>
    <w:p>
      <w:pPr>
        <w:ind w:left="540" w:hanging="532"/>
        <w:spacing w:after="0" w:line="282" w:lineRule="auto"/>
        <w:tabs>
          <w:tab w:leader="none" w:pos="5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Building</w:t>
      </w:r>
      <w:r>
        <w:rPr>
          <w:rFonts w:ascii="Arial" w:cs="Arial" w:eastAsia="Arial" w:hAnsi="Arial"/>
          <w:sz w:val="18"/>
          <w:szCs w:val="18"/>
          <w:color w:val="auto"/>
        </w:rPr>
        <w:t>” means the building bearing civic address 7210 Frederick-Banting in the City of Montreal (Borough of Saint-Laurent), Province of Québec, erected on the Lands in which the Leased Premises are located.</w:t>
      </w:r>
    </w:p>
    <w:p>
      <w:pPr>
        <w:spacing w:after="0" w:line="67" w:lineRule="exact"/>
        <w:rPr>
          <w:rFonts w:ascii="Arial" w:cs="Arial" w:eastAsia="Arial" w:hAnsi="Arial"/>
          <w:sz w:val="18"/>
          <w:szCs w:val="18"/>
          <w:color w:val="auto"/>
        </w:rPr>
      </w:pPr>
    </w:p>
    <w:p>
      <w:pPr>
        <w:ind w:left="540" w:right="80" w:hanging="532"/>
        <w:spacing w:after="0" w:line="266" w:lineRule="auto"/>
        <w:tabs>
          <w:tab w:leader="none" w:pos="5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Tax</w:t>
      </w:r>
      <w:r>
        <w:rPr>
          <w:rFonts w:ascii="Arial" w:cs="Arial" w:eastAsia="Arial" w:hAnsi="Arial"/>
          <w:sz w:val="18"/>
          <w:szCs w:val="18"/>
          <w:color w:val="auto"/>
        </w:rPr>
        <w:t>” means the taxes or excises, imposed by any and all taxing authorities having jurisdiction, upon the Landlord and/or the owners of the Building based upon or computed by reference to the capital employed or invested by the Landlord and/or the owners of the Building in the Lands, the Building and improvements thereto.</w:t>
      </w:r>
    </w:p>
    <w:p>
      <w:pPr>
        <w:spacing w:after="0" w:line="81" w:lineRule="exact"/>
        <w:rPr>
          <w:rFonts w:ascii="Arial" w:cs="Arial" w:eastAsia="Arial" w:hAnsi="Arial"/>
          <w:sz w:val="18"/>
          <w:szCs w:val="18"/>
          <w:color w:val="auto"/>
        </w:rPr>
      </w:pPr>
    </w:p>
    <w:p>
      <w:pPr>
        <w:ind w:left="540" w:right="20" w:hanging="532"/>
        <w:spacing w:after="0" w:line="261" w:lineRule="auto"/>
        <w:tabs>
          <w:tab w:leader="none" w:pos="5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Areas</w:t>
      </w:r>
      <w:r>
        <w:rPr>
          <w:rFonts w:ascii="Arial" w:cs="Arial" w:eastAsia="Arial" w:hAnsi="Arial"/>
          <w:sz w:val="18"/>
          <w:szCs w:val="18"/>
          <w:color w:val="auto"/>
        </w:rPr>
        <w:t>” means all areas, facilities, fixtures, improvements and equipment of the Property of any nature whatsoever, servicing or benefiting the Lands and /or Building whether or not located upon or within the Lands or the Building and whether alone or in common with properties other than the Lands and the Building, including without limitation, the Common Lot. Landlord shall have the right to designate, amend and redesignate the Common Areas from time to time.,</w:t>
      </w:r>
    </w:p>
    <w:p>
      <w:pPr>
        <w:spacing w:after="0" w:line="85" w:lineRule="exact"/>
        <w:rPr>
          <w:rFonts w:ascii="Arial" w:cs="Arial" w:eastAsia="Arial" w:hAnsi="Arial"/>
          <w:sz w:val="18"/>
          <w:szCs w:val="18"/>
          <w:color w:val="auto"/>
        </w:rPr>
      </w:pPr>
    </w:p>
    <w:p>
      <w:pPr>
        <w:ind w:left="540" w:right="260" w:hanging="532"/>
        <w:spacing w:after="0" w:line="282" w:lineRule="auto"/>
        <w:tabs>
          <w:tab w:leader="none" w:pos="5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Lot</w:t>
      </w:r>
      <w:r>
        <w:rPr>
          <w:rFonts w:ascii="Arial" w:cs="Arial" w:eastAsia="Arial" w:hAnsi="Arial"/>
          <w:sz w:val="18"/>
          <w:szCs w:val="18"/>
          <w:color w:val="auto"/>
        </w:rPr>
        <w:t>” means the common portion created pursuant to the Co-Ownership Agreement currently designated as lot number I 165 610 of the Cadastre du Québec, Registration Division of Montréal.</w:t>
      </w:r>
    </w:p>
    <w:p>
      <w:pPr>
        <w:spacing w:after="0" w:line="67" w:lineRule="exact"/>
        <w:rPr>
          <w:rFonts w:ascii="Arial" w:cs="Arial" w:eastAsia="Arial" w:hAnsi="Arial"/>
          <w:sz w:val="18"/>
          <w:szCs w:val="18"/>
          <w:color w:val="auto"/>
        </w:rPr>
      </w:pPr>
    </w:p>
    <w:p>
      <w:pPr>
        <w:ind w:left="540" w:right="500" w:hanging="532"/>
        <w:spacing w:after="0" w:line="347" w:lineRule="auto"/>
        <w:tabs>
          <w:tab w:leader="none" w:pos="54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Co-Ownership Agreement</w:t>
      </w:r>
      <w:r>
        <w:rPr>
          <w:rFonts w:ascii="Arial" w:cs="Arial" w:eastAsia="Arial" w:hAnsi="Arial"/>
          <w:sz w:val="16"/>
          <w:szCs w:val="16"/>
          <w:color w:val="auto"/>
        </w:rPr>
        <w:t>” means the co-ownership agreement published at the Registry Office for the Registration Division of Montréal under number 4955809 and all modifications and/or amendments following publication of said Co-Ownership Agreement.</w:t>
      </w:r>
    </w:p>
    <w:p>
      <w:pPr>
        <w:spacing w:after="0" w:line="21" w:lineRule="exact"/>
        <w:rPr>
          <w:rFonts w:ascii="Arial" w:cs="Arial" w:eastAsia="Arial" w:hAnsi="Arial"/>
          <w:sz w:val="16"/>
          <w:szCs w:val="16"/>
          <w:color w:val="auto"/>
        </w:rPr>
      </w:pPr>
    </w:p>
    <w:p>
      <w:pPr>
        <w:ind w:left="540" w:hanging="532"/>
        <w:spacing w:after="0"/>
        <w:tabs>
          <w:tab w:leader="none" w:pos="540"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“HVAC System” has the meaning attributed to it under Section 5.04 of this Lease.</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Landlord’s Architect</w:t>
      </w:r>
      <w:r>
        <w:rPr>
          <w:rFonts w:ascii="Arial" w:cs="Arial" w:eastAsia="Arial" w:hAnsi="Arial"/>
          <w:sz w:val="18"/>
          <w:szCs w:val="18"/>
          <w:color w:val="auto"/>
        </w:rPr>
        <w:t>” means a qualified architect, engineer or land surveyor from time to time chosen by the Landlord.</w:t>
      </w:r>
    </w:p>
    <w:p>
      <w:pPr>
        <w:spacing w:after="0" w:line="130" w:lineRule="exact"/>
        <w:rPr>
          <w:rFonts w:ascii="Arial" w:cs="Arial" w:eastAsia="Arial" w:hAnsi="Arial"/>
          <w:sz w:val="18"/>
          <w:szCs w:val="18"/>
          <w:color w:val="auto"/>
        </w:rPr>
      </w:pPr>
    </w:p>
    <w:p>
      <w:pPr>
        <w:ind w:left="540" w:right="40" w:hanging="532"/>
        <w:spacing w:after="0" w:line="282" w:lineRule="auto"/>
        <w:tabs>
          <w:tab w:leader="none" w:pos="5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Lands</w:t>
      </w:r>
      <w:r>
        <w:rPr>
          <w:rFonts w:ascii="Arial" w:cs="Arial" w:eastAsia="Arial" w:hAnsi="Arial"/>
          <w:sz w:val="18"/>
          <w:szCs w:val="18"/>
          <w:color w:val="auto"/>
        </w:rPr>
        <w:t>” means the parcel of land described in Schedule “B” hereto as it may be added to or subtracted from and the boundaries thereof as varied from time to time.</w:t>
      </w:r>
    </w:p>
    <w:p>
      <w:pPr>
        <w:spacing w:after="0" w:line="98" w:lineRule="exact"/>
        <w:rPr>
          <w:rFonts w:ascii="Arial" w:cs="Arial" w:eastAsia="Arial" w:hAnsi="Arial"/>
          <w:sz w:val="18"/>
          <w:szCs w:val="18"/>
          <w:color w:val="auto"/>
        </w:rPr>
      </w:pPr>
    </w:p>
    <w:p>
      <w:pPr>
        <w:ind w:left="5040" w:hanging="106"/>
        <w:spacing w:after="0"/>
        <w:tabs>
          <w:tab w:leader="none" w:pos="504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0580"/>
          </w:cols>
          <w:pgMar w:left="860" w:top="270" w:right="459" w:bottom="1440" w:gutter="0" w:footer="0" w:header="0"/>
        </w:sectPr>
      </w:pPr>
    </w:p>
    <w:bookmarkStart w:id="466" w:name="page467"/>
    <w:bookmarkEnd w:id="466"/>
    <w:p>
      <w:pPr>
        <w:ind w:left="532" w:hanging="532"/>
        <w:spacing w:after="0" w:line="282" w:lineRule="auto"/>
        <w:tabs>
          <w:tab w:leader="none" w:pos="532" w:val="left"/>
        </w:tabs>
        <w:numPr>
          <w:ilvl w:val="0"/>
          <w:numId w:val="2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Lease</w:t>
      </w:r>
      <w:r>
        <w:rPr>
          <w:rFonts w:ascii="Arial" w:cs="Arial" w:eastAsia="Arial" w:hAnsi="Arial"/>
          <w:sz w:val="18"/>
          <w:szCs w:val="18"/>
          <w:color w:val="auto"/>
        </w:rPr>
        <w:t>” means this Lease and any schedules attached hereto and any amendments from time to time made to this Lease in accordance with the provisions herein set out.</w:t>
      </w:r>
    </w:p>
    <w:p>
      <w:pPr>
        <w:spacing w:after="0" w:line="67" w:lineRule="exact"/>
        <w:rPr>
          <w:rFonts w:ascii="Arial" w:cs="Arial" w:eastAsia="Arial" w:hAnsi="Arial"/>
          <w:sz w:val="18"/>
          <w:szCs w:val="18"/>
          <w:color w:val="auto"/>
        </w:rPr>
      </w:pPr>
    </w:p>
    <w:p>
      <w:pPr>
        <w:ind w:left="532" w:hanging="532"/>
        <w:spacing w:after="0" w:line="266" w:lineRule="auto"/>
        <w:tabs>
          <w:tab w:leader="none" w:pos="532"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“Leased Premises” means that certain space located in the Building comprising approximately 9,394 square feet of rentable area as shown outlined in red on the plan annexed hereto as Schedule “A”, subject to the area measurement in accordance with the provisions of Section 2.03 of the Lease.</w:t>
      </w:r>
    </w:p>
    <w:p>
      <w:pPr>
        <w:spacing w:after="0" w:line="81" w:lineRule="exact"/>
        <w:rPr>
          <w:rFonts w:ascii="Arial" w:cs="Arial" w:eastAsia="Arial" w:hAnsi="Arial"/>
          <w:sz w:val="18"/>
          <w:szCs w:val="18"/>
          <w:color w:val="auto"/>
        </w:rPr>
      </w:pPr>
    </w:p>
    <w:p>
      <w:pPr>
        <w:ind w:left="532" w:right="500" w:hanging="532"/>
        <w:spacing w:after="0" w:line="282" w:lineRule="auto"/>
        <w:tabs>
          <w:tab w:leader="none" w:pos="53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Leasehold Improvements</w:t>
      </w:r>
      <w:r>
        <w:rPr>
          <w:rFonts w:ascii="Arial" w:cs="Arial" w:eastAsia="Arial" w:hAnsi="Arial"/>
          <w:sz w:val="18"/>
          <w:szCs w:val="18"/>
          <w:color w:val="auto"/>
        </w:rPr>
        <w:t>” means all fixtures (save for trade fixtures) installations, additions, improvements and alterations made, erected or installed in or on the Leased Premises by or on behalf of the Tenant.</w:t>
      </w:r>
    </w:p>
    <w:p>
      <w:pPr>
        <w:spacing w:after="0" w:line="67" w:lineRule="exact"/>
        <w:rPr>
          <w:rFonts w:ascii="Arial" w:cs="Arial" w:eastAsia="Arial" w:hAnsi="Arial"/>
          <w:sz w:val="18"/>
          <w:szCs w:val="18"/>
          <w:color w:val="auto"/>
        </w:rPr>
      </w:pPr>
    </w:p>
    <w:p>
      <w:pPr>
        <w:ind w:left="532" w:hanging="532"/>
        <w:spacing w:after="0"/>
        <w:tabs>
          <w:tab w:leader="none" w:pos="53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Movable Hypothec Amount</w:t>
      </w:r>
      <w:r>
        <w:rPr>
          <w:rFonts w:ascii="Arial" w:cs="Arial" w:eastAsia="Arial" w:hAnsi="Arial"/>
          <w:sz w:val="18"/>
          <w:szCs w:val="18"/>
          <w:color w:val="auto"/>
        </w:rPr>
        <w:t xml:space="preserve">”: </w:t>
      </w:r>
      <w:r>
        <w:rPr>
          <w:rFonts w:ascii="Arial" w:cs="Arial" w:eastAsia="Arial" w:hAnsi="Arial"/>
          <w:sz w:val="18"/>
          <w:szCs w:val="18"/>
          <w:b w:val="1"/>
          <w:bCs w:val="1"/>
          <w:color w:val="auto"/>
        </w:rPr>
        <w:t>N/A</w:t>
      </w:r>
    </w:p>
    <w:p>
      <w:pPr>
        <w:spacing w:after="0" w:line="130" w:lineRule="exact"/>
        <w:rPr>
          <w:rFonts w:ascii="Arial" w:cs="Arial" w:eastAsia="Arial" w:hAnsi="Arial"/>
          <w:sz w:val="18"/>
          <w:szCs w:val="18"/>
          <w:color w:val="auto"/>
        </w:rPr>
      </w:pPr>
    </w:p>
    <w:p>
      <w:pPr>
        <w:ind w:left="532" w:right="340" w:hanging="532"/>
        <w:spacing w:after="0" w:line="282" w:lineRule="auto"/>
        <w:tabs>
          <w:tab w:leader="none" w:pos="53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Normal Business Hours</w:t>
      </w:r>
      <w:r>
        <w:rPr>
          <w:rFonts w:ascii="Arial" w:cs="Arial" w:eastAsia="Arial" w:hAnsi="Arial"/>
          <w:sz w:val="18"/>
          <w:szCs w:val="18"/>
          <w:color w:val="auto"/>
        </w:rPr>
        <w:t>” means 8:00 a.m. to 6:00 p.m. Monday through Friday (but excluding Saturdays, Sundays and holidays), as such hours may be varied by the Landlord from time to time.</w:t>
      </w:r>
    </w:p>
    <w:p>
      <w:pPr>
        <w:spacing w:after="0" w:line="67" w:lineRule="exact"/>
        <w:rPr>
          <w:rFonts w:ascii="Arial" w:cs="Arial" w:eastAsia="Arial" w:hAnsi="Arial"/>
          <w:sz w:val="18"/>
          <w:szCs w:val="18"/>
          <w:color w:val="auto"/>
        </w:rPr>
      </w:pPr>
    </w:p>
    <w:p>
      <w:pPr>
        <w:ind w:left="532" w:hanging="532"/>
        <w:spacing w:after="0"/>
        <w:tabs>
          <w:tab w:leader="none" w:pos="532"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“Occupancy Date” has the meaning ascribed to it under paragraph 2.0 of Schedule “F” of this Lease.</w:t>
      </w:r>
    </w:p>
    <w:p>
      <w:pPr>
        <w:spacing w:after="0" w:line="130" w:lineRule="exact"/>
        <w:rPr>
          <w:rFonts w:ascii="Arial" w:cs="Arial" w:eastAsia="Arial" w:hAnsi="Arial"/>
          <w:sz w:val="18"/>
          <w:szCs w:val="18"/>
          <w:color w:val="auto"/>
        </w:rPr>
      </w:pPr>
    </w:p>
    <w:p>
      <w:pPr>
        <w:ind w:left="532" w:hanging="532"/>
        <w:spacing w:after="0" w:line="286" w:lineRule="auto"/>
        <w:tabs>
          <w:tab w:leader="none" w:pos="53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Costs</w:t>
      </w:r>
      <w:r>
        <w:rPr>
          <w:rFonts w:ascii="Arial" w:cs="Arial" w:eastAsia="Arial" w:hAnsi="Arial"/>
          <w:sz w:val="16"/>
          <w:szCs w:val="16"/>
          <w:color w:val="auto"/>
        </w:rPr>
        <w:t>” means the aggregate of all costs, expenses or amounts incurred, whether by the Landlord or others on behalf of the Landlord in connection with the complete maintenance, operation, insuring, management, replacement and repair of the Property and all components thereof and all other buildings and improvements of the Landlord thereon or therein including, without limitation, such costs where incurred by the Landlord in order to comply with all statutes, by-laws, laws, regulations, ordinances and orders from time to time or at any time in force during the Term, as well as the any portion of the costs, expenses or amounts incurred for the complete maintenance, operation, insuring, management, replacement and repair of the Common Lot as may be reasonably be allocated by the Landlord. Without limiting the generality of the foregoing and without duplication, Operating Costs will include: repairs and replacements to the structure and roof of the Building, the costs of any heating, ventilating and air-conditioning or other equipment and fuel, energy and other costs of providing heat, ventilating and air-conditioning; all expenditures made by the Landlord in an effort to promote energy conservation as set out in Section 8.08 of this Lease; the cost of operating and maintaining elevators; the cost of providing hot and cold water; depreciation (in accordance with generally accepted accounting principles from time to time) of all capital and maintenance equipment which by its nature requires periodic replacement including, but not limited to all heating, ventilating and air-conditioning equipment together with interest at a rate equal to the average prime rate of interest from time to time charged to the Landlord by the chartered bank of the Landlord on the undepreciated capital cost of all such items being depreciated (provided that, when any such item is replaced or substantially repaired, only the undepreciated amount of the excess cost incurred may be included as part of the</w:t>
      </w:r>
    </w:p>
    <w:p>
      <w:pPr>
        <w:spacing w:after="0" w:line="103" w:lineRule="exact"/>
        <w:rPr>
          <w:rFonts w:ascii="Arial" w:cs="Arial" w:eastAsia="Arial" w:hAnsi="Arial"/>
          <w:sz w:val="16"/>
          <w:szCs w:val="16"/>
          <w:color w:val="auto"/>
        </w:rPr>
      </w:pPr>
    </w:p>
    <w:p>
      <w:pPr>
        <w:ind w:left="5032" w:hanging="106"/>
        <w:spacing w:after="0"/>
        <w:tabs>
          <w:tab w:leader="none" w:pos="503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572"/>
          </w:cols>
          <w:pgMar w:left="868" w:top="270" w:right="459" w:bottom="1440" w:gutter="0" w:footer="0" w:header="0"/>
        </w:sectPr>
      </w:pPr>
    </w:p>
    <w:bookmarkStart w:id="467" w:name="page468"/>
    <w:bookmarkEnd w:id="467"/>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costs hereunder or the Landlord may establish a new depreciation rate over the useful life of such item); the cost of utilities including but not limited to lighting not otherwise charged to tenants; the cost of snow, ice and refuse clearance and removal, landscape maintenance; window cleaning; Capital Tax; the cost of all insurance including but not limited to “all risks” property insurance (including but not limited to flood and earthquake), boiler and machinery, liability and other casualties and loss of rental income insurance, the amount of the deductible portion of any insurance policy in the event of any claim thereunder and the cost of independent adjusters and consultants retained by the Landlord with respect to such insurance; accounting costs incurred in connection with preparation of statements and opinions for tenants; the cost of providing security services; the cost of consultants retained with the intent of saving or reducing costs; the cost of any contest or appeal of realty taxes; the cost of all rental equipment and building supplies used by the Landlord for all such operations and maintenance or any other purpose; the cost of operating the management office on the Property (as applicable); amounts paid on service contracts; the amount of all salaries, wages and benefits paid to or on behalf of persons engaged in cleaning, supervision, maintenance, operation, management and repair; any business taxes which may be imposed on the Landlord by reason of its operation of the Property or parts thereof; and a management fee equal to fifteen percent (I 5%) of the aggregate of the Operating Costs (such </w:t>
      </w:r>
      <w:r>
        <w:rPr>
          <w:rFonts w:ascii="Arial" w:cs="Arial" w:eastAsia="Arial" w:hAnsi="Arial"/>
          <w:sz w:val="17"/>
          <w:szCs w:val="17"/>
          <w:b w:val="1"/>
          <w:bCs w:val="1"/>
          <w:color w:val="auto"/>
        </w:rPr>
        <w:t>management fee shall not be deemed to be a duplication and is included in the estimated cost mentioned in Section 4.02, paragraph 3</w:t>
      </w:r>
      <w:r>
        <w:rPr>
          <w:rFonts w:ascii="Arial" w:cs="Arial" w:eastAsia="Arial" w:hAnsi="Arial"/>
          <w:sz w:val="17"/>
          <w:szCs w:val="17"/>
          <w:color w:val="auto"/>
        </w:rPr>
        <w:t>).</w:t>
      </w:r>
    </w:p>
    <w:p>
      <w:pPr>
        <w:spacing w:after="0" w:line="7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computing Operating Costs there shall be credited as a deduction the amounts of proceeds of insurance actually recovered by the Landlord in respect of the cost of repairs of such damage included in Operating Costs.</w:t>
      </w:r>
    </w:p>
    <w:p>
      <w:pPr>
        <w:spacing w:after="0" w:line="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Operating Costs shall not include interest on Landlord’s debt or capital retirement of debt or amounts directly chargeable to capital account, save as otherwise herein provided for.</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Any report of the Landlord’s auditor or other public accountant appointed by the Landlord for the purpose shall be conclusive as to the amount of Operating Costs for any period to which such report relates.</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less than 100% of the Building is occupied by tenants, then those components of Operating Costs which vary according to the degree of occupancy of the Building shall be deemed to be increased to an amount as estimated by the Landlord, acting reasonably, which would have been incurred had 100% of the Building been occupied by tenants throughout the entire period for which Operating Costs are being calculated.</w:t>
      </w:r>
    </w:p>
    <w:p>
      <w:pPr>
        <w:spacing w:after="0" w:line="7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Any operating cost expenditure may be expensed in the year incurred, save and except that only an amortized portion of the cost of major capital repairs and replacements (plus interest at the rate equal to the prime rate of the Landlord’s bank plus 2% per annum thereon) shall be included in Operating Costs in any single year, such costs to be in accordance with industry standards as determined by the Landlord and to be amortized over the Landlord’s reasonable estimate of the economic life thereof.</w:t>
      </w:r>
    </w:p>
    <w:p>
      <w:pPr>
        <w:spacing w:after="0" w:line="10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020"/>
          </w:cols>
          <w:pgMar w:left="1420" w:top="274" w:right="459" w:bottom="1440" w:gutter="0" w:footer="0" w:header="0"/>
        </w:sectPr>
      </w:pPr>
    </w:p>
    <w:bookmarkStart w:id="468" w:name="page469"/>
    <w:bookmarkEnd w:id="468"/>
    <w:p>
      <w:pPr>
        <w:ind w:left="532" w:right="180" w:hanging="532"/>
        <w:spacing w:after="0" w:line="282" w:lineRule="auto"/>
        <w:tabs>
          <w:tab w:leader="none" w:pos="532" w:val="left"/>
        </w:tabs>
        <w:numPr>
          <w:ilvl w:val="0"/>
          <w:numId w:val="2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Project</w:t>
      </w:r>
      <w:r>
        <w:rPr>
          <w:rFonts w:ascii="Arial" w:cs="Arial" w:eastAsia="Arial" w:hAnsi="Arial"/>
          <w:sz w:val="18"/>
          <w:szCs w:val="18"/>
          <w:color w:val="auto"/>
        </w:rPr>
        <w:t>” means the immoveable property held in divided co-ownership pursuant to the Co-Ownership Agreement, the whole as may be modified from time to time.</w:t>
      </w:r>
    </w:p>
    <w:p>
      <w:pPr>
        <w:spacing w:after="0" w:line="67" w:lineRule="exact"/>
        <w:rPr>
          <w:rFonts w:ascii="Arial" w:cs="Arial" w:eastAsia="Arial" w:hAnsi="Arial"/>
          <w:sz w:val="18"/>
          <w:szCs w:val="18"/>
          <w:color w:val="auto"/>
        </w:rPr>
      </w:pPr>
    </w:p>
    <w:p>
      <w:pPr>
        <w:ind w:left="532" w:right="740" w:hanging="532"/>
        <w:spacing w:after="0" w:line="282" w:lineRule="auto"/>
        <w:tabs>
          <w:tab w:leader="none" w:pos="53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(i) the Lands, (ii) all buildings and improvements thereon including the Building, and (iii) the Common Areas (excluding the Common Lot), the whole as may be modified from time to time.</w:t>
      </w:r>
    </w:p>
    <w:p>
      <w:pPr>
        <w:spacing w:after="0" w:line="67" w:lineRule="exact"/>
        <w:rPr>
          <w:rFonts w:ascii="Arial" w:cs="Arial" w:eastAsia="Arial" w:hAnsi="Arial"/>
          <w:sz w:val="18"/>
          <w:szCs w:val="18"/>
          <w:color w:val="auto"/>
        </w:rPr>
      </w:pPr>
    </w:p>
    <w:p>
      <w:pPr>
        <w:ind w:left="532" w:right="320" w:hanging="532"/>
        <w:spacing w:after="0" w:line="261" w:lineRule="auto"/>
        <w:tabs>
          <w:tab w:leader="none" w:pos="53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Proportionate Share</w:t>
      </w:r>
      <w:r>
        <w:rPr>
          <w:rFonts w:ascii="Arial" w:cs="Arial" w:eastAsia="Arial" w:hAnsi="Arial"/>
          <w:sz w:val="18"/>
          <w:szCs w:val="18"/>
          <w:color w:val="auto"/>
        </w:rPr>
        <w:t>” means that fraction having as its numerator the Rentable Area of the Leased Premises and having as its denominator the Rentable Area of the Property, provided that the Landlord shall be entitled, acting reasonably and equitably, to change adjust such fraction in the event the Landlord determines the Tenant is receiving a greater or lesser benefit than any other tenant(s) or occupant(s) of any service or area.</w:t>
      </w:r>
    </w:p>
    <w:p>
      <w:pPr>
        <w:spacing w:after="0" w:line="85" w:lineRule="exact"/>
        <w:rPr>
          <w:rFonts w:ascii="Arial" w:cs="Arial" w:eastAsia="Arial" w:hAnsi="Arial"/>
          <w:sz w:val="18"/>
          <w:szCs w:val="18"/>
          <w:color w:val="auto"/>
        </w:rPr>
      </w:pPr>
    </w:p>
    <w:p>
      <w:pPr>
        <w:ind w:left="532" w:hanging="532"/>
        <w:spacing w:after="0"/>
        <w:tabs>
          <w:tab w:leader="none" w:pos="53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Rent</w:t>
      </w:r>
      <w:r>
        <w:rPr>
          <w:rFonts w:ascii="Arial" w:cs="Arial" w:eastAsia="Arial" w:hAnsi="Arial"/>
          <w:sz w:val="18"/>
          <w:szCs w:val="18"/>
          <w:color w:val="auto"/>
        </w:rPr>
        <w:t>” means Basic Rent and Additional Rent.</w:t>
      </w:r>
    </w:p>
    <w:p>
      <w:pPr>
        <w:spacing w:after="0" w:line="130" w:lineRule="exact"/>
        <w:rPr>
          <w:rFonts w:ascii="Arial" w:cs="Arial" w:eastAsia="Arial" w:hAnsi="Arial"/>
          <w:sz w:val="18"/>
          <w:szCs w:val="18"/>
          <w:color w:val="auto"/>
        </w:rPr>
      </w:pPr>
    </w:p>
    <w:p>
      <w:pPr>
        <w:ind w:left="532" w:hanging="532"/>
        <w:spacing w:after="0" w:line="261" w:lineRule="auto"/>
        <w:tabs>
          <w:tab w:leader="none" w:pos="53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Rentable Area of the Property</w:t>
      </w:r>
      <w:r>
        <w:rPr>
          <w:rFonts w:ascii="Arial" w:cs="Arial" w:eastAsia="Arial" w:hAnsi="Arial"/>
          <w:sz w:val="18"/>
          <w:szCs w:val="18"/>
          <w:color w:val="auto"/>
        </w:rPr>
        <w:t xml:space="preserve"> “ means the area of all premises in the buildings on the Property which premises are intended to be leased by the Landlord from time to time measured in accordance in </w:t>
      </w:r>
      <w:r>
        <w:rPr>
          <w:rFonts w:ascii="Arial" w:cs="Arial" w:eastAsia="Arial" w:hAnsi="Arial"/>
          <w:sz w:val="18"/>
          <w:szCs w:val="18"/>
          <w:b w:val="1"/>
          <w:bCs w:val="1"/>
          <w:color w:val="auto"/>
        </w:rPr>
        <w:t>accordance with BOMA 1996 standards of measurement for office</w:t>
      </w:r>
      <w:r>
        <w:rPr>
          <w:rFonts w:ascii="Arial" w:cs="Arial" w:eastAsia="Arial" w:hAnsi="Arial"/>
          <w:sz w:val="18"/>
          <w:szCs w:val="18"/>
          <w:color w:val="auto"/>
        </w:rPr>
        <w:t xml:space="preserve"> </w:t>
      </w:r>
      <w:r>
        <w:rPr>
          <w:rFonts w:ascii="Arial" w:cs="Arial" w:eastAsia="Arial" w:hAnsi="Arial"/>
          <w:sz w:val="18"/>
          <w:szCs w:val="18"/>
          <w:b w:val="1"/>
          <w:bCs w:val="1"/>
          <w:color w:val="auto"/>
        </w:rPr>
        <w:t>buildings or with an industry standard system of measurement for similar use buildings at the time of such measurement, as determined by the Landlord, acting reasonably.</w:t>
      </w:r>
    </w:p>
    <w:p>
      <w:pPr>
        <w:spacing w:after="0" w:line="85" w:lineRule="exact"/>
        <w:rPr>
          <w:rFonts w:ascii="Arial" w:cs="Arial" w:eastAsia="Arial" w:hAnsi="Arial"/>
          <w:sz w:val="18"/>
          <w:szCs w:val="18"/>
          <w:color w:val="auto"/>
        </w:rPr>
      </w:pPr>
    </w:p>
    <w:p>
      <w:pPr>
        <w:ind w:left="532" w:right="280" w:hanging="532"/>
        <w:spacing w:after="0" w:line="282" w:lineRule="auto"/>
        <w:tabs>
          <w:tab w:leader="none" w:pos="53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Rentable Area of the Leased Premises</w:t>
      </w:r>
      <w:r>
        <w:rPr>
          <w:rFonts w:ascii="Arial" w:cs="Arial" w:eastAsia="Arial" w:hAnsi="Arial"/>
          <w:sz w:val="18"/>
          <w:szCs w:val="18"/>
          <w:color w:val="auto"/>
        </w:rPr>
        <w:t>” means the rentable area of the Leased Premises determined in accordance with BOMA 1996 standards of measurement for office buildings.</w:t>
      </w:r>
    </w:p>
    <w:p>
      <w:pPr>
        <w:spacing w:after="0" w:line="67" w:lineRule="exact"/>
        <w:rPr>
          <w:rFonts w:ascii="Arial" w:cs="Arial" w:eastAsia="Arial" w:hAnsi="Arial"/>
          <w:sz w:val="18"/>
          <w:szCs w:val="18"/>
          <w:color w:val="auto"/>
        </w:rPr>
      </w:pPr>
    </w:p>
    <w:p>
      <w:pPr>
        <w:ind w:left="532" w:right="340" w:hanging="532"/>
        <w:spacing w:after="0" w:line="282" w:lineRule="auto"/>
        <w:tabs>
          <w:tab w:leader="none" w:pos="53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 and Regulations</w:t>
      </w:r>
      <w:r>
        <w:rPr>
          <w:rFonts w:ascii="Arial" w:cs="Arial" w:eastAsia="Arial" w:hAnsi="Arial"/>
          <w:sz w:val="18"/>
          <w:szCs w:val="18"/>
          <w:color w:val="auto"/>
        </w:rPr>
        <w:t>” means those rules and regulations attached to this Lease and any additional rules and regulations made from time to time in accordance with Section 8.02 of this Lease.</w:t>
      </w:r>
    </w:p>
    <w:p>
      <w:pPr>
        <w:spacing w:after="0" w:line="67" w:lineRule="exact"/>
        <w:rPr>
          <w:rFonts w:ascii="Arial" w:cs="Arial" w:eastAsia="Arial" w:hAnsi="Arial"/>
          <w:sz w:val="18"/>
          <w:szCs w:val="18"/>
          <w:color w:val="auto"/>
        </w:rPr>
      </w:pPr>
    </w:p>
    <w:p>
      <w:pPr>
        <w:ind w:left="532" w:right="40" w:hanging="532"/>
        <w:spacing w:after="0" w:line="291" w:lineRule="auto"/>
        <w:tabs>
          <w:tab w:leader="none" w:pos="532" w:val="left"/>
        </w:tabs>
        <w:numPr>
          <w:ilvl w:val="0"/>
          <w:numId w:val="2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Taxes</w:t>
      </w:r>
      <w:r>
        <w:rPr>
          <w:rFonts w:ascii="Arial" w:cs="Arial" w:eastAsia="Arial" w:hAnsi="Arial"/>
          <w:sz w:val="16"/>
          <w:szCs w:val="16"/>
          <w:color w:val="auto"/>
        </w:rPr>
        <w:t>” means all taxes, rates, duties, levies and assessments whatsoever (imposed by any and all taxing authorities having jurisdiction) levied, charged or assessed upon the Property and upon any part or parts thereof and all improvements now or hereafter erected or placed thereon, or charged against the Landlord on account thereof, including but not limited to local improvement charges (but excluding profit and excess profit taxes and taxes assessed upon the income of the Landlord). In addition to the foregoing, Taxes shall include any and all taxes, charges, levies or assessments which may in the future be levied, charged or assessed in lieu thereof or in addition thereto. Taxes shall also include all costs and expenses incurred by the Landlord in obtaining or attempting to obtain a reduction or prevent an increase in the amount thereof and the cost of all consultants, solicitors and accountants retained by the Landlord with respect thereto. Taxes shall also include the Property’s share of Taxes on the Common Lot as allocated by the Landlord, acting reasonably.</w:t>
      </w:r>
    </w:p>
    <w:p>
      <w:pPr>
        <w:spacing w:after="0" w:line="95" w:lineRule="exact"/>
        <w:rPr>
          <w:rFonts w:ascii="Arial" w:cs="Arial" w:eastAsia="Arial" w:hAnsi="Arial"/>
          <w:sz w:val="16"/>
          <w:szCs w:val="16"/>
          <w:color w:val="auto"/>
        </w:rPr>
      </w:pPr>
    </w:p>
    <w:p>
      <w:pPr>
        <w:ind w:left="5032" w:hanging="106"/>
        <w:spacing w:after="0"/>
        <w:tabs>
          <w:tab w:leader="none" w:pos="5032" w:val="left"/>
        </w:tabs>
        <w:numPr>
          <w:ilvl w:val="1"/>
          <w:numId w:val="288"/>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572"/>
          </w:cols>
          <w:pgMar w:left="868" w:top="270" w:right="459" w:bottom="1440" w:gutter="0" w:footer="0" w:header="0"/>
        </w:sectPr>
      </w:pPr>
    </w:p>
    <w:bookmarkStart w:id="469" w:name="page470"/>
    <w:bookmarkEnd w:id="469"/>
    <w:p>
      <w:pPr>
        <w:ind w:left="532" w:hanging="532"/>
        <w:spacing w:after="0" w:line="282" w:lineRule="auto"/>
        <w:tabs>
          <w:tab w:leader="none" w:pos="532" w:val="left"/>
        </w:tabs>
        <w:numPr>
          <w:ilvl w:val="0"/>
          <w:numId w:val="2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Term</w:t>
      </w:r>
      <w:r>
        <w:rPr>
          <w:rFonts w:ascii="Arial" w:cs="Arial" w:eastAsia="Arial" w:hAnsi="Arial"/>
          <w:sz w:val="18"/>
          <w:szCs w:val="18"/>
          <w:color w:val="auto"/>
        </w:rPr>
        <w:t>” means that period of time set out in Section 1.03 of this Lease (and any and all extensions or renewals thereof, as may be applicable).</w:t>
      </w:r>
    </w:p>
    <w:p>
      <w:pPr>
        <w:spacing w:after="0" w:line="67" w:lineRule="exact"/>
        <w:rPr>
          <w:sz w:val="20"/>
          <w:szCs w:val="20"/>
          <w:color w:val="auto"/>
        </w:rPr>
      </w:pPr>
    </w:p>
    <w:p>
      <w:pPr>
        <w:ind w:left="532" w:hanging="532"/>
        <w:spacing w:after="0"/>
        <w:tabs>
          <w:tab w:leader="none" w:pos="532"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has the meaning ascribed thereto in paragraph (a) of Section 7.01 of this Lease.</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w:t>
      </w:r>
      <w:r>
        <w:rPr>
          <w:rFonts w:ascii="Arial" w:cs="Arial" w:eastAsia="Arial" w:hAnsi="Arial"/>
          <w:sz w:val="18"/>
          <w:szCs w:val="18"/>
          <w:color w:val="auto"/>
        </w:rPr>
        <w:t>” has the meaning ascribed thereto in paragraph (a) of Section 7.01 of this Lease.</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Year</w:t>
      </w:r>
      <w:r>
        <w:rPr>
          <w:rFonts w:ascii="Arial" w:cs="Arial" w:eastAsia="Arial" w:hAnsi="Arial"/>
          <w:sz w:val="18"/>
          <w:szCs w:val="18"/>
          <w:color w:val="auto"/>
        </w:rPr>
        <w:t>” means each calendar year, the whole or part of which is included within the Term.</w:t>
      </w:r>
    </w:p>
    <w:p>
      <w:pPr>
        <w:spacing w:after="0" w:line="161" w:lineRule="exact"/>
        <w:rPr>
          <w:rFonts w:ascii="Arial" w:cs="Arial" w:eastAsia="Arial" w:hAnsi="Arial"/>
          <w:sz w:val="18"/>
          <w:szCs w:val="18"/>
          <w:color w:val="auto"/>
        </w:rPr>
      </w:pPr>
    </w:p>
    <w:p>
      <w:pPr>
        <w:ind w:left="5032" w:hanging="106"/>
        <w:spacing w:after="0"/>
        <w:tabs>
          <w:tab w:leader="none" w:pos="5032" w:val="left"/>
        </w:tabs>
        <w:numPr>
          <w:ilvl w:val="1"/>
          <w:numId w:val="290"/>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9852"/>
          </w:cols>
          <w:pgMar w:left="868" w:top="270" w:right="1179" w:bottom="1440" w:gutter="0" w:footer="0" w:header="0"/>
        </w:sectPr>
      </w:pPr>
    </w:p>
    <w:bookmarkStart w:id="470" w:name="page471"/>
    <w:bookmarkEnd w:id="470"/>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LANDLORD’S WORK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Tenant agrees to accept the Leased Premises in their current state and on an “as-is” basis, subject only to the Landlord’s Work below.</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Landlord shall, at its sole cost and expense, effect the following work in the Leased Premises (“Landlord’s Work”) in accordance with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standards:</w:t>
      </w:r>
    </w:p>
    <w:p>
      <w:pPr>
        <w:spacing w:after="0" w:line="112" w:lineRule="exact"/>
        <w:rPr>
          <w:sz w:val="20"/>
          <w:szCs w:val="20"/>
          <w:color w:val="auto"/>
        </w:rPr>
      </w:pPr>
    </w:p>
    <w:p>
      <w:pPr>
        <w:ind w:left="1420" w:right="300" w:hanging="439"/>
        <w:spacing w:after="0" w:line="282" w:lineRule="auto"/>
        <w:tabs>
          <w:tab w:leader="none" w:pos="1420" w:val="left"/>
        </w:tabs>
        <w:numPr>
          <w:ilvl w:val="0"/>
          <w:numId w:val="291"/>
        </w:numPr>
        <w:rPr>
          <w:rFonts w:ascii="Arial" w:cs="Arial" w:eastAsia="Arial" w:hAnsi="Arial"/>
          <w:sz w:val="18"/>
          <w:szCs w:val="18"/>
          <w:color w:val="auto"/>
        </w:rPr>
      </w:pPr>
      <w:r>
        <w:rPr>
          <w:rFonts w:ascii="Arial" w:cs="Arial" w:eastAsia="Arial" w:hAnsi="Arial"/>
          <w:sz w:val="18"/>
          <w:szCs w:val="18"/>
          <w:b w:val="1"/>
          <w:bCs w:val="1"/>
          <w:color w:val="auto"/>
        </w:rPr>
        <w:t>remove the existing fire doors and seal the door shown approximately outlined in green on the plan attached as Schedule “D-1” hereto in accordance with the National Building Code;</w:t>
      </w:r>
    </w:p>
    <w:p>
      <w:pPr>
        <w:spacing w:after="0" w:line="67" w:lineRule="exact"/>
        <w:rPr>
          <w:rFonts w:ascii="Arial" w:cs="Arial" w:eastAsia="Arial" w:hAnsi="Arial"/>
          <w:sz w:val="18"/>
          <w:szCs w:val="18"/>
          <w:color w:val="auto"/>
        </w:rPr>
      </w:pPr>
    </w:p>
    <w:p>
      <w:pPr>
        <w:ind w:left="1420" w:hanging="439"/>
        <w:spacing w:after="0" w:line="266" w:lineRule="auto"/>
        <w:tabs>
          <w:tab w:leader="none" w:pos="1420" w:val="left"/>
        </w:tabs>
        <w:numPr>
          <w:ilvl w:val="0"/>
          <w:numId w:val="291"/>
        </w:numPr>
        <w:rPr>
          <w:rFonts w:ascii="Arial" w:cs="Arial" w:eastAsia="Arial" w:hAnsi="Arial"/>
          <w:sz w:val="18"/>
          <w:szCs w:val="18"/>
          <w:color w:val="auto"/>
        </w:rPr>
      </w:pPr>
      <w:r>
        <w:rPr>
          <w:rFonts w:ascii="Arial" w:cs="Arial" w:eastAsia="Arial" w:hAnsi="Arial"/>
          <w:sz w:val="18"/>
          <w:szCs w:val="18"/>
          <w:b w:val="1"/>
          <w:bCs w:val="1"/>
          <w:color w:val="auto"/>
        </w:rPr>
        <w:t>ensure that all demising wall(s) between the Leased Premises and any Common Areas as well as all demising wall(s) between the Leased Premises and any other space in the Building (vacant or leased) are built up to the ceiling slab and insulated throughout with sound insulating mineral wool;</w:t>
      </w:r>
    </w:p>
    <w:p>
      <w:pPr>
        <w:spacing w:after="0" w:line="81" w:lineRule="exact"/>
        <w:rPr>
          <w:rFonts w:ascii="Arial" w:cs="Arial" w:eastAsia="Arial" w:hAnsi="Arial"/>
          <w:sz w:val="18"/>
          <w:szCs w:val="18"/>
          <w:color w:val="auto"/>
        </w:rPr>
      </w:pPr>
    </w:p>
    <w:p>
      <w:pPr>
        <w:ind w:left="1420" w:hanging="439"/>
        <w:spacing w:after="0"/>
        <w:tabs>
          <w:tab w:leader="none" w:pos="1420" w:val="left"/>
        </w:tabs>
        <w:numPr>
          <w:ilvl w:val="0"/>
          <w:numId w:val="291"/>
        </w:numPr>
        <w:rPr>
          <w:rFonts w:ascii="Arial" w:cs="Arial" w:eastAsia="Arial" w:hAnsi="Arial"/>
          <w:sz w:val="18"/>
          <w:szCs w:val="18"/>
          <w:color w:val="auto"/>
        </w:rPr>
      </w:pPr>
      <w:r>
        <w:rPr>
          <w:rFonts w:ascii="Arial" w:cs="Arial" w:eastAsia="Arial" w:hAnsi="Arial"/>
          <w:sz w:val="18"/>
          <w:szCs w:val="18"/>
          <w:b w:val="1"/>
          <w:bCs w:val="1"/>
          <w:color w:val="auto"/>
        </w:rPr>
        <w:t>ensure that the HVAC Systems are in good working order;</w:t>
      </w:r>
    </w:p>
    <w:p>
      <w:pPr>
        <w:spacing w:after="0" w:line="117" w:lineRule="exact"/>
        <w:rPr>
          <w:sz w:val="20"/>
          <w:szCs w:val="20"/>
          <w:color w:val="auto"/>
        </w:rPr>
      </w:pPr>
    </w:p>
    <w:p>
      <w:pPr>
        <w:jc w:val="both"/>
        <w:ind w:left="980" w:right="40"/>
        <w:spacing w:after="0" w:line="266" w:lineRule="auto"/>
        <w:rPr>
          <w:sz w:val="20"/>
          <w:szCs w:val="20"/>
          <w:color w:val="auto"/>
        </w:rPr>
      </w:pPr>
      <w:r>
        <w:rPr>
          <w:rFonts w:ascii="Arial" w:cs="Arial" w:eastAsia="Arial" w:hAnsi="Arial"/>
          <w:sz w:val="18"/>
          <w:szCs w:val="18"/>
          <w:b w:val="1"/>
          <w:bCs w:val="1"/>
          <w:color w:val="auto"/>
        </w:rPr>
        <w:t>In addition, the Landlord shall ensure that during the Term and any extension thereof, the Building, including without limitation, the emergency exits and the fire protections equipment, are in conformity with all laws then in force provided that such items are the Landlords responsibility under the Lease.</w:t>
      </w:r>
    </w:p>
    <w:p>
      <w:pPr>
        <w:sectPr>
          <w:pgSz w:w="11900" w:h="16838" w:orient="portrait"/>
          <w:cols w:equalWidth="0" w:num="1">
            <w:col w:w="10940"/>
          </w:cols>
          <w:pgMar w:left="440" w:top="270" w:right="519" w:bottom="1440" w:gutter="0" w:footer="0" w:header="0"/>
        </w:sectPr>
      </w:pPr>
    </w:p>
    <w:bookmarkStart w:id="471" w:name="page472"/>
    <w:bookmarkEnd w:id="47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“D-1”</w:t>
      </w:r>
    </w:p>
    <w:p>
      <w:pPr>
        <w:sectPr>
          <w:pgSz w:w="11900" w:h="16838" w:orient="portrait"/>
          <w:cols w:equalWidth="0" w:num="1">
            <w:col w:w="9019"/>
          </w:cols>
          <w:pgMar w:left="1440" w:top="270"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[FLOOR PLAN]</w:t>
      </w:r>
    </w:p>
    <w:p>
      <w:pPr>
        <w:sectPr>
          <w:pgSz w:w="11900" w:h="16838" w:orient="portrait"/>
          <w:cols w:equalWidth="0" w:num="1">
            <w:col w:w="9019"/>
          </w:cols>
          <w:pgMar w:left="1440" w:top="270" w:right="1440" w:bottom="1440" w:gutter="0" w:footer="0" w:header="0"/>
          <w:type w:val="continuous"/>
        </w:sectPr>
      </w:pPr>
    </w:p>
    <w:bookmarkStart w:id="472" w:name="page473"/>
    <w:bookmarkEnd w:id="472"/>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RULES AND REGULATIONS</w:t>
      </w:r>
    </w:p>
    <w:p>
      <w:pPr>
        <w:spacing w:after="0" w:line="229"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These rules and regulations, in addition to any other rules and regulations established by the Landlord from time to time, shall from part of the Lease to which these rules and regulations are attached.</w:t>
      </w:r>
    </w:p>
    <w:p>
      <w:pPr>
        <w:spacing w:after="0" w:line="76" w:lineRule="exact"/>
        <w:rPr>
          <w:sz w:val="20"/>
          <w:szCs w:val="20"/>
          <w:color w:val="auto"/>
        </w:rPr>
      </w:pPr>
    </w:p>
    <w:p>
      <w:pPr>
        <w:ind w:left="424" w:right="180" w:hanging="424"/>
        <w:spacing w:after="0" w:line="277" w:lineRule="auto"/>
        <w:tabs>
          <w:tab w:leader="none" w:pos="42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All loading and unloading of goods shall be done only at such times, in the areas, and through the entrances, designated for such purposes by the Landlord.</w:t>
      </w:r>
    </w:p>
    <w:p>
      <w:pPr>
        <w:spacing w:after="0" w:line="75" w:lineRule="exact"/>
        <w:rPr>
          <w:rFonts w:ascii="Arial" w:cs="Arial" w:eastAsia="Arial" w:hAnsi="Arial"/>
          <w:sz w:val="18"/>
          <w:szCs w:val="18"/>
          <w:color w:val="auto"/>
        </w:rPr>
      </w:pPr>
    </w:p>
    <w:p>
      <w:pPr>
        <w:ind w:left="424" w:right="700" w:hanging="424"/>
        <w:spacing w:after="0" w:line="308" w:lineRule="auto"/>
        <w:tabs>
          <w:tab w:leader="none" w:pos="424"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delivery or shipping of merchandise, supplies and fixtures to and from the Leased Premises shall be subject to such controls as in the judgment of the Landlord are necessary for the proper operation of the Leased Premises, the Property and/or the Project.</w:t>
      </w:r>
    </w:p>
    <w:p>
      <w:pPr>
        <w:spacing w:after="0" w:line="51" w:lineRule="exact"/>
        <w:rPr>
          <w:rFonts w:ascii="Arial" w:cs="Arial" w:eastAsia="Arial" w:hAnsi="Arial"/>
          <w:sz w:val="17"/>
          <w:szCs w:val="17"/>
          <w:color w:val="auto"/>
        </w:rPr>
      </w:pPr>
    </w:p>
    <w:p>
      <w:pPr>
        <w:ind w:left="424" w:hanging="424"/>
        <w:spacing w:after="0"/>
        <w:tabs>
          <w:tab w:leader="none" w:pos="424" w:val="left"/>
        </w:tabs>
        <w:numPr>
          <w:ilvl w:val="0"/>
          <w:numId w:val="292"/>
        </w:numPr>
        <w:rPr>
          <w:rFonts w:ascii="Arial" w:cs="Arial" w:eastAsia="Arial" w:hAnsi="Arial"/>
          <w:sz w:val="16"/>
          <w:szCs w:val="16"/>
          <w:color w:val="auto"/>
        </w:rPr>
      </w:pPr>
      <w:r>
        <w:rPr>
          <w:rFonts w:ascii="Arial" w:cs="Arial" w:eastAsia="Arial" w:hAnsi="Arial"/>
          <w:sz w:val="16"/>
          <w:szCs w:val="16"/>
          <w:color w:val="auto"/>
        </w:rPr>
        <w:t>All garbage and refuse shall be kept in the kind of containers specified by the Landlord and shall not be burned in or about the Leased Premises.</w:t>
      </w:r>
    </w:p>
    <w:p>
      <w:pPr>
        <w:spacing w:after="0" w:line="153" w:lineRule="exact"/>
        <w:rPr>
          <w:rFonts w:ascii="Arial" w:cs="Arial" w:eastAsia="Arial" w:hAnsi="Arial"/>
          <w:sz w:val="16"/>
          <w:szCs w:val="16"/>
          <w:color w:val="auto"/>
        </w:rPr>
      </w:pPr>
    </w:p>
    <w:p>
      <w:pPr>
        <w:jc w:val="both"/>
        <w:ind w:left="424" w:right="100" w:hanging="424"/>
        <w:spacing w:after="0" w:line="263" w:lineRule="auto"/>
        <w:tabs>
          <w:tab w:leader="none" w:pos="42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No radio, television, telegraphic or telephone or similar device and no water pipe, gas pipe or electric wire shall be installed or connected without obtaining in each instance the written consent of the Landlord. All such connections shall be installed in accordance with the Landlord’s direction and without such direction no boring or cutting for wires or pipes shall be permitted.</w:t>
      </w:r>
    </w:p>
    <w:p>
      <w:pPr>
        <w:spacing w:after="0" w:line="89" w:lineRule="exact"/>
        <w:rPr>
          <w:rFonts w:ascii="Arial" w:cs="Arial" w:eastAsia="Arial" w:hAnsi="Arial"/>
          <w:sz w:val="18"/>
          <w:szCs w:val="18"/>
          <w:color w:val="auto"/>
        </w:rPr>
      </w:pPr>
    </w:p>
    <w:p>
      <w:pPr>
        <w:ind w:left="424" w:hanging="424"/>
        <w:spacing w:after="0" w:line="275" w:lineRule="auto"/>
        <w:tabs>
          <w:tab w:leader="none" w:pos="424"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Tenant and its employees, suppliers and other persons not customers having business with the Tenant, shall park their cars only in those portions of the parking area designated for that purpose by the Landlord and shall not under any circumstances, park any vehicle overnight. Should the Tenant, its employees, suppliers and other persons not customers having business with the Tenant park vehicles in areas not allocated for that purpose, the Landlord shall have the right to remove the said trespassing vehicles and the Tenant shall save harmless the Landlord from any and all damages therefrom and the Tenant shall pay the costs of such removal.</w:t>
      </w:r>
    </w:p>
    <w:p>
      <w:pPr>
        <w:spacing w:after="0" w:line="81" w:lineRule="exact"/>
        <w:rPr>
          <w:rFonts w:ascii="Arial" w:cs="Arial" w:eastAsia="Arial" w:hAnsi="Arial"/>
          <w:sz w:val="17"/>
          <w:szCs w:val="17"/>
          <w:color w:val="auto"/>
        </w:rPr>
      </w:pPr>
    </w:p>
    <w:p>
      <w:pPr>
        <w:ind w:left="424" w:right="40" w:hanging="424"/>
        <w:spacing w:after="0" w:line="342" w:lineRule="auto"/>
        <w:tabs>
          <w:tab w:leader="none" w:pos="424"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The plumbing facilities shall not be used for any other purpose than that for which they are intended, and no foreign substance of any kind shall be thrown therein, and the expense of any breakage, stoppage or damage resulting from a violation of this provision shall be borne by the Tenant.</w:t>
      </w:r>
    </w:p>
    <w:p>
      <w:pPr>
        <w:spacing w:after="0" w:line="29" w:lineRule="exact"/>
        <w:rPr>
          <w:rFonts w:ascii="Arial" w:cs="Arial" w:eastAsia="Arial" w:hAnsi="Arial"/>
          <w:sz w:val="16"/>
          <w:szCs w:val="16"/>
          <w:color w:val="auto"/>
        </w:rPr>
      </w:pPr>
    </w:p>
    <w:p>
      <w:pPr>
        <w:ind w:left="424" w:right="160" w:hanging="424"/>
        <w:spacing w:after="0" w:line="277" w:lineRule="auto"/>
        <w:tabs>
          <w:tab w:leader="none" w:pos="42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Tenant shall use at the cost of the Tenant such pest extermination contractor as the Landlord may direct and at such intervals as the Landlord may require.</w:t>
      </w:r>
    </w:p>
    <w:p>
      <w:pPr>
        <w:spacing w:after="0" w:line="75" w:lineRule="exact"/>
        <w:rPr>
          <w:rFonts w:ascii="Arial" w:cs="Arial" w:eastAsia="Arial" w:hAnsi="Arial"/>
          <w:sz w:val="18"/>
          <w:szCs w:val="18"/>
          <w:color w:val="auto"/>
        </w:rPr>
      </w:pPr>
    </w:p>
    <w:p>
      <w:pPr>
        <w:ind w:left="424" w:right="360" w:hanging="424"/>
        <w:spacing w:after="0" w:line="277" w:lineRule="auto"/>
        <w:tabs>
          <w:tab w:leader="none" w:pos="42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Tenant, its employees or agents, shall not mark, paint, drill or in any way deface any walls, ceilings, partitions, floors, wood, stone or iron without the written consent of the Landlord.</w:t>
      </w:r>
    </w:p>
    <w:p>
      <w:pPr>
        <w:spacing w:after="0" w:line="75" w:lineRule="exact"/>
        <w:rPr>
          <w:rFonts w:ascii="Arial" w:cs="Arial" w:eastAsia="Arial" w:hAnsi="Arial"/>
          <w:sz w:val="18"/>
          <w:szCs w:val="18"/>
          <w:color w:val="auto"/>
        </w:rPr>
      </w:pPr>
    </w:p>
    <w:p>
      <w:pPr>
        <w:ind w:left="424" w:right="120" w:hanging="424"/>
        <w:spacing w:after="0" w:line="277" w:lineRule="auto"/>
        <w:tabs>
          <w:tab w:leader="none" w:pos="42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Except as permitted in the lease to which these rules and regulations are annexed, the Tenant shall not permit any cooking in the Leased Premises without the written consent of the Landlord.</w:t>
      </w:r>
    </w:p>
    <w:p>
      <w:pPr>
        <w:sectPr>
          <w:pgSz w:w="11900" w:h="16838" w:orient="portrait"/>
          <w:cols w:equalWidth="0" w:num="1">
            <w:col w:w="11024"/>
          </w:cols>
          <w:pgMar w:left="436" w:top="270" w:right="439" w:bottom="1440" w:gutter="0" w:footer="0" w:header="0"/>
        </w:sectPr>
      </w:pPr>
    </w:p>
    <w:bookmarkStart w:id="473" w:name="page474"/>
    <w:bookmarkEnd w:id="473"/>
    <w:p>
      <w:pPr>
        <w:ind w:left="424" w:right="380" w:hanging="424"/>
        <w:spacing w:after="0" w:line="308" w:lineRule="auto"/>
        <w:tabs>
          <w:tab w:leader="none" w:pos="424" w:val="left"/>
        </w:tabs>
        <w:numPr>
          <w:ilvl w:val="0"/>
          <w:numId w:val="2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mall, sidewalk, entry, passageway, elevator or staircase shall be obstructed or used by the Tenant, its officers, agents, servants, employees, contractors, customers, invitees or licensees for any purpose other than ingress to and egress from the Leased Premises.</w:t>
      </w:r>
    </w:p>
    <w:p>
      <w:pPr>
        <w:spacing w:after="0" w:line="51" w:lineRule="exact"/>
        <w:rPr>
          <w:rFonts w:ascii="Arial" w:cs="Arial" w:eastAsia="Arial" w:hAnsi="Arial"/>
          <w:sz w:val="17"/>
          <w:szCs w:val="17"/>
          <w:color w:val="auto"/>
        </w:rPr>
      </w:pPr>
    </w:p>
    <w:p>
      <w:pPr>
        <w:ind w:left="424" w:right="20" w:hanging="424"/>
        <w:spacing w:after="0" w:line="254" w:lineRule="auto"/>
        <w:tabs>
          <w:tab w:leader="none" w:pos="42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Tenant, its officers, agents, servants, employees, contractors, customers, invitees or licensees shall not bring in or take out, position, construct, install or move any safe or other heavy equipment or furniture without first obtaining the consent in writing of the Landlord. In giving such consent, the Landlord shall have the right in its sole discretion, to prescribe the weight permitted and the position thereof, and the use and design of planks, skids or platforms to distribute the weight thereof. All damage done to the Property or Common Lot by moving or using any such safe, heavy equipment or furniture shall be repaired at the expense of the Tenant. The moving of all equipment and furniture shall occur only during those hours when consented to by the Landlord and the persons employed to move the same in and out of the Leased Premises shall be acceptable to the Landlord.</w:t>
      </w:r>
    </w:p>
    <w:p>
      <w:pPr>
        <w:spacing w:after="0" w:line="100" w:lineRule="exact"/>
        <w:rPr>
          <w:rFonts w:ascii="Arial" w:cs="Arial" w:eastAsia="Arial" w:hAnsi="Arial"/>
          <w:sz w:val="18"/>
          <w:szCs w:val="18"/>
          <w:color w:val="auto"/>
        </w:rPr>
      </w:pPr>
    </w:p>
    <w:p>
      <w:pPr>
        <w:ind w:left="424" w:hanging="424"/>
        <w:spacing w:after="0" w:line="257" w:lineRule="auto"/>
        <w:tabs>
          <w:tab w:leader="none" w:pos="42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All persons entering and leaving the building in which the Leased Premises are situated at any time other than during Normal Business Hours shall register in the books kept by the Landlord and the Landlord will have the right to prevent any person from entering or leaving such building unless provided with a key to the premises to which such person seeks entrance or a pass in a form to be approved by the Landlord. Any persons without such key or passes will be subject to the surveillance of the employees and agents of the Landlord. The Landlord shall be under no responsibility for failure to enforce this rule.</w:t>
      </w:r>
    </w:p>
    <w:p>
      <w:pPr>
        <w:spacing w:after="0" w:line="93" w:lineRule="exact"/>
        <w:rPr>
          <w:rFonts w:ascii="Arial" w:cs="Arial" w:eastAsia="Arial" w:hAnsi="Arial"/>
          <w:sz w:val="18"/>
          <w:szCs w:val="18"/>
          <w:color w:val="auto"/>
        </w:rPr>
      </w:pPr>
    </w:p>
    <w:p>
      <w:pPr>
        <w:ind w:left="424" w:right="60" w:hanging="424"/>
        <w:spacing w:after="0" w:line="277" w:lineRule="auto"/>
        <w:tabs>
          <w:tab w:leader="none" w:pos="42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Tenant shall not place or cause to be placed any additional locks upon any doors of the Leased Premises without the approval of the Landlord and subject to any conditions imposed by the Landlord.</w:t>
      </w:r>
    </w:p>
    <w:p>
      <w:pPr>
        <w:spacing w:after="0" w:line="75" w:lineRule="exact"/>
        <w:rPr>
          <w:rFonts w:ascii="Arial" w:cs="Arial" w:eastAsia="Arial" w:hAnsi="Arial"/>
          <w:sz w:val="18"/>
          <w:szCs w:val="18"/>
          <w:color w:val="auto"/>
        </w:rPr>
      </w:pPr>
    </w:p>
    <w:p>
      <w:pPr>
        <w:ind w:left="424" w:right="240" w:hanging="424"/>
        <w:spacing w:after="0" w:line="277" w:lineRule="auto"/>
        <w:tabs>
          <w:tab w:leader="none" w:pos="42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No one shall use the Leased Premises for sleeping apartments or residential purposes, or for the storage of personal effects or articles other than those required for the purposes permitted by the lease to which these rules and regulations are annexed.</w:t>
      </w:r>
    </w:p>
    <w:p>
      <w:pPr>
        <w:spacing w:after="0" w:line="75"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If the Landlord has agreed to provide such service, the Tenant shall permit window cleaners to clean the windows of the Leased Premises from time to time and at reasonable times.</w:t>
      </w:r>
    </w:p>
    <w:p>
      <w:pPr>
        <w:spacing w:after="0" w:line="75" w:lineRule="exact"/>
        <w:rPr>
          <w:rFonts w:ascii="Arial" w:cs="Arial" w:eastAsia="Arial" w:hAnsi="Arial"/>
          <w:sz w:val="18"/>
          <w:szCs w:val="18"/>
          <w:color w:val="auto"/>
        </w:rPr>
      </w:pPr>
    </w:p>
    <w:p>
      <w:pPr>
        <w:ind w:left="424" w:right="340" w:hanging="424"/>
        <w:spacing w:after="0" w:line="277" w:lineRule="auto"/>
        <w:tabs>
          <w:tab w:leader="none" w:pos="42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Any hand trucks, carryalls or similar appliances used in any building on the Property or Common Lot shall be equipped with rubber tires, side guards and such other safeguards as the Landlord shall require.</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293"/>
        </w:numPr>
        <w:rPr>
          <w:rFonts w:ascii="Arial" w:cs="Arial" w:eastAsia="Arial" w:hAnsi="Arial"/>
          <w:sz w:val="18"/>
          <w:szCs w:val="18"/>
          <w:color w:val="auto"/>
        </w:rPr>
      </w:pPr>
      <w:r>
        <w:rPr>
          <w:rFonts w:ascii="Arial" w:cs="Arial" w:eastAsia="Arial" w:hAnsi="Arial"/>
          <w:sz w:val="18"/>
          <w:szCs w:val="18"/>
          <w:b w:val="1"/>
          <w:bCs w:val="1"/>
          <w:color w:val="auto"/>
        </w:rPr>
        <w:t>[Intentionally Deleted]</w:t>
      </w:r>
    </w:p>
    <w:p>
      <w:pPr>
        <w:spacing w:after="0" w:line="134" w:lineRule="exact"/>
        <w:rPr>
          <w:rFonts w:ascii="Arial" w:cs="Arial" w:eastAsia="Arial" w:hAnsi="Arial"/>
          <w:sz w:val="18"/>
          <w:szCs w:val="18"/>
          <w:color w:val="auto"/>
        </w:rPr>
      </w:pPr>
    </w:p>
    <w:p>
      <w:pPr>
        <w:ind w:left="424" w:hanging="424"/>
        <w:spacing w:after="0"/>
        <w:tabs>
          <w:tab w:leader="none" w:pos="42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Tenant shall keep the Leased Premises at a temperature sufficiently high to prevent freezing of water in pipes and fixtures.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The Tenant shall not keep or display any merchandise on or otherwise obstruct the Common Areas adjacent to the Leased Premises.</w:t>
      </w:r>
    </w:p>
    <w:p>
      <w:pPr>
        <w:spacing w:after="0" w:line="142" w:lineRule="exact"/>
        <w:rPr>
          <w:rFonts w:ascii="Arial" w:cs="Arial" w:eastAsia="Arial" w:hAnsi="Arial"/>
          <w:sz w:val="17"/>
          <w:szCs w:val="17"/>
          <w:color w:val="auto"/>
        </w:rPr>
      </w:pPr>
    </w:p>
    <w:p>
      <w:pPr>
        <w:ind w:left="424" w:right="540" w:hanging="424"/>
        <w:spacing w:after="0" w:line="277" w:lineRule="auto"/>
        <w:tabs>
          <w:tab w:leader="none" w:pos="42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Tenant shall not use or permit any part of the Leased Premises to be used in such a manner as to cause annoying noises or vibrations or offensive odours.</w:t>
      </w:r>
    </w:p>
    <w:p>
      <w:pPr>
        <w:spacing w:after="0" w:line="102" w:lineRule="exact"/>
        <w:rPr>
          <w:rFonts w:ascii="Arial" w:cs="Arial" w:eastAsia="Arial" w:hAnsi="Arial"/>
          <w:sz w:val="18"/>
          <w:szCs w:val="18"/>
          <w:color w:val="auto"/>
        </w:rPr>
      </w:pPr>
    </w:p>
    <w:p>
      <w:pPr>
        <w:ind w:left="5464" w:hanging="106"/>
        <w:spacing w:after="0"/>
        <w:tabs>
          <w:tab w:leader="none" w:pos="5464" w:val="left"/>
        </w:tabs>
        <w:numPr>
          <w:ilvl w:val="1"/>
          <w:numId w:val="29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04"/>
          </w:cols>
          <w:pgMar w:left="436" w:top="274" w:right="459" w:bottom="1440" w:gutter="0" w:footer="0" w:header="0"/>
        </w:sectPr>
      </w:pPr>
    </w:p>
    <w:bookmarkStart w:id="474" w:name="page475"/>
    <w:bookmarkEnd w:id="474"/>
    <w:p>
      <w:pPr>
        <w:ind w:left="424" w:hanging="424"/>
        <w:spacing w:after="0"/>
        <w:tabs>
          <w:tab w:leader="none" w:pos="424" w:val="left"/>
        </w:tabs>
        <w:numPr>
          <w:ilvl w:val="0"/>
          <w:numId w:val="29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[Intentionally Deleted]</w:t>
      </w:r>
    </w:p>
    <w:p>
      <w:pPr>
        <w:spacing w:after="0" w:line="134" w:lineRule="exact"/>
        <w:rPr>
          <w:rFonts w:ascii="Arial" w:cs="Arial" w:eastAsia="Arial" w:hAnsi="Arial"/>
          <w:sz w:val="18"/>
          <w:szCs w:val="18"/>
          <w:color w:val="auto"/>
        </w:rPr>
      </w:pPr>
    </w:p>
    <w:p>
      <w:pPr>
        <w:ind w:left="424" w:hanging="424"/>
        <w:spacing w:after="0"/>
        <w:tabs>
          <w:tab w:leader="none" w:pos="424"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Tenant undertakes to respect the Co-Ownership Agreement and any other rules regulations implemented thereunder affecting the Property</w:t>
      </w:r>
    </w:p>
    <w:p>
      <w:pPr>
        <w:spacing w:after="0" w:line="180" w:lineRule="exact"/>
        <w:rPr>
          <w:rFonts w:ascii="Arial" w:cs="Arial" w:eastAsia="Arial" w:hAnsi="Arial"/>
          <w:sz w:val="16"/>
          <w:szCs w:val="16"/>
          <w:color w:val="auto"/>
        </w:rPr>
      </w:pPr>
    </w:p>
    <w:p>
      <w:pPr>
        <w:ind w:left="5464" w:hanging="106"/>
        <w:spacing w:after="0"/>
        <w:tabs>
          <w:tab w:leader="none" w:pos="546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684"/>
          </w:cols>
          <w:pgMar w:left="436" w:top="270" w:right="779" w:bottom="1440" w:gutter="0" w:footer="0" w:header="0"/>
        </w:sectPr>
      </w:pPr>
    </w:p>
    <w:bookmarkStart w:id="475" w:name="page476"/>
    <w:bookmarkEnd w:id="47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SPECIAL PROVISIONS</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u w:val="single" w:color="auto"/>
          <w:color w:val="auto"/>
        </w:rPr>
        <w:t>ALLOWANCE AND IMPROVEMENTS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order to assist Tenant in defraying the Tenant’s cost of the initial Leasehold Improvements to be effected to the Leased Premises (the</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Improvements</w:t>
      </w:r>
      <w:r>
        <w:rPr>
          <w:rFonts w:ascii="Arial" w:cs="Arial" w:eastAsia="Arial" w:hAnsi="Arial"/>
          <w:sz w:val="18"/>
          <w:szCs w:val="18"/>
          <w:color w:val="auto"/>
        </w:rPr>
        <w:t>”), the Landlord agrees to contribute a leasehold improvement allowance in the maximum amount of Twenty-Two Dollars ($22.00) per square foot of Rentable Area of the Leased Premises, plus G.S.T. and Q.S.T. (the “</w:t>
      </w:r>
      <w:r>
        <w:rPr>
          <w:rFonts w:ascii="Arial" w:cs="Arial" w:eastAsia="Arial" w:hAnsi="Arial"/>
          <w:sz w:val="18"/>
          <w:szCs w:val="18"/>
          <w:b w:val="1"/>
          <w:bCs w:val="1"/>
          <w:color w:val="auto"/>
        </w:rPr>
        <w:t>Allowance</w:t>
      </w:r>
      <w:r>
        <w:rPr>
          <w:rFonts w:ascii="Arial" w:cs="Arial" w:eastAsia="Arial" w:hAnsi="Arial"/>
          <w:sz w:val="18"/>
          <w:szCs w:val="18"/>
          <w:color w:val="auto"/>
        </w:rPr>
        <w:t>”) (namely an amount of $206,668.00 subject to measurement of Leased Premises in accordance with the provisions of Article 2.03 of the Lease). The Landlord’s administration fee, equal to ten percent (10%) of the total cost of the Improvements, shall be deducted from the Allowance.</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Provided that the Lease is signed no later than May 31</w:t>
      </w:r>
      <w:r>
        <w:rPr>
          <w:rFonts w:ascii="Arial" w:cs="Arial" w:eastAsia="Arial" w:hAnsi="Arial"/>
          <w:sz w:val="15"/>
          <w:szCs w:val="15"/>
          <w:color w:val="auto"/>
        </w:rPr>
        <w:t>st</w:t>
      </w:r>
      <w:r>
        <w:rPr>
          <w:rFonts w:ascii="Arial" w:cs="Arial" w:eastAsia="Arial" w:hAnsi="Arial"/>
          <w:sz w:val="18"/>
          <w:szCs w:val="18"/>
          <w:color w:val="auto"/>
        </w:rPr>
        <w:t>, 2014, that Tenant has furnished to Landlord the Security Deposit, and that the necessary tender plans and specifications for the Improvements (“</w:t>
      </w:r>
      <w:r>
        <w:rPr>
          <w:rFonts w:ascii="Arial" w:cs="Arial" w:eastAsia="Arial" w:hAnsi="Arial"/>
          <w:sz w:val="18"/>
          <w:szCs w:val="18"/>
          <w:b w:val="1"/>
          <w:bCs w:val="1"/>
          <w:color w:val="auto"/>
        </w:rPr>
        <w:t>Plans</w:t>
      </w:r>
      <w:r>
        <w:rPr>
          <w:rFonts w:ascii="Arial" w:cs="Arial" w:eastAsia="Arial" w:hAnsi="Arial"/>
          <w:sz w:val="18"/>
          <w:szCs w:val="18"/>
          <w:color w:val="auto"/>
        </w:rPr>
        <w:t>”) have been approved by both Landlord and Tenant no later than May 31</w:t>
      </w:r>
      <w:r>
        <w:rPr>
          <w:rFonts w:ascii="Arial" w:cs="Arial" w:eastAsia="Arial" w:hAnsi="Arial"/>
          <w:sz w:val="15"/>
          <w:szCs w:val="15"/>
          <w:color w:val="auto"/>
        </w:rPr>
        <w:t>st</w:t>
      </w:r>
      <w:r>
        <w:rPr>
          <w:rFonts w:ascii="Arial" w:cs="Arial" w:eastAsia="Arial" w:hAnsi="Arial"/>
          <w:sz w:val="18"/>
          <w:szCs w:val="18"/>
          <w:color w:val="auto"/>
        </w:rPr>
        <w:t>, 2014, the Landlord shall, for and on behalf of the Tenant and at the Tenant’s cost, subject only to the payment by the Landlord of the Allowance, effect the Improvements according to the Plans and in accordance with the building standards for the Building.</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Subject to (i) Tenant delivering the Plans within the prescribed delays indicated above, (ii) to Tenant not having delayed Landlord in the completion of the Landlord’s Work; and (iii) to any delays due to force majeure and other delays beyond Landlord’s reasonable control, the Landlord undertakes to have the Improvements substantially completed by the Commencement Date, failing which the Commencement Date shall be postponed by the same number of days as the delay in the substantial completion of Landlord’s Work, as full and final compensation of any and all claims in respect of such delay.</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event the cost of the Improvements exceeds the amount of the Allowance, Tenant shall pay the excess directly to Landlord on demand. If the cost of the Improvements is less than the amount of the Allowance, the unused portion of the Allowance, if any, will be granted to Tenant as a rental credit against the Tenant’s Basic Rent until such amount has been fully applied. It is understood and agreed that the Landlord may deduct, from the Allowance, any amount due by Tenant to Landlord pursuant to the terms of the Lease.</w:t>
      </w:r>
    </w:p>
    <w:p>
      <w:pPr>
        <w:spacing w:after="0" w:line="3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7"/>
          <w:szCs w:val="17"/>
          <w:b w:val="1"/>
          <w:bCs w:val="1"/>
          <w:u w:val="single" w:color="auto"/>
          <w:color w:val="auto"/>
        </w:rPr>
        <w:t>PRE-OCCUPANCY</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Notwithstanding any provision to the contrary in this Lease and provided that Tenant is not in default of its obligations under the terms of the Lease and further provided that Landlord’s Work and the Improvements are substantially completed, Tenant shall have the right to take possession of and occupy the Leased Premises as of the date the Landlord’s Work and the Improvements are substantially completed (the “</w:t>
      </w:r>
      <w:r>
        <w:rPr>
          <w:rFonts w:ascii="Arial" w:cs="Arial" w:eastAsia="Arial" w:hAnsi="Arial"/>
          <w:sz w:val="16"/>
          <w:szCs w:val="16"/>
          <w:b w:val="1"/>
          <w:bCs w:val="1"/>
          <w:color w:val="auto"/>
        </w:rPr>
        <w:t>Occupancy Date</w:t>
      </w:r>
      <w:r>
        <w:rPr>
          <w:rFonts w:ascii="Arial" w:cs="Arial" w:eastAsia="Arial" w:hAnsi="Arial"/>
          <w:sz w:val="16"/>
          <w:szCs w:val="16"/>
          <w:color w:val="auto"/>
        </w:rPr>
        <w:t>”). The Tenant shall be bound by all the terms and conditions of the Lease during any occupancy of the Leased Premises prior to the Commencement Date, except that no Basic Rent, nor Tenant’s Proportionate Share of Operating Costs or Taxes or any charges for electricity shall be payable during such period. However, as of the Occupancy Date, the Tenant shall be responsible for the payment for all other charges, outlays and expenses payable by the Tenant pursuant to the terms of the Lease, the whole in accordance with the provisions of the Lease.</w:t>
      </w:r>
    </w:p>
    <w:p>
      <w:pPr>
        <w:sectPr>
          <w:pgSz w:w="11900" w:h="16838" w:orient="portrait"/>
          <w:cols w:equalWidth="0" w:num="1">
            <w:col w:w="11000"/>
          </w:cols>
          <w:pgMar w:left="440" w:top="270" w:right="459" w:bottom="1440" w:gutter="0" w:footer="0" w:header="0"/>
        </w:sectPr>
      </w:pPr>
    </w:p>
    <w:bookmarkStart w:id="476" w:name="page477"/>
    <w:bookmarkEnd w:id="476"/>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3.0</w:t>
      </w:r>
      <w:r>
        <w:rPr>
          <w:sz w:val="20"/>
          <w:szCs w:val="20"/>
          <w:color w:val="auto"/>
        </w:rPr>
        <w:tab/>
      </w:r>
      <w:r>
        <w:rPr>
          <w:rFonts w:ascii="Arial" w:cs="Arial" w:eastAsia="Arial" w:hAnsi="Arial"/>
          <w:sz w:val="18"/>
          <w:szCs w:val="18"/>
          <w:b w:val="1"/>
          <w:bCs w:val="1"/>
          <w:u w:val="single" w:color="auto"/>
          <w:color w:val="auto"/>
        </w:rPr>
        <w:t>RENTAL CREDIT</w:t>
      </w:r>
    </w:p>
    <w:p>
      <w:pPr>
        <w:spacing w:after="0" w:line="121" w:lineRule="exact"/>
        <w:rPr>
          <w:sz w:val="20"/>
          <w:szCs w:val="20"/>
          <w:color w:val="auto"/>
        </w:rPr>
      </w:pPr>
    </w:p>
    <w:p>
      <w:pPr>
        <w:ind w:left="4" w:right="200"/>
        <w:spacing w:after="0" w:line="287" w:lineRule="auto"/>
        <w:rPr>
          <w:sz w:val="20"/>
          <w:szCs w:val="20"/>
          <w:color w:val="auto"/>
        </w:rPr>
      </w:pPr>
      <w:r>
        <w:rPr>
          <w:rFonts w:ascii="Arial" w:cs="Arial" w:eastAsia="Arial" w:hAnsi="Arial"/>
          <w:sz w:val="16"/>
          <w:szCs w:val="16"/>
          <w:color w:val="auto"/>
        </w:rPr>
        <w:t>Provided the Tenant has furnished Landlord with the Security Deposit and provided Tenant is not in default of its obligations under the terms of the Lease at the relevant time, Landlord shall grant to Tenant a rental credit in a maximum amount of Two Hundred Thirty-One Thousand Three Hundred Eighty-Two Dollars and Fifty-Nine Cents ($231,382.59) plus G.S.T. and P.S.T. (the “</w:t>
      </w:r>
      <w:r>
        <w:rPr>
          <w:rFonts w:ascii="Arial" w:cs="Arial" w:eastAsia="Arial" w:hAnsi="Arial"/>
          <w:sz w:val="16"/>
          <w:szCs w:val="16"/>
          <w:b w:val="1"/>
          <w:bCs w:val="1"/>
          <w:color w:val="auto"/>
        </w:rPr>
        <w:t>Rental Credit</w:t>
      </w:r>
      <w:r>
        <w:rPr>
          <w:rFonts w:ascii="Arial" w:cs="Arial" w:eastAsia="Arial" w:hAnsi="Arial"/>
          <w:sz w:val="16"/>
          <w:szCs w:val="16"/>
          <w:color w:val="auto"/>
        </w:rPr>
        <w:t>”), which Rental Credit shall be granted in ten</w:t>
      </w:r>
    </w:p>
    <w:p>
      <w:pPr>
        <w:spacing w:after="0" w:line="2" w:lineRule="exact"/>
        <w:rPr>
          <w:sz w:val="20"/>
          <w:szCs w:val="20"/>
          <w:color w:val="auto"/>
        </w:rPr>
      </w:pPr>
    </w:p>
    <w:p>
      <w:pPr>
        <w:ind w:left="4" w:right="60" w:hanging="4"/>
        <w:spacing w:after="0" w:line="253" w:lineRule="auto"/>
        <w:tabs>
          <w:tab w:leader="none" w:pos="349" w:val="left"/>
        </w:tabs>
        <w:numPr>
          <w:ilvl w:val="0"/>
          <w:numId w:val="295"/>
        </w:numPr>
        <w:rPr>
          <w:rFonts w:ascii="Arial" w:cs="Arial" w:eastAsia="Arial" w:hAnsi="Arial"/>
          <w:sz w:val="18"/>
          <w:szCs w:val="18"/>
          <w:color w:val="auto"/>
        </w:rPr>
      </w:pPr>
      <w:r>
        <w:rPr>
          <w:rFonts w:ascii="Arial" w:cs="Arial" w:eastAsia="Arial" w:hAnsi="Arial"/>
          <w:sz w:val="18"/>
          <w:szCs w:val="18"/>
          <w:color w:val="auto"/>
        </w:rPr>
        <w:t>equal instalments of Twenty-Three Thousand One Hundred Thirty-Eight Dollars and Twenty-Six Cents ($23,138.26), each instalment to be applied against the Tenant’s Basic Rent and Tenant’s Proportionate Share of Operating Costs and Taxes payable for the months of October 2014, November 2014, December 2014, January 2015, October 2015, November 2015, December 2015, January 2016, February 2016 and October 2016, until such Rental Credit is fully used up. Any amount of monthly rental which is not fully compensated by the Rental Credit remains payable by the Tenant in accordance with the provisions of the Lease.</w:t>
      </w:r>
    </w:p>
    <w:p>
      <w:pPr>
        <w:spacing w:after="0" w:line="3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8"/>
          <w:szCs w:val="18"/>
          <w:b w:val="1"/>
          <w:bCs w:val="1"/>
          <w:u w:val="single" w:color="auto"/>
          <w:color w:val="auto"/>
        </w:rPr>
        <w:t>RIGHT TO EXPAND</w:t>
      </w:r>
    </w:p>
    <w:p>
      <w:pPr>
        <w:spacing w:after="0" w:line="121" w:lineRule="exact"/>
        <w:rPr>
          <w:sz w:val="20"/>
          <w:szCs w:val="20"/>
          <w:color w:val="auto"/>
        </w:rPr>
      </w:pPr>
    </w:p>
    <w:p>
      <w:pPr>
        <w:ind w:left="4" w:right="60"/>
        <w:spacing w:after="0" w:line="279" w:lineRule="auto"/>
        <w:rPr>
          <w:sz w:val="20"/>
          <w:szCs w:val="20"/>
          <w:color w:val="auto"/>
        </w:rPr>
      </w:pPr>
      <w:r>
        <w:rPr>
          <w:rFonts w:ascii="Arial" w:cs="Arial" w:eastAsia="Arial" w:hAnsi="Arial"/>
          <w:sz w:val="17"/>
          <w:szCs w:val="17"/>
          <w:color w:val="auto"/>
        </w:rPr>
        <w:t>As of the Commencement Date, provided the Tenant physically occupies and actively carries on business in the entire Leased Premises and provided Tenant is not then in default of its obligations under the Lease, the Tenant shall have the right to expand the Leased Premises (the “</w:t>
      </w:r>
      <w:r>
        <w:rPr>
          <w:rFonts w:ascii="Arial" w:cs="Arial" w:eastAsia="Arial" w:hAnsi="Arial"/>
          <w:sz w:val="17"/>
          <w:szCs w:val="17"/>
          <w:b w:val="1"/>
          <w:bCs w:val="1"/>
          <w:color w:val="auto"/>
        </w:rPr>
        <w:t>Right to Expand</w:t>
      </w:r>
      <w:r>
        <w:rPr>
          <w:rFonts w:ascii="Arial" w:cs="Arial" w:eastAsia="Arial" w:hAnsi="Arial"/>
          <w:sz w:val="17"/>
          <w:szCs w:val="17"/>
          <w:color w:val="auto"/>
        </w:rPr>
        <w:t>”) and lease any vacant and available space in the Building at the time Tenant exercises its Right to Expand (the “</w:t>
      </w:r>
      <w:r>
        <w:rPr>
          <w:rFonts w:ascii="Arial" w:cs="Arial" w:eastAsia="Arial" w:hAnsi="Arial"/>
          <w:sz w:val="17"/>
          <w:szCs w:val="17"/>
          <w:b w:val="1"/>
          <w:bCs w:val="1"/>
          <w:color w:val="auto"/>
        </w:rPr>
        <w:t>Expansion Space</w:t>
      </w:r>
      <w:r>
        <w:rPr>
          <w:rFonts w:ascii="Arial" w:cs="Arial" w:eastAsia="Arial" w:hAnsi="Arial"/>
          <w:sz w:val="17"/>
          <w:szCs w:val="17"/>
          <w:color w:val="auto"/>
        </w:rPr>
        <w:t>”), the whole under the same terms and conditions as exist under the Lease, subject to the following terms and conditions:</w:t>
      </w:r>
    </w:p>
    <w:p>
      <w:pPr>
        <w:spacing w:after="0" w:line="73" w:lineRule="exact"/>
        <w:rPr>
          <w:sz w:val="20"/>
          <w:szCs w:val="20"/>
          <w:color w:val="auto"/>
        </w:rPr>
      </w:pPr>
    </w:p>
    <w:p>
      <w:pPr>
        <w:ind w:left="964" w:hanging="532"/>
        <w:spacing w:after="0" w:line="281" w:lineRule="auto"/>
        <w:tabs>
          <w:tab w:leader="none" w:pos="964" w:val="left"/>
        </w:tabs>
        <w:numPr>
          <w:ilvl w:val="0"/>
          <w:numId w:val="296"/>
        </w:numPr>
        <w:rPr>
          <w:rFonts w:ascii="Arial" w:cs="Arial" w:eastAsia="Arial" w:hAnsi="Arial"/>
          <w:sz w:val="17"/>
          <w:szCs w:val="17"/>
          <w:color w:val="auto"/>
        </w:rPr>
      </w:pPr>
      <w:r>
        <w:rPr>
          <w:rFonts w:ascii="Arial" w:cs="Arial" w:eastAsia="Arial" w:hAnsi="Arial"/>
          <w:sz w:val="17"/>
          <w:szCs w:val="17"/>
          <w:color w:val="auto"/>
        </w:rPr>
        <w:t>the Tenant is required to send a written notice (the “</w:t>
      </w:r>
      <w:r>
        <w:rPr>
          <w:rFonts w:ascii="Arial" w:cs="Arial" w:eastAsia="Arial" w:hAnsi="Arial"/>
          <w:sz w:val="17"/>
          <w:szCs w:val="17"/>
          <w:b w:val="1"/>
          <w:bCs w:val="1"/>
          <w:color w:val="auto"/>
        </w:rPr>
        <w:t>Expansion Notice</w:t>
      </w:r>
      <w:r>
        <w:rPr>
          <w:rFonts w:ascii="Arial" w:cs="Arial" w:eastAsia="Arial" w:hAnsi="Arial"/>
          <w:sz w:val="17"/>
          <w:szCs w:val="17"/>
          <w:color w:val="auto"/>
        </w:rPr>
        <w:t>”) to Landlord exercising its Right to Expand into the Expansion Space indicating the occupation date and the space in question (the “</w:t>
      </w:r>
      <w:r>
        <w:rPr>
          <w:rFonts w:ascii="Arial" w:cs="Arial" w:eastAsia="Arial" w:hAnsi="Arial"/>
          <w:sz w:val="17"/>
          <w:szCs w:val="17"/>
          <w:b w:val="1"/>
          <w:bCs w:val="1"/>
          <w:color w:val="auto"/>
        </w:rPr>
        <w:t>Expansion Occupation Date</w:t>
      </w:r>
      <w:r>
        <w:rPr>
          <w:rFonts w:ascii="Arial" w:cs="Arial" w:eastAsia="Arial" w:hAnsi="Arial"/>
          <w:sz w:val="17"/>
          <w:szCs w:val="17"/>
          <w:color w:val="auto"/>
        </w:rPr>
        <w:t>”), which Expansion Notice shall be sent to Landlord no later than sixty (60) days but not earlier than ninety (90) days prior to Expansion Occupation Date indicated in the Expansion Notice, and which Expansion Occupation Date shall in no event be later than June 1, 2019;</w:t>
      </w:r>
    </w:p>
    <w:p>
      <w:pPr>
        <w:spacing w:after="0" w:line="74" w:lineRule="exact"/>
        <w:rPr>
          <w:rFonts w:ascii="Arial" w:cs="Arial" w:eastAsia="Arial" w:hAnsi="Arial"/>
          <w:sz w:val="17"/>
          <w:szCs w:val="17"/>
          <w:color w:val="auto"/>
        </w:rPr>
      </w:pPr>
    </w:p>
    <w:p>
      <w:pPr>
        <w:ind w:left="964" w:right="40" w:hanging="532"/>
        <w:spacing w:after="0" w:line="301" w:lineRule="auto"/>
        <w:tabs>
          <w:tab w:leader="none" w:pos="964"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the Basic Rent payable for the Expansion Space shall be same as the current Basic Rent then payable by Tenant for the Leased Premises subject to any increases thereof as are contemplated in the Lease; the Tenant shall be entitled to a rental credit and leasehold improvements allowance (as provided in Paragraphs 1.0 and 3.0 of this Schedule “F”) which shall however be calculated on a pro rata basis over the remaining Term of the Lease for the Expansion Space, proportional to the rentable area of the Expansion Space;</w:t>
      </w:r>
    </w:p>
    <w:p>
      <w:pPr>
        <w:spacing w:after="0" w:line="62" w:lineRule="exact"/>
        <w:rPr>
          <w:rFonts w:ascii="Arial" w:cs="Arial" w:eastAsia="Arial" w:hAnsi="Arial"/>
          <w:sz w:val="16"/>
          <w:szCs w:val="16"/>
          <w:color w:val="auto"/>
        </w:rPr>
      </w:pPr>
    </w:p>
    <w:p>
      <w:pPr>
        <w:ind w:left="964" w:hanging="532"/>
        <w:spacing w:after="0"/>
        <w:tabs>
          <w:tab w:leader="none" w:pos="96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term for the Expansion Space shall be co-terminous with the Term for the Leased Premises;</w:t>
      </w:r>
    </w:p>
    <w:p>
      <w:pPr>
        <w:spacing w:after="0" w:line="130" w:lineRule="exact"/>
        <w:rPr>
          <w:rFonts w:ascii="Arial" w:cs="Arial" w:eastAsia="Arial" w:hAnsi="Arial"/>
          <w:sz w:val="18"/>
          <w:szCs w:val="18"/>
          <w:color w:val="auto"/>
        </w:rPr>
      </w:pPr>
    </w:p>
    <w:p>
      <w:pPr>
        <w:ind w:left="964" w:right="640" w:hanging="532"/>
        <w:spacing w:after="0" w:line="277" w:lineRule="auto"/>
        <w:tabs>
          <w:tab w:leader="none" w:pos="96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Tenant shall have the right to use the existing equipment then in the Expansion Space, if any, on the same terms and conditions applicable to the equipment;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Tenant shall accept the Expansion Space “as is, where is” without any work to be performed by Landlord.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5464" w:hanging="106"/>
        <w:spacing w:after="0"/>
        <w:tabs>
          <w:tab w:leader="none" w:pos="546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04"/>
          </w:cols>
          <w:pgMar w:left="436" w:top="269" w:right="459" w:bottom="1440" w:gutter="0" w:footer="0" w:header="0"/>
        </w:sectPr>
      </w:pPr>
    </w:p>
    <w:bookmarkStart w:id="477" w:name="page478"/>
    <w:bookmarkEnd w:id="477"/>
    <w:p>
      <w:pPr>
        <w:ind w:left="4"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Tenant does not exercise its Right to Expand by prior written notice to the Landlord within the prescribed delay and in the manner indicated above, the Right to Expand shall lapse and be null and void and of no further effect.</w:t>
      </w:r>
    </w:p>
    <w:p>
      <w:pPr>
        <w:spacing w:after="0" w:line="170" w:lineRule="exact"/>
        <w:rPr>
          <w:sz w:val="20"/>
          <w:szCs w:val="20"/>
          <w:color w:val="auto"/>
        </w:rPr>
      </w:pPr>
    </w:p>
    <w:p>
      <w:pPr>
        <w:ind w:left="4" w:right="20"/>
        <w:spacing w:after="0" w:line="291" w:lineRule="auto"/>
        <w:rPr>
          <w:sz w:val="20"/>
          <w:szCs w:val="20"/>
          <w:color w:val="auto"/>
        </w:rPr>
      </w:pPr>
      <w:r>
        <w:rPr>
          <w:rFonts w:ascii="Arial" w:cs="Arial" w:eastAsia="Arial" w:hAnsi="Arial"/>
          <w:sz w:val="16"/>
          <w:szCs w:val="16"/>
          <w:color w:val="auto"/>
        </w:rPr>
        <w:t>The Right to Expand is (i) conditional upon Tenant being in good standing under the Lease at the relevant time; (ii) is subject to any pre-existing rights of third parties to lease the space in question; (iii) does not apply where Landlord renews or extends any existing or future lease of the space in question;</w:t>
      </w:r>
    </w:p>
    <w:p>
      <w:pPr>
        <w:ind w:left="4" w:right="20" w:hanging="4"/>
        <w:spacing w:after="0" w:line="255" w:lineRule="auto"/>
        <w:tabs>
          <w:tab w:leader="none" w:pos="309" w:val="left"/>
        </w:tabs>
        <w:numPr>
          <w:ilvl w:val="0"/>
          <w:numId w:val="297"/>
        </w:numPr>
        <w:rPr>
          <w:rFonts w:ascii="Arial" w:cs="Arial" w:eastAsia="Arial" w:hAnsi="Arial"/>
          <w:sz w:val="18"/>
          <w:szCs w:val="18"/>
          <w:color w:val="auto"/>
        </w:rPr>
      </w:pPr>
      <w:r>
        <w:rPr>
          <w:rFonts w:ascii="Arial" w:cs="Arial" w:eastAsia="Arial" w:hAnsi="Arial"/>
          <w:sz w:val="18"/>
          <w:szCs w:val="18"/>
          <w:color w:val="auto"/>
        </w:rPr>
        <w:t>ceases to apply if the Tenant assigns the Lease or sublets the Leased Premises in whole or in part or ceases to occupy the Leased Premises; (v) is not assignable or transferable in any way; and (vi) does not apply where the space in question is subject to a sublease or assignment of lease, or where Landlord is relocating a tenant into such space.</w:t>
      </w:r>
    </w:p>
    <w:p>
      <w:pPr>
        <w:spacing w:after="0" w:line="33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8"/>
          <w:szCs w:val="18"/>
          <w:b w:val="1"/>
          <w:bCs w:val="1"/>
          <w:u w:val="single" w:color="auto"/>
          <w:color w:val="auto"/>
        </w:rPr>
        <w:t>RIGHT OF FIRSTREFUSAL</w:t>
      </w:r>
    </w:p>
    <w:p>
      <w:pPr>
        <w:spacing w:after="0" w:line="121" w:lineRule="exact"/>
        <w:rPr>
          <w:sz w:val="20"/>
          <w:szCs w:val="20"/>
          <w:color w:val="auto"/>
        </w:rPr>
      </w:pPr>
    </w:p>
    <w:p>
      <w:pPr>
        <w:jc w:val="both"/>
        <w:ind w:left="4"/>
        <w:spacing w:after="0" w:line="286" w:lineRule="auto"/>
        <w:rPr>
          <w:sz w:val="20"/>
          <w:szCs w:val="20"/>
          <w:color w:val="auto"/>
        </w:rPr>
      </w:pPr>
      <w:r>
        <w:rPr>
          <w:rFonts w:ascii="Arial" w:cs="Arial" w:eastAsia="Arial" w:hAnsi="Arial"/>
          <w:sz w:val="16"/>
          <w:szCs w:val="16"/>
          <w:color w:val="auto"/>
        </w:rPr>
        <w:t>As of the Commencement Date, provided Tenant physically occupies and actively carries on business from the Leased Premises and provided Tenant is not then in default of its obligations under the Lease, the Tenant will have a right of first refusal (the “</w:t>
      </w:r>
      <w:r>
        <w:rPr>
          <w:rFonts w:ascii="Arial" w:cs="Arial" w:eastAsia="Arial" w:hAnsi="Arial"/>
          <w:sz w:val="16"/>
          <w:szCs w:val="16"/>
          <w:b w:val="1"/>
          <w:bCs w:val="1"/>
          <w:color w:val="auto"/>
        </w:rPr>
        <w:t>Right of First Refusal</w:t>
      </w:r>
      <w:r>
        <w:rPr>
          <w:rFonts w:ascii="Arial" w:cs="Arial" w:eastAsia="Arial" w:hAnsi="Arial"/>
          <w:sz w:val="16"/>
          <w:szCs w:val="16"/>
          <w:color w:val="auto"/>
        </w:rPr>
        <w:t>”) to lease the space located on the second (2</w:t>
      </w:r>
      <w:r>
        <w:rPr>
          <w:rFonts w:ascii="Arial" w:cs="Arial" w:eastAsia="Arial" w:hAnsi="Arial"/>
          <w:sz w:val="13"/>
          <w:szCs w:val="13"/>
          <w:color w:val="auto"/>
        </w:rPr>
        <w:t>nd</w:t>
      </w:r>
      <w:r>
        <w:rPr>
          <w:rFonts w:ascii="Arial" w:cs="Arial" w:eastAsia="Arial" w:hAnsi="Arial"/>
          <w:sz w:val="16"/>
          <w:szCs w:val="16"/>
          <w:color w:val="auto"/>
        </w:rPr>
        <w:t>) floor of Building as well as the space located on the ground floor and the second floor of the Adjacent Building (defined below) (the “</w:t>
      </w:r>
      <w:r>
        <w:rPr>
          <w:rFonts w:ascii="Arial" w:cs="Arial" w:eastAsia="Arial" w:hAnsi="Arial"/>
          <w:sz w:val="16"/>
          <w:szCs w:val="16"/>
          <w:b w:val="1"/>
          <w:bCs w:val="1"/>
          <w:color w:val="auto"/>
        </w:rPr>
        <w:t>RFR Space</w:t>
      </w:r>
      <w:r>
        <w:rPr>
          <w:rFonts w:ascii="Arial" w:cs="Arial" w:eastAsia="Arial" w:hAnsi="Arial"/>
          <w:sz w:val="16"/>
          <w:szCs w:val="16"/>
          <w:color w:val="auto"/>
        </w:rPr>
        <w:t xml:space="preserve">”) if such spaces are the object of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third party offer to lease which Landlord wishes to accept. The Tenant will have seven</w:t>
      </w:r>
    </w:p>
    <w:p>
      <w:pPr>
        <w:spacing w:after="0" w:line="1" w:lineRule="exact"/>
        <w:rPr>
          <w:sz w:val="20"/>
          <w:szCs w:val="20"/>
          <w:color w:val="auto"/>
        </w:rPr>
      </w:pPr>
    </w:p>
    <w:p>
      <w:pPr>
        <w:ind w:left="4" w:right="40" w:hanging="4"/>
        <w:spacing w:after="0" w:line="292" w:lineRule="auto"/>
        <w:tabs>
          <w:tab w:leader="none" w:pos="259" w:val="left"/>
        </w:tabs>
        <w:numPr>
          <w:ilvl w:val="0"/>
          <w:numId w:val="298"/>
        </w:numPr>
        <w:rPr>
          <w:rFonts w:ascii="Arial" w:cs="Arial" w:eastAsia="Arial" w:hAnsi="Arial"/>
          <w:sz w:val="16"/>
          <w:szCs w:val="16"/>
          <w:color w:val="auto"/>
        </w:rPr>
      </w:pPr>
      <w:r>
        <w:rPr>
          <w:rFonts w:ascii="Arial" w:cs="Arial" w:eastAsia="Arial" w:hAnsi="Arial"/>
          <w:sz w:val="16"/>
          <w:szCs w:val="16"/>
          <w:color w:val="auto"/>
        </w:rPr>
        <w:t>days following receipt of Landlord’s notice outlining the essential terms and conditions of the third-party offer which Landlord is prepared to accept, to advise Landlord in writing whether it wishes to exercise its Right of First Refusal to lease the RFR Space in question. Should the Tenant exercise its Right of First Refusal, Tenant shall lease all of the RFR Space described in the Landlord’s notice on the same terms and conditions as the third-party offer. In the event Tenant does not notify Landlord of its acceptance by written notice prior to the delay indicated above, Tenant shall irrevocably be deemed to have waived its right of first refusal and Landlord shall be free to lease the RFR Space to a third party.</w:t>
      </w:r>
    </w:p>
    <w:p>
      <w:pPr>
        <w:spacing w:after="0" w:line="162" w:lineRule="exact"/>
        <w:rPr>
          <w:sz w:val="20"/>
          <w:szCs w:val="20"/>
          <w:color w:val="auto"/>
        </w:rPr>
      </w:pPr>
    </w:p>
    <w:p>
      <w:pPr>
        <w:ind w:left="4" w:right="20"/>
        <w:spacing w:after="0" w:line="287" w:lineRule="auto"/>
        <w:rPr>
          <w:sz w:val="20"/>
          <w:szCs w:val="20"/>
          <w:color w:val="auto"/>
        </w:rPr>
      </w:pPr>
      <w:r>
        <w:rPr>
          <w:rFonts w:ascii="Arial" w:cs="Arial" w:eastAsia="Arial" w:hAnsi="Arial"/>
          <w:sz w:val="16"/>
          <w:szCs w:val="16"/>
          <w:color w:val="auto"/>
        </w:rPr>
        <w:t>The Right of First Refusal (i) is conditional upon Tenant being in good standing under its Lease at the relevant time; (ii) is subject to any pre-existing rights of third parties to lease the space in question; (iii) does not apply where Landlord renews or extends any existing or future lease of the space in question; (iv) ceases to apply if the Tenant assigns the Lease or sublets the Leased Premises in whole or in part or ceases to occupy the Leased Premises;</w:t>
      </w:r>
    </w:p>
    <w:p>
      <w:pPr>
        <w:spacing w:after="0" w:line="2" w:lineRule="exact"/>
        <w:rPr>
          <w:sz w:val="20"/>
          <w:szCs w:val="20"/>
          <w:color w:val="auto"/>
        </w:rPr>
      </w:pPr>
    </w:p>
    <w:p>
      <w:pPr>
        <w:ind w:left="4" w:right="280" w:hanging="4"/>
        <w:spacing w:after="0" w:line="260" w:lineRule="auto"/>
        <w:tabs>
          <w:tab w:leader="none" w:pos="259"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is not assignable or transferable in any way; and (vi) does not apply where the space in question is subject to a sublease or assignment of lease, or where Landlord is relocating a tenant into such space.</w:t>
      </w:r>
    </w:p>
    <w:p>
      <w:pPr>
        <w:spacing w:after="0" w:line="185" w:lineRule="exact"/>
        <w:rPr>
          <w:sz w:val="20"/>
          <w:szCs w:val="20"/>
          <w:color w:val="auto"/>
        </w:rPr>
      </w:pPr>
    </w:p>
    <w:p>
      <w:pPr>
        <w:ind w:left="4" w:right="280"/>
        <w:spacing w:after="0" w:line="263" w:lineRule="auto"/>
        <w:rPr>
          <w:sz w:val="20"/>
          <w:szCs w:val="20"/>
          <w:color w:val="auto"/>
        </w:rPr>
      </w:pPr>
      <w:r>
        <w:rPr>
          <w:rFonts w:ascii="Arial" w:cs="Arial" w:eastAsia="Arial" w:hAnsi="Arial"/>
          <w:sz w:val="18"/>
          <w:szCs w:val="18"/>
          <w:color w:val="auto"/>
        </w:rPr>
        <w:t>In the event the Landlord is no longer the rightful owner of the adjacent building bearing civic number 7220 Frederick-Banting, City of Montréal, Province of Québec (the “</w:t>
      </w:r>
      <w:r>
        <w:rPr>
          <w:rFonts w:ascii="Arial" w:cs="Arial" w:eastAsia="Arial" w:hAnsi="Arial"/>
          <w:sz w:val="18"/>
          <w:szCs w:val="18"/>
          <w:b w:val="1"/>
          <w:bCs w:val="1"/>
          <w:color w:val="auto"/>
        </w:rPr>
        <w:t>Adjacent Building</w:t>
      </w:r>
      <w:r>
        <w:rPr>
          <w:rFonts w:ascii="Arial" w:cs="Arial" w:eastAsia="Arial" w:hAnsi="Arial"/>
          <w:sz w:val="18"/>
          <w:szCs w:val="18"/>
          <w:color w:val="auto"/>
        </w:rPr>
        <w:t>”), the Tenant’s Right of First Refusal for any space located in the Adjacent Building shall cease and no longer apply.</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4"/>
          </w:cols>
          <w:pgMar w:left="436" w:top="273" w:right="459" w:bottom="1440" w:gutter="0" w:footer="0" w:header="0"/>
        </w:sectPr>
      </w:pPr>
    </w:p>
    <w:bookmarkStart w:id="478" w:name="page479"/>
    <w:bookmarkEnd w:id="478"/>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6.0</w:t>
      </w:r>
      <w:r>
        <w:rPr>
          <w:sz w:val="20"/>
          <w:szCs w:val="20"/>
          <w:color w:val="auto"/>
        </w:rPr>
        <w:tab/>
      </w:r>
      <w:r>
        <w:rPr>
          <w:rFonts w:ascii="Arial" w:cs="Arial" w:eastAsia="Arial" w:hAnsi="Arial"/>
          <w:sz w:val="18"/>
          <w:szCs w:val="18"/>
          <w:b w:val="1"/>
          <w:bCs w:val="1"/>
          <w:u w:val="single" w:color="auto"/>
          <w:color w:val="auto"/>
        </w:rPr>
        <w:t>OPTION TO EXTEND</w:t>
      </w:r>
    </w:p>
    <w:p>
      <w:pPr>
        <w:spacing w:after="0" w:line="12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Provided that the Tenant is not in default pursuant to the terms of the Lease at the relevant time and provided that Tenant has not effected any assignment of this Lease or sublet any part of the Leased Premises, the Tenant shall have the option to extend the Term of the Lease (the “</w:t>
      </w:r>
      <w:r>
        <w:rPr>
          <w:rFonts w:ascii="Arial" w:cs="Arial" w:eastAsia="Arial" w:hAnsi="Arial"/>
          <w:sz w:val="18"/>
          <w:szCs w:val="18"/>
          <w:b w:val="1"/>
          <w:bCs w:val="1"/>
          <w:color w:val="auto"/>
        </w:rPr>
        <w:t>Option to</w:t>
      </w:r>
      <w:r>
        <w:rPr>
          <w:rFonts w:ascii="Arial" w:cs="Arial" w:eastAsia="Arial" w:hAnsi="Arial"/>
          <w:sz w:val="18"/>
          <w:szCs w:val="18"/>
          <w:color w:val="auto"/>
        </w:rPr>
        <w:t xml:space="preserve"> </w:t>
      </w:r>
      <w:r>
        <w:rPr>
          <w:rFonts w:ascii="Arial" w:cs="Arial" w:eastAsia="Arial" w:hAnsi="Arial"/>
          <w:sz w:val="18"/>
          <w:szCs w:val="18"/>
          <w:b w:val="1"/>
          <w:bCs w:val="1"/>
          <w:color w:val="auto"/>
        </w:rPr>
        <w:t>Extend</w:t>
      </w:r>
      <w:r>
        <w:rPr>
          <w:rFonts w:ascii="Arial" w:cs="Arial" w:eastAsia="Arial" w:hAnsi="Arial"/>
          <w:sz w:val="18"/>
          <w:szCs w:val="18"/>
          <w:color w:val="auto"/>
        </w:rPr>
        <w:t>”) for an additional term of five (5) years (the “</w:t>
      </w:r>
      <w:r>
        <w:rPr>
          <w:rFonts w:ascii="Arial" w:cs="Arial" w:eastAsia="Arial" w:hAnsi="Arial"/>
          <w:sz w:val="18"/>
          <w:szCs w:val="18"/>
          <w:b w:val="1"/>
          <w:bCs w:val="1"/>
          <w:color w:val="auto"/>
        </w:rPr>
        <w:t>Extension Term</w:t>
      </w:r>
      <w:r>
        <w:rPr>
          <w:rFonts w:ascii="Arial" w:cs="Arial" w:eastAsia="Arial" w:hAnsi="Arial"/>
          <w:sz w:val="18"/>
          <w:szCs w:val="18"/>
          <w:color w:val="auto"/>
        </w:rPr>
        <w:t>”), to be exercised by prior written notice to the Landlord given no later than</w:t>
      </w:r>
      <w:r>
        <w:rPr>
          <w:rFonts w:ascii="Arial" w:cs="Arial" w:eastAsia="Arial" w:hAnsi="Arial"/>
          <w:sz w:val="18"/>
          <w:szCs w:val="18"/>
          <w:b w:val="1"/>
          <w:bCs w:val="1"/>
          <w:color w:val="auto"/>
        </w:rPr>
        <w:t xml:space="preserve"> </w:t>
      </w:r>
      <w:r>
        <w:rPr>
          <w:rFonts w:ascii="Arial" w:cs="Arial" w:eastAsia="Arial" w:hAnsi="Arial"/>
          <w:sz w:val="18"/>
          <w:szCs w:val="18"/>
          <w:color w:val="auto"/>
        </w:rPr>
        <w:t>twelve (12) months but no earlier than eighteen (18) months prior to the expiry date of the Lease, whereupon the Lease shall be extended for such additional period on the same terms and conditions, except that:</w:t>
      </w:r>
    </w:p>
    <w:p>
      <w:pPr>
        <w:spacing w:after="0" w:line="93" w:lineRule="exact"/>
        <w:rPr>
          <w:sz w:val="20"/>
          <w:szCs w:val="20"/>
          <w:color w:val="auto"/>
        </w:rPr>
      </w:pPr>
    </w:p>
    <w:p>
      <w:pPr>
        <w:ind w:left="960" w:hanging="532"/>
        <w:spacing w:after="0"/>
        <w:tabs>
          <w:tab w:leader="none" w:pos="9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there shall be no further option to extend or right to renew the Lease;</w:t>
      </w:r>
    </w:p>
    <w:p>
      <w:pPr>
        <w:spacing w:after="0" w:line="130"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there shall be no pre-occupancy periods, free rent period, rental credit, allowances or leasehold improvements to be effected by Landlord or other inducements whatsoever;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Tenant shall accept the Leased Premises “as is, where is” without any work to be performed by Landlord; and</w:t>
      </w:r>
    </w:p>
    <w:p>
      <w:pPr>
        <w:spacing w:after="0" w:line="130" w:lineRule="exact"/>
        <w:rPr>
          <w:rFonts w:ascii="Arial" w:cs="Arial" w:eastAsia="Arial" w:hAnsi="Arial"/>
          <w:sz w:val="18"/>
          <w:szCs w:val="18"/>
          <w:color w:val="auto"/>
        </w:rPr>
      </w:pPr>
    </w:p>
    <w:p>
      <w:pPr>
        <w:jc w:val="both"/>
        <w:ind w:left="960" w:right="40" w:hanging="532"/>
        <w:spacing w:after="0" w:line="263" w:lineRule="auto"/>
        <w:tabs>
          <w:tab w:leader="none" w:pos="9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annual rate of Basic Rent during the Extension Term shall be at the then current market rental, for similar space as the Leased Premises in similar buildings in the vicinity of the Building but shall not be less than the Basic Rent payable by the Tenant during the last year of the initial Term of the Lease.</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event Tenant does not exercise its Option to Extend by prior written notice to the Landlord within the prescribed delay indicated above, the Option to Extend will be null and void and of no further effect.</w:t>
      </w:r>
    </w:p>
    <w:p>
      <w:pPr>
        <w:spacing w:after="0" w:line="1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rights granted under this Option to Extend are personal to PHARMASCIENCE INC. and shall subsist and apply so long as PHARMASCIENCE INC. is occupying and operating the entire Leased Premises and has not assigned the Lease or sublet the Leased Premises. These rights may not be transferred or assigned by the Tenant.</w:t>
      </w:r>
    </w:p>
    <w:p>
      <w:pPr>
        <w:spacing w:after="0" w:line="18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the event that the parties fail for any reason to agree in writing on the Basic Rent to be applied during the Extension Term at least three (3) months prior to its commencement, Landlord and Tenant will, within fifteen (15) days thereafter, exchange final sealed written offers, each quoting the annual Basic Rent which the party who makes the offer considers to be applicable for the Extension Term. If a party fails to submit its offer within such delay, the offer submitted by the other party will prevail for all intents and purposes in order to determine the Basic Rent to apply during such Extension Term. If the Tenant’s offer exceeds Landlord’s offer, then the offer submitted by Tenant will prevail for all intents and purposes in order to determine the Basic Rent to apply during such Extension Term. If Landlord’s offer does not exceed Tenant’s offer by more than ten percent (10%) then the Basic Rent in question will be the arithmetic average of Landlord’s and Tenant’s offered annual rental rates. If Landlord’s offer exceeds Tenant’s offer by more than ten percent (10%), Tenant will have the right, within ten (10) days after the expiration of such fifteen (15) day delay, to either advise Landlord in writing that it has elected to withdraw its offer and has accepted Landlord’s offer, to proceed with arbitration or to cancel its Option to Extend and vacate the Leased Premises at the expiry date of the Term, without any further right or recourse by one party against the other.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20"/>
          </w:cols>
          <w:pgMar w:left="440" w:top="269" w:right="439" w:bottom="1440" w:gutter="0" w:footer="0" w:header="0"/>
        </w:sectPr>
      </w:pPr>
    </w:p>
    <w:bookmarkStart w:id="479" w:name="page480"/>
    <w:bookmarkEnd w:id="479"/>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7.0</w:t>
      </w:r>
      <w:r>
        <w:rPr>
          <w:sz w:val="20"/>
          <w:szCs w:val="20"/>
          <w:color w:val="auto"/>
        </w:rPr>
        <w:tab/>
      </w:r>
      <w:r>
        <w:rPr>
          <w:rFonts w:ascii="Arial" w:cs="Arial" w:eastAsia="Arial" w:hAnsi="Arial"/>
          <w:sz w:val="18"/>
          <w:szCs w:val="18"/>
          <w:b w:val="1"/>
          <w:bCs w:val="1"/>
          <w:u w:val="single" w:color="auto"/>
          <w:color w:val="auto"/>
        </w:rPr>
        <w:t>RIGHT OF FIRST OFFER ON THE BUILDING</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Should the Landlord decide to sell the Building during the Term, the Tenant shall have a one (1) time right of first offer to buy the Building (“</w:t>
      </w:r>
      <w:r>
        <w:rPr>
          <w:rFonts w:ascii="Arial" w:cs="Arial" w:eastAsia="Arial" w:hAnsi="Arial"/>
          <w:sz w:val="17"/>
          <w:szCs w:val="17"/>
          <w:b w:val="1"/>
          <w:bCs w:val="1"/>
          <w:color w:val="auto"/>
        </w:rPr>
        <w:t>Right of</w:t>
      </w:r>
      <w:r>
        <w:rPr>
          <w:rFonts w:ascii="Arial" w:cs="Arial" w:eastAsia="Arial" w:hAnsi="Arial"/>
          <w:sz w:val="17"/>
          <w:szCs w:val="17"/>
          <w:color w:val="auto"/>
        </w:rPr>
        <w:t xml:space="preserve"> </w:t>
      </w:r>
      <w:r>
        <w:rPr>
          <w:rFonts w:ascii="Arial" w:cs="Arial" w:eastAsia="Arial" w:hAnsi="Arial"/>
          <w:sz w:val="17"/>
          <w:szCs w:val="17"/>
          <w:b w:val="1"/>
          <w:bCs w:val="1"/>
          <w:color w:val="auto"/>
        </w:rPr>
        <w:t>First Offer</w:t>
      </w:r>
      <w:r>
        <w:rPr>
          <w:rFonts w:ascii="Arial" w:cs="Arial" w:eastAsia="Arial" w:hAnsi="Arial"/>
          <w:sz w:val="17"/>
          <w:szCs w:val="17"/>
          <w:color w:val="auto"/>
        </w:rPr>
        <w:t>”). The Landlord shall inform the Tenant of its intention to sell the Building (the “</w:t>
      </w:r>
      <w:r>
        <w:rPr>
          <w:rFonts w:ascii="Arial" w:cs="Arial" w:eastAsia="Arial" w:hAnsi="Arial"/>
          <w:sz w:val="17"/>
          <w:szCs w:val="17"/>
          <w:b w:val="1"/>
          <w:bCs w:val="1"/>
          <w:color w:val="auto"/>
        </w:rPr>
        <w:t>Notice to Sell</w:t>
      </w:r>
      <w:r>
        <w:rPr>
          <w:rFonts w:ascii="Arial" w:cs="Arial" w:eastAsia="Arial" w:hAnsi="Arial"/>
          <w:sz w:val="17"/>
          <w:szCs w:val="17"/>
          <w:color w:val="auto"/>
        </w:rPr>
        <w:t>”) and the Tenant shall have the right to</w:t>
      </w:r>
      <w:r>
        <w:rPr>
          <w:rFonts w:ascii="Arial" w:cs="Arial" w:eastAsia="Arial" w:hAnsi="Arial"/>
          <w:sz w:val="17"/>
          <w:szCs w:val="17"/>
          <w:b w:val="1"/>
          <w:bCs w:val="1"/>
          <w:color w:val="auto"/>
        </w:rPr>
        <w:t xml:space="preserve"> </w:t>
      </w:r>
      <w:r>
        <w:rPr>
          <w:rFonts w:ascii="Arial" w:cs="Arial" w:eastAsia="Arial" w:hAnsi="Arial"/>
          <w:sz w:val="17"/>
          <w:szCs w:val="17"/>
          <w:color w:val="auto"/>
        </w:rPr>
        <w:t>submit to Landlord an offer to purchase. If the Tenant elects to submit an offer, the Landlord agrees that for the thirty (30) day period following issuance of the Landlord’s Notice to Sell, Landlord shall exclusively negotiate the sale of the Building with the Tenant, both parties acting in good faith. The Landlord shall have the right, at its sole discretion, to refuse Tenant’s offer if the terms and conditions of such offer are not acceptable to the Landlord. Should no binding agreement be signed by the parties within thirty (30) days of receipt by the Tenant of the Notice to Sell, the Landlord shall be deemed to have refused the Tenant’s offer and this Right of First Offer shall become null and void without further right of the Tenant and Landlord shall be free to enter into negotiations with a third party for the sale of the Building.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 contrary provision of this Paragraph 7.0 of Schedule “F”, Tenant’s Right of First Offer will not apply to:</w:t>
      </w:r>
    </w:p>
    <w:p>
      <w:pPr>
        <w:spacing w:after="0" w:line="131" w:lineRule="exact"/>
        <w:rPr>
          <w:sz w:val="20"/>
          <w:szCs w:val="20"/>
          <w:color w:val="auto"/>
        </w:rPr>
      </w:pPr>
    </w:p>
    <w:p>
      <w:pPr>
        <w:ind w:left="960" w:hanging="532"/>
        <w:spacing w:after="0" w:line="277" w:lineRule="auto"/>
        <w:tabs>
          <w:tab w:leader="none" w:pos="9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any sale or transfer of the Building to a partnership, corporation, limited liability company, trust or other legal entity in which Landlord has any material interest;</w:t>
      </w:r>
    </w:p>
    <w:p>
      <w:pPr>
        <w:spacing w:after="0" w:line="75" w:lineRule="exact"/>
        <w:rPr>
          <w:rFonts w:ascii="Arial" w:cs="Arial" w:eastAsia="Arial" w:hAnsi="Arial"/>
          <w:sz w:val="18"/>
          <w:szCs w:val="18"/>
          <w:color w:val="auto"/>
        </w:rPr>
      </w:pPr>
    </w:p>
    <w:p>
      <w:pPr>
        <w:ind w:left="960" w:right="140" w:hanging="532"/>
        <w:spacing w:after="0" w:line="286" w:lineRule="auto"/>
        <w:tabs>
          <w:tab w:leader="none" w:pos="96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any sale or transfer of the Building or any interest therein to any present or future partner of Landlord or any transfer between any parties constituting the Landlord entity, or any sale or transfer to a corporation controlled by any such partner or party, or an affiliate thereof, including, without limitation, the transfer, attribution or other devolution resulting from the dissolution of Landlord;</w:t>
      </w:r>
    </w:p>
    <w:p>
      <w:pPr>
        <w:spacing w:after="0" w:line="70" w:lineRule="exact"/>
        <w:rPr>
          <w:rFonts w:ascii="Arial" w:cs="Arial" w:eastAsia="Arial" w:hAnsi="Arial"/>
          <w:sz w:val="17"/>
          <w:szCs w:val="17"/>
          <w:color w:val="auto"/>
        </w:rPr>
      </w:pPr>
    </w:p>
    <w:p>
      <w:pPr>
        <w:ind w:left="960" w:hanging="532"/>
        <w:spacing w:after="0"/>
        <w:tabs>
          <w:tab w:leader="none" w:pos="9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any transfer without consideration;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any sale/leaseback transaction; 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any sale/transfer effected exclusively for tax considerations or resulting from any corporate reorganization of the Landlord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 portfolio sale which includes the Building and other real estate assets;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any transfer to any mortgagee or hypothecary creditor or other secured lender.</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This Right of First Offer to purchase the Building is absolutely conditional upon the fulfillment of the following conditions on an on-going and continuous basis up to the time that the rights to the Right of First Offer are created:</w:t>
      </w:r>
    </w:p>
    <w:p>
      <w:pPr>
        <w:spacing w:after="0" w:line="76" w:lineRule="exact"/>
        <w:rPr>
          <w:sz w:val="20"/>
          <w:szCs w:val="20"/>
          <w:color w:val="auto"/>
        </w:rPr>
      </w:pPr>
    </w:p>
    <w:p>
      <w:pPr>
        <w:ind w:left="960" w:hanging="532"/>
        <w:spacing w:after="0"/>
        <w:tabs>
          <w:tab w:leader="none" w:pos="9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Lease will be in full force and effect;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80"/>
          </w:cols>
          <w:pgMar w:left="440" w:top="269" w:right="479" w:bottom="1440" w:gutter="0" w:footer="0" w:header="0"/>
        </w:sectPr>
      </w:pPr>
    </w:p>
    <w:bookmarkStart w:id="480" w:name="page481"/>
    <w:bookmarkEnd w:id="480"/>
    <w:p>
      <w:pPr>
        <w:ind w:left="960" w:hanging="532"/>
        <w:spacing w:after="0"/>
        <w:tabs>
          <w:tab w:leader="none" w:pos="9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Tenant will not have been and will not be at the relevant time, in default in the performance of its obligations under the Lease;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Tenant is itself bona fide occupying and carrying on business in and from the entire Leased Premises;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failing which the Right of First Offer to purchase will be deemed null and void and never to have existed and Landlord will have no obligation to Tenant under the provisions of this Paragraph 7.0 or of anything done in consequence or furtherance of such rights.</w:t>
      </w:r>
    </w:p>
    <w:p>
      <w:pPr>
        <w:spacing w:after="0" w:line="170"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Right of First Offer to purchase the Building may not be sold, transferred, assigned or otherwise alienated to or enure to the benefit of anyone other than Tenant mentioned on the first page of this Lease, under pain of absolute nullity.</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8.0</w:t>
      </w:r>
      <w:r>
        <w:rPr>
          <w:sz w:val="20"/>
          <w:szCs w:val="20"/>
          <w:color w:val="auto"/>
        </w:rPr>
        <w:tab/>
      </w:r>
      <w:r>
        <w:rPr>
          <w:rFonts w:ascii="Arial" w:cs="Arial" w:eastAsia="Arial" w:hAnsi="Arial"/>
          <w:sz w:val="18"/>
          <w:szCs w:val="18"/>
          <w:b w:val="1"/>
          <w:bCs w:val="1"/>
          <w:u w:val="single" w:color="auto"/>
          <w:color w:val="auto"/>
        </w:rPr>
        <w:t>RIGHT OF FIRST REFUSAL ON THE BUILDING</w:t>
      </w:r>
    </w:p>
    <w:p>
      <w:pPr>
        <w:spacing w:after="0" w:line="121"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Should Landlord receive a bona fide offer to purchase the Property from a third party during the Term which offer Landlord wishes to accept, the Landlord shall provide the Tenant with a one (1) time right of first refusal with respect to the purchase of the Building (the “</w:t>
      </w:r>
      <w:r>
        <w:rPr>
          <w:rFonts w:ascii="Arial" w:cs="Arial" w:eastAsia="Arial" w:hAnsi="Arial"/>
          <w:sz w:val="16"/>
          <w:szCs w:val="16"/>
          <w:b w:val="1"/>
          <w:bCs w:val="1"/>
          <w:color w:val="auto"/>
        </w:rPr>
        <w:t>Building RFR</w:t>
      </w:r>
      <w:r>
        <w:rPr>
          <w:rFonts w:ascii="Arial" w:cs="Arial" w:eastAsia="Arial" w:hAnsi="Arial"/>
          <w:sz w:val="16"/>
          <w:szCs w:val="16"/>
          <w:color w:val="auto"/>
        </w:rPr>
        <w:t>”).</w:t>
      </w:r>
    </w:p>
    <w:p>
      <w:pPr>
        <w:spacing w:after="0" w:line="124"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Landlord shall provide the Tenant with a written notice setting out the purchase price and all the relevant terms and conditions regarding the third-party offer (the “</w:t>
      </w:r>
      <w:r>
        <w:rPr>
          <w:rFonts w:ascii="Arial" w:cs="Arial" w:eastAsia="Arial" w:hAnsi="Arial"/>
          <w:sz w:val="16"/>
          <w:szCs w:val="16"/>
          <w:b w:val="1"/>
          <w:bCs w:val="1"/>
          <w:color w:val="auto"/>
        </w:rPr>
        <w:t>Landlord’s RFR Notice</w:t>
      </w:r>
      <w:r>
        <w:rPr>
          <w:rFonts w:ascii="Arial" w:cs="Arial" w:eastAsia="Arial" w:hAnsi="Arial"/>
          <w:sz w:val="16"/>
          <w:szCs w:val="16"/>
          <w:color w:val="auto"/>
        </w:rPr>
        <w:t>”) and Tenant shall have five (5) business days from receipt of Landlord’s RFR Notice to notify Landlord in writing whether Tenant wishes to accept the offer made by the third party and purchase the Building in place and stead of the third party.</w:t>
      </w:r>
    </w:p>
    <w:p>
      <w:pPr>
        <w:spacing w:after="0" w:line="14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If Tenant fails to notify Landlord of its acceptance by written notice to Landlord within the delays indicated above, Tenant shall irrevocably be deemed to have waived and refused the Landlord’s offer and Landlord shall be free to sell the Building to a third party without any recourse by Tenant and the Tenant shall have no further Building RFR or other right of first refusal on the Building whatsoever.</w:t>
      </w:r>
    </w:p>
    <w:p>
      <w:pPr>
        <w:spacing w:after="0" w:line="16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the event Tenant notifies Landlord that it wishes to accept the third party offer in the manner and within the delay above provided, Tenant shall purchase the Building under the identical terms and conditions contained in Landlord’s RFR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 contrary provision of this Paragraph 8.0 of Schedule “F”, this Building RFR will not apply to:</w:t>
      </w:r>
    </w:p>
    <w:p>
      <w:pPr>
        <w:spacing w:after="0" w:line="131" w:lineRule="exact"/>
        <w:rPr>
          <w:sz w:val="20"/>
          <w:szCs w:val="20"/>
          <w:color w:val="auto"/>
        </w:rPr>
      </w:pPr>
    </w:p>
    <w:p>
      <w:pPr>
        <w:ind w:left="960" w:hanging="532"/>
        <w:spacing w:after="0" w:line="277" w:lineRule="auto"/>
        <w:tabs>
          <w:tab w:leader="none" w:pos="9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sale or transfer of the Building to a partnership, corporation, limited liability company, trust or other legal entity in which Landlord has any material interest;</w:t>
      </w:r>
    </w:p>
    <w:p>
      <w:pPr>
        <w:spacing w:after="0" w:line="75" w:lineRule="exact"/>
        <w:rPr>
          <w:rFonts w:ascii="Arial" w:cs="Arial" w:eastAsia="Arial" w:hAnsi="Arial"/>
          <w:sz w:val="18"/>
          <w:szCs w:val="18"/>
          <w:color w:val="auto"/>
        </w:rPr>
      </w:pPr>
    </w:p>
    <w:p>
      <w:pPr>
        <w:ind w:left="960" w:right="140" w:hanging="532"/>
        <w:spacing w:after="0" w:line="286" w:lineRule="auto"/>
        <w:tabs>
          <w:tab w:leader="none" w:pos="96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any sale or transfer of the Building or any interest therein to any present or future partner of Landlord or any transfer between any parties constituting the Landlord entity, or any sale or transfer to a corporation controlled by any such partner or party, or an affiliate thereof, including, without limitation, the transfer, attribution or other devolution resulting from the dissolution of Landlord;</w:t>
      </w:r>
    </w:p>
    <w:p>
      <w:pPr>
        <w:spacing w:after="0" w:line="97" w:lineRule="exact"/>
        <w:rPr>
          <w:rFonts w:ascii="Arial" w:cs="Arial" w:eastAsia="Arial" w:hAnsi="Arial"/>
          <w:sz w:val="17"/>
          <w:szCs w:val="17"/>
          <w:color w:val="auto"/>
        </w:rPr>
      </w:pPr>
    </w:p>
    <w:p>
      <w:pPr>
        <w:ind w:left="5460" w:hanging="106"/>
        <w:spacing w:after="0"/>
        <w:tabs>
          <w:tab w:leader="none" w:pos="546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80"/>
          </w:cols>
          <w:pgMar w:left="440" w:top="273" w:right="479" w:bottom="1440" w:gutter="0" w:footer="0" w:header="0"/>
        </w:sectPr>
      </w:pPr>
    </w:p>
    <w:bookmarkStart w:id="481" w:name="page482"/>
    <w:bookmarkEnd w:id="481"/>
    <w:p>
      <w:pPr>
        <w:ind w:left="960" w:hanging="532"/>
        <w:spacing w:after="0"/>
        <w:tabs>
          <w:tab w:leader="none" w:pos="9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transfer without consideration;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sale/leaseback transaction; 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sale/transfer effected exclusively for tax considerations or resulting from any corporate reorganization of the Landlord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 portfolio sale which includes the Building and other real estate assets owned by CIG III TECHNOPARC NOMINEE INC.;</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transfer to any mortgagee or hypothecary creditor or other secured lender.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rights to the Building RFR are absolutely conditional upon the fulfillment of the following conditions on an on-going and continuous basis up to the time that the rights to the Building RFR are created:</w:t>
      </w:r>
    </w:p>
    <w:p>
      <w:pPr>
        <w:spacing w:after="0" w:line="76" w:lineRule="exact"/>
        <w:rPr>
          <w:sz w:val="20"/>
          <w:szCs w:val="20"/>
          <w:color w:val="auto"/>
        </w:rPr>
      </w:pPr>
    </w:p>
    <w:p>
      <w:pPr>
        <w:ind w:left="960" w:hanging="532"/>
        <w:spacing w:after="0"/>
        <w:tabs>
          <w:tab w:leader="none" w:pos="9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Lease will be in full force and effect;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Tenant will not have been and will not be at the relevant time, in default in the performance of its obligations under the Lease;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Tenant is itself bona fide occupying and carrying on business in and from the entire Leased Premises;</w:t>
      </w:r>
    </w:p>
    <w:p>
      <w:pPr>
        <w:spacing w:after="0" w:line="117"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failing which the Building RFR will be deemed null and void and never to have existed and Landlord will have no obligation to Tenant under the provisions of this Paragraph 8.0 or of anything done in consequence or furtherance of such rights.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Building RFR may not be sold, transferred, assigned or otherwise alienated to or enure to the benefit of anyone other than Tenant mentioned on the first page of this Lease, under pain of absolute nullity.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80"/>
          </w:cols>
          <w:pgMar w:left="440" w:top="273" w:right="479" w:bottom="1440" w:gutter="0" w:footer="0" w:header="0"/>
        </w:sectPr>
      </w:pPr>
    </w:p>
    <w:bookmarkStart w:id="482" w:name="page483"/>
    <w:bookmarkEnd w:id="482"/>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“G”</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AGREEMENT REGARDING LETTER OF_CREDIT AND OTHER SECURITY</w:t>
      </w:r>
    </w:p>
    <w:p>
      <w:pPr>
        <w:spacing w:after="0" w:line="229"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 xml:space="preserve">Reference is made to the lease dated </w:t>
      </w:r>
      <w:r>
        <w:rPr>
          <w:rFonts w:ascii="Arial" w:cs="Arial" w:eastAsia="Arial" w:hAnsi="Arial"/>
          <w:sz w:val="18"/>
          <w:szCs w:val="18"/>
          <w:u w:val="single" w:color="auto"/>
          <w:color w:val="auto"/>
        </w:rPr>
        <w:t>May 15, 2014</w:t>
      </w:r>
      <w:r>
        <w:rPr>
          <w:rFonts w:ascii="Arial" w:cs="Arial" w:eastAsia="Arial" w:hAnsi="Arial"/>
          <w:sz w:val="18"/>
          <w:szCs w:val="18"/>
          <w:color w:val="auto"/>
        </w:rPr>
        <w:t xml:space="preserve"> (“Lease”) between PHARMASCIENCE INC. (“Tenant”) and CIG III TECHNOPARC NOMINEE INC. (“Landlord”) for the Tenant’s premises (“Leased Premises”) located in the property located at 7210 Frederick Banting, City of Montréal (Borough of Saint-Laurent), Province of Québec.</w:t>
      </w:r>
    </w:p>
    <w:p>
      <w:pPr>
        <w:spacing w:after="0" w:line="288"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b w:val="1"/>
          <w:bCs w:val="1"/>
          <w:color w:val="auto"/>
        </w:rPr>
        <w:t>THE TENANT AND THE LANDLORD, IN RELIANCE UPON THE REPRESENTATIONS AND WARRANTIES AND COVENANTS AND AGREEMENTS OF THE TENANT CONTAINED IN THIS AGREEMENT, COVENANT AND AGREE AS FOLLOWS:</w:t>
      </w:r>
    </w:p>
    <w:p>
      <w:pPr>
        <w:spacing w:after="0" w:line="71" w:lineRule="exact"/>
        <w:rPr>
          <w:sz w:val="20"/>
          <w:szCs w:val="20"/>
          <w:color w:val="auto"/>
        </w:rPr>
      </w:pPr>
    </w:p>
    <w:p>
      <w:pPr>
        <w:ind w:left="984" w:hanging="984"/>
        <w:spacing w:after="0" w:line="268" w:lineRule="auto"/>
        <w:tabs>
          <w:tab w:leader="none" w:pos="984" w:val="left"/>
        </w:tabs>
        <w:numPr>
          <w:ilvl w:val="0"/>
          <w:numId w:val="307"/>
        </w:numPr>
        <w:rPr>
          <w:rFonts w:ascii="Arial" w:cs="Arial" w:eastAsia="Arial" w:hAnsi="Arial"/>
          <w:sz w:val="17"/>
          <w:szCs w:val="17"/>
          <w:color w:val="auto"/>
        </w:rPr>
      </w:pPr>
      <w:r>
        <w:rPr>
          <w:rFonts w:ascii="Arial" w:cs="Arial" w:eastAsia="Arial" w:hAnsi="Arial"/>
          <w:sz w:val="17"/>
          <w:szCs w:val="17"/>
          <w:color w:val="auto"/>
        </w:rPr>
        <w:t xml:space="preserve">The Tenant covenants to provide to the Landlord, on an uninterrupted and continuing basis for the period commencing on the date of this agreement </w:t>
      </w:r>
      <w:r>
        <w:rPr>
          <w:rFonts w:ascii="Arial" w:cs="Arial" w:eastAsia="Arial" w:hAnsi="Arial"/>
          <w:sz w:val="17"/>
          <w:szCs w:val="17"/>
          <w:b w:val="1"/>
          <w:bCs w:val="1"/>
          <w:color w:val="auto"/>
        </w:rPr>
        <w:t>and expiring thirty (30) days following the fifth (5</w:t>
      </w:r>
      <w:r>
        <w:rPr>
          <w:rFonts w:ascii="Arial" w:cs="Arial" w:eastAsia="Arial" w:hAnsi="Arial"/>
          <w:sz w:val="14"/>
          <w:szCs w:val="14"/>
          <w:b w:val="1"/>
          <w:bCs w:val="1"/>
          <w:color w:val="auto"/>
        </w:rPr>
        <w:t>th</w:t>
      </w:r>
      <w:r>
        <w:rPr>
          <w:rFonts w:ascii="Arial" w:cs="Arial" w:eastAsia="Arial" w:hAnsi="Arial"/>
          <w:sz w:val="17"/>
          <w:szCs w:val="17"/>
          <w:b w:val="1"/>
          <w:bCs w:val="1"/>
          <w:color w:val="auto"/>
        </w:rPr>
        <w:t>) anniversary of the Commencement Date of the Lease</w:t>
      </w:r>
      <w:r>
        <w:rPr>
          <w:rFonts w:ascii="Arial" w:cs="Arial" w:eastAsia="Arial" w:hAnsi="Arial"/>
          <w:sz w:val="17"/>
          <w:szCs w:val="17"/>
          <w:color w:val="auto"/>
        </w:rPr>
        <w:t xml:space="preserve">, with an irrevocable letter of credit issued by a Schedule I Canadian chartered bank, expiring at the end of the period mentioned above, and in the form and of the substance set forth in </w:t>
      </w:r>
      <w:r>
        <w:rPr>
          <w:rFonts w:ascii="Arial" w:cs="Arial" w:eastAsia="Arial" w:hAnsi="Arial"/>
          <w:sz w:val="17"/>
          <w:szCs w:val="17"/>
          <w:u w:val="single" w:color="auto"/>
          <w:color w:val="auto"/>
        </w:rPr>
        <w:t>Schedule G-1</w:t>
      </w:r>
      <w:r>
        <w:rPr>
          <w:rFonts w:ascii="Arial" w:cs="Arial" w:eastAsia="Arial" w:hAnsi="Arial"/>
          <w:sz w:val="17"/>
          <w:szCs w:val="17"/>
          <w:color w:val="auto"/>
        </w:rPr>
        <w:t xml:space="preserve"> hereto and initialed by the parties to this agreement for the purpose of identification, all of the terms and conditions of which Schedule “G-1” are incorporated in this agreement by reference as if recited out at length herein. The letter of credit will serve (a) to guarantee the due and prompt payment and performance of each and every obligation, liability, condition and agreement to which the Tenant is or may be bound by the terms of the Lease and each and every obligation, liability, condition and agreement to which the Tenant is or may be bound by this agreement (including all extensions, renewals and other prolongations thereof), or as a result thereof, as the Lease or this agreement may be amended from time to time, (including, without limitation, the prompt payment of all rentals and additional rentals which may become due pursuant to the Lease) and (b) to indemnify the Landlord, up to the same amount, for any and all damages, costs and losses (including, without limitation, loss of rentals and additional rentals) which may be suffered by the Landlord as a consequence of the termination, resiliation, disavowal, repudiation or disclaimer of the Lease or this agreement, or both, by whomsoever.</w:t>
      </w:r>
    </w:p>
    <w:p>
      <w:pPr>
        <w:spacing w:after="0" w:line="78" w:lineRule="exact"/>
        <w:rPr>
          <w:rFonts w:ascii="Arial" w:cs="Arial" w:eastAsia="Arial" w:hAnsi="Arial"/>
          <w:sz w:val="17"/>
          <w:szCs w:val="17"/>
          <w:color w:val="auto"/>
        </w:rPr>
      </w:pPr>
    </w:p>
    <w:p>
      <w:pPr>
        <w:ind w:left="984"/>
        <w:spacing w:after="0"/>
        <w:rPr>
          <w:rFonts w:ascii="Arial" w:cs="Arial" w:eastAsia="Arial" w:hAnsi="Arial"/>
          <w:sz w:val="17"/>
          <w:szCs w:val="17"/>
          <w:color w:val="auto"/>
        </w:rPr>
      </w:pPr>
      <w:r>
        <w:rPr>
          <w:rFonts w:ascii="Arial" w:cs="Arial" w:eastAsia="Arial" w:hAnsi="Arial"/>
          <w:sz w:val="18"/>
          <w:szCs w:val="18"/>
          <w:color w:val="auto"/>
        </w:rPr>
        <w:t>The letter of credit shall be in the amount of One Hundred and Thirty-Five Thousand Dollars ($135,000.00),</w:t>
      </w:r>
    </w:p>
    <w:p>
      <w:pPr>
        <w:spacing w:after="0" w:line="130" w:lineRule="exact"/>
        <w:rPr>
          <w:rFonts w:ascii="Arial" w:cs="Arial" w:eastAsia="Arial" w:hAnsi="Arial"/>
          <w:sz w:val="17"/>
          <w:szCs w:val="17"/>
          <w:color w:val="auto"/>
        </w:rPr>
      </w:pPr>
    </w:p>
    <w:p>
      <w:pPr>
        <w:ind w:left="984" w:hanging="984"/>
        <w:spacing w:after="0" w:line="259" w:lineRule="auto"/>
        <w:tabs>
          <w:tab w:leader="none" w:pos="98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In the event that the Tenant does not replace any letter of credit furnished to the Landlord as contemplated in this agreement at the latest thirty (30) days prior to its expiration date, the Landlord will be entitled to draw on such letter of credit, for the full amounts thereof, whether or not the Tenant is otherwise in default in the performance of its obligations under or in virtue of the Lease or this agreement, and to retain all amounts received by the Landlord from the issuing banks as a result of</w:t>
      </w:r>
    </w:p>
    <w:p>
      <w:pPr>
        <w:sectPr>
          <w:pgSz w:w="11900" w:h="16838" w:orient="portrait"/>
          <w:cols w:equalWidth="0" w:num="1">
            <w:col w:w="11004"/>
          </w:cols>
          <w:pgMar w:left="436" w:top="269" w:right="459" w:bottom="1440" w:gutter="0" w:footer="0" w:header="0"/>
        </w:sectPr>
      </w:pPr>
    </w:p>
    <w:bookmarkStart w:id="483" w:name="page484"/>
    <w:bookmarkEnd w:id="483"/>
    <w:p>
      <w:pPr>
        <w:ind w:left="984"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draws (“Proceeds”) for the same purposes, with the necessary adaptations, as the letter of credit drawn upon, until such time as the letter of credit has been replaced with a new letter of credit affording the Landlord the full security to which it is entitled under this agreement. Upon such replacement, and provided that the Tenant is not otherwise in default in the performance of such obligations, any portion of the Proceeds still held by the Landlord will be returned to the Tenant.</w:t>
      </w:r>
    </w:p>
    <w:p>
      <w:pPr>
        <w:spacing w:after="0" w:line="77" w:lineRule="exact"/>
        <w:rPr>
          <w:sz w:val="20"/>
          <w:szCs w:val="20"/>
          <w:color w:val="auto"/>
        </w:rPr>
      </w:pPr>
    </w:p>
    <w:p>
      <w:pPr>
        <w:ind w:left="984" w:hanging="984"/>
        <w:spacing w:after="0" w:line="287" w:lineRule="auto"/>
        <w:tabs>
          <w:tab w:leader="none" w:pos="984" w:val="left"/>
        </w:tabs>
        <w:numPr>
          <w:ilvl w:val="0"/>
          <w:numId w:val="308"/>
        </w:numPr>
        <w:rPr>
          <w:rFonts w:ascii="Arial" w:cs="Arial" w:eastAsia="Arial" w:hAnsi="Arial"/>
          <w:sz w:val="16"/>
          <w:szCs w:val="16"/>
          <w:color w:val="auto"/>
        </w:rPr>
      </w:pPr>
      <w:r>
        <w:rPr>
          <w:rFonts w:ascii="Arial" w:cs="Arial" w:eastAsia="Arial" w:hAnsi="Arial"/>
          <w:sz w:val="16"/>
          <w:szCs w:val="16"/>
          <w:color w:val="auto"/>
        </w:rPr>
        <w:t>Neither the furnishing of such letter of credit nor the holding of any Proceeds as contemplated in this agreement will relieve the Tenant from the payment of rent, additional rent or any other charges for which the Tenant is liable under or in virtue of the Lease or in any way relieve the Tenant from the faithful and punctual performance of all covenants and conditions contained in or entered into in virtue of the Lease or in any way relieve the Tenant from the faithful and punctual performance of all covenants and conditions contained in or entered into in virtue of this agreement. If the Tenant is in default as aforesaid, it will be entirely in the Landlord’s discretion as to whether the Landlord draws under such letter of credit or letters of credit or compensates and sets off all or any part of the Claims as contemplated by paragraph 5 of this agreement, or whether the Landlord exercises whatever other rights, remedies and recourses the Landlord may have. In the event that the Landlord draws under any such letter of credit or compensates and sets off all or any part of the Claims, the Tenant will remit to the Landlord a replacement letter of credit or supplementary letter of credit sufficient to restore to the Landlord the full security to be afforded to the Landlord as contemplated in this agreement within five (5) business days of the Landlord’s written demand therefor, the whole without prejudice to such other rights, remedies and recourses as may avail to the Landlord in the circumstances.</w:t>
      </w:r>
    </w:p>
    <w:p>
      <w:pPr>
        <w:spacing w:after="0" w:line="77" w:lineRule="exact"/>
        <w:rPr>
          <w:rFonts w:ascii="Arial" w:cs="Arial" w:eastAsia="Arial" w:hAnsi="Arial"/>
          <w:sz w:val="16"/>
          <w:szCs w:val="16"/>
          <w:color w:val="auto"/>
        </w:rPr>
      </w:pPr>
    </w:p>
    <w:p>
      <w:pPr>
        <w:ind w:left="984" w:right="60" w:hanging="984"/>
        <w:spacing w:after="0" w:line="263" w:lineRule="auto"/>
        <w:tabs>
          <w:tab w:leader="none" w:pos="98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Thirty (30) days following the 5</w:t>
      </w:r>
      <w:r>
        <w:rPr>
          <w:rFonts w:ascii="Arial" w:cs="Arial" w:eastAsia="Arial" w:hAnsi="Arial"/>
          <w:sz w:val="15"/>
          <w:szCs w:val="15"/>
          <w:color w:val="auto"/>
        </w:rPr>
        <w:t>th</w:t>
      </w:r>
      <w:r>
        <w:rPr>
          <w:rFonts w:ascii="Arial" w:cs="Arial" w:eastAsia="Arial" w:hAnsi="Arial"/>
          <w:sz w:val="18"/>
          <w:szCs w:val="18"/>
          <w:color w:val="auto"/>
        </w:rPr>
        <w:t xml:space="preserve"> anniversary of the Commencement Date of the Lease, the letter of credit and any Proceeds held by the Landlord will be returned to the Tenant </w:t>
      </w:r>
      <w:r>
        <w:rPr>
          <w:rFonts w:ascii="Arial" w:cs="Arial" w:eastAsia="Arial" w:hAnsi="Arial"/>
          <w:sz w:val="18"/>
          <w:szCs w:val="18"/>
          <w:b w:val="1"/>
          <w:bCs w:val="1"/>
          <w:i w:val="1"/>
          <w:iCs w:val="1"/>
          <w:color w:val="auto"/>
        </w:rPr>
        <w:t>[Intentionally Deleted]</w:t>
      </w:r>
      <w:r>
        <w:rPr>
          <w:rFonts w:ascii="Arial" w:cs="Arial" w:eastAsia="Arial" w:hAnsi="Arial"/>
          <w:sz w:val="18"/>
          <w:szCs w:val="18"/>
          <w:color w:val="auto"/>
        </w:rPr>
        <w:t xml:space="preserve"> provided the Tenant will then have complied in all respects with all terms, covenants and conditions to which it has bound itself under the Lease and this Agreement.</w:t>
      </w:r>
    </w:p>
    <w:p>
      <w:pPr>
        <w:spacing w:after="0" w:line="89" w:lineRule="exact"/>
        <w:rPr>
          <w:rFonts w:ascii="Arial" w:cs="Arial" w:eastAsia="Arial" w:hAnsi="Arial"/>
          <w:sz w:val="18"/>
          <w:szCs w:val="18"/>
          <w:color w:val="auto"/>
        </w:rPr>
      </w:pPr>
    </w:p>
    <w:p>
      <w:pPr>
        <w:ind w:left="984" w:right="20" w:hanging="984"/>
        <w:spacing w:after="0" w:line="269" w:lineRule="auto"/>
        <w:tabs>
          <w:tab w:leader="none" w:pos="984"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To further secure the Landlord to the full extent of the full security to which it is entitled under this agreement, the Tenant hereby grants to the Landlord a security interest in and hypothecates in favour of the Landlord whatever claims the Tenant now has or will ever have against the Landlord for or to the Proceeds, under or in virtue of paragraph 3 of this agreement or otherwise (collectively “Claims”). If the Tenant is in default in the performance of any of its covenants and conditions contained in or entered into in virtue of the Lease, or if the Tenant is in default in the performance of any covenants or conditions contained in this agreement, or if any of the Tenant’s obligations under this agreement have become enforceable, the Landlord will have the right, as hypothecary creditor, to compensate and set-off the Claims against any and all amounts then owing by the Tenant to the Landlord, the whole without the necessity of demand or notice (other than as may be required by law) to the Tenant or to any other party. In such event, the Claims will be deemed to have been paid, cancelled and discharged to the extent of the amounts so compensated and set-off, and the Tenant will cease to have any interest whatsoever in the Claims to such extent.</w:t>
      </w:r>
    </w:p>
    <w:p>
      <w:pPr>
        <w:spacing w:after="0" w:line="117" w:lineRule="exact"/>
        <w:rPr>
          <w:rFonts w:ascii="Arial" w:cs="Arial" w:eastAsia="Arial" w:hAnsi="Arial"/>
          <w:sz w:val="17"/>
          <w:szCs w:val="17"/>
          <w:color w:val="auto"/>
        </w:rPr>
      </w:pPr>
    </w:p>
    <w:p>
      <w:pPr>
        <w:ind w:left="5464" w:hanging="106"/>
        <w:spacing w:after="0"/>
        <w:tabs>
          <w:tab w:leader="none" w:pos="5464" w:val="left"/>
        </w:tabs>
        <w:numPr>
          <w:ilvl w:val="1"/>
          <w:numId w:val="30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64"/>
          </w:cols>
          <w:pgMar w:left="436" w:top="273" w:right="499" w:bottom="1440" w:gutter="0" w:footer="0" w:header="0"/>
        </w:sectPr>
      </w:pPr>
    </w:p>
    <w:bookmarkStart w:id="484" w:name="page485"/>
    <w:bookmarkEnd w:id="484"/>
    <w:p>
      <w:pPr>
        <w:ind w:left="984" w:right="400" w:hanging="984"/>
        <w:spacing w:after="0" w:line="342" w:lineRule="auto"/>
        <w:tabs>
          <w:tab w:leader="none" w:pos="984" w:val="left"/>
        </w:tabs>
        <w:numPr>
          <w:ilvl w:val="0"/>
          <w:numId w:val="3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Proceeds held by the Landlord as contemplated in this agreement will not be governed by the provisions of Articles 2280 and following of the </w:t>
      </w:r>
      <w:r>
        <w:rPr>
          <w:rFonts w:ascii="Arial" w:cs="Arial" w:eastAsia="Arial" w:hAnsi="Arial"/>
          <w:sz w:val="16"/>
          <w:szCs w:val="16"/>
          <w:i w:val="1"/>
          <w:iCs w:val="1"/>
          <w:color w:val="auto"/>
        </w:rPr>
        <w:t>Civil Code of Quebéc</w:t>
      </w:r>
      <w:r>
        <w:rPr>
          <w:rFonts w:ascii="Arial" w:cs="Arial" w:eastAsia="Arial" w:hAnsi="Arial"/>
          <w:sz w:val="16"/>
          <w:szCs w:val="16"/>
          <w:color w:val="auto"/>
        </w:rPr>
        <w:t xml:space="preserve"> and will not be construed as being the property of the Tenant but as belonging to the Landlord.</w:t>
      </w:r>
    </w:p>
    <w:p>
      <w:pPr>
        <w:spacing w:after="0" w:line="29" w:lineRule="exact"/>
        <w:rPr>
          <w:rFonts w:ascii="Arial" w:cs="Arial" w:eastAsia="Arial" w:hAnsi="Arial"/>
          <w:sz w:val="16"/>
          <w:szCs w:val="16"/>
          <w:color w:val="auto"/>
        </w:rPr>
      </w:pPr>
    </w:p>
    <w:p>
      <w:pPr>
        <w:ind w:left="984" w:right="20" w:hanging="984"/>
        <w:spacing w:after="0" w:line="293" w:lineRule="auto"/>
        <w:tabs>
          <w:tab w:leader="none" w:pos="984"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Landlord will have the right to transfer the benefit of any letter and any Proceeds contemplated in this agreement to any purchaser of the property in which the Leased Premises contemplated in the Lease are situated and, for such purpose, to have the Landlord replaced as beneficiary under such letter of credit by appropriate amendments thereof acceptable to the Landlord and such purchaser, upon demand to such effect. In the event of such transfer the Landlord will be and hereby is entirely released and relieved of all the Landlord’s covenants and obligations in respect of such letter, such Proceeds and the Claims and as well as those contained in this agreement, provided that such purchaser stipulates in favour of the Tenant to assume and carry out such covenants and obligations.</w:t>
      </w:r>
    </w:p>
    <w:p>
      <w:pPr>
        <w:spacing w:after="0" w:line="69" w:lineRule="exact"/>
        <w:rPr>
          <w:rFonts w:ascii="Arial" w:cs="Arial" w:eastAsia="Arial" w:hAnsi="Arial"/>
          <w:sz w:val="16"/>
          <w:szCs w:val="16"/>
          <w:color w:val="auto"/>
        </w:rPr>
      </w:pPr>
    </w:p>
    <w:p>
      <w:pPr>
        <w:ind w:left="984" w:hanging="984"/>
        <w:spacing w:after="0" w:line="289" w:lineRule="auto"/>
        <w:tabs>
          <w:tab w:leader="none" w:pos="984" w:val="left"/>
        </w:tabs>
        <w:numPr>
          <w:ilvl w:val="0"/>
          <w:numId w:val="309"/>
        </w:numPr>
        <w:rPr>
          <w:rFonts w:ascii="Arial" w:cs="Arial" w:eastAsia="Arial" w:hAnsi="Arial"/>
          <w:sz w:val="16"/>
          <w:szCs w:val="16"/>
          <w:color w:val="auto"/>
        </w:rPr>
      </w:pPr>
      <w:r>
        <w:rPr>
          <w:rFonts w:ascii="Arial" w:cs="Arial" w:eastAsia="Arial" w:hAnsi="Arial"/>
          <w:sz w:val="16"/>
          <w:szCs w:val="16"/>
          <w:color w:val="auto"/>
        </w:rPr>
        <w:t>Without limiting the generality of any other provision of this agreement or of any letter of credit issued pursuant hereto, the security contemplated in this agreement will not be affected or impaired by the Tenant’s bankruptcy, insolvency or winding-up, nor by any termination, resiliation, disavowal, repudiation or disclaimer of the Lease or this agreement, or both, by whomsoever, or by any other action taken by any trustee, liquidator, referee or other officer appointed by any court or other body of competent jurisdiction under any bankruptcy, insolvency or winding-up legislation in force from time to time, nor by the Landlord’s failure to delay or proceed to litigation or to seek a remedy for any default of the Tenant, any guarantor or any other person, nor by any liberation or discharge from bankruptcy or otherwise of any such trustee, liquidator, referee or other officer, nor by any release or other forgiveness in favour of whomsoever, nor by any extinction of any of the obligations, liabilities, agreements or conditions secured by any such letter of credit or deposit, nor by any other act, omission or event whatsoever which might lessen, affect or discharge a surety or person obliged to indemnify another.</w:t>
      </w:r>
    </w:p>
    <w:p>
      <w:pPr>
        <w:spacing w:after="0" w:line="71" w:lineRule="exact"/>
        <w:rPr>
          <w:rFonts w:ascii="Arial" w:cs="Arial" w:eastAsia="Arial" w:hAnsi="Arial"/>
          <w:sz w:val="16"/>
          <w:szCs w:val="16"/>
          <w:color w:val="auto"/>
        </w:rPr>
      </w:pPr>
    </w:p>
    <w:p>
      <w:pPr>
        <w:ind w:left="984" w:right="220" w:hanging="984"/>
        <w:spacing w:after="0" w:line="263" w:lineRule="auto"/>
        <w:tabs>
          <w:tab w:leader="none" w:pos="98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Any security to be provided to the Landlord as contemplated in this agreement is and will at all times be in addition to and not in replacement of any other security heretofore furnished to the Landlord and any further and additional security furnished to the Landlord from time to time.</w:t>
      </w:r>
    </w:p>
    <w:p>
      <w:pPr>
        <w:spacing w:after="0" w:line="89" w:lineRule="exact"/>
        <w:rPr>
          <w:rFonts w:ascii="Arial" w:cs="Arial" w:eastAsia="Arial" w:hAnsi="Arial"/>
          <w:sz w:val="18"/>
          <w:szCs w:val="18"/>
          <w:color w:val="auto"/>
        </w:rPr>
      </w:pPr>
    </w:p>
    <w:p>
      <w:pPr>
        <w:ind w:left="984" w:right="60" w:hanging="984"/>
        <w:spacing w:after="0" w:line="277" w:lineRule="auto"/>
        <w:tabs>
          <w:tab w:leader="none" w:pos="98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The parties have requested that this agreement be prepared in English. </w:t>
      </w:r>
      <w:r>
        <w:rPr>
          <w:rFonts w:ascii="Arial" w:cs="Arial" w:eastAsia="Arial" w:hAnsi="Arial"/>
          <w:sz w:val="18"/>
          <w:szCs w:val="18"/>
          <w:i w:val="1"/>
          <w:iCs w:val="1"/>
          <w:color w:val="auto"/>
        </w:rPr>
        <w:t>Les parties ant demandé que la présente convention soit rédigée en</w:t>
      </w:r>
      <w:r>
        <w:rPr>
          <w:rFonts w:ascii="Arial" w:cs="Arial" w:eastAsia="Arial" w:hAnsi="Arial"/>
          <w:sz w:val="18"/>
          <w:szCs w:val="18"/>
          <w:color w:val="auto"/>
        </w:rPr>
        <w:t xml:space="preserve"> </w:t>
      </w:r>
      <w:r>
        <w:rPr>
          <w:rFonts w:ascii="Arial" w:cs="Arial" w:eastAsia="Arial" w:hAnsi="Arial"/>
          <w:sz w:val="18"/>
          <w:szCs w:val="18"/>
          <w:i w:val="1"/>
          <w:iCs w:val="1"/>
          <w:color w:val="auto"/>
        </w:rPr>
        <w:t>anglais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Kindly confirm your covenants and agreements above set forth by signing and returning to us the enclosed copy of this letter.</w:t>
      </w:r>
    </w:p>
    <w:p>
      <w:pPr>
        <w:spacing w:after="0" w:line="157" w:lineRule="exact"/>
        <w:rPr>
          <w:rFonts w:ascii="Arial" w:cs="Arial" w:eastAsia="Arial" w:hAnsi="Arial"/>
          <w:sz w:val="18"/>
          <w:szCs w:val="18"/>
          <w:color w:val="auto"/>
        </w:rPr>
      </w:pPr>
    </w:p>
    <w:p>
      <w:pPr>
        <w:ind w:left="5464" w:hanging="106"/>
        <w:spacing w:after="0"/>
        <w:tabs>
          <w:tab w:leader="none" w:pos="5464" w:val="left"/>
        </w:tabs>
        <w:numPr>
          <w:ilvl w:val="1"/>
          <w:numId w:val="309"/>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84"/>
          </w:cols>
          <w:pgMar w:left="436" w:top="273" w:right="479" w:bottom="1440" w:gutter="0" w:footer="0" w:header="0"/>
        </w:sectPr>
      </w:pPr>
    </w:p>
    <w:bookmarkStart w:id="485" w:name="page486"/>
    <w:bookmarkEnd w:id="4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Montréal, this 16</w:t>
      </w:r>
      <w:r>
        <w:rPr>
          <w:rFonts w:ascii="Arial" w:cs="Arial" w:eastAsia="Arial" w:hAnsi="Arial"/>
          <w:sz w:val="15"/>
          <w:szCs w:val="15"/>
          <w:color w:val="auto"/>
        </w:rPr>
        <w:t>th</w:t>
      </w:r>
      <w:r>
        <w:rPr>
          <w:rFonts w:ascii="Arial" w:cs="Arial" w:eastAsia="Arial" w:hAnsi="Arial"/>
          <w:sz w:val="18"/>
          <w:szCs w:val="18"/>
          <w:color w:val="auto"/>
        </w:rPr>
        <w:t xml:space="preserve"> day of June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CIG III TECHNOPARC NOMINEE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(Landlord)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Per: /s/ S.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ACCEPTED AND AGREED </w:t>
      </w:r>
      <w:r>
        <w:rPr>
          <w:rFonts w:ascii="Arial" w:cs="Arial" w:eastAsia="Arial" w:hAnsi="Arial"/>
          <w:sz w:val="18"/>
          <w:szCs w:val="18"/>
          <w:color w:val="auto"/>
        </w:rPr>
        <w:t>on the 14 day of May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PHARMASCIENCE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23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8"/>
          <w:szCs w:val="18"/>
          <w:i w:val="1"/>
          <w:iCs w:val="1"/>
          <w:color w:val="auto"/>
        </w:rPr>
        <w:t>/s/ Ivan Djvnjak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Ivan Djvnjak</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Sr. Director Operations &amp; Investments</w:t>
      </w:r>
    </w:p>
    <w:p>
      <w:pPr>
        <w:spacing w:after="0" w:line="157"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019"/>
          </w:cols>
          <w:pgMar w:left="440" w:top="273" w:right="1440" w:bottom="1440" w:gutter="0" w:footer="0" w:header="0"/>
        </w:sectPr>
      </w:pPr>
    </w:p>
    <w:bookmarkStart w:id="486" w:name="page487"/>
    <w:bookmarkEnd w:id="486"/>
    <w:tbl>
      <w:tblPr>
        <w:tblLayout w:type="fixed"/>
        <w:tblInd w:w="4"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SCHEDULE “G-1”</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79"/>
        </w:trPr>
        <w:tc>
          <w:tcPr>
            <w:tcW w:w="3240" w:type="dxa"/>
            <w:vAlign w:val="bottom"/>
          </w:tcPr>
          <w:p>
            <w:pPr>
              <w:spacing w:after="0"/>
              <w:rPr>
                <w:sz w:val="20"/>
                <w:szCs w:val="20"/>
                <w:color w:val="auto"/>
              </w:rPr>
            </w:pPr>
            <w:r>
              <w:rPr>
                <w:rFonts w:ascii="Arial" w:cs="Arial" w:eastAsia="Arial" w:hAnsi="Arial"/>
                <w:sz w:val="18"/>
                <w:szCs w:val="18"/>
                <w:color w:val="auto"/>
              </w:rPr>
              <w:t>DATE OF ISSUANCE:</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2180" w:type="dxa"/>
            <w:vAlign w:val="bottom"/>
            <w:gridSpan w:val="3"/>
          </w:tcPr>
          <w:p>
            <w:pPr>
              <w:ind w:left="80"/>
              <w:spacing w:after="0"/>
              <w:rPr>
                <w:sz w:val="20"/>
                <w:szCs w:val="20"/>
                <w:color w:val="auto"/>
              </w:rPr>
            </w:pPr>
            <w:r>
              <w:rPr>
                <w:rFonts w:ascii="Arial" w:cs="Arial" w:eastAsia="Arial" w:hAnsi="Arial"/>
                <w:sz w:val="18"/>
                <w:szCs w:val="18"/>
                <w:color w:val="auto"/>
              </w:rPr>
              <w:t>REFERENCE NO.:</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EXPIRY DATE:</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AMOUNT:$ •</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BENEFICIARY:</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CUSTOMER:</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24"/>
        </w:trPr>
        <w:tc>
          <w:tcPr>
            <w:tcW w:w="3240" w:type="dxa"/>
            <w:vAlign w:val="bottom"/>
          </w:tcPr>
          <w:p>
            <w:pPr>
              <w:ind w:left="54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Dear Sirs:</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18"/>
        </w:trPr>
        <w:tc>
          <w:tcPr>
            <w:tcW w:w="3240" w:type="dxa"/>
            <w:vAlign w:val="bottom"/>
          </w:tcPr>
          <w:p>
            <w:pPr>
              <w:spacing w:after="0"/>
              <w:rPr>
                <w:sz w:val="20"/>
                <w:szCs w:val="20"/>
                <w:color w:val="auto"/>
              </w:rPr>
            </w:pPr>
            <w:r>
              <w:rPr>
                <w:rFonts w:ascii="Arial" w:cs="Arial" w:eastAsia="Arial" w:hAnsi="Arial"/>
                <w:sz w:val="18"/>
                <w:szCs w:val="18"/>
                <w:color w:val="auto"/>
                <w:w w:val="99"/>
              </w:rPr>
              <w:t>Pursuant to the request of our customer,</w:t>
            </w:r>
          </w:p>
        </w:tc>
        <w:tc>
          <w:tcPr>
            <w:tcW w:w="800" w:type="dxa"/>
            <w:vAlign w:val="bottom"/>
          </w:tcPr>
          <w:p>
            <w:pPr>
              <w:ind w:left="380"/>
              <w:spacing w:after="0"/>
              <w:rPr>
                <w:sz w:val="20"/>
                <w:szCs w:val="20"/>
                <w:color w:val="auto"/>
              </w:rPr>
            </w:pPr>
            <w:r>
              <w:rPr>
                <w:rFonts w:ascii="Arial" w:cs="Arial" w:eastAsia="Arial" w:hAnsi="Arial"/>
                <w:sz w:val="18"/>
                <w:szCs w:val="18"/>
                <w:color w:val="auto"/>
              </w:rPr>
              <w:t>•</w:t>
            </w:r>
          </w:p>
        </w:tc>
        <w:tc>
          <w:tcPr>
            <w:tcW w:w="3900" w:type="dxa"/>
            <w:vAlign w:val="bottom"/>
            <w:gridSpan w:val="5"/>
          </w:tcPr>
          <w:p>
            <w:pPr>
              <w:ind w:left="360"/>
              <w:spacing w:after="0"/>
              <w:rPr>
                <w:sz w:val="20"/>
                <w:szCs w:val="20"/>
                <w:color w:val="auto"/>
              </w:rPr>
            </w:pPr>
            <w:r>
              <w:rPr>
                <w:rFonts w:ascii="Arial" w:cs="Arial" w:eastAsia="Arial" w:hAnsi="Arial"/>
                <w:sz w:val="18"/>
                <w:szCs w:val="18"/>
                <w:color w:val="auto"/>
              </w:rPr>
              <w:t>, (the “Customer”), we, the undersigned,</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w w:val="98"/>
              </w:rPr>
              <w:t>, (“this Branch”) hereby</w:t>
            </w:r>
          </w:p>
        </w:tc>
      </w:tr>
      <w:tr>
        <w:trPr>
          <w:trHeight w:val="230"/>
        </w:trPr>
        <w:tc>
          <w:tcPr>
            <w:tcW w:w="5760" w:type="dxa"/>
            <w:vAlign w:val="bottom"/>
            <w:gridSpan w:val="4"/>
          </w:tcPr>
          <w:p>
            <w:pPr>
              <w:spacing w:after="0"/>
              <w:rPr>
                <w:sz w:val="20"/>
                <w:szCs w:val="20"/>
                <w:color w:val="auto"/>
              </w:rPr>
            </w:pPr>
            <w:r>
              <w:rPr>
                <w:rFonts w:ascii="Arial" w:cs="Arial" w:eastAsia="Arial" w:hAnsi="Arial"/>
                <w:sz w:val="18"/>
                <w:szCs w:val="18"/>
                <w:color w:val="auto"/>
                <w:w w:val="95"/>
              </w:rPr>
              <w:t>establish an irrevocable Letter of Credit in your favour in the total amount of</w:t>
            </w:r>
          </w:p>
        </w:tc>
        <w:tc>
          <w:tcPr>
            <w:tcW w:w="500" w:type="dxa"/>
            <w:vAlign w:val="bottom"/>
          </w:tcPr>
          <w:p>
            <w:pPr>
              <w:spacing w:after="0"/>
              <w:rPr>
                <w:sz w:val="20"/>
                <w:szCs w:val="20"/>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ind w:left="120"/>
              <w:spacing w:after="0"/>
              <w:rPr>
                <w:sz w:val="20"/>
                <w:szCs w:val="20"/>
                <w:color w:val="auto"/>
              </w:rPr>
            </w:pPr>
            <w:r>
              <w:rPr>
                <w:rFonts w:ascii="Arial" w:cs="Arial" w:eastAsia="Arial" w:hAnsi="Arial"/>
                <w:sz w:val="18"/>
                <w:szCs w:val="18"/>
                <w:color w:val="auto"/>
              </w:rPr>
              <w:t>dollars ($</w:t>
            </w:r>
          </w:p>
        </w:tc>
        <w:tc>
          <w:tcPr>
            <w:tcW w:w="420" w:type="dxa"/>
            <w:vAlign w:val="bottom"/>
          </w:tcPr>
          <w:p>
            <w:pPr>
              <w:spacing w:after="0"/>
              <w:rPr>
                <w:sz w:val="20"/>
                <w:szCs w:val="20"/>
                <w:color w:val="auto"/>
              </w:rPr>
            </w:pPr>
          </w:p>
        </w:tc>
        <w:tc>
          <w:tcPr>
            <w:tcW w:w="400" w:type="dxa"/>
            <w:vAlign w:val="bottom"/>
          </w:tcPr>
          <w:p>
            <w:pPr>
              <w:ind w:left="20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5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
        <w:spacing w:after="0" w:line="259" w:lineRule="auto"/>
        <w:rPr>
          <w:sz w:val="20"/>
          <w:szCs w:val="20"/>
          <w:color w:val="auto"/>
        </w:rPr>
      </w:pPr>
      <w:r>
        <w:rPr>
          <w:rFonts w:ascii="Arial" w:cs="Arial" w:eastAsia="Arial" w:hAnsi="Arial"/>
          <w:sz w:val="18"/>
          <w:szCs w:val="18"/>
          <w:color w:val="auto"/>
        </w:rPr>
        <w:t>We authorize you to draw on this Branch under this Letter of Credit in the form of a written demand for payment, which demand we shall honour without enquiring whether you have the right as between you and the Customer to make such demand and without acknowledging any claim or instructions of the Customer, provided, however, that you are to deliver to us at the above address at such time as a written demand for payment is made by you upon us:</w:t>
      </w:r>
    </w:p>
    <w:p>
      <w:pPr>
        <w:spacing w:after="0" w:line="92" w:lineRule="exact"/>
        <w:rPr>
          <w:sz w:val="20"/>
          <w:szCs w:val="20"/>
          <w:color w:val="auto"/>
        </w:rPr>
      </w:pPr>
    </w:p>
    <w:p>
      <w:pPr>
        <w:ind w:left="424" w:hanging="424"/>
        <w:spacing w:after="0"/>
        <w:tabs>
          <w:tab w:leader="none" w:pos="42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original copy of this Letter of Credit; and</w:t>
      </w:r>
    </w:p>
    <w:p>
      <w:pPr>
        <w:spacing w:after="0" w:line="130" w:lineRule="exact"/>
        <w:rPr>
          <w:rFonts w:ascii="Arial" w:cs="Arial" w:eastAsia="Arial" w:hAnsi="Arial"/>
          <w:sz w:val="18"/>
          <w:szCs w:val="18"/>
          <w:color w:val="auto"/>
        </w:rPr>
      </w:pPr>
    </w:p>
    <w:p>
      <w:pPr>
        <w:ind w:left="424" w:right="200" w:hanging="424"/>
        <w:spacing w:after="0" w:line="259" w:lineRule="auto"/>
        <w:tabs>
          <w:tab w:leader="none" w:pos="42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 certificate confirming one or the other or both of the following: (i) that the Customer is in default under the provisions of a lease between you and the Customer and that the monies drawn by you are due and payable to you in accordance with such lease and (ii) that the Customer is in default under the provisions of an agreement between you and the Customer and that the monies drawn by you are due and payable to you in accordance with such agreement.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Partial and multiple drawings are permitted.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This Letter of Credit is issued subject to Uniform Customs and Practice for Documentary Credits, 1993 Revision, I.C.C. Publication No. 500.</w:t>
      </w:r>
    </w:p>
    <w:p>
      <w:pPr>
        <w:sectPr>
          <w:pgSz w:w="11900" w:h="16838" w:orient="portrait"/>
          <w:cols w:equalWidth="0" w:num="1">
            <w:col w:w="10944"/>
          </w:cols>
          <w:pgMar w:left="436" w:top="256" w:right="519" w:bottom="1440" w:gutter="0" w:footer="0" w:header="0"/>
        </w:sectPr>
      </w:pPr>
    </w:p>
    <w:p>
      <w:pPr>
        <w:spacing w:after="0" w:line="237" w:lineRule="exact"/>
        <w:rPr>
          <w:sz w:val="20"/>
          <w:szCs w:val="20"/>
          <w:color w:val="auto"/>
        </w:rPr>
      </w:pPr>
    </w:p>
    <w:p>
      <w:pPr>
        <w:ind w:left="724" w:hanging="719"/>
        <w:spacing w:after="0" w:line="277" w:lineRule="auto"/>
        <w:rPr>
          <w:sz w:val="20"/>
          <w:szCs w:val="20"/>
          <w:color w:val="auto"/>
        </w:rPr>
      </w:pPr>
      <w:r>
        <w:rPr>
          <w:rFonts w:ascii="Arial" w:cs="Arial" w:eastAsia="Arial" w:hAnsi="Arial"/>
          <w:sz w:val="18"/>
          <w:szCs w:val="18"/>
          <w:color w:val="auto"/>
        </w:rPr>
        <w:t>A written demand for payment and certificate as described above must be presented at this Branch before the end of banking business on the , at which time this Letter of Credit will expire.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day of</w:t>
      </w:r>
    </w:p>
    <w:p>
      <w:pPr>
        <w:sectPr>
          <w:pgSz w:w="11900" w:h="16838" w:orient="portrait"/>
          <w:cols w:equalWidth="0" w:num="2">
            <w:col w:w="10124" w:space="260"/>
            <w:col w:w="560"/>
          </w:cols>
          <w:pgMar w:left="436" w:top="256" w:right="519" w:bottom="1440" w:gutter="0" w:footer="0" w:header="0"/>
          <w:type w:val="continuous"/>
        </w:sectPr>
      </w:pPr>
    </w:p>
    <w:bookmarkStart w:id="487" w:name="page488"/>
    <w:bookmarkEnd w:id="48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ENVIRONMENTAL QUESTIONNAIRE</w:t>
      </w:r>
    </w:p>
    <w:p>
      <w:pPr>
        <w:sectPr>
          <w:pgSz w:w="11900" w:h="16838" w:orient="portrait"/>
          <w:cols w:equalWidth="0" w:num="1">
            <w:col w:w="9019"/>
          </w:cols>
          <w:pgMar w:left="1440" w:top="269" w:right="1440" w:bottom="1440" w:gutter="0" w:footer="0" w:header="0"/>
        </w:sectPr>
      </w:pPr>
    </w:p>
    <w:bookmarkStart w:id="488" w:name="page489"/>
    <w:bookmarkEnd w:id="48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w:t>
      </w:r>
    </w:p>
    <w:p>
      <w:pPr>
        <w:sectPr>
          <w:pgSz w:w="11900" w:h="16838" w:orient="portrait"/>
          <w:cols w:equalWidth="0" w:num="1">
            <w:col w:w="9019"/>
          </w:cols>
          <w:pgMar w:left="1440" w:top="269"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EQUIPMENT</w:t>
      </w:r>
    </w:p>
    <w:p>
      <w:pPr>
        <w:sectPr>
          <w:pgSz w:w="11900" w:h="16838" w:orient="portrait"/>
          <w:cols w:equalWidth="0" w:num="1">
            <w:col w:w="9019"/>
          </w:cols>
          <w:pgMar w:left="1440" w:top="269" w:right="1440" w:bottom="1440" w:gutter="0" w:footer="0" w:header="0"/>
          <w:type w:val="continuous"/>
        </w:sectPr>
      </w:pPr>
    </w:p>
    <w:bookmarkStart w:id="489" w:name="page490"/>
    <w:bookmarkEnd w:id="489"/>
    <w:p>
      <w:pPr>
        <w:jc w:val="center"/>
        <w:ind w:left="480" w:right="4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 TO LEASE ENTERED INTO AT THE CITY OF MONTREAL, PROVINCE OF QUÉBEC, ON THE 24 DAY OF NOVEMBER 2016</w:t>
      </w:r>
    </w:p>
    <w:p>
      <w:pPr>
        <w:sectPr>
          <w:pgSz w:w="11900" w:h="16838" w:orient="portrait"/>
          <w:cols w:equalWidth="0" w:num="1">
            <w:col w:w="11000"/>
          </w:cols>
          <w:pgMar w:left="440" w:top="269" w:right="45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 xml:space="preserve">CIG III TECHNOPARC NOMINEE INC. / FIDUCIAIRE CIG III TECHNOPARC INC., </w:t>
      </w:r>
      <w:r>
        <w:rPr>
          <w:rFonts w:ascii="Arial" w:cs="Arial" w:eastAsia="Arial" w:hAnsi="Arial"/>
          <w:sz w:val="18"/>
          <w:szCs w:val="18"/>
          <w:color w:val="auto"/>
        </w:rPr>
        <w:t>a legal person hereinacting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Sam Barbieri, its representative, duly authorized as he so declares;</w:t>
      </w:r>
    </w:p>
    <w:p>
      <w:pPr>
        <w:spacing w:after="0" w:line="71" w:lineRule="exact"/>
        <w:rPr>
          <w:sz w:val="20"/>
          <w:szCs w:val="20"/>
          <w:color w:val="auto"/>
        </w:rPr>
      </w:pPr>
    </w:p>
    <w:p>
      <w:pPr>
        <w:sectPr>
          <w:pgSz w:w="11900" w:h="16838" w:orient="portrait"/>
          <w:cols w:equalWidth="0" w:num="2">
            <w:col w:w="960" w:space="260"/>
            <w:col w:w="9780"/>
          </w:cols>
          <w:pgMar w:left="440" w:top="269" w:right="459" w:bottom="1440" w:gutter="0" w:footer="0" w:header="0"/>
          <w:type w:val="continuous"/>
        </w:sectPr>
      </w:pPr>
    </w:p>
    <w:p>
      <w:pPr>
        <w:ind w:left="1220"/>
        <w:spacing w:after="0"/>
        <w:rPr>
          <w:sz w:val="20"/>
          <w:szCs w:val="20"/>
          <w:color w:val="auto"/>
        </w:rPr>
      </w:pPr>
      <w:r>
        <w:rPr>
          <w:rFonts w:ascii="Arial" w:cs="Arial" w:eastAsia="Arial" w:hAnsi="Arial"/>
          <w:sz w:val="16"/>
          <w:szCs w:val="16"/>
          <w:color w:val="auto"/>
        </w:rPr>
        <w:t>(hereinafter referred as the “Landlord”)</w:t>
      </w:r>
    </w:p>
    <w:p>
      <w:pPr>
        <w:sectPr>
          <w:pgSz w:w="11900" w:h="16838" w:orient="portrait"/>
          <w:cols w:equalWidth="0" w:num="1">
            <w:col w:w="11000"/>
          </w:cols>
          <w:pgMar w:left="440" w:top="269" w:right="45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AND:</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PHARMASCIENCE INC., </w:t>
      </w:r>
      <w:r>
        <w:rPr>
          <w:rFonts w:ascii="Arial" w:cs="Arial" w:eastAsia="Arial" w:hAnsi="Arial"/>
          <w:sz w:val="18"/>
          <w:szCs w:val="18"/>
          <w:color w:val="auto"/>
        </w:rPr>
        <w:t>a body politic and corporate, duly incorporated according to law, herein acting and represented by Muriel</w:t>
      </w:r>
      <w:r>
        <w:rPr>
          <w:rFonts w:ascii="Arial" w:cs="Arial" w:eastAsia="Arial" w:hAnsi="Arial"/>
          <w:sz w:val="18"/>
          <w:szCs w:val="18"/>
          <w:b w:val="1"/>
          <w:bCs w:val="1"/>
          <w:color w:val="auto"/>
        </w:rPr>
        <w:t xml:space="preserve"> </w:t>
      </w:r>
      <w:r>
        <w:rPr>
          <w:rFonts w:ascii="Arial" w:cs="Arial" w:eastAsia="Arial" w:hAnsi="Arial"/>
          <w:sz w:val="18"/>
          <w:szCs w:val="18"/>
          <w:color w:val="auto"/>
        </w:rPr>
        <w:t>Lortie, its representative, duly authorized as the so declares;</w:t>
      </w:r>
    </w:p>
    <w:p>
      <w:pPr>
        <w:spacing w:after="0" w:line="71" w:lineRule="exact"/>
        <w:rPr>
          <w:sz w:val="20"/>
          <w:szCs w:val="20"/>
          <w:color w:val="auto"/>
        </w:rPr>
      </w:pPr>
    </w:p>
    <w:p>
      <w:pPr>
        <w:sectPr>
          <w:pgSz w:w="11900" w:h="16838" w:orient="portrait"/>
          <w:cols w:equalWidth="0" w:num="2">
            <w:col w:w="500" w:space="720"/>
            <w:col w:w="9780"/>
          </w:cols>
          <w:pgMar w:left="440" w:top="269" w:right="459" w:bottom="1440" w:gutter="0" w:footer="0" w:header="0"/>
          <w:type w:val="continuous"/>
        </w:sectPr>
      </w:pPr>
    </w:p>
    <w:p>
      <w:pPr>
        <w:ind w:left="1220"/>
        <w:spacing w:after="0"/>
        <w:rPr>
          <w:sz w:val="20"/>
          <w:szCs w:val="20"/>
          <w:color w:val="auto"/>
        </w:rPr>
      </w:pPr>
      <w:r>
        <w:rPr>
          <w:rFonts w:ascii="Arial" w:cs="Arial" w:eastAsia="Arial" w:hAnsi="Arial"/>
          <w:sz w:val="16"/>
          <w:szCs w:val="16"/>
          <w:color w:val="auto"/>
        </w:rPr>
        <w:t>(hereinafter referred to as the “Tenant”)</w:t>
      </w:r>
    </w:p>
    <w:p>
      <w:pPr>
        <w:sectPr>
          <w:pgSz w:w="11900" w:h="16838" w:orient="portrait"/>
          <w:cols w:equalWidth="0" w:num="1">
            <w:col w:w="11000"/>
          </w:cols>
          <w:pgMar w:left="440" w:top="269" w:right="459" w:bottom="1440" w:gutter="0" w:footer="0" w:header="0"/>
          <w:type w:val="continuous"/>
        </w:sectPr>
      </w:pPr>
    </w:p>
    <w:p>
      <w:pPr>
        <w:spacing w:after="0" w:line="258"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a lease dated May 15, 2014 (the “Lease”) between Landlord and Tenant, the Tenant leases certain premises having a</w:t>
      </w:r>
      <w:r>
        <w:rPr>
          <w:rFonts w:ascii="Arial" w:cs="Arial" w:eastAsia="Arial" w:hAnsi="Arial"/>
          <w:sz w:val="18"/>
          <w:szCs w:val="18"/>
          <w:b w:val="1"/>
          <w:bCs w:val="1"/>
          <w:color w:val="auto"/>
        </w:rPr>
        <w:t xml:space="preserve"> </w:t>
      </w:r>
      <w:r>
        <w:rPr>
          <w:rFonts w:ascii="Arial" w:cs="Arial" w:eastAsia="Arial" w:hAnsi="Arial"/>
          <w:sz w:val="18"/>
          <w:szCs w:val="18"/>
          <w:color w:val="auto"/>
        </w:rPr>
        <w:t>Rentable Area of nine thousand forty-five (9,045) square feet (the “Leased Premises”) located on the ground floor of the building bearing civic address 7210 Frederick Banting, City of Montreal (Borough of Saint-Laurent), Province of Québec (the “Building”) for a term expiring July 31, 2021 (the “Term”), subject to one (1) option to extend the Lease for a period of five (5) years, the whole in accordance with and subject to the conditions set forth in the Lease;</w:t>
      </w:r>
    </w:p>
    <w:p>
      <w:pPr>
        <w:spacing w:after="0" w:line="183" w:lineRule="exact"/>
        <w:rPr>
          <w:sz w:val="20"/>
          <w:szCs w:val="20"/>
          <w:color w:val="auto"/>
        </w:rPr>
      </w:pPr>
    </w:p>
    <w:p>
      <w:pPr>
        <w:ind w:right="500" w:firstLine="440"/>
        <w:spacing w:after="0" w:line="312"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Tenant wishes to have the right to use some of the Landlord’s equipment and the Landlord agrees to such use, the whole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and subject to the terms and conditions set forth in this amendment (hereinafter the “Amendment”).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THE PARTIES HAVE AGREED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1 </w:t>
      </w:r>
      <w:r>
        <w:rPr>
          <w:rFonts w:ascii="Arial" w:cs="Arial" w:eastAsia="Arial" w:hAnsi="Arial"/>
          <w:sz w:val="18"/>
          <w:szCs w:val="18"/>
          <w:b w:val="1"/>
          <w:bCs w:val="1"/>
          <w:u w:val="single" w:color="auto"/>
          <w:color w:val="auto"/>
        </w:rPr>
        <w:t>PREAMBLE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1.1 The preamble hereto is true and correct and shall form an integral part of this Amendment.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1.2 All terms and expressions in this Amendment with the first letter in upper case have the meaning attributed thereto in the Lease unless the contrary is herein provided or the context dictates otherwise.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2 </w:t>
      </w:r>
      <w:r>
        <w:rPr>
          <w:rFonts w:ascii="Arial" w:cs="Arial" w:eastAsia="Arial" w:hAnsi="Arial"/>
          <w:sz w:val="18"/>
          <w:szCs w:val="18"/>
          <w:b w:val="1"/>
          <w:bCs w:val="1"/>
          <w:u w:val="single" w:color="auto"/>
          <w:color w:val="auto"/>
        </w:rPr>
        <w:t>DEIONIZED WATER APPARATUS</w:t>
      </w:r>
    </w:p>
    <w:p>
      <w:pPr>
        <w:spacing w:after="0" w:line="12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2.1 The Landlord agrees to allow Tenant to connect to and use, without payment of any fee to the Landlord, the Landlord’s deionized water apparatus (the “Deionized Water Apparatus”) located on the 2</w:t>
      </w:r>
      <w:r>
        <w:rPr>
          <w:rFonts w:ascii="Arial" w:cs="Arial" w:eastAsia="Arial" w:hAnsi="Arial"/>
          <w:sz w:val="15"/>
          <w:szCs w:val="15"/>
          <w:color w:val="auto"/>
        </w:rPr>
        <w:t>nd</w:t>
      </w:r>
      <w:r>
        <w:rPr>
          <w:rFonts w:ascii="Arial" w:cs="Arial" w:eastAsia="Arial" w:hAnsi="Arial"/>
          <w:sz w:val="18"/>
          <w:szCs w:val="18"/>
          <w:color w:val="auto"/>
        </w:rPr>
        <w:t xml:space="preserve"> floor of the adjacent building known as 7220 Frederick Banting, City of Montreal (Borough of Saint-Laurent), Province of Québec (the “Adjacent Building”) which forms part of the Project (as defined in the Lease), subject to and in accordance with the terms and conditions set forth hereinafter.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2.2 The parties confirm that as of the date of this Amendment, Tenant has connected its equipment to the Deionized Water Apparatus.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2.3 Subject to the provisions of Section 2.7 below, from and after the date hereof, the Tenant shall maintain, repair and replace the Deionized Water Apparatus and all related plumbing and wiring, at its sole cost and expense as would a prudent owner, to the satisfaction of the Landlord with all costs of utilities related thereto being assumed by the Tenant, subject to the provisions of Section 2.5 below. The Tenant shall take out and maintain in force throughout the Term a maintenance and service contract for the Deionized Water Apparatus and shall provide a copy thereof to Landlord. The cost of</w:t>
      </w:r>
    </w:p>
    <w:p>
      <w:pPr>
        <w:sectPr>
          <w:pgSz w:w="11900" w:h="16838" w:orient="portrait"/>
          <w:cols w:equalWidth="0" w:num="1">
            <w:col w:w="11000"/>
          </w:cols>
          <w:pgMar w:left="440" w:top="269" w:right="459" w:bottom="1440" w:gutter="0" w:footer="0" w:header="0"/>
          <w:type w:val="continuous"/>
        </w:sectPr>
      </w:pPr>
    </w:p>
    <w:bookmarkStart w:id="490" w:name="page491"/>
    <w:bookmarkEnd w:id="490"/>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electricity payable by the Tenant with respect to the Deionized Water Apparatus will be established on the basis of Landlord’s reasonable estimates supported by an engineer’s report (to be made available to Tenant upon Tenant’s request) and at Tenant’s cost, and will be payable monthly, subject to a year-end adjustment on the basis of the utility rates in force at the relevant time. The parties confirm that notwithstanding any contribution by the Tenant to the replacement cost of all or any part of the Deionized Water Apparatus, the Deionized Water Apparatus shall remain the Landlord’s property at the expiry of the Term, without any compensation being due therefor to the Tenant.</w:t>
      </w:r>
    </w:p>
    <w:p>
      <w:pPr>
        <w:spacing w:after="0" w:line="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2.4 The Landlord shall upon prior reasonable notice provide Tenant access to the Adjacent Building for the purpose of assessing and maintaining, repairing and replacing the Deionized Water Apparatus, it being understood that any person who accesses the Adjacent Building for such purpose shall comply with the Landlord’s rules and regulations and may be required by the Landlord to be accompanied by a representative of the Landlord designated for that purpose.</w:t>
      </w:r>
    </w:p>
    <w:p>
      <w:pPr>
        <w:spacing w:after="0" w:line="79"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2.5 Notwithstanding any provision to the contrary, in the event the Deionized Water Apparatus must be replaced in its entirety, Landlord shall effect such replacement and Tenant agrees that fifty percent (50%) of such replacement costs incurred by Landlord, shall be assumed by Tenant, subject to contribution by any other user of the Deionized Water Apparatus at such time if any, and payable to Landlord as Additional Rent.</w:t>
      </w:r>
    </w:p>
    <w:p>
      <w:pPr>
        <w:spacing w:after="0" w:line="4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2.6 The Tenant’s comprehensive general liability insurance which Tenant is obliged to maintain with respect to the business carried on in the Leased Premises shall extend to any acts and omissions in connection with the Tenant’s connection to and use of the Deionized Water Apparatus. In addition, Tenant’s property damage insurance in respect of the Tenant’s furniture, fixtures and installations in the Leased Premises shall also extend and apply on the same basis to the Deionized Water Apparatus for the full replacement cost without depreciation, and Landlord shall be a named insured on such policy in respect of the Deionized Water Apparatus, as its interest may appear.</w:t>
      </w:r>
    </w:p>
    <w:p>
      <w:pPr>
        <w:spacing w:after="0" w:line="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2.7 Notwithstanding any provision of law or of the Lease to the contrary, Landlord shall not be liable to the Tenant for any loss or damage, direct or indirect, or any injury, arising in or upon the Leased Premises, the Building or the Adjacent Building, whether to Tenant or to any property or person, which may result at any time from any reason or cause in connection with the Deionized Water Apparatus, including without limitation resulting from any malfunction, break down or non-operation of the Deionized Water Apparatus, whether due to a failure of the Deionized Water Apparatus or due to any other reason whatsoever and even if due to Landlord’s fault or negligence in connection with the Deionized Water Apparatus, unless such damage or loss is caused by the gross fault or gross negligence of the Landlord. Any such malfunction, break down or non-operation of the Deionized Water Apparatus shall not be deemed to be an eviction or disturbance of the Tenant’s enjoyment of the Leased Premises and shall not entitle Tenant to claim any diminution of Basic Rent or Additional Rent.</w:t>
      </w:r>
    </w:p>
    <w:p>
      <w:pPr>
        <w:spacing w:after="0" w:line="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2.8 The Tenant acknowledges that if the Landlord leases space to a third party in the Building or in the Adjacent Building who requires the use of the Deionized Water Apparatus, the Landlord shall permit such third party to connect to and use such equipment and in such situation, the maintenance, all repairs and replacements required to the Deionized Water Apparatus shall then be performed by the Landlord and Tenant shall pay as Additional Rent to the Landlord on a monthly basis a share calculated equally amongst the user(s) of the Deionized Water Apparatus at such time, of all costs incurred by the Landlord in connection with the maintenance, repair and replacement of the Deionized Water Apparatus, including without limitation the cost of all utilities related thereto and the cost of any maintenance contracts entered into by the Landlord in connection therewith, subject to Section 2.5 above.</w:t>
      </w:r>
    </w:p>
    <w:p>
      <w:pPr>
        <w:spacing w:after="0" w:line="5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2.9 Where the second (2</w:t>
      </w:r>
      <w:r>
        <w:rPr>
          <w:rFonts w:ascii="Arial" w:cs="Arial" w:eastAsia="Arial" w:hAnsi="Arial"/>
          <w:sz w:val="14"/>
          <w:szCs w:val="14"/>
          <w:color w:val="auto"/>
        </w:rPr>
        <w:t>nd</w:t>
      </w:r>
      <w:r>
        <w:rPr>
          <w:rFonts w:ascii="Arial" w:cs="Arial" w:eastAsia="Arial" w:hAnsi="Arial"/>
          <w:sz w:val="17"/>
          <w:szCs w:val="17"/>
          <w:color w:val="auto"/>
        </w:rPr>
        <w:t>) floor of the Adjacent Building is leased to a third party who will not require the use of the Deionized Water Apparatus, the parties agree that the Landlord shall seal the current access door to the Deionized Water Apparatus in the Adjacent Building and create a new access to the Deionized Water Apparatus in the Building for Tenant. In such situation, the Tenant shall pay for all costs incurred by Landlord for such work. In the event that no other tenant in the Building or the Adjacent Building requires the use of the Deionized Water Apparatus and Tenant becomes the sole and exclusive user of the Deionized Water Apparatus, the Tenant agrees that it shall be responsible for the maintenance and all repairs and replacements required to the Deionized Water Apparatus as well as pay for all rentals with respect to the exclusive access and use of the Deionized Water Apparatus area, and Section 2.5 of this Amendment shall no longer apply.</w:t>
      </w:r>
    </w:p>
    <w:p>
      <w:pPr>
        <w:sectPr>
          <w:pgSz w:w="11900" w:h="16838" w:orient="portrait"/>
          <w:cols w:equalWidth="0" w:num="1">
            <w:col w:w="11000"/>
          </w:cols>
          <w:pgMar w:left="440" w:top="273" w:right="459" w:bottom="1440" w:gutter="0" w:footer="0" w:header="0"/>
        </w:sectPr>
      </w:pPr>
    </w:p>
    <w:bookmarkStart w:id="491" w:name="page492"/>
    <w:bookmarkEnd w:id="491"/>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2.10 Notwithstanding any provision to the contrary herein or in the Lease, at the expiry or earlier termination of the Lease, all costs for the disconnection of the Tenant’s equipment from the Deionized Water Apparatus and removal of all connections shall be the Tenant’s responsibility.</w:t>
      </w:r>
    </w:p>
    <w:p>
      <w:pPr>
        <w:spacing w:after="0" w:line="3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2.11 Notwithstanding any assignment of the Lease or any sub-sublease of all or any part of the Leased Premises, the Tenant’s rights under this Article 2 are personal to the Tenant named on the first page of this Amendment for the duration of the Term, as herein extended. The rights herein provided are personal to the Tenant named in this Amendment are not transferable or assignable in any way.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3 </w:t>
      </w:r>
      <w:r>
        <w:rPr>
          <w:rFonts w:ascii="Arial" w:cs="Arial" w:eastAsia="Arial" w:hAnsi="Arial"/>
          <w:sz w:val="18"/>
          <w:szCs w:val="18"/>
          <w:b w:val="1"/>
          <w:bCs w:val="1"/>
          <w:u w:val="single" w:color="auto"/>
          <w:color w:val="auto"/>
        </w:rPr>
        <w:t>GLYCOL CHILLER AND NEUTRALIZATION TANK</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3.1 Throughout the Term, the Tenant shall have the non-exclusive right to use in common with the other tenants of the Building and the Adjacent Building, the Building’s glycol chiller and neutralization tank (the “</w:t>
      </w:r>
      <w:r>
        <w:rPr>
          <w:rFonts w:ascii="Arial" w:cs="Arial" w:eastAsia="Arial" w:hAnsi="Arial"/>
          <w:sz w:val="18"/>
          <w:szCs w:val="18"/>
          <w:b w:val="1"/>
          <w:bCs w:val="1"/>
          <w:color w:val="auto"/>
        </w:rPr>
        <w:t>Glycol Chiller and Neutralization Tank</w:t>
      </w:r>
      <w:r>
        <w:rPr>
          <w:rFonts w:ascii="Arial" w:cs="Arial" w:eastAsia="Arial" w:hAnsi="Arial"/>
          <w:sz w:val="18"/>
          <w:szCs w:val="18"/>
          <w:color w:val="auto"/>
        </w:rPr>
        <w:t>”). The Tenant agrees to respect all the Landlord’s rules and regulations established from time to time for such equipment.</w:t>
      </w:r>
    </w:p>
    <w:p>
      <w:pPr>
        <w:spacing w:after="0" w:line="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3.2 The Tenant acknowledges that it is currently the only user of the Glycol Chiller and Neutralization Tank and agrees to pay all costs relating to the use thereof, all such costs payable by Tenant to Landlord on demand.</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3.3 The Tenant acknowledges that if the Landlord leases space to a third party in the Building or in the Adjacent Building who requires the use of the Glycol Chiller and Neutralization Tank, the Landlord shall permit such third party to connect to and use such equipment and in such situation, the maintenance, all repairs and replacements required to the Glycol Chiller and Neutralization Tank shall then be performed by the Landlord and Tenant shall pay to the Landlord a share calculated equally amongst the user(s) of the Glycol Chiller and Neutralization Tank at such time, of all costs incurred by the Landlord in connection with the maintenance, repair and replacement of the Glycol Chiller and Neutralization Tank, including without limitation the cost of all utilities related thereto and the cost of any maintenance contracts entered into by the Landlord in connection therewith.</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4 </w:t>
      </w:r>
      <w:r>
        <w:rPr>
          <w:rFonts w:ascii="Arial" w:cs="Arial" w:eastAsia="Arial" w:hAnsi="Arial"/>
          <w:sz w:val="18"/>
          <w:szCs w:val="18"/>
          <w:b w:val="1"/>
          <w:bCs w:val="1"/>
          <w:u w:val="single" w:color="auto"/>
          <w:color w:val="auto"/>
        </w:rPr>
        <w:t>THE LEASE</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4.1 Except as specifically provided herein, nothing in the foregoing modifies in any way the parties’ obligations under the Lease as they relate to the Leased Premises, all of which shall continue to apply without modification.</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4.2 The parties confirm that the Tenant has replaced the existing cage washer and autoclaves delivered with the Leased Premises at the commencement of the Lease and forming part of the “Equipment” (as defined in Section 1.04 of the Lease) with new ones as shown in Schedule “A” attached hereto, the whole as contemplated in Section 1.04 of the Lease.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5 </w:t>
      </w:r>
      <w:r>
        <w:rPr>
          <w:rFonts w:ascii="Arial" w:cs="Arial" w:eastAsia="Arial" w:hAnsi="Arial"/>
          <w:sz w:val="18"/>
          <w:szCs w:val="18"/>
          <w:b w:val="1"/>
          <w:bCs w:val="1"/>
          <w:u w:val="single" w:color="auto"/>
          <w:color w:val="auto"/>
        </w:rPr>
        <w:t>OTHER PROVISIONS</w:t>
      </w:r>
    </w:p>
    <w:p>
      <w:pPr>
        <w:spacing w:after="0" w:line="12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5.1 In the event the Tenant no longer requires the use of distilled water and the use of the Deionized Water Apparatus and the Glycol Chiller and Neutralization Tank, the Tenant shall, at its expense, disconnect all of its equipment from the Deionized Water Apparatus and the Glycol Chiller and Neutralization Tank and repair all damage caused by the disconnection, including without limitation damage to the Building, the whole in accordance with the provisions of the Lease and this Amendment. Subject to Tenant’s compliance with the foregoing and provided Tenant is not then in default of its obligations under the Lease, the Tenant shall be released and discharged from all of its obligations under the Lease with respect to the Deionized Water Apparatus and the Glycol Chiller and Neutralization Tank as of the date Landlord confirms satisfaction of such disconnection of the foregoing equipment, Landlord acting reasonably.</w:t>
      </w:r>
    </w:p>
    <w:p>
      <w:pPr>
        <w:spacing w:after="0" w:line="8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5.2 The parties represent and warrant that no broker, agent or other intermediary was engaged for the negotiation or conclusion of this Amendment. The Tenant shall pay for and indemnify and hold harmless the Landlord from any and all other fees, costs or commissions of any party claiming to represent the Tenant in connection with this Amendment.</w:t>
      </w:r>
    </w:p>
    <w:p>
      <w:pPr>
        <w:sectPr>
          <w:pgSz w:w="11900" w:h="16838" w:orient="portrait"/>
          <w:cols w:equalWidth="0" w:num="1">
            <w:col w:w="11000"/>
          </w:cols>
          <w:pgMar w:left="440" w:top="273" w:right="459" w:bottom="1440" w:gutter="0" w:footer="0" w:header="0"/>
        </w:sectPr>
      </w:pPr>
    </w:p>
    <w:bookmarkStart w:id="492" w:name="page493"/>
    <w:bookmarkEnd w:id="49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5.3 The parties have requested that this Amendment be prepared in the English language. </w:t>
      </w:r>
      <w:r>
        <w:rPr>
          <w:rFonts w:ascii="Arial" w:cs="Arial" w:eastAsia="Arial" w:hAnsi="Arial"/>
          <w:sz w:val="18"/>
          <w:szCs w:val="18"/>
          <w:i w:val="1"/>
          <w:iCs w:val="1"/>
          <w:color w:val="auto"/>
        </w:rPr>
        <w:t>Les parties ont demandé que la présente convention soit</w:t>
      </w:r>
      <w:r>
        <w:rPr>
          <w:rFonts w:ascii="Arial" w:cs="Arial" w:eastAsia="Arial" w:hAnsi="Arial"/>
          <w:sz w:val="18"/>
          <w:szCs w:val="18"/>
          <w:color w:val="auto"/>
        </w:rPr>
        <w:t xml:space="preserve"> </w:t>
      </w:r>
      <w:r>
        <w:rPr>
          <w:rFonts w:ascii="Arial" w:cs="Arial" w:eastAsia="Arial" w:hAnsi="Arial"/>
          <w:sz w:val="18"/>
          <w:szCs w:val="18"/>
          <w:i w:val="1"/>
          <w:iCs w:val="1"/>
          <w:color w:val="auto"/>
        </w:rPr>
        <w:t>rédigée en anglais.</w:t>
      </w:r>
    </w:p>
    <w:p>
      <w:pPr>
        <w:spacing w:after="0" w:line="382"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[SIGNATURE PAGE FOLLOWS]</w:t>
      </w:r>
    </w:p>
    <w:p>
      <w:pPr>
        <w:sectPr>
          <w:pgSz w:w="11900" w:h="16838" w:orient="portrait"/>
          <w:cols w:equalWidth="0" w:num="1">
            <w:col w:w="10500"/>
          </w:cols>
          <w:pgMar w:left="440" w:top="273" w:right="959" w:bottom="1440" w:gutter="0" w:footer="0" w:header="0"/>
        </w:sectPr>
      </w:pPr>
    </w:p>
    <w:bookmarkStart w:id="493" w:name="page494"/>
    <w:bookmarkEnd w:id="493"/>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SIGNED THESES PRESENTS</w:t>
      </w:r>
    </w:p>
    <w:p>
      <w:pPr>
        <w:sectPr>
          <w:pgSz w:w="11900" w:h="16838" w:orient="portrait"/>
          <w:cols w:equalWidth="0" w:num="1">
            <w:col w:w="10980"/>
          </w:cols>
          <w:pgMar w:left="440" w:top="26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Greg Spafford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15468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Greg Spafford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Authorized Signing Officer</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CIG III TECHNOPARC NOMINEE INC. / FIDUCIAIRE CIG III TECHNOPARC INC.</w:t>
      </w:r>
    </w:p>
    <w:p>
      <w:pPr>
        <w:spacing w:after="0"/>
        <w:rPr>
          <w:sz w:val="20"/>
          <w:szCs w:val="20"/>
          <w:color w:val="auto"/>
        </w:rPr>
      </w:pPr>
      <w:r>
        <w:rPr>
          <w:rFonts w:ascii="Arial" w:cs="Arial" w:eastAsia="Arial" w:hAnsi="Arial"/>
          <w:sz w:val="18"/>
          <w:szCs w:val="18"/>
          <w:color w:val="auto"/>
        </w:rPr>
        <w:t>(Landlord)</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8"/>
          <w:szCs w:val="18"/>
          <w:i w:val="1"/>
          <w:iCs w:val="1"/>
          <w:color w:val="auto"/>
        </w:rPr>
        <w:t>/s/ Sam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14605</wp:posOffset>
            </wp:positionV>
            <wp:extent cx="286321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Sam Barbieri</w:t>
      </w:r>
    </w:p>
    <w:p>
      <w:pPr>
        <w:spacing w:after="0" w:line="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Authorized Signing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PHARMASCIENCE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8"/>
          <w:szCs w:val="18"/>
          <w:i w:val="1"/>
          <w:iCs w:val="1"/>
          <w:color w:val="auto"/>
        </w:rPr>
        <w:t>/s/ Murielle Lortie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14605</wp:posOffset>
            </wp:positionV>
            <wp:extent cx="286321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Murielle Lortie</w:t>
      </w:r>
    </w:p>
    <w:p>
      <w:pPr>
        <w:spacing w:after="0" w:line="11" w:lineRule="exact"/>
        <w:rPr>
          <w:sz w:val="20"/>
          <w:szCs w:val="20"/>
          <w:color w:val="auto"/>
        </w:rPr>
      </w:pPr>
    </w:p>
    <w:p>
      <w:pPr>
        <w:jc w:val="center"/>
        <w:ind w:right="4120"/>
        <w:spacing w:after="0"/>
        <w:tabs>
          <w:tab w:leader="none" w:pos="240" w:val="left"/>
        </w:tabs>
        <w:rPr>
          <w:sz w:val="20"/>
          <w:szCs w:val="20"/>
          <w:color w:val="auto"/>
        </w:rPr>
      </w:pPr>
      <w:r>
        <w:rPr>
          <w:rFonts w:ascii="Arial" w:cs="Arial" w:eastAsia="Arial" w:hAnsi="Arial"/>
          <w:sz w:val="18"/>
          <w:szCs w:val="18"/>
          <w:color w:val="auto"/>
        </w:rPr>
        <w:t>Title:</w:t>
        <w:tab/>
        <w:t>CFO</w:t>
      </w:r>
    </w:p>
    <w:p>
      <w:pPr>
        <w:sectPr>
          <w:pgSz w:w="11900" w:h="16838" w:orient="portrait"/>
          <w:cols w:equalWidth="0" w:num="2">
            <w:col w:w="5140" w:space="720"/>
            <w:col w:w="5120"/>
          </w:cols>
          <w:pgMar w:left="440" w:top="269" w:right="479" w:bottom="1440" w:gutter="0" w:footer="0" w:header="0"/>
          <w:type w:val="continuous"/>
        </w:sectPr>
      </w:pPr>
    </w:p>
    <w:bookmarkStart w:id="494" w:name="page495"/>
    <w:bookmarkEnd w:id="49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CAGE WASHERS AND AUTOCLAVES</w:t>
      </w:r>
    </w:p>
    <w:p>
      <w:pPr>
        <w:sectPr>
          <w:pgSz w:w="11900" w:h="16838" w:orient="portrait"/>
          <w:cols w:equalWidth="0" w:num="1">
            <w:col w:w="9019"/>
          </w:cols>
          <w:pgMar w:left="1440" w:top="269" w:right="1440" w:bottom="1440" w:gutter="0" w:footer="0" w:header="0"/>
        </w:sectPr>
      </w:pPr>
    </w:p>
    <w:bookmarkStart w:id="495" w:name="page496"/>
    <w:bookmarkEnd w:id="495"/>
    <w:p>
      <w:pPr>
        <w:ind w:left="34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SECOND AMENDMENT TO LEASE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SECOND AMENDMENT TO LEASE AGREEMENT made this 25</w:t>
      </w:r>
      <w:r>
        <w:rPr>
          <w:rFonts w:ascii="Arial" w:cs="Arial" w:eastAsia="Arial" w:hAnsi="Arial"/>
          <w:sz w:val="15"/>
          <w:szCs w:val="15"/>
          <w:color w:val="auto"/>
        </w:rPr>
        <w:t>th</w:t>
      </w:r>
      <w:r>
        <w:rPr>
          <w:rFonts w:ascii="Arial" w:cs="Arial" w:eastAsia="Arial" w:hAnsi="Arial"/>
          <w:sz w:val="18"/>
          <w:szCs w:val="18"/>
          <w:color w:val="auto"/>
        </w:rPr>
        <w:t xml:space="preserve"> day of NOVEMBER, 2019.</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THE MANUFACTURERS LIFE INSURANCE COMPANY</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(hereinafter called the “</w:t>
      </w:r>
      <w:r>
        <w:rPr>
          <w:rFonts w:ascii="Arial" w:cs="Arial" w:eastAsia="Arial" w:hAnsi="Arial"/>
          <w:sz w:val="18"/>
          <w:szCs w:val="18"/>
          <w:b w:val="1"/>
          <w:bCs w:val="1"/>
          <w:color w:val="auto"/>
        </w:rPr>
        <w:t>Landlord</w:t>
      </w:r>
      <w:r>
        <w:rPr>
          <w:rFonts w:ascii="Arial" w:cs="Arial" w:eastAsia="Arial" w:hAnsi="Arial"/>
          <w:sz w:val="18"/>
          <w:szCs w:val="18"/>
          <w:color w:val="auto"/>
        </w:rPr>
        <w:t>”)</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OF THE FIRST PART,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(hereinafter called the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OF THE SECOND PART,</w:t>
      </w:r>
    </w:p>
    <w:p>
      <w:pPr>
        <w:spacing w:after="0" w:line="221" w:lineRule="exact"/>
        <w:rPr>
          <w:sz w:val="20"/>
          <w:szCs w:val="20"/>
          <w:color w:val="auto"/>
        </w:rPr>
      </w:pPr>
    </w:p>
    <w:p>
      <w:pPr>
        <w:ind w:left="4" w:right="60" w:firstLine="440"/>
        <w:spacing w:after="0" w:line="294"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pursuant to a Lease dated the 15</w:t>
      </w:r>
      <w:r>
        <w:rPr>
          <w:rFonts w:ascii="Arial" w:cs="Arial" w:eastAsia="Arial" w:hAnsi="Arial"/>
          <w:sz w:val="13"/>
          <w:szCs w:val="13"/>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day of May, 2014 (the “</w:t>
      </w:r>
      <w:r>
        <w:rPr>
          <w:rFonts w:ascii="Arial" w:cs="Arial" w:eastAsia="Arial" w:hAnsi="Arial"/>
          <w:sz w:val="16"/>
          <w:szCs w:val="16"/>
          <w:b w:val="1"/>
          <w:bCs w:val="1"/>
          <w:color w:val="auto"/>
        </w:rPr>
        <w:t>Original Lease</w:t>
      </w:r>
      <w:r>
        <w:rPr>
          <w:rFonts w:ascii="Arial" w:cs="Arial" w:eastAsia="Arial" w:hAnsi="Arial"/>
          <w:sz w:val="16"/>
          <w:szCs w:val="16"/>
          <w:color w:val="auto"/>
        </w:rPr>
        <w:t>”) between CIG III Technoparc Nominee Inc. (the “</w:t>
      </w:r>
      <w:r>
        <w:rPr>
          <w:rFonts w:ascii="Arial" w:cs="Arial" w:eastAsia="Arial" w:hAnsi="Arial"/>
          <w:sz w:val="16"/>
          <w:szCs w:val="16"/>
          <w:b w:val="1"/>
          <w:bCs w:val="1"/>
          <w:color w:val="auto"/>
        </w:rPr>
        <w:t>Prior Landlord</w:t>
      </w:r>
      <w:r>
        <w:rPr>
          <w:rFonts w:ascii="Arial" w:cs="Arial" w:eastAsia="Arial" w:hAnsi="Arial"/>
          <w:sz w:val="16"/>
          <w:szCs w:val="16"/>
          <w:color w:val="auto"/>
        </w:rPr>
        <w:t>”) and Pharmascience Inc. (the “</w:t>
      </w:r>
      <w:r>
        <w:rPr>
          <w:rFonts w:ascii="Arial" w:cs="Arial" w:eastAsia="Arial" w:hAnsi="Arial"/>
          <w:sz w:val="16"/>
          <w:szCs w:val="16"/>
          <w:b w:val="1"/>
          <w:bCs w:val="1"/>
          <w:color w:val="auto"/>
        </w:rPr>
        <w:t>Prior Tenant</w:t>
      </w:r>
      <w:r>
        <w:rPr>
          <w:rFonts w:ascii="Arial" w:cs="Arial" w:eastAsia="Arial" w:hAnsi="Arial"/>
          <w:sz w:val="16"/>
          <w:szCs w:val="16"/>
          <w:color w:val="auto"/>
        </w:rPr>
        <w:t>”), as amended by a First Amendment to Lease Agreement dated the 24</w:t>
      </w:r>
      <w:r>
        <w:rPr>
          <w:rFonts w:ascii="Arial" w:cs="Arial" w:eastAsia="Arial" w:hAnsi="Arial"/>
          <w:sz w:val="13"/>
          <w:szCs w:val="13"/>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day of November,</w:t>
      </w:r>
      <w:r>
        <w:rPr>
          <w:rFonts w:ascii="Arial" w:cs="Arial" w:eastAsia="Arial" w:hAnsi="Arial"/>
          <w:sz w:val="16"/>
          <w:szCs w:val="16"/>
          <w:b w:val="1"/>
          <w:bCs w:val="1"/>
          <w:color w:val="auto"/>
        </w:rPr>
        <w:t xml:space="preserve"> </w:t>
      </w:r>
      <w:r>
        <w:rPr>
          <w:rFonts w:ascii="Arial" w:cs="Arial" w:eastAsia="Arial" w:hAnsi="Arial"/>
          <w:sz w:val="16"/>
          <w:szCs w:val="16"/>
          <w:color w:val="auto"/>
        </w:rPr>
        <w:t>2016 (the “</w:t>
      </w:r>
      <w:r>
        <w:rPr>
          <w:rFonts w:ascii="Arial" w:cs="Arial" w:eastAsia="Arial" w:hAnsi="Arial"/>
          <w:sz w:val="16"/>
          <w:szCs w:val="16"/>
          <w:b w:val="1"/>
          <w:bCs w:val="1"/>
          <w:color w:val="auto"/>
        </w:rPr>
        <w:t>First Amendment</w:t>
      </w:r>
      <w:r>
        <w:rPr>
          <w:rFonts w:ascii="Arial" w:cs="Arial" w:eastAsia="Arial" w:hAnsi="Arial"/>
          <w:sz w:val="16"/>
          <w:szCs w:val="16"/>
          <w:color w:val="auto"/>
        </w:rPr>
        <w:t xml:space="preserve">”), the Prior Tenant leased certain premises located respectively on the ground floor of the building bearing civic address </w:t>
      </w:r>
      <w:r>
        <w:rPr>
          <w:rFonts w:ascii="Arial" w:cs="Arial" w:eastAsia="Arial" w:hAnsi="Arial"/>
          <w:sz w:val="16"/>
          <w:szCs w:val="16"/>
          <w:b w:val="1"/>
          <w:bCs w:val="1"/>
          <w:color w:val="auto"/>
        </w:rPr>
        <w:t xml:space="preserve">7210 Frederick-Banting, in the City of Montreal (borough of Saint-Laurent), Province of Quebec </w:t>
      </w:r>
      <w:r>
        <w:rPr>
          <w:rFonts w:ascii="Arial" w:cs="Arial" w:eastAsia="Arial" w:hAnsi="Arial"/>
          <w:sz w:val="16"/>
          <w:szCs w:val="16"/>
          <w:color w:val="auto"/>
        </w:rPr>
        <w:t>(the “</w:t>
      </w:r>
      <w:r>
        <w:rPr>
          <w:rFonts w:ascii="Arial" w:cs="Arial" w:eastAsia="Arial" w:hAnsi="Arial"/>
          <w:sz w:val="16"/>
          <w:szCs w:val="16"/>
          <w:b w:val="1"/>
          <w:bCs w:val="1"/>
          <w:color w:val="auto"/>
        </w:rPr>
        <w:t>Building</w:t>
      </w:r>
      <w:r>
        <w:rPr>
          <w:rFonts w:ascii="Arial" w:cs="Arial" w:eastAsia="Arial" w:hAnsi="Arial"/>
          <w:sz w:val="16"/>
          <w:szCs w:val="16"/>
          <w:color w:val="auto"/>
        </w:rPr>
        <w:t>”) comprising a Rentable Area of</w:t>
      </w:r>
      <w:r>
        <w:rPr>
          <w:rFonts w:ascii="Arial" w:cs="Arial" w:eastAsia="Arial" w:hAnsi="Arial"/>
          <w:sz w:val="16"/>
          <w:szCs w:val="16"/>
          <w:b w:val="1"/>
          <w:bCs w:val="1"/>
          <w:color w:val="auto"/>
        </w:rPr>
        <w:t xml:space="preserve"> Nine Thousand Forty-Five (9,045) square feet </w:t>
      </w:r>
      <w:r>
        <w:rPr>
          <w:rFonts w:ascii="Arial" w:cs="Arial" w:eastAsia="Arial" w:hAnsi="Arial"/>
          <w:sz w:val="16"/>
          <w:szCs w:val="16"/>
          <w:color w:val="auto"/>
        </w:rPr>
        <w:t>and more particularly described in the Original Lease (the “</w:t>
      </w:r>
      <w:r>
        <w:rPr>
          <w:rFonts w:ascii="Arial" w:cs="Arial" w:eastAsia="Arial" w:hAnsi="Arial"/>
          <w:sz w:val="16"/>
          <w:szCs w:val="16"/>
          <w:b w:val="1"/>
          <w:bCs w:val="1"/>
          <w:color w:val="auto"/>
        </w:rPr>
        <w:t>Leased Premises</w:t>
      </w:r>
      <w:r>
        <w:rPr>
          <w:rFonts w:ascii="Arial" w:cs="Arial" w:eastAsia="Arial" w:hAnsi="Arial"/>
          <w:sz w:val="16"/>
          <w:szCs w:val="16"/>
          <w:color w:val="auto"/>
        </w:rPr>
        <w:t>”), for a term expiring on</w:t>
      </w:r>
      <w:r>
        <w:rPr>
          <w:rFonts w:ascii="Arial" w:cs="Arial" w:eastAsia="Arial" w:hAnsi="Arial"/>
          <w:sz w:val="16"/>
          <w:szCs w:val="16"/>
          <w:b w:val="1"/>
          <w:bCs w:val="1"/>
          <w:color w:val="auto"/>
        </w:rPr>
        <w:t xml:space="preserve"> </w:t>
      </w:r>
      <w:r>
        <w:rPr>
          <w:rFonts w:ascii="Arial" w:cs="Arial" w:eastAsia="Arial" w:hAnsi="Arial"/>
          <w:sz w:val="16"/>
          <w:szCs w:val="16"/>
          <w:color w:val="auto"/>
        </w:rPr>
        <w:t>the 31</w:t>
      </w:r>
      <w:r>
        <w:rPr>
          <w:rFonts w:ascii="Arial" w:cs="Arial" w:eastAsia="Arial" w:hAnsi="Arial"/>
          <w:sz w:val="13"/>
          <w:szCs w:val="13"/>
          <w:color w:val="auto"/>
        </w:rPr>
        <w:t>st</w:t>
      </w:r>
      <w:r>
        <w:rPr>
          <w:rFonts w:ascii="Arial" w:cs="Arial" w:eastAsia="Arial" w:hAnsi="Arial"/>
          <w:sz w:val="16"/>
          <w:szCs w:val="16"/>
          <w:color w:val="auto"/>
        </w:rPr>
        <w:t xml:space="preserve"> day of July, 2021 (the “</w:t>
      </w:r>
      <w:r>
        <w:rPr>
          <w:rFonts w:ascii="Arial" w:cs="Arial" w:eastAsia="Arial" w:hAnsi="Arial"/>
          <w:sz w:val="16"/>
          <w:szCs w:val="16"/>
          <w:b w:val="1"/>
          <w:bCs w:val="1"/>
          <w:color w:val="auto"/>
        </w:rPr>
        <w:t>Term</w:t>
      </w:r>
      <w:r>
        <w:rPr>
          <w:rFonts w:ascii="Arial" w:cs="Arial" w:eastAsia="Arial" w:hAnsi="Arial"/>
          <w:sz w:val="16"/>
          <w:szCs w:val="16"/>
          <w:color w:val="auto"/>
        </w:rPr>
        <w:t>”), unless otherwise terminated, the whole subject to and in accordance with the terms and conditions of the Lease;</w:t>
      </w:r>
    </w:p>
    <w:p>
      <w:pPr>
        <w:spacing w:after="0" w:line="160" w:lineRule="exact"/>
        <w:rPr>
          <w:sz w:val="20"/>
          <w:szCs w:val="20"/>
          <w:color w:val="auto"/>
        </w:rPr>
      </w:pPr>
    </w:p>
    <w:p>
      <w:pPr>
        <w:ind w:left="4" w:right="300" w:firstLine="44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as of the 7</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June 2017, the Prior Tenant assigned all of its rights, titles and interests pertaining to the Building, the Leased</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and to the Initial Lease and First Amendment to Repare Therapeutics Inc. (the “</w:t>
      </w:r>
      <w:r>
        <w:rPr>
          <w:rFonts w:ascii="Arial" w:cs="Arial" w:eastAsia="Arial" w:hAnsi="Arial"/>
          <w:sz w:val="18"/>
          <w:szCs w:val="18"/>
          <w:b w:val="1"/>
          <w:bCs w:val="1"/>
          <w:color w:val="auto"/>
        </w:rPr>
        <w:t>Tenant</w:t>
      </w:r>
      <w:r>
        <w:rPr>
          <w:rFonts w:ascii="Arial" w:cs="Arial" w:eastAsia="Arial" w:hAnsi="Arial"/>
          <w:sz w:val="18"/>
          <w:szCs w:val="18"/>
          <w:color w:val="auto"/>
        </w:rPr>
        <w:t>”), the whole in accordance with the terms and conditions set forth in the Assignment of Lease (the “</w:t>
      </w:r>
      <w:r>
        <w:rPr>
          <w:rFonts w:ascii="Arial" w:cs="Arial" w:eastAsia="Arial" w:hAnsi="Arial"/>
          <w:sz w:val="18"/>
          <w:szCs w:val="18"/>
          <w:b w:val="1"/>
          <w:bCs w:val="1"/>
          <w:color w:val="auto"/>
        </w:rPr>
        <w:t>Assignment</w:t>
      </w:r>
      <w:r>
        <w:rPr>
          <w:rFonts w:ascii="Arial" w:cs="Arial" w:eastAsia="Arial" w:hAnsi="Arial"/>
          <w:sz w:val="18"/>
          <w:szCs w:val="18"/>
          <w:color w:val="auto"/>
        </w:rPr>
        <w:t>”);</w:t>
      </w:r>
    </w:p>
    <w:p>
      <w:pPr>
        <w:spacing w:after="0" w:line="176" w:lineRule="exact"/>
        <w:rPr>
          <w:sz w:val="20"/>
          <w:szCs w:val="20"/>
          <w:color w:val="auto"/>
        </w:rPr>
      </w:pPr>
    </w:p>
    <w:p>
      <w:pPr>
        <w:ind w:left="4" w:right="700" w:firstLine="440"/>
        <w:spacing w:after="0" w:line="312"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Prior Landlord assigned all its rights and interests pertaining to the Building and to the Lease to The Manufacturers Life</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Company (the “</w:t>
      </w:r>
      <w:r>
        <w:rPr>
          <w:rFonts w:ascii="Arial" w:cs="Arial" w:eastAsia="Arial" w:hAnsi="Arial"/>
          <w:sz w:val="17"/>
          <w:szCs w:val="17"/>
          <w:b w:val="1"/>
          <w:bCs w:val="1"/>
          <w:color w:val="auto"/>
        </w:rPr>
        <w:t>Landlord</w:t>
      </w:r>
      <w:r>
        <w:rPr>
          <w:rFonts w:ascii="Arial" w:cs="Arial" w:eastAsia="Arial" w:hAnsi="Arial"/>
          <w:sz w:val="17"/>
          <w:szCs w:val="17"/>
          <w:color w:val="auto"/>
        </w:rPr>
        <w:t>”), where upon the latter became the new owner of the Building, and ratified the Lease;</w:t>
      </w:r>
    </w:p>
    <w:p>
      <w:pPr>
        <w:spacing w:after="0" w:line="140"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virtue of the Presents, the Tenant wishes to amend the Lease and to further lease temporary space in accordance with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hereinafter set forth in this Second Amendment to Lease Agreement (the “</w:t>
      </w:r>
      <w:r>
        <w:rPr>
          <w:rFonts w:ascii="Arial" w:cs="Arial" w:eastAsia="Arial" w:hAnsi="Arial"/>
          <w:sz w:val="18"/>
          <w:szCs w:val="18"/>
          <w:b w:val="1"/>
          <w:bCs w:val="1"/>
          <w:color w:val="auto"/>
        </w:rPr>
        <w:t>Second Amendment</w:t>
      </w:r>
      <w:r>
        <w:rPr>
          <w:rFonts w:ascii="Arial" w:cs="Arial" w:eastAsia="Arial" w:hAnsi="Arial"/>
          <w:sz w:val="18"/>
          <w:szCs w:val="18"/>
          <w:color w:val="auto"/>
        </w:rPr>
        <w:t>”).</w:t>
      </w:r>
    </w:p>
    <w:p>
      <w:pPr>
        <w:spacing w:after="0" w:line="162" w:lineRule="exact"/>
        <w:rPr>
          <w:sz w:val="20"/>
          <w:szCs w:val="20"/>
          <w:color w:val="auto"/>
        </w:rPr>
      </w:pPr>
    </w:p>
    <w:p>
      <w:pPr>
        <w:ind w:left="4" w:right="4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Original Lease, the First Amendment, the Assignment, and the present Second Amendment are hereinafter collectively called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Lease</w:t>
      </w:r>
      <w:r>
        <w:rPr>
          <w:rFonts w:ascii="Arial" w:cs="Arial" w:eastAsia="Arial" w:hAnsi="Arial"/>
          <w:sz w:val="18"/>
          <w:szCs w:val="18"/>
          <w:color w:val="auto"/>
        </w:rPr>
        <w:t>”;</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PARTIES HAVE AGREED AS FOLLOWS: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Lease is amended as of the 25</w:t>
      </w:r>
      <w:r>
        <w:rPr>
          <w:rFonts w:ascii="Arial" w:cs="Arial" w:eastAsia="Arial" w:hAnsi="Arial"/>
          <w:sz w:val="15"/>
          <w:szCs w:val="15"/>
          <w:color w:val="auto"/>
        </w:rPr>
        <w:t>th</w:t>
      </w:r>
      <w:r>
        <w:rPr>
          <w:rFonts w:ascii="Arial" w:cs="Arial" w:eastAsia="Arial" w:hAnsi="Arial"/>
          <w:sz w:val="18"/>
          <w:szCs w:val="18"/>
          <w:color w:val="auto"/>
        </w:rPr>
        <w:t xml:space="preserve"> day of NOVEMBER 2019 (the “</w:t>
      </w:r>
      <w:r>
        <w:rPr>
          <w:rFonts w:ascii="Arial" w:cs="Arial" w:eastAsia="Arial" w:hAnsi="Arial"/>
          <w:sz w:val="18"/>
          <w:szCs w:val="18"/>
          <w:b w:val="1"/>
          <w:bCs w:val="1"/>
          <w:color w:val="auto"/>
        </w:rPr>
        <w:t>Effective Date</w:t>
      </w:r>
      <w:r>
        <w:rPr>
          <w:rFonts w:ascii="Arial" w:cs="Arial" w:eastAsia="Arial" w:hAnsi="Arial"/>
          <w:sz w:val="18"/>
          <w:szCs w:val="18"/>
          <w:color w:val="auto"/>
        </w:rPr>
        <w:t>”) as follows:</w:t>
      </w:r>
    </w:p>
    <w:p>
      <w:pPr>
        <w:spacing w:after="0" w:line="131" w:lineRule="exact"/>
        <w:rPr>
          <w:sz w:val="20"/>
          <w:szCs w:val="20"/>
          <w:color w:val="auto"/>
        </w:rPr>
      </w:pPr>
    </w:p>
    <w:p>
      <w:pPr>
        <w:ind w:left="424" w:hanging="424"/>
        <w:spacing w:after="0"/>
        <w:tabs>
          <w:tab w:leader="none" w:pos="424"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LOCATION OF THE TEMPORARY PREMISES</w:t>
      </w:r>
    </w:p>
    <w:p>
      <w:pPr>
        <w:spacing w:after="0" w:line="121"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1.1 The Landlord leases to the Tenant certain premises located respectively on the ground floor of the building bearing civic address 7150 Frederick-Banting, in the City of Montreal (borough of Saint-Laurent), Province of Quebec (the “</w:t>
      </w:r>
      <w:r>
        <w:rPr>
          <w:rFonts w:ascii="Arial" w:cs="Arial" w:eastAsia="Arial" w:hAnsi="Arial"/>
          <w:sz w:val="18"/>
          <w:szCs w:val="18"/>
          <w:b w:val="1"/>
          <w:bCs w:val="1"/>
          <w:color w:val="auto"/>
        </w:rPr>
        <w:t>Temporary Building</w:t>
      </w:r>
      <w:r>
        <w:rPr>
          <w:rFonts w:ascii="Arial" w:cs="Arial" w:eastAsia="Arial" w:hAnsi="Arial"/>
          <w:sz w:val="18"/>
          <w:szCs w:val="18"/>
          <w:color w:val="auto"/>
        </w:rPr>
        <w:t xml:space="preserve">”) being </w:t>
      </w:r>
      <w:r>
        <w:rPr>
          <w:rFonts w:ascii="Arial" w:cs="Arial" w:eastAsia="Arial" w:hAnsi="Arial"/>
          <w:sz w:val="18"/>
          <w:szCs w:val="18"/>
          <w:b w:val="1"/>
          <w:bCs w:val="1"/>
          <w:color w:val="auto"/>
        </w:rPr>
        <w:t>Suite 10</w:t>
      </w:r>
      <w:r>
        <w:rPr>
          <w:rFonts w:ascii="Arial" w:cs="Arial" w:eastAsia="Arial" w:hAnsi="Arial"/>
          <w:sz w:val="18"/>
          <w:szCs w:val="18"/>
          <w:color w:val="auto"/>
        </w:rPr>
        <w:t xml:space="preserve">0 and comprising a Rentable Area of One Thousand Seven Hundred Thirty-Three </w:t>
      </w:r>
      <w:r>
        <w:rPr>
          <w:rFonts w:ascii="Arial" w:cs="Arial" w:eastAsia="Arial" w:hAnsi="Arial"/>
          <w:sz w:val="18"/>
          <w:szCs w:val="18"/>
          <w:b w:val="1"/>
          <w:bCs w:val="1"/>
          <w:color w:val="auto"/>
        </w:rPr>
        <w:t>(1,733) square feet</w:t>
      </w:r>
      <w:r>
        <w:rPr>
          <w:rFonts w:ascii="Arial" w:cs="Arial" w:eastAsia="Arial" w:hAnsi="Arial"/>
          <w:sz w:val="18"/>
          <w:szCs w:val="18"/>
          <w:color w:val="auto"/>
        </w:rPr>
        <w:t xml:space="preserve"> (the “</w:t>
      </w:r>
      <w:r>
        <w:rPr>
          <w:rFonts w:ascii="Arial" w:cs="Arial" w:eastAsia="Arial" w:hAnsi="Arial"/>
          <w:sz w:val="18"/>
          <w:szCs w:val="18"/>
          <w:b w:val="1"/>
          <w:bCs w:val="1"/>
          <w:color w:val="auto"/>
        </w:rPr>
        <w:t>Temporary Premises</w:t>
      </w:r>
      <w:r>
        <w:rPr>
          <w:rFonts w:ascii="Arial" w:cs="Arial" w:eastAsia="Arial" w:hAnsi="Arial"/>
          <w:sz w:val="18"/>
          <w:szCs w:val="18"/>
          <w:color w:val="auto"/>
        </w:rPr>
        <w:t>”) as shown on the plan attached hereto in Schedule “A” - Plan.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269" w:right="459" w:bottom="1440" w:gutter="0" w:footer="0" w:header="0"/>
        </w:sectPr>
      </w:pPr>
    </w:p>
    <w:bookmarkStart w:id="496" w:name="page497"/>
    <w:bookmarkEnd w:id="496"/>
    <w:p>
      <w:pPr>
        <w:ind w:left="424" w:hanging="424"/>
        <w:spacing w:after="0"/>
        <w:tabs>
          <w:tab w:leader="none" w:pos="424"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 OF THE TEMPORARY PREMISES</w:t>
      </w:r>
    </w:p>
    <w:p>
      <w:pPr>
        <w:spacing w:after="0" w:line="117" w:lineRule="exact"/>
        <w:rPr>
          <w:sz w:val="20"/>
          <w:szCs w:val="20"/>
          <w:color w:val="auto"/>
        </w:rPr>
      </w:pPr>
    </w:p>
    <w:p>
      <w:pPr>
        <w:ind w:left="4" w:right="200"/>
        <w:spacing w:after="0" w:line="282" w:lineRule="auto"/>
        <w:rPr>
          <w:sz w:val="20"/>
          <w:szCs w:val="20"/>
          <w:color w:val="auto"/>
        </w:rPr>
      </w:pPr>
      <w:r>
        <w:rPr>
          <w:rFonts w:ascii="Arial" w:cs="Arial" w:eastAsia="Arial" w:hAnsi="Arial"/>
          <w:sz w:val="18"/>
          <w:szCs w:val="18"/>
          <w:color w:val="auto"/>
        </w:rPr>
        <w:t>2.1 The term of the Second Amendment for the Temporary Premises shall commence on the first (1</w:t>
      </w:r>
      <w:r>
        <w:rPr>
          <w:rFonts w:ascii="Arial" w:cs="Arial" w:eastAsia="Arial" w:hAnsi="Arial"/>
          <w:sz w:val="15"/>
          <w:szCs w:val="15"/>
          <w:color w:val="auto"/>
        </w:rPr>
        <w:t>st</w:t>
      </w:r>
      <w:r>
        <w:rPr>
          <w:rFonts w:ascii="Arial" w:cs="Arial" w:eastAsia="Arial" w:hAnsi="Arial"/>
          <w:sz w:val="18"/>
          <w:szCs w:val="18"/>
          <w:color w:val="auto"/>
        </w:rPr>
        <w:t xml:space="preserve">) </w:t>
      </w:r>
      <w:r>
        <w:rPr>
          <w:rFonts w:ascii="Arial" w:cs="Arial" w:eastAsia="Arial" w:hAnsi="Arial"/>
          <w:sz w:val="18"/>
          <w:szCs w:val="18"/>
          <w:b w:val="1"/>
          <w:bCs w:val="1"/>
          <w:color w:val="auto"/>
        </w:rPr>
        <w:t>day of December 2019</w:t>
      </w:r>
      <w:r>
        <w:rPr>
          <w:rFonts w:ascii="Arial" w:cs="Arial" w:eastAsia="Arial" w:hAnsi="Arial"/>
          <w:sz w:val="18"/>
          <w:szCs w:val="18"/>
          <w:color w:val="auto"/>
        </w:rPr>
        <w:t xml:space="preserve"> (the “</w:t>
      </w:r>
      <w:r>
        <w:rPr>
          <w:rFonts w:ascii="Arial" w:cs="Arial" w:eastAsia="Arial" w:hAnsi="Arial"/>
          <w:sz w:val="18"/>
          <w:szCs w:val="18"/>
          <w:b w:val="1"/>
          <w:bCs w:val="1"/>
          <w:color w:val="auto"/>
        </w:rPr>
        <w:t>Commencement</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and shall expire on the thirty-first (31</w:t>
      </w:r>
      <w:r>
        <w:rPr>
          <w:rFonts w:ascii="Arial" w:cs="Arial" w:eastAsia="Arial" w:hAnsi="Arial"/>
          <w:sz w:val="15"/>
          <w:szCs w:val="15"/>
          <w:color w:val="auto"/>
        </w:rPr>
        <w:t>st</w:t>
      </w:r>
      <w:r>
        <w:rPr>
          <w:rFonts w:ascii="Arial" w:cs="Arial" w:eastAsia="Arial" w:hAnsi="Arial"/>
          <w:sz w:val="18"/>
          <w:szCs w:val="18"/>
          <w:color w:val="auto"/>
        </w:rPr>
        <w:t>) day of</w:t>
      </w:r>
      <w:r>
        <w:rPr>
          <w:rFonts w:ascii="Arial" w:cs="Arial" w:eastAsia="Arial" w:hAnsi="Arial"/>
          <w:sz w:val="18"/>
          <w:szCs w:val="18"/>
          <w:b w:val="1"/>
          <w:bCs w:val="1"/>
          <w:color w:val="auto"/>
        </w:rPr>
        <w:t xml:space="preserve"> July 2020 </w:t>
      </w:r>
      <w:r>
        <w:rPr>
          <w:rFonts w:ascii="Arial" w:cs="Arial" w:eastAsia="Arial" w:hAnsi="Arial"/>
          <w:sz w:val="18"/>
          <w:szCs w:val="18"/>
          <w:color w:val="auto"/>
        </w:rPr>
        <w:t>(the “</w:t>
      </w:r>
      <w:r>
        <w:rPr>
          <w:rFonts w:ascii="Arial" w:cs="Arial" w:eastAsia="Arial" w:hAnsi="Arial"/>
          <w:sz w:val="18"/>
          <w:szCs w:val="18"/>
          <w:b w:val="1"/>
          <w:bCs w:val="1"/>
          <w:color w:val="auto"/>
        </w:rPr>
        <w:t>Temporary Term</w:t>
      </w:r>
      <w:r>
        <w:rPr>
          <w:rFonts w:ascii="Arial" w:cs="Arial" w:eastAsia="Arial" w:hAnsi="Arial"/>
          <w:sz w:val="18"/>
          <w:szCs w:val="18"/>
          <w:color w:val="auto"/>
        </w:rPr>
        <w:t>”).</w:t>
      </w:r>
    </w:p>
    <w:p>
      <w:pPr>
        <w:spacing w:after="0" w:line="54" w:lineRule="exact"/>
        <w:rPr>
          <w:sz w:val="20"/>
          <w:szCs w:val="20"/>
          <w:color w:val="auto"/>
        </w:rPr>
      </w:pPr>
    </w:p>
    <w:p>
      <w:pPr>
        <w:ind w:left="4" w:right="100"/>
        <w:spacing w:after="0" w:line="303" w:lineRule="auto"/>
        <w:rPr>
          <w:sz w:val="20"/>
          <w:szCs w:val="20"/>
          <w:color w:val="auto"/>
        </w:rPr>
      </w:pPr>
      <w:r>
        <w:rPr>
          <w:rFonts w:ascii="Arial" w:cs="Arial" w:eastAsia="Arial" w:hAnsi="Arial"/>
          <w:sz w:val="16"/>
          <w:szCs w:val="16"/>
          <w:color w:val="auto"/>
        </w:rPr>
        <w:t xml:space="preserve">2.2 The Tenant shall have the option to renew the Second Amendment on </w:t>
      </w:r>
      <w:r>
        <w:rPr>
          <w:rFonts w:ascii="Arial" w:cs="Arial" w:eastAsia="Arial" w:hAnsi="Arial"/>
          <w:sz w:val="16"/>
          <w:szCs w:val="16"/>
          <w:b w:val="1"/>
          <w:bCs w:val="1"/>
          <w:color w:val="auto"/>
        </w:rPr>
        <w:t>a month-to month basis</w:t>
      </w:r>
      <w:r>
        <w:rPr>
          <w:rFonts w:ascii="Arial" w:cs="Arial" w:eastAsia="Arial" w:hAnsi="Arial"/>
          <w:sz w:val="16"/>
          <w:szCs w:val="16"/>
          <w:color w:val="auto"/>
        </w:rPr>
        <w:t xml:space="preserve"> at the expiry of the Temporary Term and thereafter. Such monthly renewal shall operate automatically on the 1</w:t>
      </w:r>
      <w:r>
        <w:rPr>
          <w:rFonts w:ascii="Arial" w:cs="Arial" w:eastAsia="Arial" w:hAnsi="Arial"/>
          <w:sz w:val="13"/>
          <w:szCs w:val="13"/>
          <w:color w:val="auto"/>
        </w:rPr>
        <w:t>st</w:t>
      </w:r>
      <w:r>
        <w:rPr>
          <w:rFonts w:ascii="Arial" w:cs="Arial" w:eastAsia="Arial" w:hAnsi="Arial"/>
          <w:sz w:val="16"/>
          <w:szCs w:val="16"/>
          <w:color w:val="auto"/>
        </w:rPr>
        <w:t xml:space="preserve"> day of each month without further notice, unless Tenant provides Landlord with a written notice at least </w:t>
      </w:r>
      <w:r>
        <w:rPr>
          <w:rFonts w:ascii="Arial" w:cs="Arial" w:eastAsia="Arial" w:hAnsi="Arial"/>
          <w:sz w:val="16"/>
          <w:szCs w:val="16"/>
          <w:b w:val="1"/>
          <w:bCs w:val="1"/>
          <w:color w:val="auto"/>
        </w:rPr>
        <w:t>thirty (30) days</w:t>
      </w:r>
      <w:r>
        <w:rPr>
          <w:rFonts w:ascii="Arial" w:cs="Arial" w:eastAsia="Arial" w:hAnsi="Arial"/>
          <w:sz w:val="16"/>
          <w:szCs w:val="16"/>
          <w:color w:val="auto"/>
        </w:rPr>
        <w:t xml:space="preserve"> prior to the renewal period, indicating that he does not wish to exercise its renewal option further. </w:t>
      </w:r>
      <w:r>
        <w:rPr>
          <w:rFonts w:ascii="Arial" w:cs="Arial" w:eastAsia="Arial" w:hAnsi="Arial"/>
          <w:sz w:val="16"/>
          <w:szCs w:val="16"/>
          <w:b w:val="1"/>
          <w:bCs w:val="1"/>
          <w:color w:val="auto"/>
        </w:rPr>
        <w:t>For further clarity,</w:t>
      </w:r>
      <w:r>
        <w:rPr>
          <w:rFonts w:ascii="Arial" w:cs="Arial" w:eastAsia="Arial" w:hAnsi="Arial"/>
          <w:sz w:val="16"/>
          <w:szCs w:val="16"/>
          <w:color w:val="auto"/>
        </w:rPr>
        <w:t xml:space="preserve"> </w:t>
      </w:r>
      <w:r>
        <w:rPr>
          <w:rFonts w:ascii="Arial" w:cs="Arial" w:eastAsia="Arial" w:hAnsi="Arial"/>
          <w:sz w:val="16"/>
          <w:szCs w:val="16"/>
          <w:b w:val="1"/>
          <w:bCs w:val="1"/>
          <w:color w:val="auto"/>
        </w:rPr>
        <w:t>Tenant shall have the right to terminate month-to-month renewals solely after the expiry of the Expansion Term</w:t>
      </w:r>
      <w:r>
        <w:rPr>
          <w:rFonts w:ascii="Arial" w:cs="Arial" w:eastAsia="Arial" w:hAnsi="Arial"/>
          <w:sz w:val="16"/>
          <w:szCs w:val="16"/>
          <w:color w:val="auto"/>
        </w:rPr>
        <w:t>.</w:t>
      </w:r>
    </w:p>
    <w:p>
      <w:pPr>
        <w:spacing w:after="0" w:line="43" w:lineRule="exact"/>
        <w:rPr>
          <w:sz w:val="20"/>
          <w:szCs w:val="20"/>
          <w:color w:val="auto"/>
        </w:rPr>
      </w:pPr>
    </w:p>
    <w:p>
      <w:pPr>
        <w:ind w:left="4" w:right="360"/>
        <w:spacing w:after="0" w:line="28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The Landlord can terminate the Lease for the Temporary Premises at any time upon providing the Tenant with a sixty (60) day written</w:t>
      </w:r>
      <w:r>
        <w:rPr>
          <w:rFonts w:ascii="Arial" w:cs="Arial" w:eastAsia="Arial" w:hAnsi="Arial"/>
          <w:sz w:val="18"/>
          <w:szCs w:val="18"/>
          <w:color w:val="auto"/>
        </w:rPr>
        <w:t xml:space="preserve"> </w:t>
      </w:r>
      <w:r>
        <w:rPr>
          <w:rFonts w:ascii="Arial" w:cs="Arial" w:eastAsia="Arial" w:hAnsi="Arial"/>
          <w:sz w:val="18"/>
          <w:szCs w:val="18"/>
          <w:b w:val="1"/>
          <w:bCs w:val="1"/>
          <w:color w:val="auto"/>
        </w:rPr>
        <w:t>notice of its intention to do so.</w:t>
      </w:r>
    </w:p>
    <w:p>
      <w:pPr>
        <w:spacing w:after="0" w:line="310" w:lineRule="exact"/>
        <w:rPr>
          <w:sz w:val="20"/>
          <w:szCs w:val="20"/>
          <w:color w:val="auto"/>
        </w:rPr>
      </w:pPr>
    </w:p>
    <w:p>
      <w:pPr>
        <w:ind w:left="424" w:hanging="424"/>
        <w:spacing w:after="0"/>
        <w:tabs>
          <w:tab w:leader="none" w:pos="424"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BASIC RENT</w:t>
      </w:r>
    </w:p>
    <w:p>
      <w:pPr>
        <w:spacing w:after="0" w:line="121" w:lineRule="exact"/>
        <w:rPr>
          <w:sz w:val="20"/>
          <w:szCs w:val="20"/>
          <w:color w:val="auto"/>
        </w:rPr>
      </w:pPr>
    </w:p>
    <w:p>
      <w:pPr>
        <w:ind w:left="4" w:right="600"/>
        <w:spacing w:after="0" w:line="277" w:lineRule="auto"/>
        <w:rPr>
          <w:sz w:val="20"/>
          <w:szCs w:val="20"/>
          <w:color w:val="auto"/>
        </w:rPr>
      </w:pPr>
      <w:r>
        <w:rPr>
          <w:rFonts w:ascii="Arial" w:cs="Arial" w:eastAsia="Arial" w:hAnsi="Arial"/>
          <w:sz w:val="18"/>
          <w:szCs w:val="18"/>
          <w:color w:val="auto"/>
        </w:rPr>
        <w:t>3.1 As and from the Commencement Date until the end the Temporary Term, the Tenant shall pay to the Landlord with respect to the Temporary Premises an annual basic rent (the “</w:t>
      </w:r>
      <w:r>
        <w:rPr>
          <w:rFonts w:ascii="Arial" w:cs="Arial" w:eastAsia="Arial" w:hAnsi="Arial"/>
          <w:sz w:val="18"/>
          <w:szCs w:val="18"/>
          <w:b w:val="1"/>
          <w:bCs w:val="1"/>
          <w:color w:val="auto"/>
        </w:rPr>
        <w:t>Basic Rent</w:t>
      </w:r>
      <w:r>
        <w:rPr>
          <w:rFonts w:ascii="Arial" w:cs="Arial" w:eastAsia="Arial" w:hAnsi="Arial"/>
          <w:sz w:val="18"/>
          <w:szCs w:val="18"/>
          <w:color w:val="auto"/>
        </w:rPr>
        <w:t>”) as follows:</w:t>
      </w:r>
    </w:p>
    <w:p>
      <w:pPr>
        <w:spacing w:after="0" w:line="58" w:lineRule="exact"/>
        <w:rPr>
          <w:sz w:val="20"/>
          <w:szCs w:val="20"/>
          <w:color w:val="auto"/>
        </w:rPr>
      </w:pPr>
    </w:p>
    <w:p>
      <w:pPr>
        <w:ind w:left="444"/>
        <w:spacing w:after="0" w:line="258" w:lineRule="auto"/>
        <w:rPr>
          <w:sz w:val="20"/>
          <w:szCs w:val="20"/>
          <w:color w:val="auto"/>
        </w:rPr>
      </w:pPr>
      <w:r>
        <w:rPr>
          <w:rFonts w:ascii="Arial" w:cs="Arial" w:eastAsia="Arial" w:hAnsi="Arial"/>
          <w:sz w:val="18"/>
          <w:szCs w:val="18"/>
          <w:color w:val="auto"/>
        </w:rPr>
        <w:t xml:space="preserve">(i) As of the Commencement Date and until the end of the Temporary Term, the annual Basic Rent shall be the sum of </w:t>
      </w:r>
      <w:r>
        <w:rPr>
          <w:rFonts w:ascii="Arial" w:cs="Arial" w:eastAsia="Arial" w:hAnsi="Arial"/>
          <w:sz w:val="18"/>
          <w:szCs w:val="18"/>
          <w:b w:val="1"/>
          <w:bCs w:val="1"/>
          <w:color w:val="auto"/>
        </w:rPr>
        <w:t>Twenty-Five Thousand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Nine Hundred Ninety-Two Dollars ($25,992.00) </w:t>
      </w:r>
      <w:r>
        <w:rPr>
          <w:rFonts w:ascii="Arial" w:cs="Arial" w:eastAsia="Arial" w:hAnsi="Arial"/>
          <w:sz w:val="18"/>
          <w:szCs w:val="18"/>
          <w:color w:val="auto"/>
        </w:rPr>
        <w:t>per annum, payable in equal consecutive monthly instalments of</w:t>
      </w:r>
      <w:r>
        <w:rPr>
          <w:rFonts w:ascii="Arial" w:cs="Arial" w:eastAsia="Arial" w:hAnsi="Arial"/>
          <w:sz w:val="18"/>
          <w:szCs w:val="18"/>
          <w:b w:val="1"/>
          <w:bCs w:val="1"/>
          <w:color w:val="auto"/>
        </w:rPr>
        <w:t xml:space="preserve"> Two Thousand One Hundred Sixty-Six Dollars ($2,166.00) </w:t>
      </w:r>
      <w:r>
        <w:rPr>
          <w:rFonts w:ascii="Arial" w:cs="Arial" w:eastAsia="Arial" w:hAnsi="Arial"/>
          <w:sz w:val="18"/>
          <w:szCs w:val="18"/>
          <w:color w:val="auto"/>
        </w:rPr>
        <w:t>such annual Basic Rent being calculated at the rate of</w:t>
      </w:r>
      <w:r>
        <w:rPr>
          <w:rFonts w:ascii="Arial" w:cs="Arial" w:eastAsia="Arial" w:hAnsi="Arial"/>
          <w:sz w:val="18"/>
          <w:szCs w:val="18"/>
          <w:b w:val="1"/>
          <w:bCs w:val="1"/>
          <w:color w:val="auto"/>
        </w:rPr>
        <w:t xml:space="preserve"> Fifteen Dollars ($15.00) </w:t>
      </w:r>
      <w:r>
        <w:rPr>
          <w:rFonts w:ascii="Arial" w:cs="Arial" w:eastAsia="Arial" w:hAnsi="Arial"/>
          <w:sz w:val="18"/>
          <w:szCs w:val="18"/>
          <w:color w:val="auto"/>
        </w:rPr>
        <w:t>per rentable square foot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deemed area of the Leased Premises, plus applicable taxes, payable on the 1</w:t>
      </w:r>
      <w:r>
        <w:rPr>
          <w:rFonts w:ascii="Arial" w:cs="Arial" w:eastAsia="Arial" w:hAnsi="Arial"/>
          <w:sz w:val="15"/>
          <w:szCs w:val="15"/>
          <w:color w:val="auto"/>
        </w:rPr>
        <w:t>st</w:t>
      </w:r>
      <w:r>
        <w:rPr>
          <w:rFonts w:ascii="Arial" w:cs="Arial" w:eastAsia="Arial" w:hAnsi="Arial"/>
          <w:sz w:val="18"/>
          <w:szCs w:val="18"/>
          <w:color w:val="auto"/>
        </w:rPr>
        <w:t xml:space="preserve"> day of each calendar month in accordance with the provisions of the Lease, the first payment becoming due on the </w:t>
      </w:r>
      <w:r>
        <w:rPr>
          <w:rFonts w:ascii="Arial" w:cs="Arial" w:eastAsia="Arial" w:hAnsi="Arial"/>
          <w:sz w:val="18"/>
          <w:szCs w:val="18"/>
          <w:b w:val="1"/>
          <w:bCs w:val="1"/>
          <w:color w:val="auto"/>
        </w:rPr>
        <w:t>1st day of December 2019</w:t>
      </w:r>
      <w:r>
        <w:rPr>
          <w:rFonts w:ascii="Arial" w:cs="Arial" w:eastAsia="Arial" w:hAnsi="Arial"/>
          <w:sz w:val="18"/>
          <w:szCs w:val="18"/>
          <w:color w:val="auto"/>
        </w:rPr>
        <w:t>.</w:t>
      </w:r>
    </w:p>
    <w:p>
      <w:pPr>
        <w:spacing w:after="0" w:line="331" w:lineRule="exact"/>
        <w:rPr>
          <w:sz w:val="20"/>
          <w:szCs w:val="20"/>
          <w:color w:val="auto"/>
        </w:rPr>
      </w:pPr>
    </w:p>
    <w:p>
      <w:pPr>
        <w:ind w:left="424" w:hanging="424"/>
        <w:spacing w:after="0"/>
        <w:tabs>
          <w:tab w:leader="none" w:pos="424"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RENT</w:t>
      </w:r>
    </w:p>
    <w:p>
      <w:pPr>
        <w:spacing w:after="0" w:line="117" w:lineRule="exact"/>
        <w:rPr>
          <w:sz w:val="20"/>
          <w:szCs w:val="20"/>
          <w:color w:val="auto"/>
        </w:rPr>
      </w:pPr>
    </w:p>
    <w:p>
      <w:pPr>
        <w:ind w:left="4" w:right="340"/>
        <w:spacing w:after="0" w:line="312" w:lineRule="auto"/>
        <w:rPr>
          <w:sz w:val="20"/>
          <w:szCs w:val="20"/>
          <w:color w:val="auto"/>
        </w:rPr>
      </w:pPr>
      <w:r>
        <w:rPr>
          <w:rFonts w:ascii="Arial" w:cs="Arial" w:eastAsia="Arial" w:hAnsi="Arial"/>
          <w:sz w:val="17"/>
          <w:szCs w:val="17"/>
          <w:color w:val="auto"/>
        </w:rPr>
        <w:t xml:space="preserve">4.1 The Tenant covenants to pay to the Landlord, during the Temporary Term of the Temporary Premises, an Additional Rent estimated at </w:t>
      </w:r>
      <w:r>
        <w:rPr>
          <w:rFonts w:ascii="Arial" w:cs="Arial" w:eastAsia="Arial" w:hAnsi="Arial"/>
          <w:sz w:val="17"/>
          <w:szCs w:val="17"/>
          <w:b w:val="1"/>
          <w:bCs w:val="1"/>
          <w:color w:val="auto"/>
        </w:rPr>
        <w:t>Eighteen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Dollars and Sixty-Nine Cents ($18.69) </w:t>
      </w:r>
      <w:r>
        <w:rPr>
          <w:rFonts w:ascii="Arial" w:cs="Arial" w:eastAsia="Arial" w:hAnsi="Arial"/>
          <w:sz w:val="17"/>
          <w:szCs w:val="17"/>
          <w:color w:val="auto"/>
        </w:rPr>
        <w:t>per rentable square foot of the rentable area of the Temporary Premises.</w:t>
      </w:r>
    </w:p>
    <w:p>
      <w:pPr>
        <w:spacing w:after="0" w:line="288" w:lineRule="exact"/>
        <w:rPr>
          <w:sz w:val="20"/>
          <w:szCs w:val="20"/>
          <w:color w:val="auto"/>
        </w:rPr>
      </w:pPr>
    </w:p>
    <w:p>
      <w:pPr>
        <w:ind w:left="424" w:hanging="424"/>
        <w:spacing w:after="0"/>
        <w:tabs>
          <w:tab w:leader="none" w:pos="424"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THE TEMPORARY PREMISES</w:t>
      </w:r>
    </w:p>
    <w:p>
      <w:pPr>
        <w:spacing w:after="0" w:line="121" w:lineRule="exact"/>
        <w:rPr>
          <w:sz w:val="20"/>
          <w:szCs w:val="20"/>
          <w:color w:val="auto"/>
        </w:rPr>
      </w:pPr>
    </w:p>
    <w:p>
      <w:pPr>
        <w:ind w:left="4" w:right="320"/>
        <w:spacing w:after="0" w:line="342" w:lineRule="auto"/>
        <w:rPr>
          <w:sz w:val="20"/>
          <w:szCs w:val="20"/>
          <w:color w:val="auto"/>
        </w:rPr>
      </w:pPr>
      <w:r>
        <w:rPr>
          <w:rFonts w:ascii="Arial" w:cs="Arial" w:eastAsia="Arial" w:hAnsi="Arial"/>
          <w:sz w:val="16"/>
          <w:szCs w:val="16"/>
          <w:color w:val="auto"/>
        </w:rPr>
        <w:t>5.1 The Tenant acknowledges and agrees that it had examined the Temporary Premises and is entirely satisfied thereto. The Temporary Premises are being delivered on an “as is” basis and the Landlord shall not be obliged to perform any work to and/or around the Temporary Premises.</w:t>
      </w:r>
    </w:p>
    <w:p>
      <w:pPr>
        <w:spacing w:after="0" w:line="268" w:lineRule="exact"/>
        <w:rPr>
          <w:sz w:val="20"/>
          <w:szCs w:val="20"/>
          <w:color w:val="auto"/>
        </w:rPr>
      </w:pPr>
    </w:p>
    <w:p>
      <w:pPr>
        <w:ind w:left="424" w:hanging="424"/>
        <w:spacing w:after="0"/>
        <w:tabs>
          <w:tab w:leader="none" w:pos="424"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BROKERAGE</w:t>
      </w:r>
    </w:p>
    <w:p>
      <w:pPr>
        <w:spacing w:after="0" w:line="121"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6.1 The Landlord and the Tenant mutually warrant and represent to each other that there is no broker or leasing agent involved in the completion of the transaction leading to the execution of this Second Amendment.</w:t>
      </w:r>
    </w:p>
    <w:p>
      <w:pPr>
        <w:spacing w:after="0" w:line="62" w:lineRule="exact"/>
        <w:rPr>
          <w:sz w:val="20"/>
          <w:szCs w:val="20"/>
          <w:color w:val="auto"/>
        </w:rPr>
      </w:pPr>
    </w:p>
    <w:p>
      <w:pPr>
        <w:ind w:left="4" w:hanging="4"/>
        <w:spacing w:after="0" w:line="277" w:lineRule="auto"/>
        <w:tabs>
          <w:tab w:leader="none" w:pos="184" w:val="left"/>
        </w:tabs>
        <w:numPr>
          <w:ilvl w:val="0"/>
          <w:numId w:val="317"/>
        </w:numPr>
        <w:rPr>
          <w:rFonts w:ascii="Arial" w:cs="Arial" w:eastAsia="Arial" w:hAnsi="Arial"/>
          <w:sz w:val="18"/>
          <w:szCs w:val="18"/>
          <w:b w:val="1"/>
          <w:bCs w:val="1"/>
          <w:color w:val="auto"/>
        </w:rPr>
      </w:pPr>
      <w:r>
        <w:rPr>
          <w:rFonts w:ascii="Arial" w:cs="Arial" w:eastAsia="Arial" w:hAnsi="Arial"/>
          <w:sz w:val="18"/>
          <w:szCs w:val="18"/>
          <w:color w:val="auto"/>
        </w:rPr>
        <w:t>This Second Amendment shall be read together with the Lease and the parties confirm that, except as modified herein, all covenants and conditions in the Lease remain unchanged, unmodified and in full force and effect.</w:t>
      </w:r>
    </w:p>
    <w:p>
      <w:pPr>
        <w:spacing w:after="0" w:line="62" w:lineRule="exact"/>
        <w:rPr>
          <w:rFonts w:ascii="Arial" w:cs="Arial" w:eastAsia="Arial" w:hAnsi="Arial"/>
          <w:sz w:val="18"/>
          <w:szCs w:val="18"/>
          <w:b w:val="1"/>
          <w:bCs w:val="1"/>
          <w:color w:val="auto"/>
        </w:rPr>
      </w:pPr>
    </w:p>
    <w:p>
      <w:pPr>
        <w:ind w:left="184" w:hanging="184"/>
        <w:spacing w:after="0"/>
        <w:tabs>
          <w:tab w:leader="none" w:pos="184" w:val="left"/>
        </w:tabs>
        <w:numPr>
          <w:ilvl w:val="0"/>
          <w:numId w:val="317"/>
        </w:numPr>
        <w:rPr>
          <w:rFonts w:ascii="Arial" w:cs="Arial" w:eastAsia="Arial" w:hAnsi="Arial"/>
          <w:sz w:val="18"/>
          <w:szCs w:val="18"/>
          <w:b w:val="1"/>
          <w:bCs w:val="1"/>
          <w:color w:val="auto"/>
        </w:rPr>
      </w:pPr>
      <w:r>
        <w:rPr>
          <w:rFonts w:ascii="Arial" w:cs="Arial" w:eastAsia="Arial" w:hAnsi="Arial"/>
          <w:sz w:val="18"/>
          <w:szCs w:val="18"/>
          <w:color w:val="auto"/>
        </w:rPr>
        <w:t>Any capitalized word or term not otherwise defined herein shall have the meaning given thereto in the Lease.</w:t>
      </w:r>
    </w:p>
    <w:p>
      <w:pPr>
        <w:spacing w:after="0" w:line="2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69" w:right="479" w:bottom="1440" w:gutter="0" w:footer="0" w:header="0"/>
        </w:sectPr>
      </w:pPr>
    </w:p>
    <w:bookmarkStart w:id="497" w:name="page498"/>
    <w:bookmarkEnd w:id="497"/>
    <w:p>
      <w:pPr>
        <w:ind w:left="4" w:right="280" w:hanging="4"/>
        <w:spacing w:after="0" w:line="257" w:lineRule="auto"/>
        <w:tabs>
          <w:tab w:leader="none" w:pos="184" w:val="left"/>
        </w:tabs>
        <w:numPr>
          <w:ilvl w:val="0"/>
          <w:numId w:val="31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Second Amendment and everything herein contained shall enure to the benefit of and be binding upon the respective heirs, executors, administrators, successors, assigns and other legal representatives, as the case may be, of each of the parties hereto, and every reference herein to any party hereto shall include the heirs, executors, administrators, successors, permitted assigns and other legal representatives of such party, and where there is more than one tenant or there is a male or female party, the provisions hereof shall be read with all grammatical changes thereby rendered necessary and all covenants shall be deemed joint and several.</w:t>
      </w:r>
    </w:p>
    <w:p>
      <w:pPr>
        <w:spacing w:after="0" w:line="79" w:lineRule="exact"/>
        <w:rPr>
          <w:rFonts w:ascii="Arial" w:cs="Arial" w:eastAsia="Arial" w:hAnsi="Arial"/>
          <w:sz w:val="18"/>
          <w:szCs w:val="18"/>
          <w:b w:val="1"/>
          <w:bCs w:val="1"/>
          <w:color w:val="auto"/>
        </w:rPr>
      </w:pPr>
    </w:p>
    <w:p>
      <w:pPr>
        <w:ind w:left="4" w:right="380" w:hanging="4"/>
        <w:spacing w:after="0" w:line="263" w:lineRule="auto"/>
        <w:tabs>
          <w:tab w:leader="none" w:pos="274" w:val="left"/>
        </w:tabs>
        <w:numPr>
          <w:ilvl w:val="0"/>
          <w:numId w:val="318"/>
        </w:numPr>
        <w:rPr>
          <w:rFonts w:ascii="Arial" w:cs="Arial" w:eastAsia="Arial" w:hAnsi="Arial"/>
          <w:sz w:val="18"/>
          <w:szCs w:val="18"/>
          <w:b w:val="1"/>
          <w:bCs w:val="1"/>
          <w:color w:val="auto"/>
        </w:rPr>
      </w:pPr>
      <w:r>
        <w:rPr>
          <w:rFonts w:ascii="Arial" w:cs="Arial" w:eastAsia="Arial" w:hAnsi="Arial"/>
          <w:sz w:val="18"/>
          <w:szCs w:val="18"/>
          <w:color w:val="auto"/>
        </w:rPr>
        <w:t>The parties agree, from time to time, to do or cause to be done all such things, and shall execute and deliver all such documents, agreements and instruments reasonably requested by another party, as may be necessary or desirable to complete the transaction contemplated by this Second Amendment and to carry out its provisions and intention.</w:t>
      </w:r>
    </w:p>
    <w:p>
      <w:pPr>
        <w:spacing w:after="0" w:line="75" w:lineRule="exact"/>
        <w:rPr>
          <w:rFonts w:ascii="Arial" w:cs="Arial" w:eastAsia="Arial" w:hAnsi="Arial"/>
          <w:sz w:val="18"/>
          <w:szCs w:val="18"/>
          <w:b w:val="1"/>
          <w:bCs w:val="1"/>
          <w:color w:val="auto"/>
        </w:rPr>
      </w:pPr>
    </w:p>
    <w:p>
      <w:pPr>
        <w:ind w:left="4" w:right="420" w:hanging="4"/>
        <w:spacing w:after="0" w:line="277" w:lineRule="auto"/>
        <w:tabs>
          <w:tab w:leader="none" w:pos="264" w:val="left"/>
        </w:tabs>
        <w:numPr>
          <w:ilvl w:val="0"/>
          <w:numId w:val="318"/>
        </w:numPr>
        <w:rPr>
          <w:rFonts w:ascii="Arial" w:cs="Arial" w:eastAsia="Arial" w:hAnsi="Arial"/>
          <w:sz w:val="18"/>
          <w:szCs w:val="18"/>
          <w:b w:val="1"/>
          <w:bCs w:val="1"/>
          <w:color w:val="auto"/>
        </w:rPr>
      </w:pPr>
      <w:r>
        <w:rPr>
          <w:rFonts w:ascii="Arial" w:cs="Arial" w:eastAsia="Arial" w:hAnsi="Arial"/>
          <w:sz w:val="18"/>
          <w:szCs w:val="18"/>
          <w:color w:val="auto"/>
        </w:rPr>
        <w:t xml:space="preserve">It is the express wish of the parties hereto that this Second Amendment to Lease shall be drafted in English. </w:t>
      </w:r>
      <w:r>
        <w:rPr>
          <w:rFonts w:ascii="Arial" w:cs="Arial" w:eastAsia="Arial" w:hAnsi="Arial"/>
          <w:sz w:val="18"/>
          <w:szCs w:val="18"/>
          <w:i w:val="1"/>
          <w:iCs w:val="1"/>
          <w:color w:val="auto"/>
        </w:rPr>
        <w:t>Les parties ont exigé que le présent</w:t>
      </w:r>
      <w:r>
        <w:rPr>
          <w:rFonts w:ascii="Arial" w:cs="Arial" w:eastAsia="Arial" w:hAnsi="Arial"/>
          <w:sz w:val="18"/>
          <w:szCs w:val="18"/>
          <w:color w:val="auto"/>
        </w:rPr>
        <w:t xml:space="preserve"> </w:t>
      </w:r>
      <w:r>
        <w:rPr>
          <w:rFonts w:ascii="Arial" w:cs="Arial" w:eastAsia="Arial" w:hAnsi="Arial"/>
          <w:sz w:val="18"/>
          <w:szCs w:val="18"/>
          <w:i w:val="1"/>
          <w:iCs w:val="1"/>
          <w:color w:val="auto"/>
        </w:rPr>
        <w:t>Deuxième Amendement du bail soit rédigé en langue anglaise.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WITNESS HEREOF the parties hereto have executed this Second Amendment to Lease Agreement.</w:t>
      </w:r>
    </w:p>
    <w:p>
      <w:pPr>
        <w:spacing w:after="0" w:line="248" w:lineRule="exact"/>
        <w:rPr>
          <w:sz w:val="20"/>
          <w:szCs w:val="20"/>
          <w:color w:val="auto"/>
        </w:rPr>
      </w:pPr>
    </w:p>
    <w:p>
      <w:pPr>
        <w:ind w:left="5704"/>
        <w:spacing w:after="0"/>
        <w:rPr>
          <w:sz w:val="20"/>
          <w:szCs w:val="20"/>
          <w:color w:val="auto"/>
        </w:rPr>
      </w:pPr>
      <w:r>
        <w:rPr>
          <w:rFonts w:ascii="Arial" w:cs="Arial" w:eastAsia="Arial" w:hAnsi="Arial"/>
          <w:sz w:val="18"/>
          <w:szCs w:val="18"/>
          <w:b w:val="1"/>
          <w:bCs w:val="1"/>
          <w:color w:val="auto"/>
        </w:rPr>
        <w:t>THE MANUFACTURING LIFE INSURANCE</w:t>
      </w:r>
    </w:p>
    <w:p>
      <w:pPr>
        <w:spacing w:after="0" w:line="27" w:lineRule="exact"/>
        <w:rPr>
          <w:sz w:val="20"/>
          <w:szCs w:val="20"/>
          <w:color w:val="auto"/>
        </w:rPr>
      </w:pPr>
    </w:p>
    <w:p>
      <w:pPr>
        <w:ind w:left="5704"/>
        <w:spacing w:after="0"/>
        <w:rPr>
          <w:sz w:val="20"/>
          <w:szCs w:val="20"/>
          <w:color w:val="auto"/>
        </w:rPr>
      </w:pPr>
      <w:r>
        <w:rPr>
          <w:rFonts w:ascii="Arial" w:cs="Arial" w:eastAsia="Arial" w:hAnsi="Arial"/>
          <w:sz w:val="18"/>
          <w:szCs w:val="18"/>
          <w:b w:val="1"/>
          <w:bCs w:val="1"/>
          <w:color w:val="auto"/>
        </w:rPr>
        <w:t>COMPANY</w:t>
      </w:r>
    </w:p>
    <w:p>
      <w:pPr>
        <w:spacing w:after="0" w:line="9" w:lineRule="exact"/>
        <w:rPr>
          <w:sz w:val="20"/>
          <w:szCs w:val="20"/>
          <w:color w:val="auto"/>
        </w:rPr>
      </w:pPr>
    </w:p>
    <w:p>
      <w:pPr>
        <w:ind w:left="5704"/>
        <w:spacing w:after="0"/>
        <w:rPr>
          <w:sz w:val="20"/>
          <w:szCs w:val="20"/>
          <w:color w:val="auto"/>
        </w:rPr>
      </w:pPr>
      <w:r>
        <w:rPr>
          <w:rFonts w:ascii="Arial" w:cs="Arial" w:eastAsia="Arial" w:hAnsi="Arial"/>
          <w:sz w:val="18"/>
          <w:szCs w:val="18"/>
          <w:color w:val="auto"/>
        </w:rPr>
        <w:t>(Landlord)</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rPr>
              <w:t>Per</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Stephen Nicoletti</w:t>
            </w:r>
          </w:p>
        </w:tc>
      </w:tr>
      <w:tr>
        <w:trPr>
          <w:trHeight w:val="223"/>
        </w:trPr>
        <w:tc>
          <w:tcPr>
            <w:tcW w:w="6060" w:type="dxa"/>
            <w:vAlign w:val="bottom"/>
            <w:gridSpan w:val="2"/>
          </w:tcPr>
          <w:p>
            <w:pPr>
              <w:ind w:left="540"/>
              <w:spacing w:after="0"/>
              <w:rPr>
                <w:sz w:val="20"/>
                <w:szCs w:val="20"/>
                <w:color w:val="auto"/>
              </w:rPr>
            </w:pPr>
            <w:r>
              <w:rPr>
                <w:rFonts w:ascii="Arial" w:cs="Arial" w:eastAsia="Arial" w:hAnsi="Arial"/>
                <w:sz w:val="18"/>
                <w:szCs w:val="18"/>
                <w:i w:val="1"/>
                <w:iCs w:val="1"/>
                <w:color w:val="auto"/>
              </w:rPr>
              <w:t>/s/ [illegible]</w:t>
            </w:r>
          </w:p>
        </w:tc>
        <w:tc>
          <w:tcPr>
            <w:tcW w:w="4960" w:type="dxa"/>
            <w:vAlign w:val="bottom"/>
          </w:tcPr>
          <w:p>
            <w:pPr>
              <w:spacing w:after="0"/>
              <w:rPr>
                <w:sz w:val="20"/>
                <w:szCs w:val="20"/>
                <w:color w:val="auto"/>
              </w:rPr>
            </w:pPr>
            <w:r>
              <w:rPr>
                <w:rFonts w:ascii="Arial" w:cs="Arial" w:eastAsia="Arial" w:hAnsi="Arial"/>
                <w:sz w:val="18"/>
                <w:szCs w:val="18"/>
                <w:color w:val="auto"/>
              </w:rPr>
              <w:t>Name: Stephen Nicoletti</w:t>
            </w:r>
          </w:p>
        </w:tc>
      </w:tr>
      <w:tr>
        <w:trPr>
          <w:trHeight w:val="224"/>
        </w:trPr>
        <w:tc>
          <w:tcPr>
            <w:tcW w:w="506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Witness</w:t>
            </w:r>
          </w:p>
        </w:tc>
        <w:tc>
          <w:tcPr>
            <w:tcW w:w="100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Managing Director, Eastern Canada</w:t>
            </w:r>
          </w:p>
        </w:tc>
      </w:tr>
    </w:tbl>
    <w:p>
      <w:pPr>
        <w:spacing w:after="0" w:line="201" w:lineRule="exact"/>
        <w:rPr>
          <w:sz w:val="20"/>
          <w:szCs w:val="20"/>
          <w:color w:val="auto"/>
        </w:rPr>
      </w:pPr>
    </w:p>
    <w:p>
      <w:pPr>
        <w:ind w:left="5704"/>
        <w:spacing w:after="0"/>
        <w:rPr>
          <w:sz w:val="20"/>
          <w:szCs w:val="20"/>
          <w:color w:val="auto"/>
        </w:rPr>
      </w:pPr>
      <w:r>
        <w:rPr>
          <w:rFonts w:ascii="Arial" w:cs="Arial" w:eastAsia="Arial" w:hAnsi="Arial"/>
          <w:sz w:val="18"/>
          <w:szCs w:val="18"/>
          <w:color w:val="auto"/>
        </w:rPr>
        <w:t>I/We have authority to bind the Corporation</w:t>
      </w:r>
    </w:p>
    <w:p>
      <w:pPr>
        <w:spacing w:after="0" w:line="221" w:lineRule="exact"/>
        <w:rPr>
          <w:sz w:val="20"/>
          <w:szCs w:val="20"/>
          <w:color w:val="auto"/>
        </w:rPr>
      </w:pPr>
    </w:p>
    <w:p>
      <w:pPr>
        <w:ind w:left="5704"/>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5704"/>
        <w:spacing w:after="0"/>
        <w:rPr>
          <w:sz w:val="20"/>
          <w:szCs w:val="20"/>
          <w:color w:val="auto"/>
        </w:rPr>
      </w:pPr>
      <w:r>
        <w:rPr>
          <w:rFonts w:ascii="Arial" w:cs="Arial" w:eastAsia="Arial" w:hAnsi="Arial"/>
          <w:sz w:val="18"/>
          <w:szCs w:val="18"/>
          <w:color w:val="auto"/>
        </w:rPr>
        <w:t>(Tenant)</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rPr>
              <w:t>Per</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Lloyd Segal</w:t>
            </w:r>
          </w:p>
        </w:tc>
      </w:tr>
      <w:tr>
        <w:trPr>
          <w:trHeight w:val="223"/>
        </w:trPr>
        <w:tc>
          <w:tcPr>
            <w:tcW w:w="6060" w:type="dxa"/>
            <w:vAlign w:val="bottom"/>
            <w:gridSpan w:val="2"/>
          </w:tcPr>
          <w:p>
            <w:pPr>
              <w:ind w:left="540"/>
              <w:spacing w:after="0"/>
              <w:rPr>
                <w:sz w:val="20"/>
                <w:szCs w:val="20"/>
                <w:color w:val="auto"/>
              </w:rPr>
            </w:pPr>
            <w:r>
              <w:rPr>
                <w:rFonts w:ascii="Arial" w:cs="Arial" w:eastAsia="Arial" w:hAnsi="Arial"/>
                <w:sz w:val="18"/>
                <w:szCs w:val="18"/>
                <w:i w:val="1"/>
                <w:iCs w:val="1"/>
                <w:color w:val="auto"/>
              </w:rPr>
              <w:t>/s/ [illegible]</w:t>
            </w:r>
          </w:p>
        </w:tc>
        <w:tc>
          <w:tcPr>
            <w:tcW w:w="4960" w:type="dxa"/>
            <w:vAlign w:val="bottom"/>
          </w:tcPr>
          <w:p>
            <w:pPr>
              <w:spacing w:after="0"/>
              <w:rPr>
                <w:sz w:val="20"/>
                <w:szCs w:val="20"/>
                <w:color w:val="auto"/>
              </w:rPr>
            </w:pPr>
            <w:r>
              <w:rPr>
                <w:rFonts w:ascii="Arial" w:cs="Arial" w:eastAsia="Arial" w:hAnsi="Arial"/>
                <w:sz w:val="18"/>
                <w:szCs w:val="18"/>
                <w:color w:val="auto"/>
              </w:rPr>
              <w:t>Name: Lloyd Segal</w:t>
            </w:r>
          </w:p>
        </w:tc>
      </w:tr>
      <w:tr>
        <w:trPr>
          <w:trHeight w:val="224"/>
        </w:trPr>
        <w:tc>
          <w:tcPr>
            <w:tcW w:w="506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Witness</w:t>
            </w:r>
          </w:p>
        </w:tc>
        <w:tc>
          <w:tcPr>
            <w:tcW w:w="100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President &amp; CEO</w:t>
            </w:r>
          </w:p>
        </w:tc>
      </w:tr>
    </w:tbl>
    <w:p>
      <w:pPr>
        <w:spacing w:after="0" w:line="201" w:lineRule="exact"/>
        <w:rPr>
          <w:sz w:val="20"/>
          <w:szCs w:val="20"/>
          <w:color w:val="auto"/>
        </w:rPr>
      </w:pPr>
    </w:p>
    <w:p>
      <w:pPr>
        <w:ind w:left="5704"/>
        <w:spacing w:after="0"/>
        <w:rPr>
          <w:sz w:val="20"/>
          <w:szCs w:val="20"/>
          <w:color w:val="auto"/>
        </w:rPr>
      </w:pPr>
      <w:r>
        <w:rPr>
          <w:rFonts w:ascii="Arial" w:cs="Arial" w:eastAsia="Arial" w:hAnsi="Arial"/>
          <w:sz w:val="18"/>
          <w:szCs w:val="18"/>
          <w:color w:val="auto"/>
        </w:rPr>
        <w:t>I/We have authority to bind the Corporation</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3" w:right="439" w:bottom="1440" w:gutter="0" w:footer="0" w:header="0"/>
        </w:sectPr>
      </w:pPr>
    </w:p>
    <w:bookmarkStart w:id="498" w:name="page499"/>
    <w:bookmarkEnd w:id="49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Plan of the Temporary Premises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019"/>
          </w:cols>
          <w:pgMar w:left="1440" w:top="269" w:right="1440" w:bottom="1440" w:gutter="0" w:footer="0" w:header="0"/>
        </w:sectPr>
      </w:pPr>
    </w:p>
    <w:bookmarkStart w:id="499" w:name="page500"/>
    <w:bookmarkEnd w:id="499"/>
    <w:p>
      <w:pPr>
        <w:ind w:left="10000"/>
        <w:spacing w:after="0"/>
        <w:rPr>
          <w:sz w:val="20"/>
          <w:szCs w:val="20"/>
          <w:color w:val="auto"/>
        </w:rPr>
      </w:pPr>
      <w:r>
        <w:rPr>
          <w:rFonts w:ascii="Arial" w:cs="Arial" w:eastAsia="Arial" w:hAnsi="Arial"/>
          <w:sz w:val="16"/>
          <w:szCs w:val="16"/>
          <w:b w:val="1"/>
          <w:bCs w:val="1"/>
          <w:color w:val="auto"/>
        </w:rPr>
        <w:t>Exhibit 10.13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ASSIGNMENT OF LEASE AGREEMENT ENTERED INTO IN MONTREAL, THIS 7th DAY OF June 2017</w:t>
      </w:r>
    </w:p>
    <w:p>
      <w:pPr>
        <w:sectPr>
          <w:pgSz w:w="11900" w:h="16838" w:orient="portrait"/>
          <w:cols w:equalWidth="0" w:num="1">
            <w:col w:w="11020"/>
          </w:cols>
          <w:pgMar w:left="440" w:top="121"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BETWEEN </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PHARMASCIENCE INC.</w:t>
      </w:r>
      <w:r>
        <w:rPr>
          <w:rFonts w:ascii="Arial" w:cs="Arial" w:eastAsia="Arial" w:hAnsi="Arial"/>
          <w:sz w:val="18"/>
          <w:szCs w:val="18"/>
          <w:color w:val="auto"/>
        </w:rPr>
        <w:t>, a body politic and corporate, duly</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according to law, herein acting and represented by Murielle Lortie, its VP &amp; CFO, duly authorized as he so declares;</w:t>
      </w:r>
    </w:p>
    <w:p>
      <w:pPr>
        <w:spacing w:after="0" w:line="68"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ind w:left="776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Assignor</w:t>
      </w:r>
      <w:r>
        <w:rPr>
          <w:rFonts w:ascii="Arial" w:cs="Arial" w:eastAsia="Arial" w:hAnsi="Arial"/>
          <w:sz w:val="16"/>
          <w:szCs w:val="16"/>
          <w:color w:val="auto"/>
        </w:rPr>
        <w:t>”)</w:t>
      </w:r>
    </w:p>
    <w:p>
      <w:pPr>
        <w:sectPr>
          <w:pgSz w:w="11900" w:h="16838" w:orient="portrait"/>
          <w:cols w:equalWidth="0" w:num="1">
            <w:col w:w="11020"/>
          </w:cols>
          <w:pgMar w:left="440" w:top="121" w:right="43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REPARE THERAPEUTICS INC.</w:t>
      </w:r>
      <w:r>
        <w:rPr>
          <w:rFonts w:ascii="Arial" w:cs="Arial" w:eastAsia="Arial" w:hAnsi="Arial"/>
          <w:sz w:val="17"/>
          <w:szCs w:val="17"/>
          <w:color w:val="auto"/>
        </w:rPr>
        <w:t>, a body politic and corporate, duly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incorporated according to law, herein acting and represented by Lloyd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 Segal, its CEO, duly authorized as he so declares;</w:t>
      </w:r>
    </w:p>
    <w:p>
      <w:pPr>
        <w:spacing w:after="0" w:line="99"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ind w:left="77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Assignee</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92"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pursuant to a lease dated May 15, 2014 (the “</w:t>
      </w:r>
      <w:r>
        <w:rPr>
          <w:rFonts w:ascii="Arial" w:cs="Arial" w:eastAsia="Arial" w:hAnsi="Arial"/>
          <w:sz w:val="16"/>
          <w:szCs w:val="16"/>
          <w:b w:val="1"/>
          <w:bCs w:val="1"/>
          <w:color w:val="auto"/>
        </w:rPr>
        <w:t>Original Lease</w:t>
      </w:r>
      <w:r>
        <w:rPr>
          <w:rFonts w:ascii="Arial" w:cs="Arial" w:eastAsia="Arial" w:hAnsi="Arial"/>
          <w:sz w:val="16"/>
          <w:szCs w:val="16"/>
          <w:color w:val="auto"/>
        </w:rPr>
        <w:t>”) between CIG Ill TECHNOPARC NOMINEE INC. as landlord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Prior Landlord</w:t>
      </w:r>
      <w:r>
        <w:rPr>
          <w:rFonts w:ascii="Arial" w:cs="Arial" w:eastAsia="Arial" w:hAnsi="Arial"/>
          <w:sz w:val="16"/>
          <w:szCs w:val="16"/>
          <w:color w:val="auto"/>
        </w:rPr>
        <w:t>”) and Assignor as tenant, as amended by an amendment to lease entered into November 24, 2016 (the “</w:t>
      </w:r>
      <w:r>
        <w:rPr>
          <w:rFonts w:ascii="Arial" w:cs="Arial" w:eastAsia="Arial" w:hAnsi="Arial"/>
          <w:sz w:val="16"/>
          <w:szCs w:val="16"/>
          <w:b w:val="1"/>
          <w:bCs w:val="1"/>
          <w:color w:val="auto"/>
        </w:rPr>
        <w:t>Amendment</w:t>
      </w:r>
      <w:r>
        <w:rPr>
          <w:rFonts w:ascii="Arial" w:cs="Arial" w:eastAsia="Arial" w:hAnsi="Arial"/>
          <w:sz w:val="16"/>
          <w:szCs w:val="16"/>
          <w:color w:val="auto"/>
        </w:rPr>
        <w:t>”) (the Original Lease and the Amendment are collectively referred to as the “</w:t>
      </w:r>
      <w:r>
        <w:rPr>
          <w:rFonts w:ascii="Arial" w:cs="Arial" w:eastAsia="Arial" w:hAnsi="Arial"/>
          <w:sz w:val="16"/>
          <w:szCs w:val="16"/>
          <w:b w:val="1"/>
          <w:bCs w:val="1"/>
          <w:color w:val="auto"/>
        </w:rPr>
        <w:t>Lease</w:t>
      </w:r>
      <w:r>
        <w:rPr>
          <w:rFonts w:ascii="Arial" w:cs="Arial" w:eastAsia="Arial" w:hAnsi="Arial"/>
          <w:sz w:val="16"/>
          <w:szCs w:val="16"/>
          <w:color w:val="auto"/>
        </w:rPr>
        <w:t>”), (i) the Tenant leases certain premises having a Rentable Area of nine thousand forty-five (9,045) square feet (the “</w:t>
      </w:r>
      <w:r>
        <w:rPr>
          <w:rFonts w:ascii="Arial" w:cs="Arial" w:eastAsia="Arial" w:hAnsi="Arial"/>
          <w:sz w:val="16"/>
          <w:szCs w:val="16"/>
          <w:b w:val="1"/>
          <w:bCs w:val="1"/>
          <w:color w:val="auto"/>
        </w:rPr>
        <w:t>Leased Premises</w:t>
      </w:r>
      <w:r>
        <w:rPr>
          <w:rFonts w:ascii="Arial" w:cs="Arial" w:eastAsia="Arial" w:hAnsi="Arial"/>
          <w:sz w:val="16"/>
          <w:szCs w:val="16"/>
          <w:color w:val="auto"/>
        </w:rPr>
        <w:t>”) located on the ground floor of the building bearing civic address 7210 Frederick Banting, City of Montreal (Borough of Saint-Laurent), Province of Quebec (the “</w:t>
      </w:r>
      <w:r>
        <w:rPr>
          <w:rFonts w:ascii="Arial" w:cs="Arial" w:eastAsia="Arial" w:hAnsi="Arial"/>
          <w:sz w:val="16"/>
          <w:szCs w:val="16"/>
          <w:b w:val="1"/>
          <w:bCs w:val="1"/>
          <w:color w:val="auto"/>
        </w:rPr>
        <w:t>Building</w:t>
      </w:r>
      <w:r>
        <w:rPr>
          <w:rFonts w:ascii="Arial" w:cs="Arial" w:eastAsia="Arial" w:hAnsi="Arial"/>
          <w:sz w:val="16"/>
          <w:szCs w:val="16"/>
          <w:color w:val="auto"/>
        </w:rPr>
        <w:t>”) for a term expiring July 31, 2021 (the “</w:t>
      </w:r>
      <w:r>
        <w:rPr>
          <w:rFonts w:ascii="Arial" w:cs="Arial" w:eastAsia="Arial" w:hAnsi="Arial"/>
          <w:sz w:val="16"/>
          <w:szCs w:val="16"/>
          <w:b w:val="1"/>
          <w:bCs w:val="1"/>
          <w:color w:val="auto"/>
        </w:rPr>
        <w:t>Term</w:t>
      </w:r>
      <w:r>
        <w:rPr>
          <w:rFonts w:ascii="Arial" w:cs="Arial" w:eastAsia="Arial" w:hAnsi="Arial"/>
          <w:sz w:val="16"/>
          <w:szCs w:val="16"/>
          <w:color w:val="auto"/>
        </w:rPr>
        <w:t>”), and (ii) Tenant has the right to use certain equipment in the Building and in the adjacent building known as 7220 Frederick Banting, City of Montreal (Borough of Saint-Laurent), Province of Quebec (the “</w:t>
      </w:r>
      <w:r>
        <w:rPr>
          <w:rFonts w:ascii="Arial" w:cs="Arial" w:eastAsia="Arial" w:hAnsi="Arial"/>
          <w:sz w:val="16"/>
          <w:szCs w:val="16"/>
          <w:b w:val="1"/>
          <w:bCs w:val="1"/>
          <w:color w:val="auto"/>
        </w:rPr>
        <w:t>Adjacent Building</w:t>
      </w:r>
      <w:r>
        <w:rPr>
          <w:rFonts w:ascii="Arial" w:cs="Arial" w:eastAsia="Arial" w:hAnsi="Arial"/>
          <w:sz w:val="16"/>
          <w:szCs w:val="16"/>
          <w:color w:val="auto"/>
        </w:rPr>
        <w:t>”), the whole in accordance with and subject to the conditions set forth in the Lease;</w:t>
      </w:r>
    </w:p>
    <w:p>
      <w:pPr>
        <w:sectPr>
          <w:pgSz w:w="11900" w:h="16838" w:orient="portrait"/>
          <w:cols w:equalWidth="0" w:num="1">
            <w:col w:w="11020"/>
          </w:cols>
          <w:pgMar w:left="440" w:top="121" w:right="439" w:bottom="1440" w:gutter="0" w:footer="0" w:header="0"/>
          <w:type w:val="continuous"/>
        </w:sectPr>
      </w:pPr>
    </w:p>
    <w:bookmarkStart w:id="500" w:name="page501"/>
    <w:bookmarkEnd w:id="500"/>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WHEREAS </w:t>
      </w:r>
      <w:r>
        <w:rPr>
          <w:rFonts w:ascii="Arial" w:cs="Arial" w:eastAsia="Arial" w:hAnsi="Arial"/>
          <w:sz w:val="18"/>
          <w:szCs w:val="18"/>
          <w:color w:val="auto"/>
        </w:rPr>
        <w:t>the Landlord is the assignee of all of the rights, title and interest of the Prior Landlord and any successors thereof in and to the Lease,</w:t>
      </w:r>
      <w:r>
        <w:rPr>
          <w:rFonts w:ascii="Arial" w:cs="Arial" w:eastAsia="Arial" w:hAnsi="Arial"/>
          <w:sz w:val="18"/>
          <w:szCs w:val="18"/>
          <w:b w:val="1"/>
          <w:bCs w:val="1"/>
          <w:color w:val="auto"/>
        </w:rPr>
        <w:t xml:space="preserve"> </w:t>
      </w:r>
      <w:r>
        <w:rPr>
          <w:rFonts w:ascii="Arial" w:cs="Arial" w:eastAsia="Arial" w:hAnsi="Arial"/>
          <w:sz w:val="18"/>
          <w:szCs w:val="18"/>
          <w:color w:val="auto"/>
        </w:rPr>
        <w:t>the Leased Premises, the Building and the Adjacent Building;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69" w:right="479" w:bottom="1440" w:gutter="0" w:footer="0" w:header="0"/>
        </w:sectPr>
      </w:pPr>
    </w:p>
    <w:bookmarkStart w:id="501" w:name="page502"/>
    <w:bookmarkEnd w:id="501"/>
    <w:p>
      <w:pPr>
        <w:ind w:firstLine="440"/>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WHEREAS </w:t>
      </w:r>
      <w:r>
        <w:rPr>
          <w:rFonts w:ascii="Arial" w:cs="Arial" w:eastAsia="Arial" w:hAnsi="Arial"/>
          <w:sz w:val="16"/>
          <w:szCs w:val="16"/>
          <w:color w:val="auto"/>
        </w:rPr>
        <w:t>the Assignor has agreed to assign to the Assignee all of its right, title and interest in and to the Lease together with the Assignor’s</w:t>
      </w:r>
      <w:r>
        <w:rPr>
          <w:rFonts w:ascii="Arial" w:cs="Arial" w:eastAsia="Arial" w:hAnsi="Arial"/>
          <w:sz w:val="16"/>
          <w:szCs w:val="16"/>
          <w:b w:val="1"/>
          <w:bCs w:val="1"/>
          <w:color w:val="auto"/>
        </w:rPr>
        <w:t xml:space="preserve"> </w:t>
      </w:r>
      <w:r>
        <w:rPr>
          <w:rFonts w:ascii="Arial" w:cs="Arial" w:eastAsia="Arial" w:hAnsi="Arial"/>
          <w:sz w:val="16"/>
          <w:szCs w:val="16"/>
          <w:color w:val="auto"/>
        </w:rPr>
        <w:t>right, title and interest in and to the Leased Premises as specified in the Lease and the right to use the Deionized Water Apparatus and the Glycol Chiller and Neutralization Tank (as such terms are defined in the Amendment), the whole as and from June 7, 2017 (the “</w:t>
      </w:r>
      <w:r>
        <w:rPr>
          <w:rFonts w:ascii="Arial" w:cs="Arial" w:eastAsia="Arial" w:hAnsi="Arial"/>
          <w:sz w:val="16"/>
          <w:szCs w:val="16"/>
          <w:b w:val="1"/>
          <w:bCs w:val="1"/>
          <w:color w:val="auto"/>
        </w:rPr>
        <w:t>Assignment Date</w:t>
      </w:r>
      <w:r>
        <w:rPr>
          <w:rFonts w:ascii="Arial" w:cs="Arial" w:eastAsia="Arial" w:hAnsi="Arial"/>
          <w:sz w:val="16"/>
          <w:szCs w:val="16"/>
          <w:color w:val="auto"/>
        </w:rPr>
        <w:t>”), the whole in accordance with the terms and conditions set forth in this agreement (hereinafter referred to as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IT IS AGREED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1.0 PREAMBLE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1.1 The preamble is true and correct and forms a part hereof as if herein recited at length.</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1.2 All terms and expressions with the first letter in upper case in this Agreement have the meaning attributed thereto in the Lease unless the contrary is herein indicated or the context dictates otherwise.</w:t>
      </w:r>
    </w:p>
    <w:p>
      <w:pPr>
        <w:spacing w:after="0" w:line="5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1.3 Notwithstanding any provision to the contrary in the Amendment, the parties confirm that all references to the “</w:t>
      </w:r>
      <w:r>
        <w:rPr>
          <w:rFonts w:ascii="Arial" w:cs="Arial" w:eastAsia="Arial" w:hAnsi="Arial"/>
          <w:sz w:val="18"/>
          <w:szCs w:val="18"/>
          <w:b w:val="1"/>
          <w:bCs w:val="1"/>
          <w:color w:val="auto"/>
        </w:rPr>
        <w:t>Landlord</w:t>
      </w:r>
      <w:r>
        <w:rPr>
          <w:rFonts w:ascii="Arial" w:cs="Arial" w:eastAsia="Arial" w:hAnsi="Arial"/>
          <w:sz w:val="18"/>
          <w:szCs w:val="18"/>
          <w:color w:val="auto"/>
        </w:rPr>
        <w:t>” in the Amendment means CIG Ill TECHNOPARC NOMINEE II INC.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 ASSIGNMENT</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2.1 The Assignor hereby assigns to the Assignee as and from the Assignment Date all of the Assignor’s rights in and to the Lease together with the Assignor’s rights, title and interest in and to the Leased Premises as specified in the Lease, the whole in accordance with and subject to the terms and conditions of the Lease.</w:t>
      </w:r>
    </w:p>
    <w:p>
      <w:pPr>
        <w:spacing w:after="0" w:line="7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2.2 The Assignee acknowledges that it has received a copy of the Lease, that it unconditionally accepts all of the terms and conditions stipulated therein and that it unconditionally agrees to be bound by all of the obligations imposed upon the “</w:t>
      </w:r>
      <w:r>
        <w:rPr>
          <w:rFonts w:ascii="Arial" w:cs="Arial" w:eastAsia="Arial" w:hAnsi="Arial"/>
          <w:sz w:val="17"/>
          <w:szCs w:val="17"/>
          <w:b w:val="1"/>
          <w:bCs w:val="1"/>
          <w:color w:val="auto"/>
        </w:rPr>
        <w:t>Tenant</w:t>
      </w:r>
      <w:r>
        <w:rPr>
          <w:rFonts w:ascii="Arial" w:cs="Arial" w:eastAsia="Arial" w:hAnsi="Arial"/>
          <w:sz w:val="17"/>
          <w:szCs w:val="17"/>
          <w:color w:val="auto"/>
        </w:rPr>
        <w:t>” pursuant to the Lease.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2.3 The Assignee acknowledges being familiar with the Leased Premises and accepts them “as is” “where is” without any responsibility for Landlord.</w:t>
      </w:r>
    </w:p>
    <w:p>
      <w:pPr>
        <w:spacing w:after="0" w:line="14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2.4 As and from the Assignment Date and throughout the Term and any extension or. renewal thereof, the Assignee shall have access to and shall be granted the right to use all existing equipment currently in the Leased Premises as approximately shown in Schedule “A” hereof (the “</w:t>
      </w:r>
      <w:r>
        <w:rPr>
          <w:rFonts w:ascii="Arial" w:cs="Arial" w:eastAsia="Arial" w:hAnsi="Arial"/>
          <w:sz w:val="16"/>
          <w:szCs w:val="16"/>
          <w:b w:val="1"/>
          <w:bCs w:val="1"/>
          <w:color w:val="auto"/>
        </w:rPr>
        <w:t>Equipment</w:t>
      </w:r>
      <w:r>
        <w:rPr>
          <w:rFonts w:ascii="Arial" w:cs="Arial" w:eastAsia="Arial" w:hAnsi="Arial"/>
          <w:sz w:val="16"/>
          <w:szCs w:val="16"/>
          <w:color w:val="auto"/>
        </w:rPr>
        <w:t>”), at no additional cost. The Assignee accepts the Equipment in its “as is” existing condition. The Assignee shall maintain, repair and</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69" w:right="499" w:bottom="1440" w:gutter="0" w:footer="0" w:header="0"/>
        </w:sectPr>
      </w:pPr>
    </w:p>
    <w:bookmarkStart w:id="502" w:name="page503"/>
    <w:bookmarkEnd w:id="502"/>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replace the Equipment at its sole cost·during the Term and any extension thereof. The Assignee agrees to return all Equipment to the Landlord at the expiry of the Term or any renewal thereof, in the condition it was in at the time of the Assignee’s taking of possession of the Leased Premises, ordinary wear and tear excepted. However, it is agreed that if any Equipment is replaced in its entirety by the Assignee, at its cost, then such equipment shall become the Assignee’s property at the expiry of the Lease. The parties acknowledge agree that Schedule “I” of the Original Lease is replaced by Schedule “A” of this Agreement.</w:t>
      </w:r>
    </w:p>
    <w:p>
      <w:pPr>
        <w:spacing w:after="0" w:line="76" w:lineRule="exact"/>
        <w:rPr>
          <w:sz w:val="20"/>
          <w:szCs w:val="20"/>
          <w:color w:val="auto"/>
        </w:rPr>
      </w:pPr>
    </w:p>
    <w:p>
      <w:pPr>
        <w:ind w:right="680"/>
        <w:spacing w:after="0" w:line="312" w:lineRule="auto"/>
        <w:rPr>
          <w:sz w:val="20"/>
          <w:szCs w:val="20"/>
          <w:color w:val="auto"/>
        </w:rPr>
      </w:pPr>
      <w:r>
        <w:rPr>
          <w:rFonts w:ascii="Arial" w:cs="Arial" w:eastAsia="Arial" w:hAnsi="Arial"/>
          <w:sz w:val="17"/>
          <w:szCs w:val="17"/>
          <w:color w:val="auto"/>
        </w:rPr>
        <w:t>2.5 The Assignee undertakes towards Assignor and Landlord that as and from the Assignment Date the Assignee assumes all of the “</w:t>
      </w:r>
      <w:r>
        <w:rPr>
          <w:rFonts w:ascii="Arial" w:cs="Arial" w:eastAsia="Arial" w:hAnsi="Arial"/>
          <w:sz w:val="17"/>
          <w:szCs w:val="17"/>
          <w:b w:val="1"/>
          <w:bCs w:val="1"/>
          <w:color w:val="auto"/>
        </w:rPr>
        <w:t>Tenant’s</w:t>
      </w:r>
      <w:r>
        <w:rPr>
          <w:rFonts w:ascii="Arial" w:cs="Arial" w:eastAsia="Arial" w:hAnsi="Arial"/>
          <w:sz w:val="17"/>
          <w:szCs w:val="17"/>
          <w:color w:val="auto"/>
        </w:rPr>
        <w:t>” obligations under the Lease and will perform each and every one of the Assignor’s obligations pursuant to the Lease.</w:t>
      </w:r>
    </w:p>
    <w:p>
      <w:pPr>
        <w:spacing w:after="0" w:line="3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2.6 Assignor and Assignee acknowledge and agree that the present assignment shall be subject to all of the provisions of the Lease and Assignee and Assignor confirm and agree that they shall remain solidarily liable towards the Landlord for the performance of all of the “</w:t>
      </w:r>
      <w:r>
        <w:rPr>
          <w:rFonts w:ascii="Arial" w:cs="Arial" w:eastAsia="Arial" w:hAnsi="Arial"/>
          <w:sz w:val="18"/>
          <w:szCs w:val="18"/>
          <w:b w:val="1"/>
          <w:bCs w:val="1"/>
          <w:color w:val="auto"/>
        </w:rPr>
        <w:t>Tenant’s</w:t>
      </w:r>
      <w:r>
        <w:rPr>
          <w:rFonts w:ascii="Arial" w:cs="Arial" w:eastAsia="Arial" w:hAnsi="Arial"/>
          <w:sz w:val="18"/>
          <w:szCs w:val="18"/>
          <w:color w:val="auto"/>
        </w:rPr>
        <w:t>” obligations under the Lease, the whole without benefit of division, discussion or subrogation, until the expiry of the Lease, including any extensions or renewals thereof if any. Landlord’s consent to this assignment does not release Assignor of Assignor’s obligations under the Lease, au of which shall continue until July 31, 2021.</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2.7 The Assignee has returned to the Landlord the completed environmental questionnaire attached as Schedule “C” hereof. The Assignee acknowledges and agrees that throughout the Term, the Assignee undertakes to provide Landlord an updated environmental questionnaire as may be required if any of the information therein becomes inaccurate or as may be requested from time to time by the Landlord, in accordance with the provisions of the Lease.</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 xml:space="preserve">All environmental covenants in the Lease shall apply </w:t>
      </w:r>
      <w:r>
        <w:rPr>
          <w:rFonts w:ascii="Arial" w:cs="Arial" w:eastAsia="Arial" w:hAnsi="Arial"/>
          <w:sz w:val="18"/>
          <w:szCs w:val="18"/>
          <w:u w:val="single" w:color="auto"/>
          <w:color w:val="auto"/>
        </w:rPr>
        <w:t>mutatis mutandis</w:t>
      </w:r>
      <w:r>
        <w:rPr>
          <w:rFonts w:ascii="Arial" w:cs="Arial" w:eastAsia="Arial" w:hAnsi="Arial"/>
          <w:sz w:val="18"/>
          <w:szCs w:val="18"/>
          <w:color w:val="auto"/>
        </w:rPr>
        <w:t xml:space="preserve"> to the Assignee, including without limitation, Assignee’s obligation to provide insurance coverage with regard to any potential environmental liabilities of the Assignee.</w:t>
      </w:r>
    </w:p>
    <w:p>
      <w:pPr>
        <w:spacing w:after="0" w:line="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2.8 Under no circumstances shall the present assignment be construed so as to effect novation or create any additional option or rights of any nature in favor of the Assignor or the Assignee.</w:t>
      </w:r>
    </w:p>
    <w:p>
      <w:pPr>
        <w:spacing w:after="0" w:line="6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2.9 The Assignee acknowledges that Landlord’s consent to the present assignment is not to be construed as consent for further assignment of the Lease or sublet of the Leased Premises nor does Landlord’s consent hereto constitute in any way consent or approval of any terms, conditions or covenants or other agreements of any nature between Assignor and Assignee, other than what is expressly contained herein.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3" w:right="459" w:bottom="1440" w:gutter="0" w:footer="0" w:header="0"/>
        </w:sectPr>
      </w:pPr>
    </w:p>
    <w:bookmarkStart w:id="503" w:name="page504"/>
    <w:bookmarkEnd w:id="503"/>
    <w:p>
      <w:pPr>
        <w:ind w:left="4" w:right="2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2.10 For clarification, Assignee acknowledges that any rights stipulated in the Lease to be personal to the “</w:t>
      </w:r>
      <w:r>
        <w:rPr>
          <w:rFonts w:ascii="Arial" w:cs="Arial" w:eastAsia="Arial" w:hAnsi="Arial"/>
          <w:sz w:val="18"/>
          <w:szCs w:val="18"/>
          <w:b w:val="1"/>
          <w:bCs w:val="1"/>
          <w:color w:val="auto"/>
        </w:rPr>
        <w:t>Tenant</w:t>
      </w:r>
      <w:r>
        <w:rPr>
          <w:rFonts w:ascii="Arial" w:cs="Arial" w:eastAsia="Arial" w:hAnsi="Arial"/>
          <w:sz w:val="18"/>
          <w:szCs w:val="18"/>
          <w:color w:val="auto"/>
        </w:rPr>
        <w:t>” named in the lease have not been assigned to and do not devolve to the Assignee and Assignee shall not have any such rights under the Lease.</w:t>
      </w:r>
    </w:p>
    <w:p>
      <w:pPr>
        <w:spacing w:after="0" w:line="58"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For clarification and greater certainty, (i) Sections 1.0 (Allowance and Improvements, 2.0 (Pre-Occupancy) and 3.0 (Rental Credit) no longer apply being of no further effect; and (ii) Sections 4.0 (Right to Expand), 5.0 (Right of First Refusal), 6.0 (Right to Extend), 7.0 (Right of First Offer on the Building) and 8.0 (Right of First Refusal on the Building) of Schedule “F” of the Lease, will not be assigned to the Assignee and shall be deleted and of no further effect as of the Assignment Date.</w:t>
      </w:r>
    </w:p>
    <w:p>
      <w:pPr>
        <w:spacing w:after="0" w:line="79"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2.11 Assignor and Assignee shall be solidarily liable for any brokerage fees and commissions in connection with the present Assignment and hereby agree to indemnify and hold Landlord harmless from and against any and all liabilities and claims for any brokerage fees or commissions in connection with the present Assignment.</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7"/>
          <w:szCs w:val="17"/>
          <w:color w:val="auto"/>
        </w:rPr>
        <w:t>2.12 As of the Assignment Date, a copy of all notices,· written demands and written requests under the Lease from the Landlord shall be sent to:·</w:t>
      </w:r>
    </w:p>
    <w:p>
      <w:pPr>
        <w:spacing w:after="0" w:line="129" w:lineRule="exact"/>
        <w:rPr>
          <w:sz w:val="20"/>
          <w:szCs w:val="20"/>
          <w:color w:val="auto"/>
        </w:rPr>
      </w:pPr>
    </w:p>
    <w:p>
      <w:pPr>
        <w:ind w:left="684" w:hanging="244"/>
        <w:spacing w:after="0"/>
        <w:tabs>
          <w:tab w:leader="none" w:pos="68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Assignee: at the Leased Premises, with copy to [ADDRESS], Attention: Lloyd Segal; and</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Assignor at [ADDRESS], Attention: __________________________.</w:t>
      </w:r>
    </w:p>
    <w:p>
      <w:pPr>
        <w:spacing w:after="0" w:line="117"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2.13 The Assignor and the Assignee shall concurrently with their execution of this Agreement, pay to Landlord an amount of One Thousand Dollars ($1,000) plus applicable taxes, as Landlord’s legal and administration fees in connection with this assignment.</w:t>
      </w:r>
    </w:p>
    <w:p>
      <w:pPr>
        <w:spacing w:after="0" w:line="62"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2.14 (A) Pursuant to the provisions of the Lease and more particularly (i) Section 2.05 of the Original Lease and (ii) the Agreement Regarding Letter of Credit and Other Security dated May 15, 2014 attached to the Original Lease as Schedule “G” (the “</w:t>
      </w:r>
      <w:r>
        <w:rPr>
          <w:rFonts w:ascii="Arial" w:cs="Arial" w:eastAsia="Arial" w:hAnsi="Arial"/>
          <w:sz w:val="18"/>
          <w:szCs w:val="18"/>
          <w:b w:val="1"/>
          <w:bCs w:val="1"/>
          <w:color w:val="auto"/>
        </w:rPr>
        <w:t>Existing LC Agreement</w:t>
      </w:r>
      <w:r>
        <w:rPr>
          <w:rFonts w:ascii="Arial" w:cs="Arial" w:eastAsia="Arial" w:hAnsi="Arial"/>
          <w:sz w:val="18"/>
          <w:szCs w:val="18"/>
          <w:color w:val="auto"/>
        </w:rPr>
        <w:t>”), the Assignor has provided the Landlord a security deposit in the amount of One Hundred Thirty-Five Thousand Dollars ($135,000) by way of an irrevocable standby letter of credit (the “</w:t>
      </w:r>
      <w:r>
        <w:rPr>
          <w:rFonts w:ascii="Arial" w:cs="Arial" w:eastAsia="Arial" w:hAnsi="Arial"/>
          <w:sz w:val="18"/>
          <w:szCs w:val="18"/>
          <w:b w:val="1"/>
          <w:bCs w:val="1"/>
          <w:color w:val="auto"/>
        </w:rPr>
        <w:t>Existing Letter of Credit</w:t>
      </w:r>
      <w:r>
        <w:rPr>
          <w:rFonts w:ascii="Arial" w:cs="Arial" w:eastAsia="Arial" w:hAnsi="Arial"/>
          <w:sz w:val="18"/>
          <w:szCs w:val="18"/>
          <w:color w:val="auto"/>
        </w:rPr>
        <w:t>”).</w:t>
      </w:r>
    </w:p>
    <w:p>
      <w:pPr>
        <w:spacing w:after="0" w:line="79" w:lineRule="exact"/>
        <w:rPr>
          <w:sz w:val="20"/>
          <w:szCs w:val="20"/>
          <w:color w:val="auto"/>
        </w:rPr>
      </w:pPr>
    </w:p>
    <w:p>
      <w:pPr>
        <w:ind w:left="4" w:right="280" w:firstLine="436"/>
        <w:spacing w:after="0" w:line="291" w:lineRule="auto"/>
        <w:tabs>
          <w:tab w:leader="none" w:pos="729" w:val="left"/>
        </w:tabs>
        <w:numPr>
          <w:ilvl w:val="1"/>
          <w:numId w:val="320"/>
        </w:numPr>
        <w:rPr>
          <w:rFonts w:ascii="Arial" w:cs="Arial" w:eastAsia="Arial" w:hAnsi="Arial"/>
          <w:sz w:val="16"/>
          <w:szCs w:val="16"/>
          <w:color w:val="auto"/>
        </w:rPr>
      </w:pPr>
      <w:r>
        <w:rPr>
          <w:rFonts w:ascii="Arial" w:cs="Arial" w:eastAsia="Arial" w:hAnsi="Arial"/>
          <w:sz w:val="16"/>
          <w:szCs w:val="16"/>
          <w:color w:val="auto"/>
        </w:rPr>
        <w:t>Concurrently with the execution of this Agreement, the Assignee shall execute and deliver to Landlord the Landlord’s standard form of Agreement Regarding Letter of Credit and Other Security attached hereto as Schedule “B” (the “</w:t>
      </w:r>
      <w:r>
        <w:rPr>
          <w:rFonts w:ascii="Arial" w:cs="Arial" w:eastAsia="Arial" w:hAnsi="Arial"/>
          <w:sz w:val="16"/>
          <w:szCs w:val="16"/>
          <w:b w:val="1"/>
          <w:bCs w:val="1"/>
          <w:color w:val="auto"/>
        </w:rPr>
        <w:t>Replacement LC Agreement</w:t>
      </w:r>
      <w:r>
        <w:rPr>
          <w:rFonts w:ascii="Arial" w:cs="Arial" w:eastAsia="Arial" w:hAnsi="Arial"/>
          <w:sz w:val="16"/>
          <w:szCs w:val="16"/>
          <w:color w:val="auto"/>
        </w:rPr>
        <w:t>”). No later than sixty</w:t>
      </w:r>
    </w:p>
    <w:p>
      <w:pPr>
        <w:ind w:left="4" w:right="80" w:hanging="4"/>
        <w:spacing w:after="0" w:line="255" w:lineRule="auto"/>
        <w:tabs>
          <w:tab w:leader="none" w:pos="34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days following the execution of this Agreement, the Assignee shall furnish to Landlord a security deposit in the amount of One Hundred Thirty-Five Thousand Dollars ($135,000) by way of an irrevocable standby letter of credit issued by a Schedule I Canadian chartered bank (the “</w:t>
      </w:r>
      <w:r>
        <w:rPr>
          <w:rFonts w:ascii="Arial" w:cs="Arial" w:eastAsia="Arial" w:hAnsi="Arial"/>
          <w:sz w:val="18"/>
          <w:szCs w:val="18"/>
          <w:b w:val="1"/>
          <w:bCs w:val="1"/>
          <w:color w:val="auto"/>
        </w:rPr>
        <w:t>Replacement</w:t>
      </w:r>
      <w:r>
        <w:rPr>
          <w:rFonts w:ascii="Arial" w:cs="Arial" w:eastAsia="Arial" w:hAnsi="Arial"/>
          <w:sz w:val="18"/>
          <w:szCs w:val="18"/>
          <w:color w:val="auto"/>
        </w:rPr>
        <w:t xml:space="preserve"> </w:t>
      </w:r>
      <w:r>
        <w:rPr>
          <w:rFonts w:ascii="Arial" w:cs="Arial" w:eastAsia="Arial" w:hAnsi="Arial"/>
          <w:sz w:val="18"/>
          <w:szCs w:val="18"/>
          <w:b w:val="1"/>
          <w:bCs w:val="1"/>
          <w:color w:val="auto"/>
        </w:rPr>
        <w:t>Letter of Credit</w:t>
      </w:r>
      <w:r>
        <w:rPr>
          <w:rFonts w:ascii="Arial" w:cs="Arial" w:eastAsia="Arial" w:hAnsi="Arial"/>
          <w:sz w:val="18"/>
          <w:szCs w:val="18"/>
          <w:color w:val="auto"/>
        </w:rPr>
        <w:t>”), the</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69" w:right="459" w:bottom="1440" w:gutter="0" w:footer="0" w:header="0"/>
        </w:sectPr>
      </w:pPr>
    </w:p>
    <w:bookmarkStart w:id="504" w:name="page505"/>
    <w:bookmarkEnd w:id="504"/>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whole in accordance to the provisions of the Replacement LC Agreement. The Replacement Letter of Credit shall remain in effect throughout the Term and any extension thereof and shall be held by Landlord as security for the obligations of the Assignee as “</w:t>
      </w:r>
      <w:r>
        <w:rPr>
          <w:rFonts w:ascii="Arial" w:cs="Arial" w:eastAsia="Arial" w:hAnsi="Arial"/>
          <w:sz w:val="18"/>
          <w:szCs w:val="18"/>
          <w:b w:val="1"/>
          <w:bCs w:val="1"/>
          <w:color w:val="auto"/>
        </w:rPr>
        <w:t>Tenant</w:t>
      </w:r>
      <w:r>
        <w:rPr>
          <w:rFonts w:ascii="Arial" w:cs="Arial" w:eastAsia="Arial" w:hAnsi="Arial"/>
          <w:sz w:val="18"/>
          <w:szCs w:val="18"/>
          <w:color w:val="auto"/>
        </w:rPr>
        <w:t>” under the Lease and this Agreement, all in accordance with and subject to the provisions of the Replacement LC Agreement.</w:t>
      </w:r>
    </w:p>
    <w:p>
      <w:pPr>
        <w:spacing w:after="0" w:line="76" w:lineRule="exact"/>
        <w:rPr>
          <w:sz w:val="20"/>
          <w:szCs w:val="20"/>
          <w:color w:val="auto"/>
        </w:rPr>
      </w:pPr>
    </w:p>
    <w:p>
      <w:pPr>
        <w:ind w:right="60" w:firstLine="436"/>
        <w:spacing w:after="0" w:line="257" w:lineRule="auto"/>
        <w:tabs>
          <w:tab w:leader="none" w:pos="725"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Assignor and the Assignee acknowledge and agree that (i) the Existing Letter of Credit shall continue to serve as guarantee for the rentals payable under the Lease and for the faithful performance by the Assignee as “</w:t>
      </w:r>
      <w:r>
        <w:rPr>
          <w:rFonts w:ascii="Arial" w:cs="Arial" w:eastAsia="Arial" w:hAnsi="Arial"/>
          <w:sz w:val="18"/>
          <w:szCs w:val="18"/>
          <w:b w:val="1"/>
          <w:bCs w:val="1"/>
          <w:color w:val="auto"/>
        </w:rPr>
        <w:t>Tenant</w:t>
      </w:r>
      <w:r>
        <w:rPr>
          <w:rFonts w:ascii="Arial" w:cs="Arial" w:eastAsia="Arial" w:hAnsi="Arial"/>
          <w:sz w:val="18"/>
          <w:szCs w:val="18"/>
          <w:color w:val="auto"/>
        </w:rPr>
        <w:t>” of each and every one of the covenants, conditions and agreements under the Lease and (ii) the Existing LC Agreement shall remain in effect, until such time that the Replacement Letter of Credit is delivered to Landlord. Upon receipt by Landlord of the Replacement Letter of Credit and the Replacement LC Agreement executed by Assignee, the Existing Letter of Credit will be returned to the Assignor.</w:t>
      </w:r>
    </w:p>
    <w:p>
      <w:pPr>
        <w:spacing w:after="0" w:line="8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2.15 The Landlord represents and warrants to the Assignor and the Assignee that as of the Assignment Date, there are no machine bases, cabling, piping or wiring installed by or on behalf of the Assignor that would be required to be removed in accordance with section 6.07 (b) of the Lease.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3.0 LANGUAGE</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3.1 The parties acknowledge that they have required that this Agreement and all related documents be prepared in English. </w:t>
      </w:r>
      <w:r>
        <w:rPr>
          <w:rFonts w:ascii="Arial" w:cs="Arial" w:eastAsia="Arial" w:hAnsi="Arial"/>
          <w:sz w:val="18"/>
          <w:szCs w:val="18"/>
          <w:i w:val="1"/>
          <w:iCs w:val="1"/>
          <w:color w:val="auto"/>
        </w:rPr>
        <w:t>Les parties reconnaissent</w:t>
      </w:r>
      <w:r>
        <w:rPr>
          <w:rFonts w:ascii="Arial" w:cs="Arial" w:eastAsia="Arial" w:hAnsi="Arial"/>
          <w:sz w:val="18"/>
          <w:szCs w:val="18"/>
          <w:color w:val="auto"/>
        </w:rPr>
        <w:t xml:space="preserve"> </w:t>
      </w:r>
      <w:r>
        <w:rPr>
          <w:rFonts w:ascii="Arial" w:cs="Arial" w:eastAsia="Arial" w:hAnsi="Arial"/>
          <w:sz w:val="18"/>
          <w:szCs w:val="18"/>
          <w:i w:val="1"/>
          <w:iCs w:val="1"/>
          <w:color w:val="auto"/>
        </w:rPr>
        <w:t>avoir exigé que la présente convention et tous /es documents connexes soient rédigés en anglais.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3" w:right="459" w:bottom="1440" w:gutter="0" w:footer="0" w:header="0"/>
        </w:sectPr>
      </w:pPr>
    </w:p>
    <w:bookmarkStart w:id="505" w:name="page506"/>
    <w:bookmarkEnd w:id="50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THE PARTIES HAVE SIGNED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PHARMASCIENCE INC.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(Assignor)</w:t>
      </w:r>
    </w:p>
    <w:p>
      <w:pPr>
        <w:spacing w:after="0" w:line="18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Per: /s/ Murielle Lortie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Murielle Lortie</w:t>
      </w:r>
    </w:p>
    <w:p>
      <w:pPr>
        <w:spacing w:after="0" w:line="2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VP &amp; Chief Financial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VP &amp; Chef des operations financières</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(Assignee)</w:t>
      </w:r>
    </w:p>
    <w:p>
      <w:pPr>
        <w:spacing w:after="0" w:line="18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Per: /s/ Lloyd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LANDLORD’S CONSENT</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CIG Ill TECHNOPARC NOMINEE II INC. hereby consents to the foregoing assignment, in accordance with the terms hereinabove provided including without limitation the obligation of the Assignor and the Assignee to remain solidarily liable for all of the obligations under the Lease and this Agreement until the expiry of the Lease, the whole without benefit of division, discussion or subrogation. Nothing in the foregoing Landlord’s consent shall be construed or deemed to modify any of the terms and conditions of the Lease except to the extent modified by the foregoing Agreement.</w:t>
      </w:r>
    </w:p>
    <w:p>
      <w:pPr>
        <w:spacing w:after="0" w:line="18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CIG Ill TECHNOPARC NOMINEE II INC.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(Landlord)</w:t>
      </w:r>
    </w:p>
    <w:p>
      <w:pPr>
        <w:spacing w:after="0" w:line="18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Per: /s/ F.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F. Nelson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ASO</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40" w:top="269" w:right="539" w:bottom="1440" w:gutter="0" w:footer="0" w:header="0"/>
        </w:sectPr>
      </w:pPr>
    </w:p>
    <w:bookmarkStart w:id="506" w:name="page507"/>
    <w:bookmarkEnd w:id="50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 /s/ Chris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 Lawrence</w:t>
      </w:r>
    </w:p>
    <w:p>
      <w:pPr>
        <w:spacing w:after="0" w:line="23" w:lineRule="exact"/>
        <w:rPr>
          <w:sz w:val="20"/>
          <w:szCs w:val="20"/>
          <w:color w:val="auto"/>
        </w:rPr>
      </w:pPr>
    </w:p>
    <w:p>
      <w:pPr>
        <w:jc w:val="right"/>
        <w:ind w:right="1059"/>
        <w:spacing w:after="0"/>
        <w:rPr>
          <w:sz w:val="20"/>
          <w:szCs w:val="20"/>
          <w:color w:val="auto"/>
        </w:rPr>
      </w:pPr>
      <w:r>
        <w:rPr>
          <w:rFonts w:ascii="Arial" w:cs="Arial" w:eastAsia="Arial" w:hAnsi="Arial"/>
          <w:sz w:val="18"/>
          <w:szCs w:val="18"/>
          <w:color w:val="auto"/>
        </w:rPr>
        <w:t>Authorized Signing Officer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019"/>
          </w:cols>
          <w:pgMar w:left="1440" w:top="449" w:right="1440" w:bottom="1440" w:gutter="0" w:footer="0" w:header="0"/>
        </w:sectPr>
      </w:pPr>
    </w:p>
    <w:bookmarkStart w:id="507" w:name="page508"/>
    <w:bookmarkEnd w:id="507"/>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ectPr>
          <w:pgSz w:w="11900" w:h="16838" w:orient="portrait"/>
          <w:cols w:equalWidth="0" w:num="1">
            <w:col w:w="9019"/>
          </w:cols>
          <w:pgMar w:left="1440" w:top="269"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EQUIPMENT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69" w:right="1440" w:bottom="1440" w:gutter="0" w:footer="0" w:header="0"/>
          <w:type w:val="continuous"/>
        </w:sectPr>
      </w:pPr>
    </w:p>
    <w:bookmarkStart w:id="508" w:name="page509"/>
    <w:bookmarkEnd w:id="50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“B”</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AGREEMENT REGARDING LETTER OF CREDIT AND OTHER SECURITY</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6"/>
          <w:szCs w:val="16"/>
          <w:color w:val="auto"/>
        </w:rPr>
        <w:t>Reference is made to the lease dated ________________ (“Lease”) between __________ (“Tenant”) and ___________ (“Landlord”) for the Tenant’s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premises (“Premises”) situated in the property located at ______________________.</w:t>
      </w:r>
    </w:p>
    <w:p>
      <w:pPr>
        <w:spacing w:after="0" w:line="211" w:lineRule="exact"/>
        <w:rPr>
          <w:sz w:val="20"/>
          <w:szCs w:val="20"/>
          <w:color w:val="auto"/>
        </w:rPr>
      </w:pPr>
    </w:p>
    <w:p>
      <w:pPr>
        <w:ind w:left="4" w:right="560"/>
        <w:spacing w:after="0" w:line="277" w:lineRule="auto"/>
        <w:rPr>
          <w:sz w:val="20"/>
          <w:szCs w:val="20"/>
          <w:color w:val="auto"/>
        </w:rPr>
      </w:pPr>
      <w:r>
        <w:rPr>
          <w:rFonts w:ascii="Arial" w:cs="Arial" w:eastAsia="Arial" w:hAnsi="Arial"/>
          <w:sz w:val="18"/>
          <w:szCs w:val="18"/>
          <w:color w:val="auto"/>
        </w:rPr>
        <w:t>THE TENANT AND THE LANDLORD, IN RELIANCE UPON THE REPRESENTATIONS AND WARRANTIES AND COVENANTS AND AGREEMENTS OF THE TENANT CONTAINED IN THIS AGREEMENT, COVENANT AND AGREE AS FOLLOWS:</w:t>
      </w:r>
    </w:p>
    <w:p>
      <w:pPr>
        <w:spacing w:after="0" w:line="76" w:lineRule="exact"/>
        <w:rPr>
          <w:sz w:val="20"/>
          <w:szCs w:val="20"/>
          <w:color w:val="auto"/>
        </w:rPr>
      </w:pPr>
    </w:p>
    <w:p>
      <w:pPr>
        <w:ind w:left="424" w:hanging="424"/>
        <w:spacing w:after="0" w:line="287" w:lineRule="auto"/>
        <w:tabs>
          <w:tab w:leader="none" w:pos="424"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Tenant covenants to provide to the Landlord, on an uninterrupted and continuing basis for the period commencing on the date of this agreement and expiring thirty (30) days following the last day of the term of the Lease as such term is renewed, extended or prolonged from time to time, with an irrevocable letter of credit issued by a Schedule I Canadian chartered bank, expiring at the end of the period mentioned above, and in the form and of the substance set forth in Schedule “B-1” hereto and initialed by the parties to this agreement for the purpose of identification, all of the terms and conditions of which Schedule 1 are incorporated in this agreement by reference as if recited out at length herein. The letter of credit will serve (a) to guarantee the due and prompt payment and performance of each and every obligation, liability, condition and agreement to which the Tenant is or may be bound by the terms of the Lease and each and every obligation, liability, condition and agreement to which the Tenant is or may be bound by this agreement (including all extensions, renewals and other prolongations thereof), or as a result thereof, as the Lease or this agreement may be amended from time to time, (including, without limitation, the prompt payment of all rentals and additional rentals which may become due pursuant to the Lease) and (b) to indemnify the Landlord, up to the same amount, for any and all damages, costs and losses (including, without limitation, loss of rentals and additional rentals) which may be suffered by the Landlord as a consequence of the termination, resiliation, disavowal, repudiation or disclaimer of the Lease or this agreement, or both, by whomsoever.</w:t>
      </w:r>
    </w:p>
    <w:p>
      <w:pPr>
        <w:spacing w:after="0" w:line="59"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The letter of credit shall be in the amount of ____________________ ($______).</w:t>
      </w:r>
    </w:p>
    <w:p>
      <w:pPr>
        <w:spacing w:after="0" w:line="130" w:lineRule="exact"/>
        <w:rPr>
          <w:rFonts w:ascii="Arial" w:cs="Arial" w:eastAsia="Arial" w:hAnsi="Arial"/>
          <w:sz w:val="16"/>
          <w:szCs w:val="16"/>
          <w:color w:val="auto"/>
        </w:rPr>
      </w:pPr>
    </w:p>
    <w:p>
      <w:pPr>
        <w:ind w:left="424" w:hanging="424"/>
        <w:spacing w:after="0"/>
        <w:tabs>
          <w:tab w:leader="none" w:pos="424" w:val="left"/>
        </w:tabs>
        <w:numPr>
          <w:ilvl w:val="0"/>
          <w:numId w:val="323"/>
        </w:numPr>
        <w:rPr>
          <w:rFonts w:ascii="Arial" w:cs="Arial" w:eastAsia="Arial" w:hAnsi="Arial"/>
          <w:sz w:val="16"/>
          <w:szCs w:val="16"/>
          <w:color w:val="auto"/>
        </w:rPr>
      </w:pPr>
      <w:r>
        <w:rPr>
          <w:rFonts w:ascii="Arial" w:cs="Arial" w:eastAsia="Arial" w:hAnsi="Arial"/>
          <w:sz w:val="16"/>
          <w:szCs w:val="16"/>
          <w:color w:val="auto"/>
        </w:rPr>
        <w:t>In the event that the Tenant does not replace any letter of credit furnished to the Landlord as contemplated in this agreement at the latest thirty</w:t>
      </w:r>
    </w:p>
    <w:p>
      <w:pPr>
        <w:spacing w:after="0" w:line="46" w:lineRule="exact"/>
        <w:rPr>
          <w:rFonts w:ascii="Arial" w:cs="Arial" w:eastAsia="Arial" w:hAnsi="Arial"/>
          <w:sz w:val="16"/>
          <w:szCs w:val="16"/>
          <w:color w:val="auto"/>
        </w:rPr>
      </w:pPr>
    </w:p>
    <w:p>
      <w:pPr>
        <w:ind w:left="424"/>
        <w:spacing w:after="0" w:line="255" w:lineRule="auto"/>
        <w:rPr>
          <w:rFonts w:ascii="Arial" w:cs="Arial" w:eastAsia="Arial" w:hAnsi="Arial"/>
          <w:sz w:val="16"/>
          <w:szCs w:val="16"/>
          <w:color w:val="auto"/>
        </w:rPr>
      </w:pPr>
      <w:r>
        <w:rPr>
          <w:rFonts w:ascii="Arial" w:cs="Arial" w:eastAsia="Arial" w:hAnsi="Arial"/>
          <w:sz w:val="18"/>
          <w:szCs w:val="18"/>
          <w:color w:val="auto"/>
        </w:rPr>
        <w:t>(30) days prior to its expiration date, the Landlord will be entitled to draw on such letter of credit held by the Landlord, for the full amount thereof, whether or not the Tenant is otherwise in default in the performance of its obligations under or in virtue of the Lease or this agreement, and to retain all amounts received by the Landlord from the issuing</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04"/>
          </w:cols>
          <w:pgMar w:left="436" w:top="269" w:right="459" w:bottom="1440" w:gutter="0" w:footer="0" w:header="0"/>
        </w:sectPr>
      </w:pPr>
    </w:p>
    <w:bookmarkStart w:id="509" w:name="page510"/>
    <w:bookmarkEnd w:id="509"/>
    <w:p>
      <w:pPr>
        <w:ind w:left="42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bank as a result of such draw (“Proceeds”) for the same purposes, with the necessary adaptations, as the letter of credit drawn upon, until such time as the letter of credit has been replaced with a new letter of credit affording the Landlord the full security to which it is entitled under this agreement. Upon such replacement, and provided that the Tenant is not otherwise in default in the performance of such obligations, any portion of the Proceeds still held by the Landlord will be returned to the Tenant.</w:t>
      </w:r>
    </w:p>
    <w:p>
      <w:pPr>
        <w:spacing w:after="0" w:line="92" w:lineRule="exact"/>
        <w:rPr>
          <w:sz w:val="20"/>
          <w:szCs w:val="20"/>
          <w:color w:val="auto"/>
        </w:rPr>
      </w:pPr>
    </w:p>
    <w:p>
      <w:pPr>
        <w:ind w:left="424" w:hanging="424"/>
        <w:spacing w:after="0" w:line="283" w:lineRule="auto"/>
        <w:tabs>
          <w:tab w:leader="none" w:pos="424" w:val="left"/>
        </w:tabs>
        <w:numPr>
          <w:ilvl w:val="0"/>
          <w:numId w:val="324"/>
        </w:numPr>
        <w:rPr>
          <w:rFonts w:ascii="Arial" w:cs="Arial" w:eastAsia="Arial" w:hAnsi="Arial"/>
          <w:sz w:val="16"/>
          <w:szCs w:val="16"/>
          <w:color w:val="auto"/>
        </w:rPr>
      </w:pPr>
      <w:r>
        <w:rPr>
          <w:rFonts w:ascii="Arial" w:cs="Arial" w:eastAsia="Arial" w:hAnsi="Arial"/>
          <w:sz w:val="16"/>
          <w:szCs w:val="16"/>
          <w:color w:val="auto"/>
        </w:rPr>
        <w:t>Neither the furnishing of such letter of credit nor the holding of any Proceeds as contemplated in this agreement will relieve the Tenant from the payment of rent, additional rent or any other charges for which the Tenant is liable under or in virtue of the Lease or in any way relieve the Tenant from the faithful and punctual performance of all covenants and conditions contained in or entered into in virtue of the Lease or in any way relieve the Tenant from the faithful and punctual performance of all covenants and conditions contained in or entered into in virtue of this agreement. If the Tenant is in default as aforesaid, it will be entirely in the Landlord’s discretion as to whether the Landlord draws under such letter of credit or compensates and sets off all or any part of the Claims as contemplated by paragraph 5 of this agreement, or whether the Landlord exercises whatever other rights, remedies and recourses the Landlord may have. In the event that the Landlord draws under any such letter of credit or compensates and sets off all or any part of the Claims, the Tenant will remit to the Landlord a replacement letter of credit or supplementary letter of credit sufficient to restore to the Landlord the full security to be afforded to the Landlord as contemplated in this agreement within five</w:t>
      </w:r>
    </w:p>
    <w:p>
      <w:pPr>
        <w:spacing w:after="0" w:line="5" w:lineRule="exact"/>
        <w:rPr>
          <w:rFonts w:ascii="Arial" w:cs="Arial" w:eastAsia="Arial" w:hAnsi="Arial"/>
          <w:sz w:val="16"/>
          <w:szCs w:val="16"/>
          <w:color w:val="auto"/>
        </w:rPr>
      </w:pPr>
    </w:p>
    <w:p>
      <w:pPr>
        <w:ind w:left="424"/>
        <w:spacing w:after="0" w:line="260" w:lineRule="auto"/>
        <w:rPr>
          <w:rFonts w:ascii="Arial" w:cs="Arial" w:eastAsia="Arial" w:hAnsi="Arial"/>
          <w:sz w:val="16"/>
          <w:szCs w:val="16"/>
          <w:color w:val="auto"/>
        </w:rPr>
      </w:pPr>
      <w:r>
        <w:rPr>
          <w:rFonts w:ascii="Arial" w:cs="Arial" w:eastAsia="Arial" w:hAnsi="Arial"/>
          <w:sz w:val="18"/>
          <w:szCs w:val="18"/>
          <w:color w:val="auto"/>
        </w:rPr>
        <w:t>(5) business days of the Landlord’s written demand therefor, the whole without prejudice to such other rights, remedies and recourses as may avail to the Landlord in the circumstances.</w:t>
      </w:r>
    </w:p>
    <w:p>
      <w:pPr>
        <w:spacing w:after="0" w:line="90" w:lineRule="exact"/>
        <w:rPr>
          <w:rFonts w:ascii="Arial" w:cs="Arial" w:eastAsia="Arial" w:hAnsi="Arial"/>
          <w:sz w:val="16"/>
          <w:szCs w:val="16"/>
          <w:color w:val="auto"/>
        </w:rPr>
      </w:pPr>
    </w:p>
    <w:p>
      <w:pPr>
        <w:ind w:left="424" w:right="140" w:hanging="424"/>
        <w:spacing w:after="0" w:line="259" w:lineRule="auto"/>
        <w:tabs>
          <w:tab w:leader="none" w:pos="424"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Thirty (30) days following the termination of the Lease or any renewal thereof, the letter of credit and any Proceeds held by the Landlord will be returned to the Tenant provided the Premises have been vacated in good order and condition in a timely manner and otherwise in the manner contemplated by the terms of the Lease, and provided the Tenant will then have complied in all respects with all terms, covenants and conditions to which it has bound itself under the Lease and this Agreement.</w:t>
      </w:r>
    </w:p>
    <w:p>
      <w:pPr>
        <w:spacing w:after="0" w:line="92" w:lineRule="exact"/>
        <w:rPr>
          <w:rFonts w:ascii="Arial" w:cs="Arial" w:eastAsia="Arial" w:hAnsi="Arial"/>
          <w:sz w:val="18"/>
          <w:szCs w:val="18"/>
          <w:color w:val="auto"/>
        </w:rPr>
      </w:pPr>
    </w:p>
    <w:p>
      <w:pPr>
        <w:ind w:left="424" w:hanging="424"/>
        <w:spacing w:after="0" w:line="257" w:lineRule="auto"/>
        <w:tabs>
          <w:tab w:leader="none" w:pos="424"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To further secure the Landlord to the full extent of the full security to which it is entitled under this agreement, the Tenant hereby grants to the Landlord a security interest in and hypothecates in favour of the Landlord whatever claims the Tenant now has or will ever have against the Landlord for or to the Proceeds, under or in virtue of paragraph 3 of this agreement or otherwise (collectively “Claims”). If the Tenant is in default in the performance of any of its covenants and conditions contained in or entered into in virtue of the Lease, or if the Tenant is in default in the performance of any covenants or conditions contained in this agreement, or if</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984"/>
          </w:cols>
          <w:pgMar w:left="436" w:top="273" w:right="479" w:bottom="1440" w:gutter="0" w:footer="0" w:header="0"/>
        </w:sectPr>
      </w:pPr>
    </w:p>
    <w:bookmarkStart w:id="510" w:name="page511"/>
    <w:bookmarkEnd w:id="510"/>
    <w:p>
      <w:pPr>
        <w:ind w:left="424"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of the Tenant’s obligations under this agreement have become enforceable, the Landlord will have the right, as hypothecary creditor, to compensate and set-off the Claims against any and all amounts then owing by the Tenant to the Landlord, the whole without the necessity of demand or notice (other than as may be required by law) to the Tenant or to any other party. In such event, the Claims will be deemed to have been paid, cancelled and discharged to the extent of the amounts so compensated and set-off, and the Tenant will cease to have any interest whatsoever in the Claims to such extent.</w:t>
      </w:r>
    </w:p>
    <w:p>
      <w:pPr>
        <w:spacing w:after="0" w:line="93" w:lineRule="exact"/>
        <w:rPr>
          <w:sz w:val="20"/>
          <w:szCs w:val="20"/>
          <w:color w:val="auto"/>
        </w:rPr>
      </w:pPr>
    </w:p>
    <w:p>
      <w:pPr>
        <w:ind w:left="424" w:right="20" w:hanging="424"/>
        <w:spacing w:after="0" w:line="277" w:lineRule="auto"/>
        <w:tabs>
          <w:tab w:leader="none" w:pos="42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Proceeds held by the Landlord as contemplated in this agreement will not be governed by the provisions of Articles 2280 and following of the Civil Code of Quebec and will not be construed as being the property of the Tenant but as belonging to the Landlord.</w:t>
      </w:r>
    </w:p>
    <w:p>
      <w:pPr>
        <w:spacing w:after="0" w:line="75" w:lineRule="exact"/>
        <w:rPr>
          <w:rFonts w:ascii="Arial" w:cs="Arial" w:eastAsia="Arial" w:hAnsi="Arial"/>
          <w:sz w:val="18"/>
          <w:szCs w:val="18"/>
          <w:color w:val="auto"/>
        </w:rPr>
      </w:pPr>
    </w:p>
    <w:p>
      <w:pPr>
        <w:ind w:left="424" w:hanging="424"/>
        <w:spacing w:after="0" w:line="273" w:lineRule="auto"/>
        <w:tabs>
          <w:tab w:leader="none" w:pos="424" w:val="left"/>
        </w:tabs>
        <w:numPr>
          <w:ilvl w:val="0"/>
          <w:numId w:val="325"/>
        </w:numPr>
        <w:rPr>
          <w:rFonts w:ascii="Arial" w:cs="Arial" w:eastAsia="Arial" w:hAnsi="Arial"/>
          <w:sz w:val="17"/>
          <w:szCs w:val="17"/>
          <w:color w:val="auto"/>
        </w:rPr>
      </w:pPr>
      <w:r>
        <w:rPr>
          <w:rFonts w:ascii="Arial" w:cs="Arial" w:eastAsia="Arial" w:hAnsi="Arial"/>
          <w:sz w:val="17"/>
          <w:szCs w:val="17"/>
          <w:color w:val="auto"/>
        </w:rPr>
        <w:t>The Landlord will have the right to transfer the benefit of any letter of credit and any Proceeds contemplated in this agreement to any purchaser of the property in which the Premises contemplated in the Lease are situated and, for such purpose, to have the Landlord replaced as beneficiary under such letter of credit by appropriate amendments thereof acceptable to the Landlord and such purchaser, upon demand to such effect. In the event of such transfer the Landlord will be and hereby is entirely released and relieved of all the Landlord’s covenants and obligations in respect of such letter of credit, such Proceeds and the Claims and as well as those contained in this agreement, provided that such purchaser stipulates in favour of the Tenant to assume and carry out such covenants and obligations.</w:t>
      </w:r>
    </w:p>
    <w:p>
      <w:pPr>
        <w:spacing w:after="0" w:line="83" w:lineRule="exact"/>
        <w:rPr>
          <w:rFonts w:ascii="Arial" w:cs="Arial" w:eastAsia="Arial" w:hAnsi="Arial"/>
          <w:sz w:val="17"/>
          <w:szCs w:val="17"/>
          <w:color w:val="auto"/>
        </w:rPr>
      </w:pPr>
    </w:p>
    <w:p>
      <w:pPr>
        <w:ind w:left="424" w:right="80" w:hanging="424"/>
        <w:spacing w:after="0" w:line="270" w:lineRule="auto"/>
        <w:tabs>
          <w:tab w:leader="none" w:pos="424" w:val="left"/>
        </w:tabs>
        <w:numPr>
          <w:ilvl w:val="0"/>
          <w:numId w:val="325"/>
        </w:numPr>
        <w:rPr>
          <w:rFonts w:ascii="Arial" w:cs="Arial" w:eastAsia="Arial" w:hAnsi="Arial"/>
          <w:sz w:val="17"/>
          <w:szCs w:val="17"/>
          <w:color w:val="auto"/>
        </w:rPr>
      </w:pPr>
      <w:r>
        <w:rPr>
          <w:rFonts w:ascii="Arial" w:cs="Arial" w:eastAsia="Arial" w:hAnsi="Arial"/>
          <w:sz w:val="17"/>
          <w:szCs w:val="17"/>
          <w:color w:val="auto"/>
        </w:rPr>
        <w:t>Without limiting the generality of any other provision of this agreement or of any letter of credit issued pursuant hereto, the security contemplated in this agreement will not be affected or impaired by the Tenant’s bankruptcy, insolvency or winding-up, nor by any termination, resiliation, disavowal, repudiation or disclaimer of the Lease or this agreement, or both, by whomsoever, or by any other action taken by any trustee, liquidator, referee or other officer appointed by any court or other body of competent jurisdiction under any bankruptcy, insolvency or winding-up legislation in force from time to time, nor by the Landlord’s failure to delay or proceed to litigation or to seek a remedy for any default of the Tenant, any guarantor or any other person, nor by any liberation or discharge from bankruptcy or otherwise of any such trustee, liquidator, referee or other officer, nor by any release or other forgiveness in favour of whomsoever, nor by any extinction of any of the obligations, liabilities, agreements or conditions secured by any such letter of credit or deposit, nor by any other act, omission or event whatsoever which might lessen, affect or discharge a surety or person obliged to indemnify another.</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024"/>
          </w:cols>
          <w:pgMar w:left="436" w:top="273" w:right="439" w:bottom="1440" w:gutter="0" w:footer="0" w:header="0"/>
        </w:sectPr>
      </w:pPr>
    </w:p>
    <w:bookmarkStart w:id="511" w:name="page512"/>
    <w:bookmarkEnd w:id="511"/>
    <w:p>
      <w:pPr>
        <w:ind w:left="424" w:right="120" w:hanging="424"/>
        <w:spacing w:after="0" w:line="342" w:lineRule="auto"/>
        <w:tabs>
          <w:tab w:leader="none" w:pos="424" w:val="left"/>
        </w:tabs>
        <w:numPr>
          <w:ilvl w:val="0"/>
          <w:numId w:val="3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security to be provided to the Landlord as contemplated in this agreement is and will at all times be in addition to and not in replacement of any other security heretofore furnished to the Landlord and any further and additional security furnished to the Landlord from time to time.</w:t>
      </w:r>
    </w:p>
    <w:p>
      <w:pPr>
        <w:spacing w:after="0" w:line="29" w:lineRule="exact"/>
        <w:rPr>
          <w:rFonts w:ascii="Arial" w:cs="Arial" w:eastAsia="Arial" w:hAnsi="Arial"/>
          <w:sz w:val="16"/>
          <w:szCs w:val="16"/>
          <w:color w:val="auto"/>
        </w:rPr>
      </w:pPr>
    </w:p>
    <w:p>
      <w:pPr>
        <w:ind w:left="424" w:hanging="424"/>
        <w:spacing w:after="0"/>
        <w:tabs>
          <w:tab w:leader="none" w:pos="424"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The parties have requested that this agreement be prepared in English. Les parties ont demandé que la présente convention soit rédigée en anglais.</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Kindly confirm your covenants and agreements above set forth by signing and returning to us the enclosed copy of this letter.</w:t>
      </w:r>
    </w:p>
    <w:p>
      <w:pPr>
        <w:spacing w:after="0" w:line="333" w:lineRule="exact"/>
        <w:rPr>
          <w:sz w:val="20"/>
          <w:szCs w:val="20"/>
          <w:color w:val="auto"/>
        </w:rPr>
      </w:pPr>
    </w:p>
    <w:p>
      <w:pPr>
        <w:ind w:left="4"/>
        <w:spacing w:after="0"/>
        <w:tabs>
          <w:tab w:leader="none" w:pos="1704" w:val="left"/>
          <w:tab w:leader="none" w:pos="2744" w:val="left"/>
          <w:tab w:leader="none" w:pos="3144" w:val="left"/>
        </w:tabs>
        <w:rPr>
          <w:sz w:val="20"/>
          <w:szCs w:val="20"/>
          <w:color w:val="auto"/>
        </w:rPr>
      </w:pPr>
      <w:r>
        <w:rPr>
          <w:rFonts w:ascii="Arial" w:cs="Arial" w:eastAsia="Arial" w:hAnsi="Arial"/>
          <w:sz w:val="18"/>
          <w:szCs w:val="18"/>
          <w:color w:val="auto"/>
        </w:rPr>
        <w:t>Montreal,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20</w:t>
        <w:tab/>
        <w:t>●</w:t>
      </w:r>
    </w:p>
    <w:p>
      <w:pPr>
        <w:spacing w:after="0" w:line="37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Per: /s/ F.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257175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ind w:left="584" w:hanging="179"/>
        <w:spacing w:after="0"/>
        <w:tabs>
          <w:tab w:leader="none" w:pos="584" w:val="left"/>
        </w:tabs>
        <w:numPr>
          <w:ilvl w:val="0"/>
          <w:numId w:val="327"/>
        </w:numPr>
        <w:rPr>
          <w:rFonts w:ascii="Arial" w:cs="Arial" w:eastAsia="Arial" w:hAnsi="Arial"/>
          <w:sz w:val="18"/>
          <w:szCs w:val="18"/>
          <w:color w:val="auto"/>
        </w:rPr>
      </w:pPr>
      <w:r>
        <w:rPr>
          <w:rFonts w:ascii="Arial" w:cs="Arial" w:eastAsia="Arial" w:hAnsi="Arial"/>
          <w:sz w:val="18"/>
          <w:szCs w:val="18"/>
          <w:color w:val="auto"/>
        </w:rPr>
        <w:t>Nelson</w:t>
      </w:r>
    </w:p>
    <w:p>
      <w:pPr>
        <w:spacing w:after="0" w:line="22" w:lineRule="exact"/>
        <w:rPr>
          <w:rFonts w:ascii="Arial" w:cs="Arial" w:eastAsia="Arial" w:hAnsi="Arial"/>
          <w:sz w:val="18"/>
          <w:szCs w:val="18"/>
          <w:color w:val="auto"/>
        </w:rPr>
      </w:pPr>
    </w:p>
    <w:p>
      <w:pPr>
        <w:ind w:left="404"/>
        <w:spacing w:after="0"/>
        <w:rPr>
          <w:rFonts w:ascii="Arial" w:cs="Arial" w:eastAsia="Arial" w:hAnsi="Arial"/>
          <w:sz w:val="18"/>
          <w:szCs w:val="18"/>
          <w:color w:val="auto"/>
        </w:rPr>
      </w:pPr>
      <w:r>
        <w:rPr>
          <w:rFonts w:ascii="Arial" w:cs="Arial" w:eastAsia="Arial" w:hAnsi="Arial"/>
          <w:sz w:val="18"/>
          <w:szCs w:val="18"/>
          <w:color w:val="auto"/>
        </w:rPr>
        <w:t>ASO</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Per: /s/ Chris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257175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ind w:left="404"/>
        <w:spacing w:after="0"/>
        <w:rPr>
          <w:sz w:val="20"/>
          <w:szCs w:val="20"/>
          <w:color w:val="auto"/>
        </w:rPr>
      </w:pPr>
      <w:r>
        <w:rPr>
          <w:rFonts w:ascii="Arial" w:cs="Arial" w:eastAsia="Arial" w:hAnsi="Arial"/>
          <w:sz w:val="18"/>
          <w:szCs w:val="18"/>
          <w:color w:val="auto"/>
        </w:rPr>
        <w:t>Chris Lawrence</w:t>
      </w:r>
    </w:p>
    <w:p>
      <w:pPr>
        <w:spacing w:after="0" w:line="23" w:lineRule="exact"/>
        <w:rPr>
          <w:sz w:val="20"/>
          <w:szCs w:val="20"/>
          <w:color w:val="auto"/>
        </w:rPr>
      </w:pPr>
    </w:p>
    <w:p>
      <w:pPr>
        <w:ind w:left="404"/>
        <w:spacing w:after="0"/>
        <w:rPr>
          <w:sz w:val="20"/>
          <w:szCs w:val="20"/>
          <w:color w:val="auto"/>
        </w:rPr>
      </w:pPr>
      <w:r>
        <w:rPr>
          <w:rFonts w:ascii="Arial" w:cs="Arial" w:eastAsia="Arial" w:hAnsi="Arial"/>
          <w:sz w:val="18"/>
          <w:szCs w:val="18"/>
          <w:color w:val="auto"/>
        </w:rPr>
        <w:t>Authorized Signing Officer</w:t>
      </w:r>
    </w:p>
    <w:p>
      <w:pPr>
        <w:spacing w:after="0" w:line="328" w:lineRule="exact"/>
        <w:rPr>
          <w:sz w:val="20"/>
          <w:szCs w:val="20"/>
          <w:color w:val="auto"/>
        </w:rPr>
      </w:pPr>
    </w:p>
    <w:p>
      <w:pPr>
        <w:ind w:left="1424"/>
        <w:spacing w:after="0"/>
        <w:rPr>
          <w:sz w:val="20"/>
          <w:szCs w:val="20"/>
          <w:color w:val="auto"/>
        </w:rPr>
      </w:pPr>
      <w:r>
        <w:rPr>
          <w:rFonts w:ascii="Arial" w:cs="Arial" w:eastAsia="Arial" w:hAnsi="Arial"/>
          <w:sz w:val="18"/>
          <w:szCs w:val="18"/>
          <w:b w:val="1"/>
          <w:bCs w:val="1"/>
          <w:color w:val="auto"/>
        </w:rPr>
        <w:t>LANDLORD</w:t>
      </w:r>
    </w:p>
    <w:p>
      <w:pPr>
        <w:spacing w:after="0" w:line="333" w:lineRule="exact"/>
        <w:rPr>
          <w:sz w:val="20"/>
          <w:szCs w:val="20"/>
          <w:color w:val="auto"/>
        </w:rPr>
      </w:pPr>
    </w:p>
    <w:p>
      <w:pPr>
        <w:ind w:left="4"/>
        <w:spacing w:after="0"/>
        <w:tabs>
          <w:tab w:leader="none" w:pos="4084" w:val="left"/>
          <w:tab w:leader="none" w:pos="4444" w:val="left"/>
        </w:tabs>
        <w:rPr>
          <w:sz w:val="20"/>
          <w:szCs w:val="20"/>
          <w:color w:val="auto"/>
        </w:rPr>
      </w:pPr>
      <w:r>
        <w:rPr>
          <w:rFonts w:ascii="Arial" w:cs="Arial" w:eastAsia="Arial" w:hAnsi="Arial"/>
          <w:sz w:val="18"/>
          <w:szCs w:val="18"/>
          <w:b w:val="1"/>
          <w:bCs w:val="1"/>
          <w:color w:val="auto"/>
        </w:rPr>
        <w:t xml:space="preserve">ACCEPTED AND AGREED </w:t>
      </w:r>
      <w:r>
        <w:rPr>
          <w:rFonts w:ascii="Arial" w:cs="Arial" w:eastAsia="Arial" w:hAnsi="Arial"/>
          <w:sz w:val="18"/>
          <w:szCs w:val="18"/>
          <w:color w:val="auto"/>
        </w:rPr>
        <w:t>on the 7th day of June</w:t>
      </w:r>
      <w:r>
        <w:rPr>
          <w:sz w:val="20"/>
          <w:szCs w:val="20"/>
          <w:color w:val="auto"/>
        </w:rPr>
        <w:tab/>
      </w:r>
      <w:r>
        <w:rPr>
          <w:rFonts w:ascii="Arial" w:cs="Arial" w:eastAsia="Arial" w:hAnsi="Arial"/>
          <w:sz w:val="18"/>
          <w:szCs w:val="18"/>
          <w:color w:val="auto"/>
        </w:rPr>
        <w:t>20</w:t>
      </w:r>
      <w:r>
        <w:rPr>
          <w:sz w:val="20"/>
          <w:szCs w:val="20"/>
          <w:color w:val="auto"/>
        </w:rPr>
        <w:tab/>
      </w:r>
      <w:r>
        <w:rPr>
          <w:rFonts w:ascii="Arial" w:cs="Arial" w:eastAsia="Arial" w:hAnsi="Arial"/>
          <w:sz w:val="16"/>
          <w:szCs w:val="16"/>
          <w:color w:val="auto"/>
        </w:rPr>
        <w:t>●</w:t>
      </w:r>
    </w:p>
    <w:p>
      <w:pPr>
        <w:spacing w:after="0" w:line="37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Per: /s/ Lloyd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257175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ind w:left="404"/>
        <w:spacing w:after="0"/>
        <w:rPr>
          <w:sz w:val="20"/>
          <w:szCs w:val="20"/>
          <w:color w:val="auto"/>
        </w:rPr>
      </w:pPr>
      <w:r>
        <w:rPr>
          <w:rFonts w:ascii="Arial" w:cs="Arial" w:eastAsia="Arial" w:hAnsi="Arial"/>
          <w:sz w:val="18"/>
          <w:szCs w:val="18"/>
          <w:b w:val="1"/>
          <w:bCs w:val="1"/>
          <w:color w:val="auto"/>
        </w:rPr>
        <w:t>TENANT</w:t>
      </w:r>
    </w:p>
    <w:p>
      <w:pPr>
        <w:spacing w:after="0" w:line="157"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944"/>
          </w:cols>
          <w:pgMar w:left="436" w:top="273" w:right="519" w:bottom="1440" w:gutter="0" w:footer="0" w:header="0"/>
        </w:sectPr>
      </w:pPr>
    </w:p>
    <w:bookmarkStart w:id="512" w:name="page513"/>
    <w:bookmarkEnd w:id="512"/>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SCHEDULE “B-1”</w:t>
            </w: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2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45"/>
        </w:trPr>
        <w:tc>
          <w:tcPr>
            <w:tcW w:w="2260" w:type="dxa"/>
            <w:vAlign w:val="bottom"/>
          </w:tcPr>
          <w:p>
            <w:pPr>
              <w:spacing w:after="0"/>
              <w:rPr>
                <w:sz w:val="20"/>
                <w:szCs w:val="20"/>
                <w:color w:val="auto"/>
              </w:rPr>
            </w:pPr>
            <w:r>
              <w:rPr>
                <w:rFonts w:ascii="Arial" w:cs="Arial" w:eastAsia="Arial" w:hAnsi="Arial"/>
                <w:sz w:val="18"/>
                <w:szCs w:val="18"/>
                <w:color w:val="auto"/>
              </w:rPr>
              <w:t>DATE OF ISSUANCE:</w:t>
            </w:r>
          </w:p>
        </w:tc>
        <w:tc>
          <w:tcPr>
            <w:tcW w:w="640" w:type="dxa"/>
            <w:vAlign w:val="bottom"/>
          </w:tcPr>
          <w:p>
            <w:pPr>
              <w:ind w:left="580"/>
              <w:spacing w:after="0"/>
              <w:rPr>
                <w:sz w:val="20"/>
                <w:szCs w:val="20"/>
                <w:color w:val="auto"/>
              </w:rPr>
            </w:pPr>
            <w:r>
              <w:rPr>
                <w:rFonts w:ascii="Arial" w:cs="Arial" w:eastAsia="Arial" w:hAnsi="Arial"/>
                <w:sz w:val="16"/>
                <w:szCs w:val="16"/>
                <w:color w:val="auto"/>
                <w:w w:val="70"/>
              </w:rPr>
              <w:t>•</w:t>
            </w:r>
          </w:p>
        </w:tc>
        <w:tc>
          <w:tcPr>
            <w:tcW w:w="1280" w:type="dxa"/>
            <w:vAlign w:val="bottom"/>
          </w:tcPr>
          <w:p>
            <w:pPr>
              <w:spacing w:after="0"/>
              <w:rPr>
                <w:sz w:val="24"/>
                <w:szCs w:val="24"/>
                <w:color w:val="auto"/>
              </w:rPr>
            </w:pPr>
          </w:p>
        </w:tc>
        <w:tc>
          <w:tcPr>
            <w:tcW w:w="2140" w:type="dxa"/>
            <w:vAlign w:val="bottom"/>
            <w:gridSpan w:val="3"/>
          </w:tcPr>
          <w:p>
            <w:pPr>
              <w:ind w:left="20"/>
              <w:spacing w:after="0"/>
              <w:rPr>
                <w:sz w:val="20"/>
                <w:szCs w:val="20"/>
                <w:color w:val="auto"/>
              </w:rPr>
            </w:pPr>
            <w:r>
              <w:rPr>
                <w:rFonts w:ascii="Arial" w:cs="Arial" w:eastAsia="Arial" w:hAnsi="Arial"/>
                <w:sz w:val="18"/>
                <w:szCs w:val="18"/>
                <w:color w:val="auto"/>
              </w:rPr>
              <w:t>REFERENCE NO.:</w:t>
            </w: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32"/>
        </w:trPr>
        <w:tc>
          <w:tcPr>
            <w:tcW w:w="2260" w:type="dxa"/>
            <w:vAlign w:val="bottom"/>
          </w:tcPr>
          <w:p>
            <w:pPr>
              <w:spacing w:after="0"/>
              <w:rPr>
                <w:sz w:val="20"/>
                <w:szCs w:val="20"/>
                <w:color w:val="auto"/>
              </w:rPr>
            </w:pPr>
            <w:r>
              <w:rPr>
                <w:rFonts w:ascii="Arial" w:cs="Arial" w:eastAsia="Arial" w:hAnsi="Arial"/>
                <w:sz w:val="18"/>
                <w:szCs w:val="18"/>
                <w:color w:val="auto"/>
              </w:rPr>
              <w:t>EXPIRY DATE:</w:t>
            </w:r>
          </w:p>
        </w:tc>
        <w:tc>
          <w:tcPr>
            <w:tcW w:w="640" w:type="dxa"/>
            <w:vAlign w:val="bottom"/>
          </w:tcPr>
          <w:p>
            <w:pPr>
              <w:spacing w:after="0"/>
              <w:rPr>
                <w:sz w:val="24"/>
                <w:szCs w:val="24"/>
                <w:color w:val="auto"/>
              </w:rPr>
            </w:pPr>
          </w:p>
        </w:tc>
        <w:tc>
          <w:tcPr>
            <w:tcW w:w="1280" w:type="dxa"/>
            <w:vAlign w:val="bottom"/>
          </w:tcPr>
          <w:p>
            <w:pPr>
              <w:ind w:left="120"/>
              <w:spacing w:after="0"/>
              <w:rPr>
                <w:sz w:val="20"/>
                <w:szCs w:val="20"/>
                <w:color w:val="auto"/>
              </w:rPr>
            </w:pPr>
            <w:r>
              <w:rPr>
                <w:rFonts w:ascii="Arial" w:cs="Arial" w:eastAsia="Arial" w:hAnsi="Arial"/>
                <w:sz w:val="18"/>
                <w:szCs w:val="18"/>
                <w:color w:val="auto"/>
              </w:rPr>
              <w:t>AMOUNT: $ ●</w:t>
            </w: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32"/>
        </w:trPr>
        <w:tc>
          <w:tcPr>
            <w:tcW w:w="2260" w:type="dxa"/>
            <w:vAlign w:val="bottom"/>
          </w:tcPr>
          <w:p>
            <w:pPr>
              <w:spacing w:after="0"/>
              <w:rPr>
                <w:sz w:val="20"/>
                <w:szCs w:val="20"/>
                <w:color w:val="auto"/>
              </w:rPr>
            </w:pPr>
            <w:r>
              <w:rPr>
                <w:rFonts w:ascii="Arial" w:cs="Arial" w:eastAsia="Arial" w:hAnsi="Arial"/>
                <w:sz w:val="18"/>
                <w:szCs w:val="18"/>
                <w:color w:val="auto"/>
              </w:rPr>
              <w:t>BENEFICIARY:</w:t>
            </w:r>
          </w:p>
        </w:tc>
        <w:tc>
          <w:tcPr>
            <w:tcW w:w="640" w:type="dxa"/>
            <w:vAlign w:val="bottom"/>
          </w:tcPr>
          <w:p>
            <w:pPr>
              <w:spacing w:after="0"/>
              <w:rPr>
                <w:sz w:val="24"/>
                <w:szCs w:val="24"/>
                <w:color w:val="auto"/>
              </w:rPr>
            </w:pPr>
          </w:p>
        </w:tc>
        <w:tc>
          <w:tcPr>
            <w:tcW w:w="1280" w:type="dxa"/>
            <w:vAlign w:val="bottom"/>
          </w:tcPr>
          <w:p>
            <w:pPr>
              <w:ind w:left="160"/>
              <w:spacing w:after="0"/>
              <w:rPr>
                <w:sz w:val="20"/>
                <w:szCs w:val="20"/>
                <w:color w:val="auto"/>
              </w:rPr>
            </w:pPr>
            <w:r>
              <w:rPr>
                <w:rFonts w:ascii="Arial" w:cs="Arial" w:eastAsia="Arial" w:hAnsi="Arial"/>
                <w:sz w:val="18"/>
                <w:szCs w:val="18"/>
                <w:color w:val="auto"/>
              </w:rPr>
              <w:t>CUSTOMER:</w:t>
            </w: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675"/>
        </w:trPr>
        <w:tc>
          <w:tcPr>
            <w:tcW w:w="22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32"/>
        </w:trPr>
        <w:tc>
          <w:tcPr>
            <w:tcW w:w="2260" w:type="dxa"/>
            <w:vAlign w:val="bottom"/>
          </w:tcPr>
          <w:p>
            <w:pPr>
              <w:spacing w:after="0"/>
              <w:rPr>
                <w:sz w:val="20"/>
                <w:szCs w:val="20"/>
                <w:color w:val="auto"/>
              </w:rPr>
            </w:pPr>
            <w:r>
              <w:rPr>
                <w:rFonts w:ascii="Arial" w:cs="Arial" w:eastAsia="Arial" w:hAnsi="Arial"/>
                <w:sz w:val="18"/>
                <w:szCs w:val="18"/>
                <w:color w:val="auto"/>
              </w:rPr>
              <w:t>Dear Sirs:</w:t>
            </w: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18"/>
        </w:trPr>
        <w:tc>
          <w:tcPr>
            <w:tcW w:w="2900" w:type="dxa"/>
            <w:vAlign w:val="bottom"/>
            <w:gridSpan w:val="2"/>
          </w:tcPr>
          <w:p>
            <w:pPr>
              <w:spacing w:after="0"/>
              <w:rPr>
                <w:sz w:val="20"/>
                <w:szCs w:val="20"/>
                <w:color w:val="auto"/>
              </w:rPr>
            </w:pPr>
            <w:r>
              <w:rPr>
                <w:rFonts w:ascii="Arial" w:cs="Arial" w:eastAsia="Arial" w:hAnsi="Arial"/>
                <w:sz w:val="18"/>
                <w:szCs w:val="18"/>
                <w:color w:val="auto"/>
                <w:w w:val="89"/>
              </w:rPr>
              <w:t>Pursuant to the request of our customer,</w:t>
            </w:r>
          </w:p>
        </w:tc>
        <w:tc>
          <w:tcPr>
            <w:tcW w:w="1280" w:type="dxa"/>
            <w:vAlign w:val="bottom"/>
          </w:tcPr>
          <w:p>
            <w:pPr>
              <w:ind w:left="680"/>
              <w:spacing w:after="0"/>
              <w:rPr>
                <w:sz w:val="20"/>
                <w:szCs w:val="20"/>
                <w:color w:val="auto"/>
              </w:rPr>
            </w:pPr>
            <w:r>
              <w:rPr>
                <w:rFonts w:ascii="Arial" w:cs="Arial" w:eastAsia="Arial" w:hAnsi="Arial"/>
                <w:sz w:val="18"/>
                <w:szCs w:val="18"/>
                <w:color w:val="auto"/>
              </w:rPr>
              <w:t>●</w:t>
            </w:r>
          </w:p>
        </w:tc>
        <w:tc>
          <w:tcPr>
            <w:tcW w:w="3340" w:type="dxa"/>
            <w:vAlign w:val="bottom"/>
            <w:gridSpan w:val="4"/>
          </w:tcPr>
          <w:p>
            <w:pPr>
              <w:ind w:left="240"/>
              <w:spacing w:after="0"/>
              <w:rPr>
                <w:sz w:val="20"/>
                <w:szCs w:val="20"/>
                <w:color w:val="auto"/>
              </w:rPr>
            </w:pPr>
            <w:r>
              <w:rPr>
                <w:rFonts w:ascii="Arial" w:cs="Arial" w:eastAsia="Arial" w:hAnsi="Arial"/>
                <w:sz w:val="18"/>
                <w:szCs w:val="18"/>
                <w:color w:val="auto"/>
                <w:w w:val="95"/>
              </w:rPr>
              <w:t>, (the “Customer’’), we, the undersigned,</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 (“this Branch”) hereby</w:t>
            </w:r>
          </w:p>
        </w:tc>
      </w:tr>
      <w:tr>
        <w:trPr>
          <w:trHeight w:val="230"/>
        </w:trPr>
        <w:tc>
          <w:tcPr>
            <w:tcW w:w="6320" w:type="dxa"/>
            <w:vAlign w:val="bottom"/>
            <w:gridSpan w:val="6"/>
          </w:tcPr>
          <w:p>
            <w:pPr>
              <w:spacing w:after="0"/>
              <w:rPr>
                <w:sz w:val="20"/>
                <w:szCs w:val="20"/>
                <w:color w:val="auto"/>
              </w:rPr>
            </w:pPr>
            <w:r>
              <w:rPr>
                <w:rFonts w:ascii="Arial" w:cs="Arial" w:eastAsia="Arial" w:hAnsi="Arial"/>
                <w:sz w:val="18"/>
                <w:szCs w:val="18"/>
                <w:color w:val="auto"/>
              </w:rPr>
              <w:t>establish an irrevocable Letter of Credit in your favour in the total amount of ●</w:t>
            </w:r>
          </w:p>
        </w:tc>
        <w:tc>
          <w:tcPr>
            <w:tcW w:w="1200" w:type="dxa"/>
            <w:vAlign w:val="bottom"/>
          </w:tcPr>
          <w:p>
            <w:pPr>
              <w:ind w:left="80"/>
              <w:spacing w:after="0"/>
              <w:rPr>
                <w:sz w:val="20"/>
                <w:szCs w:val="20"/>
                <w:color w:val="auto"/>
              </w:rPr>
            </w:pPr>
            <w:r>
              <w:rPr>
                <w:rFonts w:ascii="Arial" w:cs="Arial" w:eastAsia="Arial" w:hAnsi="Arial"/>
                <w:sz w:val="18"/>
                <w:szCs w:val="18"/>
                <w:color w:val="auto"/>
              </w:rPr>
              <w:t>dollars ($</w:t>
            </w:r>
          </w:p>
        </w:tc>
        <w:tc>
          <w:tcPr>
            <w:tcW w:w="740" w:type="dxa"/>
            <w:vAlign w:val="bottom"/>
          </w:tcPr>
          <w:p>
            <w:pPr>
              <w:ind w:left="140"/>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213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right="20"/>
        <w:spacing w:after="0" w:line="259" w:lineRule="auto"/>
        <w:rPr>
          <w:sz w:val="20"/>
          <w:szCs w:val="20"/>
          <w:color w:val="auto"/>
        </w:rPr>
      </w:pPr>
      <w:r>
        <w:rPr>
          <w:rFonts w:ascii="Arial" w:cs="Arial" w:eastAsia="Arial" w:hAnsi="Arial"/>
          <w:sz w:val="18"/>
          <w:szCs w:val="18"/>
          <w:color w:val="auto"/>
        </w:rPr>
        <w:t>We authorize you to draw on this Branch under this Letter of Credit in the form of a written demand for payment, which demand we shall honour without enquiring whether you have the right as between you and the Customer to make such demand and without acknowledging any claim or instructions of the Customer, provided, however, that you are to deliver to us at the above address at such time as a written demand for payment is made by you upon us:</w:t>
      </w:r>
    </w:p>
    <w:p>
      <w:pPr>
        <w:spacing w:after="0" w:line="92" w:lineRule="exact"/>
        <w:rPr>
          <w:sz w:val="20"/>
          <w:szCs w:val="20"/>
          <w:color w:val="auto"/>
        </w:rPr>
      </w:pPr>
    </w:p>
    <w:p>
      <w:pPr>
        <w:ind w:left="960" w:hanging="532"/>
        <w:spacing w:after="0"/>
        <w:tabs>
          <w:tab w:leader="none" w:pos="9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original copy of this Letter of Credit; and</w:t>
      </w:r>
    </w:p>
    <w:p>
      <w:pPr>
        <w:spacing w:after="0" w:line="130" w:lineRule="exact"/>
        <w:rPr>
          <w:rFonts w:ascii="Arial" w:cs="Arial" w:eastAsia="Arial" w:hAnsi="Arial"/>
          <w:sz w:val="18"/>
          <w:szCs w:val="18"/>
          <w:color w:val="auto"/>
        </w:rPr>
      </w:pPr>
    </w:p>
    <w:p>
      <w:pPr>
        <w:ind w:left="960" w:hanging="532"/>
        <w:spacing w:after="0" w:line="259" w:lineRule="auto"/>
        <w:tabs>
          <w:tab w:leader="none" w:pos="9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 certificate confirming one or the other or both of the following: (i) that the Customer is in default under the provisions of a lease between you and the Customer and that the monies drawn by you are due and payable to you in accordance with such lease and (ii) that the Customer is in default under the provisions of an agreement between you and the Customer and that the monies drawn by you are due and payable to you in accordance with such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Partial and multiple drawings are permitted.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Letter of Credit is issued subject to Uniform Customs and Practice for Documentary Credits, 1993 Revision, I.C.C. Publication No. 500.</w:t>
      </w:r>
    </w:p>
    <w:p>
      <w:pPr>
        <w:spacing w:after="0" w:line="16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“B-1” - 1</w:t>
      </w:r>
    </w:p>
    <w:p>
      <w:pPr>
        <w:sectPr>
          <w:pgSz w:w="11900" w:h="16838" w:orient="portrait"/>
          <w:cols w:equalWidth="0" w:num="1">
            <w:col w:w="10960"/>
          </w:cols>
          <w:pgMar w:left="440" w:top="256" w:right="499" w:bottom="1440" w:gutter="0" w:footer="0" w:header="0"/>
        </w:sectPr>
      </w:pPr>
    </w:p>
    <w:bookmarkStart w:id="513" w:name="page514"/>
    <w:bookmarkEnd w:id="5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written demand for payment and certificate as described above must be presented at this Branch before the end of banking business on</w:t>
      </w:r>
    </w:p>
    <w:p>
      <w:pPr>
        <w:spacing w:after="0" w:line="46" w:lineRule="exact"/>
        <w:rPr>
          <w:sz w:val="20"/>
          <w:szCs w:val="20"/>
          <w:color w:val="auto"/>
        </w:rPr>
      </w:pPr>
    </w:p>
    <w:p>
      <w:pPr>
        <w:spacing w:after="0"/>
        <w:tabs>
          <w:tab w:leader="none" w:pos="920" w:val="left"/>
          <w:tab w:leader="none" w:pos="210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at which time this Letter of Credit will expire.</w:t>
      </w:r>
    </w:p>
    <w:p>
      <w:pPr>
        <w:spacing w:after="0" w:line="14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019"/>
          </w:cols>
          <w:pgMar w:left="440" w:top="273" w:right="1440" w:bottom="1440" w:gutter="0" w:footer="0" w:header="0"/>
        </w:sectPr>
      </w:pPr>
    </w:p>
    <w:bookmarkStart w:id="514" w:name="page515"/>
    <w:bookmarkEnd w:id="5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ENVIRONMENTAL QUESTIONNAIRE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9019"/>
          </w:cols>
          <w:pgMar w:left="1440" w:top="269" w:right="1440" w:bottom="1440" w:gutter="0" w:footer="0" w:header="0"/>
        </w:sectPr>
      </w:pPr>
    </w:p>
    <w:bookmarkStart w:id="515" w:name="page516"/>
    <w:bookmarkEnd w:id="515"/>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LEASE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entered into in the city of Montreal (Québec) as of this November 26, 2019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ectPr>
          <w:pgSz w:w="11900" w:h="16838" w:orient="portrait"/>
          <w:cols w:equalWidth="0" w:num="1">
            <w:col w:w="11024"/>
          </w:cols>
          <w:pgMar w:left="436" w:top="121"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BY AND BETWEEN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20"/>
        <w:spacing w:after="0" w:line="312" w:lineRule="auto"/>
        <w:rPr>
          <w:sz w:val="20"/>
          <w:szCs w:val="20"/>
          <w:color w:val="auto"/>
        </w:rPr>
      </w:pPr>
      <w:r>
        <w:rPr>
          <w:rFonts w:ascii="Arial" w:cs="Arial" w:eastAsia="Arial" w:hAnsi="Arial"/>
          <w:sz w:val="17"/>
          <w:szCs w:val="17"/>
          <w:b w:val="1"/>
          <w:bCs w:val="1"/>
          <w:color w:val="auto"/>
        </w:rPr>
        <w:t>NEOMED INSTITUTE</w:t>
      </w:r>
      <w:r>
        <w:rPr>
          <w:rFonts w:ascii="Arial" w:cs="Arial" w:eastAsia="Arial" w:hAnsi="Arial"/>
          <w:sz w:val="17"/>
          <w:szCs w:val="17"/>
          <w:color w:val="auto"/>
        </w:rPr>
        <w:t>, a corporation governed by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Canada Not-for-profit Corporations Act</w:t>
      </w:r>
      <w:r>
        <w:rPr>
          <w:rFonts w:ascii="Arial" w:cs="Arial" w:eastAsia="Arial" w:hAnsi="Arial"/>
          <w:sz w:val="17"/>
          <w:szCs w:val="17"/>
          <w:color w:val="auto"/>
        </w:rPr>
        <w:t>, having its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place of business at 7171, Frederick-Banting Street, Saint-Laurent, Province of Québec, H4S 1Z9;</w:t>
      </w:r>
    </w:p>
    <w:p>
      <w:pPr>
        <w:spacing w:after="0" w:line="140" w:lineRule="exact"/>
        <w:rPr>
          <w:sz w:val="20"/>
          <w:szCs w:val="20"/>
          <w:color w:val="auto"/>
        </w:rPr>
      </w:pPr>
    </w:p>
    <w:p>
      <w:pPr>
        <w:sectPr>
          <w:pgSz w:w="11900" w:h="16838" w:orient="portrait"/>
          <w:cols w:equalWidth="0" w:num="2">
            <w:col w:w="1684" w:space="620"/>
            <w:col w:w="8720"/>
          </w:cols>
          <w:pgMar w:left="436" w:top="121" w:right="439" w:bottom="1440" w:gutter="0" w:footer="0" w:header="0"/>
          <w:type w:val="continuous"/>
        </w:sectPr>
      </w:pPr>
    </w:p>
    <w:p>
      <w:pPr>
        <w:ind w:left="8104"/>
        <w:spacing w:after="0"/>
        <w:rPr>
          <w:sz w:val="20"/>
          <w:szCs w:val="20"/>
          <w:color w:val="auto"/>
        </w:rPr>
      </w:pPr>
      <w:r>
        <w:rPr>
          <w:rFonts w:ascii="Arial" w:cs="Arial" w:eastAsia="Arial" w:hAnsi="Arial"/>
          <w:sz w:val="16"/>
          <w:szCs w:val="16"/>
          <w:color w:val="auto"/>
        </w:rPr>
        <w:t>(Hereinafter referred to as the “</w:t>
      </w:r>
      <w:r>
        <w:rPr>
          <w:rFonts w:ascii="Arial" w:cs="Arial" w:eastAsia="Arial" w:hAnsi="Arial"/>
          <w:sz w:val="16"/>
          <w:szCs w:val="16"/>
          <w:b w:val="1"/>
          <w:bCs w:val="1"/>
          <w:color w:val="auto"/>
        </w:rPr>
        <w:t>Lessor</w:t>
      </w:r>
      <w:r>
        <w:rPr>
          <w:rFonts w:ascii="Arial" w:cs="Arial" w:eastAsia="Arial" w:hAnsi="Arial"/>
          <w:sz w:val="16"/>
          <w:szCs w:val="16"/>
          <w:color w:val="auto"/>
        </w:rPr>
        <w:t>”)</w:t>
      </w:r>
    </w:p>
    <w:p>
      <w:pPr>
        <w:sectPr>
          <w:pgSz w:w="11900" w:h="16838" w:orient="portrait"/>
          <w:cols w:equalWidth="0" w:num="1">
            <w:col w:w="11024"/>
          </w:cols>
          <w:pgMar w:left="436" w:top="121" w:right="439" w:bottom="1440" w:gutter="0" w:footer="0" w:header="0"/>
          <w:type w:val="continuous"/>
        </w:sectPr>
      </w:pP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AND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REPARE THERAPEUTICS INC.</w:t>
      </w:r>
      <w:r>
        <w:rPr>
          <w:rFonts w:ascii="Arial" w:cs="Arial" w:eastAsia="Arial" w:hAnsi="Arial"/>
          <w:sz w:val="17"/>
          <w:szCs w:val="17"/>
          <w:color w:val="auto"/>
        </w:rPr>
        <w:t>, a corporation duly incorporated under the Canada Business Corporations Act, with</w:t>
      </w:r>
      <w:r>
        <w:rPr>
          <w:rFonts w:ascii="Arial" w:cs="Arial" w:eastAsia="Arial" w:hAnsi="Arial"/>
          <w:sz w:val="17"/>
          <w:szCs w:val="17"/>
          <w:b w:val="1"/>
          <w:bCs w:val="1"/>
          <w:color w:val="auto"/>
        </w:rPr>
        <w:t xml:space="preserve"> </w:t>
      </w:r>
      <w:r>
        <w:rPr>
          <w:rFonts w:ascii="Arial" w:cs="Arial" w:eastAsia="Arial" w:hAnsi="Arial"/>
          <w:sz w:val="17"/>
          <w:szCs w:val="17"/>
          <w:color w:val="auto"/>
        </w:rPr>
        <w:t>its head office at 7210 Frederick-Banting Street, Suite 100, Saint-Laurent, Province of Québec H4S 2A1 herein acting and represented by Lloyd Segal, Chief Executive Officer, duly authorized for the purposes hereof;</w:t>
      </w:r>
    </w:p>
    <w:p>
      <w:pPr>
        <w:spacing w:after="0" w:line="63" w:lineRule="exact"/>
        <w:rPr>
          <w:sz w:val="20"/>
          <w:szCs w:val="20"/>
          <w:color w:val="auto"/>
        </w:rPr>
      </w:pPr>
    </w:p>
    <w:p>
      <w:pPr>
        <w:sectPr>
          <w:pgSz w:w="11900" w:h="16838" w:orient="portrait"/>
          <w:cols w:equalWidth="0" w:num="2">
            <w:col w:w="1584" w:space="720"/>
            <w:col w:w="8720"/>
          </w:cols>
          <w:pgMar w:left="436" w:top="121" w:right="439" w:bottom="1440" w:gutter="0" w:footer="0" w:header="0"/>
          <w:type w:val="continuous"/>
        </w:sectPr>
      </w:pPr>
    </w:p>
    <w:p>
      <w:pPr>
        <w:ind w:left="2304" w:right="240"/>
        <w:spacing w:after="0" w:line="282" w:lineRule="auto"/>
        <w:rPr>
          <w:sz w:val="20"/>
          <w:szCs w:val="20"/>
          <w:color w:val="auto"/>
        </w:rPr>
      </w:pPr>
      <w:r>
        <w:rPr>
          <w:rFonts w:ascii="Arial" w:cs="Arial" w:eastAsia="Arial" w:hAnsi="Arial"/>
          <w:sz w:val="18"/>
          <w:szCs w:val="18"/>
          <w:color w:val="auto"/>
        </w:rPr>
        <w:t>(Hereinafter referred to as the “</w:t>
      </w:r>
      <w:r>
        <w:rPr>
          <w:rFonts w:ascii="Arial" w:cs="Arial" w:eastAsia="Arial" w:hAnsi="Arial"/>
          <w:sz w:val="18"/>
          <w:szCs w:val="18"/>
          <w:b w:val="1"/>
          <w:bCs w:val="1"/>
          <w:color w:val="auto"/>
        </w:rPr>
        <w:t>Lessee</w:t>
      </w:r>
      <w:r>
        <w:rPr>
          <w:rFonts w:ascii="Arial" w:cs="Arial" w:eastAsia="Arial" w:hAnsi="Arial"/>
          <w:sz w:val="18"/>
          <w:szCs w:val="18"/>
          <w:color w:val="auto"/>
        </w:rPr>
        <w:t>” and collectively with the Lessor, the “</w:t>
      </w:r>
      <w:r>
        <w:rPr>
          <w:rFonts w:ascii="Arial" w:cs="Arial" w:eastAsia="Arial" w:hAnsi="Arial"/>
          <w:sz w:val="18"/>
          <w:szCs w:val="18"/>
          <w:b w:val="1"/>
          <w:bCs w:val="1"/>
          <w:color w:val="auto"/>
        </w:rPr>
        <w:t>Parties</w:t>
      </w:r>
      <w:r>
        <w:rPr>
          <w:rFonts w:ascii="Arial" w:cs="Arial" w:eastAsia="Arial" w:hAnsi="Arial"/>
          <w:sz w:val="18"/>
          <w:szCs w:val="18"/>
          <w:color w:val="auto"/>
        </w:rPr>
        <w:t>” and “</w:t>
      </w:r>
      <w:r>
        <w:rPr>
          <w:rFonts w:ascii="Arial" w:cs="Arial" w:eastAsia="Arial" w:hAnsi="Arial"/>
          <w:sz w:val="18"/>
          <w:szCs w:val="18"/>
          <w:b w:val="1"/>
          <w:bCs w:val="1"/>
          <w:color w:val="auto"/>
        </w:rPr>
        <w:t>Party</w:t>
      </w:r>
      <w:r>
        <w:rPr>
          <w:rFonts w:ascii="Arial" w:cs="Arial" w:eastAsia="Arial" w:hAnsi="Arial"/>
          <w:sz w:val="18"/>
          <w:szCs w:val="18"/>
          <w:color w:val="auto"/>
        </w:rPr>
        <w:t>” means any one of the Parties)</w:t>
      </w:r>
    </w:p>
    <w:p>
      <w:pPr>
        <w:sectPr>
          <w:pgSz w:w="11900" w:h="16838" w:orient="portrait"/>
          <w:cols w:equalWidth="0" w:num="1">
            <w:col w:w="11024"/>
          </w:cols>
          <w:pgMar w:left="436" w:top="121" w:right="439" w:bottom="1440" w:gutter="0" w:footer="0" w:header="0"/>
          <w:type w:val="continuous"/>
        </w:sectPr>
      </w:pPr>
    </w:p>
    <w:p>
      <w:pPr>
        <w:spacing w:after="0" w:line="16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covenants, rights and obligations contained in this Agreement, the Parties hereto agree as follows:</w:t>
      </w:r>
    </w:p>
    <w:p>
      <w:pPr>
        <w:spacing w:after="0" w:line="142" w:lineRule="exact"/>
        <w:rPr>
          <w:sz w:val="20"/>
          <w:szCs w:val="20"/>
          <w:color w:val="auto"/>
        </w:rPr>
      </w:pPr>
    </w:p>
    <w:p>
      <w:pPr>
        <w:ind w:left="424" w:right="8980" w:hanging="424"/>
        <w:spacing w:after="0" w:line="391" w:lineRule="auto"/>
        <w:tabs>
          <w:tab w:leader="none" w:pos="424"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 1.1 Definitions</w:t>
      </w:r>
    </w:p>
    <w:p>
      <w:pPr>
        <w:spacing w:after="0" w:line="1" w:lineRule="exact"/>
        <w:rPr>
          <w:sz w:val="20"/>
          <w:szCs w:val="20"/>
          <w:color w:val="auto"/>
        </w:rPr>
      </w:pPr>
    </w:p>
    <w:p>
      <w:pPr>
        <w:ind w:left="984"/>
        <w:spacing w:after="0"/>
        <w:tabs>
          <w:tab w:leader="none" w:pos="150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2nd Floor ROFO Notice</w:t>
      </w:r>
      <w:r>
        <w:rPr>
          <w:rFonts w:ascii="Arial" w:cs="Arial" w:eastAsia="Arial" w:hAnsi="Arial"/>
          <w:sz w:val="16"/>
          <w:szCs w:val="16"/>
          <w:color w:val="auto"/>
        </w:rPr>
        <w:t>” has the meaning ascribed thereto in Sub-Section 8.1.1.</w:t>
      </w:r>
    </w:p>
    <w:p>
      <w:pPr>
        <w:spacing w:after="0" w:line="131" w:lineRule="exact"/>
        <w:rPr>
          <w:sz w:val="20"/>
          <w:szCs w:val="20"/>
          <w:color w:val="auto"/>
        </w:rPr>
      </w:pPr>
    </w:p>
    <w:p>
      <w:pPr>
        <w:ind w:left="984"/>
        <w:spacing w:after="0"/>
        <w:tabs>
          <w:tab w:leader="none" w:pos="1504"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2nd Floor ROFO Space</w:t>
      </w:r>
      <w:r>
        <w:rPr>
          <w:rFonts w:ascii="Arial" w:cs="Arial" w:eastAsia="Arial" w:hAnsi="Arial"/>
          <w:sz w:val="16"/>
          <w:szCs w:val="16"/>
          <w:color w:val="auto"/>
        </w:rPr>
        <w:t>” has the meaning ascribed thereto in Sub-Section 8.1.1.</w:t>
      </w:r>
    </w:p>
    <w:p>
      <w:pPr>
        <w:spacing w:after="0" w:line="131" w:lineRule="exact"/>
        <w:rPr>
          <w:sz w:val="20"/>
          <w:szCs w:val="20"/>
          <w:color w:val="auto"/>
        </w:rPr>
      </w:pPr>
    </w:p>
    <w:p>
      <w:pPr>
        <w:ind w:left="1524" w:right="60" w:hanging="539"/>
        <w:spacing w:after="0" w:line="281" w:lineRule="auto"/>
        <w:tabs>
          <w:tab w:leader="none" w:pos="1504"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Applicable Laws</w:t>
      </w:r>
      <w:r>
        <w:rPr>
          <w:rFonts w:ascii="Arial" w:cs="Arial" w:eastAsia="Arial" w:hAnsi="Arial"/>
          <w:sz w:val="17"/>
          <w:szCs w:val="17"/>
          <w:color w:val="auto"/>
        </w:rPr>
        <w:t>” means all laws, statutes, codes, bylaws, acts, ordinances, orders, judgments, decrees, injunctions, rules, regulations, permits, licenses, approvals, authorizations, directions and requirements of all governmental or other public authorities that now or at any time hereafter may be applicable to this Lease, the Lessor, the Lessee, the Leased Premises or any part thereof, movable property situated thereon, or any activities being carried on in said Leased Premises.</w:t>
      </w:r>
    </w:p>
    <w:p>
      <w:pPr>
        <w:spacing w:after="0" w:line="70" w:lineRule="exact"/>
        <w:rPr>
          <w:sz w:val="20"/>
          <w:szCs w:val="20"/>
          <w:color w:val="auto"/>
        </w:rPr>
      </w:pPr>
    </w:p>
    <w:p>
      <w:pPr>
        <w:ind w:left="1524" w:right="460" w:hanging="539"/>
        <w:spacing w:after="0" w:line="266" w:lineRule="auto"/>
        <w:tabs>
          <w:tab w:leader="none" w:pos="1504" w:val="left"/>
        </w:tabs>
        <w:rPr>
          <w:sz w:val="20"/>
          <w:szCs w:val="20"/>
          <w:color w:val="auto"/>
        </w:rPr>
      </w:pPr>
      <w:r>
        <w:rPr>
          <w:rFonts w:ascii="Arial" w:cs="Arial" w:eastAsia="Arial" w:hAnsi="Arial"/>
          <w:sz w:val="18"/>
          <w:szCs w:val="18"/>
          <w:color w:val="auto"/>
        </w:rPr>
        <w:t>1.1.4</w:t>
        <w:tab/>
        <w:t>“</w:t>
      </w:r>
      <w:r>
        <w:rPr>
          <w:rFonts w:ascii="Arial" w:cs="Arial" w:eastAsia="Arial" w:hAnsi="Arial"/>
          <w:sz w:val="18"/>
          <w:szCs w:val="18"/>
          <w:b w:val="1"/>
          <w:bCs w:val="1"/>
          <w:color w:val="auto"/>
        </w:rPr>
        <w:t>Building</w:t>
      </w:r>
      <w:r>
        <w:rPr>
          <w:rFonts w:ascii="Arial" w:cs="Arial" w:eastAsia="Arial" w:hAnsi="Arial"/>
          <w:sz w:val="18"/>
          <w:szCs w:val="18"/>
          <w:color w:val="auto"/>
        </w:rPr>
        <w:t>” means a certain real and immovable property composed of the parcel of land and the constructions to be erected thereon, including the industrial building to be constructed adjacent to the property located at 7171, Frederick-Banting Street, Saint-Laurent, Province of Québec, H4S 1Z9.</w:t>
      </w:r>
    </w:p>
    <w:p>
      <w:pPr>
        <w:spacing w:after="0" w:line="81" w:lineRule="exact"/>
        <w:rPr>
          <w:sz w:val="20"/>
          <w:szCs w:val="20"/>
          <w:color w:val="auto"/>
        </w:rPr>
      </w:pPr>
    </w:p>
    <w:p>
      <w:pPr>
        <w:ind w:left="984"/>
        <w:spacing w:after="0"/>
        <w:tabs>
          <w:tab w:leader="none" w:pos="1504"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Commencement Date</w:t>
      </w:r>
      <w:r>
        <w:rPr>
          <w:rFonts w:ascii="Arial" w:cs="Arial" w:eastAsia="Arial" w:hAnsi="Arial"/>
          <w:sz w:val="16"/>
          <w:szCs w:val="16"/>
          <w:color w:val="auto"/>
        </w:rPr>
        <w:t>” means July 1, 2020.</w:t>
      </w:r>
    </w:p>
    <w:p>
      <w:pPr>
        <w:spacing w:after="0" w:line="131" w:lineRule="exact"/>
        <w:rPr>
          <w:sz w:val="20"/>
          <w:szCs w:val="20"/>
          <w:color w:val="auto"/>
        </w:rPr>
      </w:pPr>
    </w:p>
    <w:p>
      <w:pPr>
        <w:jc w:val="both"/>
        <w:ind w:left="1524" w:right="140" w:hanging="539"/>
        <w:spacing w:after="0" w:line="266" w:lineRule="auto"/>
        <w:tabs>
          <w:tab w:leader="none" w:pos="1504" w:val="left"/>
        </w:tabs>
        <w:rPr>
          <w:sz w:val="20"/>
          <w:szCs w:val="20"/>
          <w:color w:val="auto"/>
        </w:rPr>
      </w:pPr>
      <w:r>
        <w:rPr>
          <w:rFonts w:ascii="Arial" w:cs="Arial" w:eastAsia="Arial" w:hAnsi="Arial"/>
          <w:sz w:val="18"/>
          <w:szCs w:val="18"/>
          <w:color w:val="auto"/>
        </w:rPr>
        <w:t>1.1.6</w:t>
        <w:tab/>
        <w:t>“</w:t>
      </w:r>
      <w:r>
        <w:rPr>
          <w:rFonts w:ascii="Arial" w:cs="Arial" w:eastAsia="Arial" w:hAnsi="Arial"/>
          <w:sz w:val="18"/>
          <w:szCs w:val="18"/>
          <w:b w:val="1"/>
          <w:bCs w:val="1"/>
          <w:color w:val="auto"/>
        </w:rPr>
        <w:t>Common Facilities</w:t>
      </w:r>
      <w:r>
        <w:rPr>
          <w:rFonts w:ascii="Arial" w:cs="Arial" w:eastAsia="Arial" w:hAnsi="Arial"/>
          <w:sz w:val="18"/>
          <w:szCs w:val="18"/>
          <w:color w:val="auto"/>
        </w:rPr>
        <w:t>” means the Building and its appurtenances, parking areas, driveways, sidewalks, and other exterior facilities of the Building as are provided by the Lessor to the Lessee from time to time for use or access in common with other users of the Building, including all equipment, installations, utilities and facilities.</w:t>
      </w:r>
    </w:p>
    <w:p>
      <w:pPr>
        <w:sectPr>
          <w:pgSz w:w="11900" w:h="16838" w:orient="portrait"/>
          <w:cols w:equalWidth="0" w:num="1">
            <w:col w:w="11024"/>
          </w:cols>
          <w:pgMar w:left="436" w:top="121" w:right="439" w:bottom="1440" w:gutter="0" w:footer="0" w:header="0"/>
          <w:type w:val="continuous"/>
        </w:sectPr>
      </w:pPr>
    </w:p>
    <w:bookmarkStart w:id="516" w:name="page517"/>
    <w:bookmarkEnd w:id="516"/>
    <w:p>
      <w:pPr>
        <w:ind w:left="984"/>
        <w:spacing w:after="0"/>
        <w:tabs>
          <w:tab w:leader="none" w:pos="15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Deficiency List</w:t>
      </w:r>
      <w:r>
        <w:rPr>
          <w:rFonts w:ascii="Arial" w:cs="Arial" w:eastAsia="Arial" w:hAnsi="Arial"/>
          <w:sz w:val="16"/>
          <w:szCs w:val="16"/>
          <w:color w:val="auto"/>
        </w:rPr>
        <w:t>” has the meaning ascribed thereto in Sub-Section 6.1.3.</w:t>
      </w:r>
    </w:p>
    <w:p>
      <w:pPr>
        <w:spacing w:after="0" w:line="131" w:lineRule="exact"/>
        <w:rPr>
          <w:sz w:val="20"/>
          <w:szCs w:val="20"/>
          <w:color w:val="auto"/>
        </w:rPr>
      </w:pPr>
    </w:p>
    <w:p>
      <w:pPr>
        <w:ind w:left="984"/>
        <w:spacing w:after="0"/>
        <w:tabs>
          <w:tab w:leader="none" w:pos="1504"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Deposit</w:t>
      </w:r>
      <w:r>
        <w:rPr>
          <w:rFonts w:ascii="Arial" w:cs="Arial" w:eastAsia="Arial" w:hAnsi="Arial"/>
          <w:sz w:val="16"/>
          <w:szCs w:val="16"/>
          <w:color w:val="auto"/>
        </w:rPr>
        <w:t>” has the meaning ascribed thereto in Section 4.8.</w:t>
      </w:r>
    </w:p>
    <w:p>
      <w:pPr>
        <w:spacing w:after="0" w:line="131" w:lineRule="exact"/>
        <w:rPr>
          <w:sz w:val="20"/>
          <w:szCs w:val="20"/>
          <w:color w:val="auto"/>
        </w:rPr>
      </w:pPr>
    </w:p>
    <w:p>
      <w:pPr>
        <w:ind w:left="984"/>
        <w:spacing w:after="0"/>
        <w:tabs>
          <w:tab w:leader="none" w:pos="1504"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Environmental Laws</w:t>
      </w:r>
      <w:r>
        <w:rPr>
          <w:rFonts w:ascii="Arial" w:cs="Arial" w:eastAsia="Arial" w:hAnsi="Arial"/>
          <w:sz w:val="16"/>
          <w:szCs w:val="16"/>
          <w:color w:val="auto"/>
        </w:rPr>
        <w:t>” has the meaning ascribed thereto in Sub-Section 5.10.1.</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1.1.10 “</w:t>
      </w:r>
      <w:r>
        <w:rPr>
          <w:rFonts w:ascii="Arial" w:cs="Arial" w:eastAsia="Arial" w:hAnsi="Arial"/>
          <w:sz w:val="18"/>
          <w:szCs w:val="18"/>
          <w:b w:val="1"/>
          <w:bCs w:val="1"/>
          <w:color w:val="auto"/>
        </w:rPr>
        <w:t>Extension Term</w:t>
      </w:r>
      <w:r>
        <w:rPr>
          <w:rFonts w:ascii="Arial" w:cs="Arial" w:eastAsia="Arial" w:hAnsi="Arial"/>
          <w:sz w:val="18"/>
          <w:szCs w:val="18"/>
          <w:color w:val="auto"/>
        </w:rPr>
        <w:t>” has the meaning ascribed thereto in Sub-Section 3.2.1.</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1.1.11 “</w:t>
      </w:r>
      <w:r>
        <w:rPr>
          <w:rFonts w:ascii="Arial" w:cs="Arial" w:eastAsia="Arial" w:hAnsi="Arial"/>
          <w:sz w:val="18"/>
          <w:szCs w:val="18"/>
          <w:b w:val="1"/>
          <w:bCs w:val="1"/>
          <w:color w:val="auto"/>
        </w:rPr>
        <w:t>Hazardous Materials</w:t>
      </w:r>
      <w:r>
        <w:rPr>
          <w:rFonts w:ascii="Arial" w:cs="Arial" w:eastAsia="Arial" w:hAnsi="Arial"/>
          <w:sz w:val="18"/>
          <w:szCs w:val="18"/>
          <w:color w:val="auto"/>
        </w:rPr>
        <w:t>” has the meaning ascribed thereto in Sub-Section 5.10.2.</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1.1.12 “</w:t>
      </w:r>
      <w:r>
        <w:rPr>
          <w:rFonts w:ascii="Arial" w:cs="Arial" w:eastAsia="Arial" w:hAnsi="Arial"/>
          <w:sz w:val="18"/>
          <w:szCs w:val="18"/>
          <w:b w:val="1"/>
          <w:bCs w:val="1"/>
          <w:color w:val="auto"/>
        </w:rPr>
        <w:t>Initial Term</w:t>
      </w:r>
      <w:r>
        <w:rPr>
          <w:rFonts w:ascii="Arial" w:cs="Arial" w:eastAsia="Arial" w:hAnsi="Arial"/>
          <w:sz w:val="18"/>
          <w:szCs w:val="18"/>
          <w:color w:val="auto"/>
        </w:rPr>
        <w:t>” has the meaning ascribed thereto in Section 3.1.</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6"/>
          <w:szCs w:val="16"/>
          <w:color w:val="auto"/>
        </w:rPr>
        <w:t>1.1.13 “</w:t>
      </w:r>
      <w:r>
        <w:rPr>
          <w:rFonts w:ascii="Arial" w:cs="Arial" w:eastAsia="Arial" w:hAnsi="Arial"/>
          <w:sz w:val="16"/>
          <w:szCs w:val="16"/>
          <w:b w:val="1"/>
          <w:bCs w:val="1"/>
          <w:color w:val="auto"/>
        </w:rPr>
        <w:t>Lease</w:t>
      </w:r>
      <w:r>
        <w:rPr>
          <w:rFonts w:ascii="Arial" w:cs="Arial" w:eastAsia="Arial" w:hAnsi="Arial"/>
          <w:sz w:val="16"/>
          <w:szCs w:val="16"/>
          <w:color w:val="auto"/>
        </w:rPr>
        <w:t>” means this lease, any schedules and appendices attached hereto, as amended, modified or restated from time to time.</w:t>
      </w:r>
    </w:p>
    <w:p>
      <w:pPr>
        <w:spacing w:after="0" w:line="15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1.1.14 “</w:t>
      </w:r>
      <w:r>
        <w:rPr>
          <w:rFonts w:ascii="Arial" w:cs="Arial" w:eastAsia="Arial" w:hAnsi="Arial"/>
          <w:sz w:val="18"/>
          <w:szCs w:val="18"/>
          <w:b w:val="1"/>
          <w:bCs w:val="1"/>
          <w:color w:val="auto"/>
        </w:rPr>
        <w:t>Leased Premises</w:t>
      </w:r>
      <w:r>
        <w:rPr>
          <w:rFonts w:ascii="Arial" w:cs="Arial" w:eastAsia="Arial" w:hAnsi="Arial"/>
          <w:sz w:val="18"/>
          <w:szCs w:val="18"/>
          <w:color w:val="auto"/>
        </w:rPr>
        <w:t>” has the meaning ascribed thereto in Section 2.1.</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1.1.15 “</w:t>
      </w:r>
      <w:r>
        <w:rPr>
          <w:rFonts w:ascii="Arial" w:cs="Arial" w:eastAsia="Arial" w:hAnsi="Arial"/>
          <w:sz w:val="18"/>
          <w:szCs w:val="18"/>
          <w:b w:val="1"/>
          <w:bCs w:val="1"/>
          <w:color w:val="auto"/>
        </w:rPr>
        <w:t>Lessor’s Work</w:t>
      </w:r>
      <w:r>
        <w:rPr>
          <w:rFonts w:ascii="Arial" w:cs="Arial" w:eastAsia="Arial" w:hAnsi="Arial"/>
          <w:sz w:val="18"/>
          <w:szCs w:val="18"/>
          <w:color w:val="auto"/>
        </w:rPr>
        <w:t>” has the meaning ascribed thereto in Section 6.1.1.</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1.1.16 “</w:t>
      </w:r>
      <w:r>
        <w:rPr>
          <w:rFonts w:ascii="Arial" w:cs="Arial" w:eastAsia="Arial" w:hAnsi="Arial"/>
          <w:sz w:val="18"/>
          <w:szCs w:val="18"/>
          <w:b w:val="1"/>
          <w:bCs w:val="1"/>
          <w:color w:val="auto"/>
        </w:rPr>
        <w:t>Normal Business Hours</w:t>
      </w:r>
      <w:r>
        <w:rPr>
          <w:rFonts w:ascii="Arial" w:cs="Arial" w:eastAsia="Arial" w:hAnsi="Arial"/>
          <w:sz w:val="18"/>
          <w:szCs w:val="18"/>
          <w:color w:val="auto"/>
        </w:rPr>
        <w:t>” means from 6h00 to 18h00, Montreal time, Monday through Friday.</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1.1.17 “</w:t>
      </w:r>
      <w:r>
        <w:rPr>
          <w:rFonts w:ascii="Arial" w:cs="Arial" w:eastAsia="Arial" w:hAnsi="Arial"/>
          <w:sz w:val="18"/>
          <w:szCs w:val="18"/>
          <w:b w:val="1"/>
          <w:bCs w:val="1"/>
          <w:color w:val="auto"/>
        </w:rPr>
        <w:t>Override Right</w:t>
      </w:r>
      <w:r>
        <w:rPr>
          <w:rFonts w:ascii="Arial" w:cs="Arial" w:eastAsia="Arial" w:hAnsi="Arial"/>
          <w:sz w:val="18"/>
          <w:szCs w:val="18"/>
          <w:color w:val="auto"/>
        </w:rPr>
        <w:t>” has the meaning ascribed thereto in Sub-Section 6.4.2.</w:t>
      </w:r>
    </w:p>
    <w:p>
      <w:pPr>
        <w:spacing w:after="0" w:line="131" w:lineRule="exact"/>
        <w:rPr>
          <w:sz w:val="20"/>
          <w:szCs w:val="20"/>
          <w:color w:val="auto"/>
        </w:rPr>
      </w:pPr>
    </w:p>
    <w:p>
      <w:pPr>
        <w:ind w:left="1524" w:hanging="539"/>
        <w:spacing w:after="0" w:line="282" w:lineRule="auto"/>
        <w:rPr>
          <w:sz w:val="20"/>
          <w:szCs w:val="20"/>
          <w:color w:val="auto"/>
        </w:rPr>
      </w:pPr>
      <w:r>
        <w:rPr>
          <w:rFonts w:ascii="Arial" w:cs="Arial" w:eastAsia="Arial" w:hAnsi="Arial"/>
          <w:sz w:val="18"/>
          <w:szCs w:val="18"/>
          <w:color w:val="auto"/>
        </w:rPr>
        <w:t>1.1.18 “</w:t>
      </w:r>
      <w:r>
        <w:rPr>
          <w:rFonts w:ascii="Arial" w:cs="Arial" w:eastAsia="Arial" w:hAnsi="Arial"/>
          <w:sz w:val="18"/>
          <w:szCs w:val="18"/>
          <w:b w:val="1"/>
          <w:bCs w:val="1"/>
          <w:color w:val="auto"/>
        </w:rPr>
        <w:t>Phase II</w:t>
      </w:r>
      <w:r>
        <w:rPr>
          <w:rFonts w:ascii="Arial" w:cs="Arial" w:eastAsia="Arial" w:hAnsi="Arial"/>
          <w:sz w:val="18"/>
          <w:szCs w:val="18"/>
          <w:color w:val="auto"/>
        </w:rPr>
        <w:t>” means the second (2</w:t>
      </w:r>
      <w:r>
        <w:rPr>
          <w:rFonts w:ascii="Arial" w:cs="Arial" w:eastAsia="Arial" w:hAnsi="Arial"/>
          <w:sz w:val="15"/>
          <w:szCs w:val="15"/>
          <w:color w:val="auto"/>
        </w:rPr>
        <w:t>nd</w:t>
      </w:r>
      <w:r>
        <w:rPr>
          <w:rFonts w:ascii="Arial" w:cs="Arial" w:eastAsia="Arial" w:hAnsi="Arial"/>
          <w:sz w:val="18"/>
          <w:szCs w:val="18"/>
          <w:color w:val="auto"/>
        </w:rPr>
        <w:t>) extension of the building located at 7171 Frederick-Banting Street, Saint-Laurent, Province of Québec.</w:t>
      </w:r>
    </w:p>
    <w:p>
      <w:pPr>
        <w:spacing w:after="0" w:line="6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1.1.19 “</w:t>
      </w:r>
      <w:r>
        <w:rPr>
          <w:rFonts w:ascii="Arial" w:cs="Arial" w:eastAsia="Arial" w:hAnsi="Arial"/>
          <w:sz w:val="18"/>
          <w:szCs w:val="18"/>
          <w:b w:val="1"/>
          <w:bCs w:val="1"/>
          <w:color w:val="auto"/>
        </w:rPr>
        <w:t>Phase II ROFR Notice</w:t>
      </w:r>
      <w:r>
        <w:rPr>
          <w:rFonts w:ascii="Arial" w:cs="Arial" w:eastAsia="Arial" w:hAnsi="Arial"/>
          <w:sz w:val="18"/>
          <w:szCs w:val="18"/>
          <w:color w:val="auto"/>
        </w:rPr>
        <w:t>” has the meaning ascribed thereto in Sub-Section 9.1.1.</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1.1.20 “</w:t>
      </w:r>
      <w:r>
        <w:rPr>
          <w:rFonts w:ascii="Arial" w:cs="Arial" w:eastAsia="Arial" w:hAnsi="Arial"/>
          <w:sz w:val="18"/>
          <w:szCs w:val="18"/>
          <w:b w:val="1"/>
          <w:bCs w:val="1"/>
          <w:color w:val="auto"/>
        </w:rPr>
        <w:t>Phase II ROFR Space</w:t>
      </w:r>
      <w:r>
        <w:rPr>
          <w:rFonts w:ascii="Arial" w:cs="Arial" w:eastAsia="Arial" w:hAnsi="Arial"/>
          <w:sz w:val="18"/>
          <w:szCs w:val="18"/>
          <w:color w:val="auto"/>
        </w:rPr>
        <w:t>” has the meaning ascribed thereto in Sub-Section 9.1.1.</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1.1.21 “</w:t>
      </w:r>
      <w:r>
        <w:rPr>
          <w:rFonts w:ascii="Arial" w:cs="Arial" w:eastAsia="Arial" w:hAnsi="Arial"/>
          <w:sz w:val="18"/>
          <w:szCs w:val="18"/>
          <w:b w:val="1"/>
          <w:bCs w:val="1"/>
          <w:color w:val="auto"/>
        </w:rPr>
        <w:t>Rent</w:t>
      </w:r>
      <w:r>
        <w:rPr>
          <w:rFonts w:ascii="Arial" w:cs="Arial" w:eastAsia="Arial" w:hAnsi="Arial"/>
          <w:sz w:val="18"/>
          <w:szCs w:val="18"/>
          <w:color w:val="auto"/>
        </w:rPr>
        <w:t xml:space="preserve">” means the amount described in </w:t>
      </w:r>
      <w:r>
        <w:rPr>
          <w:rFonts w:ascii="Arial" w:cs="Arial" w:eastAsia="Arial" w:hAnsi="Arial"/>
          <w:sz w:val="18"/>
          <w:szCs w:val="18"/>
          <w:b w:val="1"/>
          <w:bCs w:val="1"/>
          <w:color w:val="auto"/>
        </w:rPr>
        <w:t>Schedule A</w:t>
      </w:r>
      <w:r>
        <w:rPr>
          <w:rFonts w:ascii="Arial" w:cs="Arial" w:eastAsia="Arial" w:hAnsi="Arial"/>
          <w:sz w:val="18"/>
          <w:szCs w:val="18"/>
          <w:color w:val="auto"/>
        </w:rPr>
        <w:t xml:space="preserve"> per square foot of the Leased Premises per annum.</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1.1.22 “</w:t>
      </w:r>
      <w:r>
        <w:rPr>
          <w:rFonts w:ascii="Arial" w:cs="Arial" w:eastAsia="Arial" w:hAnsi="Arial"/>
          <w:sz w:val="18"/>
          <w:szCs w:val="18"/>
          <w:b w:val="1"/>
          <w:bCs w:val="1"/>
          <w:color w:val="auto"/>
        </w:rPr>
        <w:t>Rules</w:t>
      </w:r>
      <w:r>
        <w:rPr>
          <w:rFonts w:ascii="Arial" w:cs="Arial" w:eastAsia="Arial" w:hAnsi="Arial"/>
          <w:sz w:val="18"/>
          <w:szCs w:val="18"/>
          <w:color w:val="auto"/>
        </w:rPr>
        <w:t>” has the meaning ascribed thereto in Section 5.6.</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1.1.23 “</w:t>
      </w:r>
      <w:r>
        <w:rPr>
          <w:rFonts w:ascii="Arial" w:cs="Arial" w:eastAsia="Arial" w:hAnsi="Arial"/>
          <w:sz w:val="18"/>
          <w:szCs w:val="18"/>
          <w:b w:val="1"/>
          <w:bCs w:val="1"/>
          <w:color w:val="auto"/>
        </w:rPr>
        <w:t>Term</w:t>
      </w:r>
      <w:r>
        <w:rPr>
          <w:rFonts w:ascii="Arial" w:cs="Arial" w:eastAsia="Arial" w:hAnsi="Arial"/>
          <w:sz w:val="18"/>
          <w:szCs w:val="18"/>
          <w:color w:val="auto"/>
        </w:rPr>
        <w:t>” means the Initial Term and, where the context requires, includes the Extension Term.</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1.1.24 “</w:t>
      </w:r>
      <w:r>
        <w:rPr>
          <w:rFonts w:ascii="Arial" w:cs="Arial" w:eastAsia="Arial" w:hAnsi="Arial"/>
          <w:sz w:val="18"/>
          <w:szCs w:val="18"/>
          <w:b w:val="1"/>
          <w:bCs w:val="1"/>
          <w:color w:val="auto"/>
        </w:rPr>
        <w:t>Warranty Period”</w:t>
      </w:r>
      <w:r>
        <w:rPr>
          <w:rFonts w:ascii="Arial" w:cs="Arial" w:eastAsia="Arial" w:hAnsi="Arial"/>
          <w:sz w:val="18"/>
          <w:szCs w:val="18"/>
          <w:color w:val="auto"/>
        </w:rPr>
        <w:t xml:space="preserve"> has the meaning ascribed thereto in Sub-Section 6.1.5.</w:t>
      </w:r>
    </w:p>
    <w:p>
      <w:pPr>
        <w:spacing w:after="0" w:line="374"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Headings</w:t>
      </w:r>
    </w:p>
    <w:p>
      <w:pPr>
        <w:spacing w:after="0" w:line="121" w:lineRule="exact"/>
        <w:rPr>
          <w:sz w:val="20"/>
          <w:szCs w:val="20"/>
          <w:color w:val="auto"/>
        </w:rPr>
      </w:pPr>
    </w:p>
    <w:p>
      <w:pPr>
        <w:ind w:left="444" w:right="180"/>
        <w:spacing w:after="0" w:line="277" w:lineRule="auto"/>
        <w:rPr>
          <w:sz w:val="20"/>
          <w:szCs w:val="20"/>
          <w:color w:val="auto"/>
        </w:rPr>
      </w:pPr>
      <w:r>
        <w:rPr>
          <w:rFonts w:ascii="Arial" w:cs="Arial" w:eastAsia="Arial" w:hAnsi="Arial"/>
          <w:sz w:val="18"/>
          <w:szCs w:val="18"/>
          <w:color w:val="auto"/>
        </w:rPr>
        <w:t>The headings and titles appearing in this Agreement are inserted for convenience of reference only and will not affect the interpretation of this Agreement.</w:t>
      </w:r>
    </w:p>
    <w:p>
      <w:pPr>
        <w:spacing w:after="0" w:line="315" w:lineRule="exact"/>
        <w:rPr>
          <w:sz w:val="20"/>
          <w:szCs w:val="20"/>
          <w:color w:val="auto"/>
        </w:rPr>
      </w:pPr>
    </w:p>
    <w:p>
      <w:pPr>
        <w:ind w:left="424" w:hanging="424"/>
        <w:spacing w:after="0"/>
        <w:tabs>
          <w:tab w:leader="none" w:pos="424"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LEASE</w:t>
      </w:r>
    </w:p>
    <w:p>
      <w:pPr>
        <w:spacing w:after="0" w:line="130"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   Leased Premises</w:t>
      </w:r>
    </w:p>
    <w:p>
      <w:pPr>
        <w:spacing w:after="0" w:line="162"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4"/>
          </w:cols>
          <w:pgMar w:left="436" w:top="269" w:right="599" w:bottom="1440" w:gutter="0" w:footer="0" w:header="0"/>
        </w:sectPr>
      </w:pPr>
    </w:p>
    <w:bookmarkStart w:id="517" w:name="page518"/>
    <w:bookmarkEnd w:id="517"/>
    <w:p>
      <w:pPr>
        <w:spacing w:after="0" w:line="4"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The Lessor hereby rents the premises described in to the Lessee for the Term.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 xml:space="preserve">Schedule A </w:t>
      </w:r>
      <w:r>
        <w:rPr>
          <w:rFonts w:ascii="Arial" w:cs="Arial" w:eastAsia="Arial" w:hAnsi="Arial"/>
          <w:sz w:val="16"/>
          <w:szCs w:val="16"/>
          <w:color w:val="auto"/>
        </w:rPr>
        <w:t>and as outlined in</w:t>
      </w:r>
      <w:r>
        <w:rPr>
          <w:rFonts w:ascii="Arial" w:cs="Arial" w:eastAsia="Arial" w:hAnsi="Arial"/>
          <w:sz w:val="16"/>
          <w:szCs w:val="16"/>
          <w:b w:val="1"/>
          <w:bCs w:val="1"/>
          <w:color w:val="auto"/>
        </w:rPr>
        <w:t xml:space="preserve"> Appendix 2.1 </w:t>
      </w:r>
      <w:r>
        <w:rPr>
          <w:rFonts w:ascii="Arial" w:cs="Arial" w:eastAsia="Arial" w:hAnsi="Arial"/>
          <w:sz w:val="16"/>
          <w:szCs w:val="16"/>
          <w:color w:val="auto"/>
        </w:rPr>
        <w:t>(hereinafter referred to as the “</w:t>
      </w:r>
      <w:r>
        <w:rPr>
          <w:rFonts w:ascii="Arial" w:cs="Arial" w:eastAsia="Arial" w:hAnsi="Arial"/>
          <w:sz w:val="16"/>
          <w:szCs w:val="16"/>
          <w:b w:val="1"/>
          <w:bCs w:val="1"/>
          <w:color w:val="auto"/>
        </w:rPr>
        <w:t>Leased Premises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-198755</wp:posOffset>
            </wp:positionV>
            <wp:extent cx="7149465" cy="254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497" w:lineRule="exact"/>
        <w:rPr>
          <w:sz w:val="20"/>
          <w:szCs w:val="20"/>
          <w:color w:val="auto"/>
        </w:rPr>
      </w:pPr>
    </w:p>
    <w:p>
      <w:pPr>
        <w:sectPr>
          <w:pgSz w:w="11900" w:h="16838" w:orient="portrait"/>
          <w:cols w:equalWidth="0" w:num="2">
            <w:col w:w="4044" w:space="40"/>
            <w:col w:w="6920"/>
          </w:cols>
          <w:pgMar w:left="436" w:top="269" w:right="459" w:bottom="1440" w:gutter="0" w:footer="0" w:header="0"/>
        </w:sectPr>
      </w:pPr>
    </w:p>
    <w:p>
      <w:pPr>
        <w:spacing w:after="0" w:line="115"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Area of the Leased Premises</w:t>
      </w:r>
    </w:p>
    <w:p>
      <w:pPr>
        <w:spacing w:after="0" w:line="117" w:lineRule="exact"/>
        <w:rPr>
          <w:sz w:val="20"/>
          <w:szCs w:val="20"/>
          <w:color w:val="auto"/>
        </w:rPr>
      </w:pPr>
    </w:p>
    <w:p>
      <w:pPr>
        <w:ind w:left="444" w:right="60"/>
        <w:spacing w:after="0" w:line="272" w:lineRule="auto"/>
        <w:rPr>
          <w:sz w:val="20"/>
          <w:szCs w:val="20"/>
          <w:color w:val="auto"/>
        </w:rPr>
      </w:pPr>
      <w:r>
        <w:rPr>
          <w:rFonts w:ascii="Arial" w:cs="Arial" w:eastAsia="Arial" w:hAnsi="Arial"/>
          <w:sz w:val="17"/>
          <w:szCs w:val="17"/>
          <w:color w:val="auto"/>
        </w:rPr>
        <w:t xml:space="preserve">The area of the Leased Premises is stated in </w:t>
      </w:r>
      <w:r>
        <w:rPr>
          <w:rFonts w:ascii="Arial" w:cs="Arial" w:eastAsia="Arial" w:hAnsi="Arial"/>
          <w:sz w:val="17"/>
          <w:szCs w:val="17"/>
          <w:b w:val="1"/>
          <w:bCs w:val="1"/>
          <w:color w:val="auto"/>
        </w:rPr>
        <w:t>Schedule A</w:t>
      </w:r>
      <w:r>
        <w:rPr>
          <w:rFonts w:ascii="Arial" w:cs="Arial" w:eastAsia="Arial" w:hAnsi="Arial"/>
          <w:sz w:val="17"/>
          <w:szCs w:val="17"/>
          <w:color w:val="auto"/>
        </w:rPr>
        <w:t>. The Lessor may, at their entire discretion, have the Leased Premises measured by an architect or surveyor within 90 days following the Commencement Date or at such later time as the Parties, acting reasonably, may agree to. The Lessor will promptly deliver a copy of the report prepared by the architect or surveyor to the Lessee and the area as disclosed by the architect or surveyor’s report will thereafter, but with effect retroactive to the Commencement Date, be the final area of the Leased Premises, binding on all Parties, unless contested in writing within ten (10) days of receipt of the said certificate. If any adjustments have to be made in respect of amounts paid or payable by the Lessee prior to delivery of any certificate referred to in this Section, they will be made by (i) payment by the Lessee of any amount it owes to the Lessor, within 30 days after the Lessee receives its copy of the certificate or (ii) crediting any amounts which the Lessor owes to the Lessee against the payments by the Lessee next coming due under this Lease.</w:t>
      </w:r>
    </w:p>
    <w:p>
      <w:pPr>
        <w:spacing w:after="0" w:line="320"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Changes to Leasable Area</w:t>
      </w:r>
    </w:p>
    <w:p>
      <w:pPr>
        <w:spacing w:after="0" w:line="121" w:lineRule="exact"/>
        <w:rPr>
          <w:sz w:val="20"/>
          <w:szCs w:val="20"/>
          <w:color w:val="auto"/>
        </w:rPr>
      </w:pPr>
    </w:p>
    <w:p>
      <w:pPr>
        <w:ind w:left="444" w:right="600"/>
        <w:spacing w:after="0" w:line="308" w:lineRule="auto"/>
        <w:rPr>
          <w:sz w:val="20"/>
          <w:szCs w:val="20"/>
          <w:color w:val="auto"/>
        </w:rPr>
      </w:pPr>
      <w:r>
        <w:rPr>
          <w:rFonts w:ascii="Arial" w:cs="Arial" w:eastAsia="Arial" w:hAnsi="Arial"/>
          <w:sz w:val="17"/>
          <w:szCs w:val="17"/>
          <w:color w:val="auto"/>
        </w:rPr>
        <w:t>Any change regarding the leasable area of the Leased Premises will entail a corresponding increase or decrease in the calculation of all the amounts due under this Lease, which amounts are calculated based on the leasable area of the Leased Premises.</w:t>
      </w:r>
    </w:p>
    <w:p>
      <w:pPr>
        <w:spacing w:after="0" w:line="291"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color w:val="auto"/>
        </w:rPr>
        <w:t>Access to Common Facilities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Rental by the Lessee of the Leased Premises entitles the Lessee to use the Common Facilities provided by the Lessor to all tenants in the Building.</w:t>
      </w:r>
    </w:p>
    <w:p>
      <w:pPr>
        <w:spacing w:after="0" w:line="393" w:lineRule="exact"/>
        <w:rPr>
          <w:sz w:val="20"/>
          <w:szCs w:val="20"/>
          <w:color w:val="auto"/>
        </w:rPr>
      </w:pPr>
    </w:p>
    <w:p>
      <w:pPr>
        <w:ind w:left="424" w:right="9000" w:hanging="424"/>
        <w:spacing w:after="0" w:line="383" w:lineRule="auto"/>
        <w:tabs>
          <w:tab w:leader="none" w:pos="424"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TERMS OF LEASE 3.1 Term</w:t>
      </w:r>
    </w:p>
    <w:p>
      <w:pPr>
        <w:ind w:left="444" w:right="24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The term of this Lease is for the period set forth in </w:t>
      </w:r>
      <w:r>
        <w:rPr>
          <w:rFonts w:ascii="Arial" w:cs="Arial" w:eastAsia="Arial" w:hAnsi="Arial"/>
          <w:sz w:val="18"/>
          <w:szCs w:val="18"/>
          <w:b w:val="1"/>
          <w:bCs w:val="1"/>
          <w:color w:val="auto"/>
        </w:rPr>
        <w:t>Schedule A</w:t>
      </w:r>
      <w:r>
        <w:rPr>
          <w:rFonts w:ascii="Arial" w:cs="Arial" w:eastAsia="Arial" w:hAnsi="Arial"/>
          <w:sz w:val="18"/>
          <w:szCs w:val="18"/>
          <w:color w:val="auto"/>
        </w:rPr>
        <w:t xml:space="preserve"> (the “</w:t>
      </w:r>
      <w:r>
        <w:rPr>
          <w:rFonts w:ascii="Arial" w:cs="Arial" w:eastAsia="Arial" w:hAnsi="Arial"/>
          <w:sz w:val="18"/>
          <w:szCs w:val="18"/>
          <w:b w:val="1"/>
          <w:bCs w:val="1"/>
          <w:color w:val="auto"/>
        </w:rPr>
        <w:t>Initial Term</w:t>
      </w:r>
      <w:r>
        <w:rPr>
          <w:rFonts w:ascii="Arial" w:cs="Arial" w:eastAsia="Arial" w:hAnsi="Arial"/>
          <w:sz w:val="18"/>
          <w:szCs w:val="18"/>
          <w:color w:val="auto"/>
        </w:rPr>
        <w:t>”), subject to early termination or renewal in accordance with the provisions of this Lease.</w:t>
      </w:r>
    </w:p>
    <w:p>
      <w:pPr>
        <w:spacing w:after="0" w:line="310"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Renewal</w:t>
      </w:r>
    </w:p>
    <w:p>
      <w:pPr>
        <w:spacing w:after="0" w:line="135" w:lineRule="exact"/>
        <w:rPr>
          <w:sz w:val="20"/>
          <w:szCs w:val="20"/>
          <w:color w:val="auto"/>
        </w:rPr>
      </w:pPr>
    </w:p>
    <w:p>
      <w:pPr>
        <w:ind w:left="1524" w:right="100" w:hanging="539"/>
        <w:spacing w:after="0" w:line="257" w:lineRule="auto"/>
        <w:tabs>
          <w:tab w:leader="none" w:pos="1504" w:val="left"/>
        </w:tabs>
        <w:rPr>
          <w:sz w:val="20"/>
          <w:szCs w:val="20"/>
          <w:color w:val="auto"/>
        </w:rPr>
      </w:pPr>
      <w:r>
        <w:rPr>
          <w:rFonts w:ascii="Arial" w:cs="Arial" w:eastAsia="Arial" w:hAnsi="Arial"/>
          <w:sz w:val="18"/>
          <w:szCs w:val="18"/>
          <w:color w:val="auto"/>
        </w:rPr>
        <w:t>3.2.1</w:t>
        <w:tab/>
        <w:t>Provided (i) this Lease is then in full force and effect, (ii) the Lessee is itself in occupancy and carries on business in and from the entirety of the Leased Premises, and (iii) the Lessee is not in default in the performance of its obligations under this Lease, the Lessee shall have one (1) option to extend the Initial Term, for a period of five (5) years (the “</w:t>
      </w:r>
      <w:r>
        <w:rPr>
          <w:rFonts w:ascii="Arial" w:cs="Arial" w:eastAsia="Arial" w:hAnsi="Arial"/>
          <w:sz w:val="18"/>
          <w:szCs w:val="18"/>
          <w:b w:val="1"/>
          <w:bCs w:val="1"/>
          <w:color w:val="auto"/>
        </w:rPr>
        <w:t>Extension Term</w:t>
      </w:r>
      <w:r>
        <w:rPr>
          <w:rFonts w:ascii="Arial" w:cs="Arial" w:eastAsia="Arial" w:hAnsi="Arial"/>
          <w:sz w:val="18"/>
          <w:szCs w:val="18"/>
          <w:color w:val="auto"/>
        </w:rPr>
        <w:t>”), commencing on the day immediately following the last day of the Initial Term, under the same terms and conditions as are contained in this Lease save and except that:</w:t>
      </w:r>
    </w:p>
    <w:p>
      <w:pPr>
        <w:spacing w:after="0" w:line="93" w:lineRule="exact"/>
        <w:rPr>
          <w:sz w:val="20"/>
          <w:szCs w:val="20"/>
          <w:color w:val="auto"/>
        </w:rPr>
      </w:pPr>
    </w:p>
    <w:p>
      <w:pPr>
        <w:ind w:left="424" w:hanging="424"/>
        <w:spacing w:after="0"/>
        <w:tabs>
          <w:tab w:leader="none" w:pos="424"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Lessee shall accept the Leased Premises “as is – where is” in their then state and condition;</w:t>
      </w:r>
    </w:p>
    <w:p>
      <w:pPr>
        <w:spacing w:after="0" w:line="130" w:lineRule="exact"/>
        <w:rPr>
          <w:rFonts w:ascii="Arial" w:cs="Arial" w:eastAsia="Arial" w:hAnsi="Arial"/>
          <w:sz w:val="18"/>
          <w:szCs w:val="18"/>
          <w:color w:val="auto"/>
        </w:rPr>
      </w:pPr>
    </w:p>
    <w:p>
      <w:pPr>
        <w:ind w:left="424" w:right="80" w:hanging="424"/>
        <w:spacing w:after="0" w:line="277" w:lineRule="auto"/>
        <w:tabs>
          <w:tab w:leader="none" w:pos="424"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Rent shall be the then prevailing rental rate which the Lessor could reasonably obtain for the Leased Premises from a willing tenant dealing at arm’s-length with the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69" w:right="459" w:bottom="1440" w:gutter="0" w:footer="0" w:header="0"/>
          <w:type w:val="continuous"/>
        </w:sectPr>
      </w:pPr>
    </w:p>
    <w:bookmarkStart w:id="518" w:name="page519"/>
    <w:bookmarkEnd w:id="518"/>
    <w:p>
      <w:pPr>
        <w:ind w:left="42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Lessor in the market as of the date on which the Lessee exercises the option to extend, having regard to all relevant circumstances, including, without limitation, the length of the Extension Term, the size and location of the Leased Premises, the terms and provisions of this Lease for the Extension Term, the age, use and condition of the Leased Premises, the rentals being obtained for comparable space in comparable locations in the municipality where the Leased Premises are situated; and</w:t>
      </w:r>
    </w:p>
    <w:p>
      <w:pPr>
        <w:spacing w:after="0" w:line="92" w:lineRule="exact"/>
        <w:rPr>
          <w:sz w:val="20"/>
          <w:szCs w:val="20"/>
          <w:color w:val="auto"/>
        </w:rPr>
      </w:pPr>
    </w:p>
    <w:p>
      <w:pPr>
        <w:ind w:left="424" w:hanging="424"/>
        <w:spacing w:after="0"/>
        <w:tabs>
          <w:tab w:leader="none" w:pos="42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there will be no further options to extend the Term.</w:t>
      </w:r>
    </w:p>
    <w:p>
      <w:pPr>
        <w:spacing w:after="0" w:line="131" w:lineRule="exact"/>
        <w:rPr>
          <w:sz w:val="20"/>
          <w:szCs w:val="20"/>
          <w:color w:val="auto"/>
        </w:rPr>
      </w:pPr>
    </w:p>
    <w:p>
      <w:pPr>
        <w:ind w:left="1524" w:right="60" w:hanging="539"/>
        <w:spacing w:after="0" w:line="254" w:lineRule="auto"/>
        <w:tabs>
          <w:tab w:leader="none" w:pos="1504" w:val="left"/>
        </w:tabs>
        <w:rPr>
          <w:sz w:val="20"/>
          <w:szCs w:val="20"/>
          <w:color w:val="auto"/>
        </w:rPr>
      </w:pPr>
      <w:r>
        <w:rPr>
          <w:rFonts w:ascii="Arial" w:cs="Arial" w:eastAsia="Arial" w:hAnsi="Arial"/>
          <w:sz w:val="18"/>
          <w:szCs w:val="18"/>
          <w:color w:val="auto"/>
        </w:rPr>
        <w:t>3.2.2</w:t>
        <w:tab/>
        <w:t>The option to extend contained in this Section may only be exercised by Lessee giving Lessor written notice to such effect no less than twelve (12) months prior to the commencement of the Extension Term. In the event the Lessee fails to exercise this option to extend in the manner and before the deadline mentioned above, such option to extend will be irrevocably deemed to have been waived and to have become null and void and never to have existed. In the event that the Lessee exercises this option to extend in the manner and before the deadline mentioned above, the Parties will endeavour to negotiate in good faith and to execute a written agreement as to the Rent payable for the Extension Term as soon as reasonably possible after the exercise by the Lessee of the option to extend.</w:t>
      </w:r>
    </w:p>
    <w:p>
      <w:pPr>
        <w:spacing w:after="0" w:line="100" w:lineRule="exact"/>
        <w:rPr>
          <w:sz w:val="20"/>
          <w:szCs w:val="20"/>
          <w:color w:val="auto"/>
        </w:rPr>
      </w:pPr>
    </w:p>
    <w:p>
      <w:pPr>
        <w:ind w:left="1524" w:right="280" w:hanging="539"/>
        <w:spacing w:after="0" w:line="277" w:lineRule="auto"/>
        <w:tabs>
          <w:tab w:leader="none" w:pos="1504" w:val="left"/>
        </w:tabs>
        <w:rPr>
          <w:sz w:val="20"/>
          <w:szCs w:val="20"/>
          <w:color w:val="auto"/>
        </w:rPr>
      </w:pPr>
      <w:r>
        <w:rPr>
          <w:rFonts w:ascii="Arial" w:cs="Arial" w:eastAsia="Arial" w:hAnsi="Arial"/>
          <w:sz w:val="18"/>
          <w:szCs w:val="18"/>
          <w:color w:val="auto"/>
        </w:rPr>
        <w:t>3.2.3</w:t>
        <w:tab/>
        <w:t>Within thirty (30) days from the exercise by the Lessee of the option to extend, the Lessor shall provide the Lessee its proposed Rent for the Leased Premises for the Extension Term.</w:t>
      </w:r>
    </w:p>
    <w:p>
      <w:pPr>
        <w:spacing w:after="0" w:line="76" w:lineRule="exact"/>
        <w:rPr>
          <w:sz w:val="20"/>
          <w:szCs w:val="20"/>
          <w:color w:val="auto"/>
        </w:rPr>
      </w:pPr>
    </w:p>
    <w:p>
      <w:pPr>
        <w:ind w:left="984"/>
        <w:spacing w:after="0"/>
        <w:tabs>
          <w:tab w:leader="none" w:pos="1504"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color w:val="auto"/>
        </w:rPr>
        <w:t>In the event that the Parties fail for any reason to agree in writing upon the Rent to apply for the Extension Term at the latest four</w:t>
      </w:r>
    </w:p>
    <w:p>
      <w:pPr>
        <w:spacing w:after="0" w:line="23" w:lineRule="exact"/>
        <w:rPr>
          <w:sz w:val="20"/>
          <w:szCs w:val="20"/>
          <w:color w:val="auto"/>
        </w:rPr>
      </w:pPr>
    </w:p>
    <w:p>
      <w:pPr>
        <w:ind w:left="1524" w:firstLine="1"/>
        <w:spacing w:after="0" w:line="284" w:lineRule="auto"/>
        <w:tabs>
          <w:tab w:leader="none" w:pos="1779" w:val="left"/>
        </w:tabs>
        <w:numPr>
          <w:ilvl w:val="0"/>
          <w:numId w:val="334"/>
        </w:numPr>
        <w:rPr>
          <w:rFonts w:ascii="Arial" w:cs="Arial" w:eastAsia="Arial" w:hAnsi="Arial"/>
          <w:sz w:val="16"/>
          <w:szCs w:val="16"/>
          <w:color w:val="auto"/>
        </w:rPr>
      </w:pPr>
      <w:r>
        <w:rPr>
          <w:rFonts w:ascii="Arial" w:cs="Arial" w:eastAsia="Arial" w:hAnsi="Arial"/>
          <w:sz w:val="16"/>
          <w:szCs w:val="16"/>
          <w:color w:val="auto"/>
        </w:rPr>
        <w:t xml:space="preserve">months after the exercise by the Lessee of the option to extend, then such dispute shall be submitted to arbitration before a single arbitrator selected by the Parties within fifteen (15) days following the expiry of this 4-month period, failing which either may ask the Superior Court of Québec, sitting in the judicial district of Montreal, to appoint such arbitrator. The Parties shall not be bound during such proceeding by the Rent proposed by each of them respectively. The decision of the arbitrator as to the Rent during the Extension Term shall be final and binding on the Parties with no right of appeal. The arbitrator shall be an independent appraiser duly qualified in the evaluation of commercial real estate in Montreal and the determination of rentals applicable thereto, with at least ten (10) years of experience with the industrial real estate sector and shall be a qualified member of the </w:t>
      </w:r>
      <w:r>
        <w:rPr>
          <w:rFonts w:ascii="Arial" w:cs="Arial" w:eastAsia="Arial" w:hAnsi="Arial"/>
          <w:sz w:val="16"/>
          <w:szCs w:val="16"/>
          <w:i w:val="1"/>
          <w:iCs w:val="1"/>
          <w:color w:val="auto"/>
        </w:rPr>
        <w:t>Ordre des</w:t>
      </w:r>
      <w:r>
        <w:rPr>
          <w:rFonts w:ascii="Arial" w:cs="Arial" w:eastAsia="Arial" w:hAnsi="Arial"/>
          <w:sz w:val="16"/>
          <w:szCs w:val="16"/>
          <w:color w:val="auto"/>
        </w:rPr>
        <w:t xml:space="preserve"> </w:t>
      </w:r>
      <w:r>
        <w:rPr>
          <w:rFonts w:ascii="Arial" w:cs="Arial" w:eastAsia="Arial" w:hAnsi="Arial"/>
          <w:sz w:val="16"/>
          <w:szCs w:val="16"/>
          <w:i w:val="1"/>
          <w:iCs w:val="1"/>
          <w:color w:val="auto"/>
        </w:rPr>
        <w:t>évaluateurs agréés du Québec</w:t>
      </w:r>
      <w:r>
        <w:rPr>
          <w:rFonts w:ascii="Arial" w:cs="Arial" w:eastAsia="Arial" w:hAnsi="Arial"/>
          <w:sz w:val="16"/>
          <w:szCs w:val="16"/>
          <w:color w:val="auto"/>
        </w:rPr>
        <w:t>. The costs and expenses of the arbitrator and of the arbitration proceedings shall be borne equally by</w:t>
      </w:r>
      <w:r>
        <w:rPr>
          <w:rFonts w:ascii="Arial" w:cs="Arial" w:eastAsia="Arial" w:hAnsi="Arial"/>
          <w:sz w:val="16"/>
          <w:szCs w:val="16"/>
          <w:i w:val="1"/>
          <w:iCs w:val="1"/>
          <w:color w:val="auto"/>
        </w:rPr>
        <w:t xml:space="preserve"> </w:t>
      </w:r>
      <w:r>
        <w:rPr>
          <w:rFonts w:ascii="Arial" w:cs="Arial" w:eastAsia="Arial" w:hAnsi="Arial"/>
          <w:sz w:val="16"/>
          <w:szCs w:val="16"/>
          <w:color w:val="auto"/>
        </w:rPr>
        <w:t>the Lessor and the Lessee but each Party shall bear the costs of its own legal counsel and any professional advisers, appraisers or evaluators employed by it. If the decision of the arbitrator is not rendered prior to the commencement of the Extension Term in question, the Lessee shall pay as annual Rent the same Rent as payable in the last year immediately preceding such Extension Term, with appropriate retroactive adjustments being made within thirty (30) days following the delivery of a decision by the arbitrator. Save as required by Applicable Law, each Party undertakes to keep confidential all information regarding the existence of the arbitration, all disclosures made during the arbitration, all materials or information</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3" w:right="479" w:bottom="1440" w:gutter="0" w:footer="0" w:header="0"/>
        </w:sectPr>
      </w:pPr>
    </w:p>
    <w:bookmarkStart w:id="519" w:name="page520"/>
    <w:bookmarkEnd w:id="519"/>
    <w:p>
      <w:pPr>
        <w:ind w:left="154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created, used or produced for the purpose of the arbitration, as well as all awards and orders made by the arbitrator. This obligation of confidentiality extends to all materials or information created, used or produced during any proceedings related to the arbitration, including, without limitation, any proceedings before the courts for injunctive relief, or proceedings to protect or pursue a legal right or enforce or challenge any award or order made during the arbitration. The Parties agree to use their best efforts to impose confidentiality on all witnesses, including any expert witnesses, who will participate in the arbitration. The Parties will not, however, be liable for any breach of confidentiality by any witness. The Party prevailing in the arbitration may enforce the award by any means permitted by Applicable Law, including entering the award as a judgment of any court. The place of the arbitration shall be Montreal, Québec and the governing law of the arbitration will be the laws of the Province of Québec and the federal laws of Canada applicable in such province. The language of the arbitration and any written submissions shall be in English. Provided and to the extent that they do not derogate from the foregoing, the provisions of the Code of Civil Procedure of Québec pertaining to arbitration will apply in addition to the foregoing provisions with respect to the arbitration herein contemplated.</w:t>
      </w:r>
    </w:p>
    <w:p>
      <w:pPr>
        <w:spacing w:after="0" w:line="316"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Expiration of Lease</w:t>
      </w:r>
    </w:p>
    <w:p>
      <w:pPr>
        <w:spacing w:after="0" w:line="121" w:lineRule="exact"/>
        <w:rPr>
          <w:sz w:val="20"/>
          <w:szCs w:val="20"/>
          <w:color w:val="auto"/>
        </w:rPr>
      </w:pPr>
    </w:p>
    <w:p>
      <w:pPr>
        <w:ind w:left="444" w:right="40"/>
        <w:spacing w:after="0" w:line="257" w:lineRule="auto"/>
        <w:rPr>
          <w:sz w:val="20"/>
          <w:szCs w:val="20"/>
          <w:color w:val="auto"/>
        </w:rPr>
      </w:pPr>
      <w:r>
        <w:rPr>
          <w:rFonts w:ascii="Arial" w:cs="Arial" w:eastAsia="Arial" w:hAnsi="Arial"/>
          <w:sz w:val="18"/>
          <w:szCs w:val="18"/>
          <w:color w:val="auto"/>
        </w:rPr>
        <w:t xml:space="preserve">This Lease expires </w:t>
      </w:r>
      <w:r>
        <w:rPr>
          <w:rFonts w:ascii="Arial" w:cs="Arial" w:eastAsia="Arial" w:hAnsi="Arial"/>
          <w:sz w:val="18"/>
          <w:szCs w:val="18"/>
          <w:i w:val="1"/>
          <w:iCs w:val="1"/>
          <w:color w:val="auto"/>
        </w:rPr>
        <w:t>ipso facto</w:t>
      </w:r>
      <w:r>
        <w:rPr>
          <w:rFonts w:ascii="Arial" w:cs="Arial" w:eastAsia="Arial" w:hAnsi="Arial"/>
          <w:sz w:val="18"/>
          <w:szCs w:val="18"/>
          <w:color w:val="auto"/>
        </w:rPr>
        <w:t xml:space="preserve"> without notice or formal request on the expiration date stipulated in this Lease and no continued occupation of the Leased Premises by the Lessee beyond this date may be construed as a tacit extension or renewal of the Lease for any term whatsoever, the whole notwithstanding the provisions of articles 1878 and 1879 of the </w:t>
      </w:r>
      <w:r>
        <w:rPr>
          <w:rFonts w:ascii="Arial" w:cs="Arial" w:eastAsia="Arial" w:hAnsi="Arial"/>
          <w:sz w:val="18"/>
          <w:szCs w:val="18"/>
          <w:i w:val="1"/>
          <w:iCs w:val="1"/>
          <w:color w:val="auto"/>
        </w:rPr>
        <w:t>Civil Code of Québec</w:t>
      </w:r>
      <w:r>
        <w:rPr>
          <w:rFonts w:ascii="Arial" w:cs="Arial" w:eastAsia="Arial" w:hAnsi="Arial"/>
          <w:sz w:val="18"/>
          <w:szCs w:val="18"/>
          <w:color w:val="auto"/>
        </w:rPr>
        <w:t>, and the Lessee will be presumed to be occupying the premises against the wishes of the Lessor, who will henceforth be entitled to take all the measures provided by Applicable Law to evict the Lessee and obtain damages.</w:t>
      </w:r>
    </w:p>
    <w:p>
      <w:pPr>
        <w:spacing w:after="0" w:line="332"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Right to terminate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Tenant shall have a one-time right to terminate the Lease prior to the end of the Initial Term upon the following conditions:</w:t>
      </w:r>
    </w:p>
    <w:p>
      <w:pPr>
        <w:spacing w:after="0" w:line="131" w:lineRule="exact"/>
        <w:rPr>
          <w:sz w:val="20"/>
          <w:szCs w:val="20"/>
          <w:color w:val="auto"/>
        </w:rPr>
      </w:pPr>
    </w:p>
    <w:p>
      <w:pPr>
        <w:ind w:left="984"/>
        <w:spacing w:after="0"/>
        <w:tabs>
          <w:tab w:leader="none" w:pos="1504"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6"/>
          <w:szCs w:val="16"/>
          <w:color w:val="auto"/>
        </w:rPr>
        <w:t>No less than thirty (30) months of the Initial Term shall have lapsed.</w:t>
      </w:r>
    </w:p>
    <w:p>
      <w:pPr>
        <w:spacing w:after="0" w:line="131" w:lineRule="exact"/>
        <w:rPr>
          <w:sz w:val="20"/>
          <w:szCs w:val="20"/>
          <w:color w:val="auto"/>
        </w:rPr>
      </w:pPr>
    </w:p>
    <w:p>
      <w:pPr>
        <w:ind w:left="1524" w:right="200" w:hanging="539"/>
        <w:spacing w:after="0" w:line="277" w:lineRule="auto"/>
        <w:tabs>
          <w:tab w:leader="none" w:pos="1504" w:val="left"/>
        </w:tabs>
        <w:rPr>
          <w:sz w:val="20"/>
          <w:szCs w:val="20"/>
          <w:color w:val="auto"/>
        </w:rPr>
      </w:pPr>
      <w:r>
        <w:rPr>
          <w:rFonts w:ascii="Arial" w:cs="Arial" w:eastAsia="Arial" w:hAnsi="Arial"/>
          <w:sz w:val="18"/>
          <w:szCs w:val="18"/>
          <w:color w:val="auto"/>
        </w:rPr>
        <w:t>3.4.2</w:t>
        <w:tab/>
        <w:t>A change of control of the Tenant shall have occurred following said thirty (30) month period, other than pursuant to a change of control set forth in section 11.14.6 hereof or an initial public offering.</w:t>
      </w:r>
    </w:p>
    <w:p>
      <w:pPr>
        <w:spacing w:after="0" w:line="76" w:lineRule="exact"/>
        <w:rPr>
          <w:sz w:val="20"/>
          <w:szCs w:val="20"/>
          <w:color w:val="auto"/>
        </w:rPr>
      </w:pPr>
    </w:p>
    <w:p>
      <w:pPr>
        <w:ind w:left="1524" w:right="360" w:hanging="539"/>
        <w:spacing w:after="0" w:line="277" w:lineRule="auto"/>
        <w:tabs>
          <w:tab w:leader="none" w:pos="1504" w:val="left"/>
        </w:tabs>
        <w:rPr>
          <w:sz w:val="20"/>
          <w:szCs w:val="20"/>
          <w:color w:val="auto"/>
        </w:rPr>
      </w:pPr>
      <w:r>
        <w:rPr>
          <w:rFonts w:ascii="Arial" w:cs="Arial" w:eastAsia="Arial" w:hAnsi="Arial"/>
          <w:sz w:val="18"/>
          <w:szCs w:val="18"/>
          <w:color w:val="auto"/>
        </w:rPr>
        <w:t>3.4.3</w:t>
        <w:tab/>
        <w:t>A twelve (12) month prior written notice to that effect shall have been received by the Lessor following the occurrence of such change of control.</w:t>
      </w:r>
    </w:p>
    <w:p>
      <w:pPr>
        <w:spacing w:after="0" w:line="76" w:lineRule="exact"/>
        <w:rPr>
          <w:sz w:val="20"/>
          <w:szCs w:val="20"/>
          <w:color w:val="auto"/>
        </w:rPr>
      </w:pPr>
    </w:p>
    <w:p>
      <w:pPr>
        <w:jc w:val="both"/>
        <w:ind w:left="1524" w:right="140" w:hanging="539"/>
        <w:spacing w:after="0" w:line="263" w:lineRule="auto"/>
        <w:tabs>
          <w:tab w:leader="none" w:pos="1504" w:val="left"/>
        </w:tabs>
        <w:rPr>
          <w:sz w:val="20"/>
          <w:szCs w:val="20"/>
          <w:color w:val="auto"/>
        </w:rPr>
      </w:pPr>
      <w:r>
        <w:rPr>
          <w:rFonts w:ascii="Arial" w:cs="Arial" w:eastAsia="Arial" w:hAnsi="Arial"/>
          <w:sz w:val="18"/>
          <w:szCs w:val="18"/>
          <w:color w:val="auto"/>
        </w:rPr>
        <w:t>3.4.4</w:t>
        <w:tab/>
        <w:t>A payment equal to the then unamortized portion of the leasehold improvements in the amount of $1,700,000 shall be paid by the Lessee to the Lessor at the expiry of the twelve (12) month notice period and the Lessee shall have forfeited the Deposit in favour of the Lessor.</w:t>
      </w:r>
    </w:p>
    <w:p>
      <w:pPr>
        <w:spacing w:after="0" w:line="328" w:lineRule="exact"/>
        <w:rPr>
          <w:sz w:val="20"/>
          <w:szCs w:val="20"/>
          <w:color w:val="auto"/>
        </w:rPr>
      </w:pPr>
    </w:p>
    <w:p>
      <w:pPr>
        <w:ind w:left="424" w:hanging="424"/>
        <w:spacing w:after="0"/>
        <w:tabs>
          <w:tab w:leader="none" w:pos="424"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RENT</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3" w:right="459" w:bottom="1440" w:gutter="0" w:footer="0" w:header="0"/>
        </w:sectPr>
      </w:pPr>
    </w:p>
    <w:bookmarkStart w:id="520" w:name="page521"/>
    <w:bookmarkEnd w:id="520"/>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4.1</w:t>
      </w:r>
      <w:r>
        <w:rPr>
          <w:sz w:val="20"/>
          <w:szCs w:val="20"/>
          <w:color w:val="auto"/>
        </w:rPr>
        <w:tab/>
      </w:r>
      <w:r>
        <w:rPr>
          <w:rFonts w:ascii="Arial" w:cs="Arial" w:eastAsia="Arial" w:hAnsi="Arial"/>
          <w:sz w:val="17"/>
          <w:szCs w:val="17"/>
          <w:b w:val="1"/>
          <w:bCs w:val="1"/>
          <w:color w:val="auto"/>
        </w:rPr>
        <w:t>Rent</w:t>
      </w:r>
    </w:p>
    <w:p>
      <w:pPr>
        <w:spacing w:after="0" w:line="121" w:lineRule="exact"/>
        <w:rPr>
          <w:sz w:val="20"/>
          <w:szCs w:val="20"/>
          <w:color w:val="auto"/>
        </w:rPr>
      </w:pPr>
    </w:p>
    <w:p>
      <w:pPr>
        <w:ind w:left="20" w:right="120"/>
        <w:spacing w:after="0" w:line="296" w:lineRule="auto"/>
        <w:rPr>
          <w:sz w:val="20"/>
          <w:szCs w:val="20"/>
          <w:color w:val="auto"/>
        </w:rPr>
      </w:pPr>
      <w:r>
        <w:rPr>
          <w:rFonts w:ascii="Arial" w:cs="Arial" w:eastAsia="Arial" w:hAnsi="Arial"/>
          <w:sz w:val="16"/>
          <w:szCs w:val="16"/>
          <w:color w:val="auto"/>
        </w:rPr>
        <w:t xml:space="preserve">During the Term, the Lessee will pay to the Lessor the Rent, in advance, in equal monthly instalments, on the first day of every month during the Term. As such, the Lessee hereby authorizes the Lessor to withdraw, from the account described in </w:t>
      </w:r>
      <w:r>
        <w:rPr>
          <w:rFonts w:ascii="Arial" w:cs="Arial" w:eastAsia="Arial" w:hAnsi="Arial"/>
          <w:sz w:val="16"/>
          <w:szCs w:val="16"/>
          <w:b w:val="1"/>
          <w:bCs w:val="1"/>
          <w:color w:val="auto"/>
        </w:rPr>
        <w:t>Schedule A</w:t>
      </w:r>
      <w:r>
        <w:rPr>
          <w:rFonts w:ascii="Arial" w:cs="Arial" w:eastAsia="Arial" w:hAnsi="Arial"/>
          <w:sz w:val="16"/>
          <w:szCs w:val="16"/>
          <w:color w:val="auto"/>
        </w:rPr>
        <w:t>, every first (1</w:t>
      </w:r>
      <w:r>
        <w:rPr>
          <w:rFonts w:ascii="Arial" w:cs="Arial" w:eastAsia="Arial" w:hAnsi="Arial"/>
          <w:sz w:val="13"/>
          <w:szCs w:val="13"/>
          <w:color w:val="auto"/>
        </w:rPr>
        <w:t>st</w:t>
      </w:r>
      <w:r>
        <w:rPr>
          <w:rFonts w:ascii="Arial" w:cs="Arial" w:eastAsia="Arial" w:hAnsi="Arial"/>
          <w:sz w:val="16"/>
          <w:szCs w:val="16"/>
          <w:color w:val="auto"/>
        </w:rPr>
        <w:t>) day of each month during the Term the monthly installment of the Rent. The first payment of the Rent will be made on the first day of the Term. If the Term begins on any day other than the first, or ends on any day other than the last, of a calendar month, Rent for the fractions of a month at the beginning and at the end of the Term will be adjusted pro rata, on the basis of the actual number of days in those calendar months.</w:t>
      </w:r>
    </w:p>
    <w:p>
      <w:pPr>
        <w:spacing w:after="0" w:line="30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Rent Adjustment</w:t>
      </w:r>
    </w:p>
    <w:p>
      <w:pPr>
        <w:spacing w:after="0" w:line="117" w:lineRule="exact"/>
        <w:rPr>
          <w:sz w:val="20"/>
          <w:szCs w:val="20"/>
          <w:color w:val="auto"/>
        </w:rPr>
      </w:pPr>
    </w:p>
    <w:p>
      <w:pPr>
        <w:ind w:left="20" w:right="60"/>
        <w:spacing w:after="0" w:line="312" w:lineRule="auto"/>
        <w:rPr>
          <w:sz w:val="20"/>
          <w:szCs w:val="20"/>
          <w:color w:val="auto"/>
        </w:rPr>
      </w:pPr>
      <w:r>
        <w:rPr>
          <w:rFonts w:ascii="Arial" w:cs="Arial" w:eastAsia="Arial" w:hAnsi="Arial"/>
          <w:sz w:val="17"/>
          <w:szCs w:val="17"/>
          <w:color w:val="auto"/>
        </w:rPr>
        <w:t xml:space="preserve">Rent shall be increased on every anniversary of this Lease, according the Rent amount set forth in </w:t>
      </w:r>
      <w:r>
        <w:rPr>
          <w:rFonts w:ascii="Arial" w:cs="Arial" w:eastAsia="Arial" w:hAnsi="Arial"/>
          <w:sz w:val="17"/>
          <w:szCs w:val="17"/>
          <w:b w:val="1"/>
          <w:bCs w:val="1"/>
          <w:color w:val="auto"/>
        </w:rPr>
        <w:t>Schedule A</w:t>
      </w:r>
      <w:r>
        <w:rPr>
          <w:rFonts w:ascii="Arial" w:cs="Arial" w:eastAsia="Arial" w:hAnsi="Arial"/>
          <w:sz w:val="17"/>
          <w:szCs w:val="17"/>
          <w:color w:val="auto"/>
        </w:rPr>
        <w:t xml:space="preserve"> for each year of the Term. Rent, as so adjusted, shall thereafter be due as provided herein. Rent adjustments for any fractional calendar month shall be prorated.</w:t>
      </w:r>
    </w:p>
    <w:p>
      <w:pPr>
        <w:spacing w:after="0" w:line="2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Tax Upon Rent</w:t>
      </w:r>
    </w:p>
    <w:p>
      <w:pPr>
        <w:spacing w:after="0" w:line="117" w:lineRule="exact"/>
        <w:rPr>
          <w:sz w:val="20"/>
          <w:szCs w:val="20"/>
          <w:color w:val="auto"/>
        </w:rPr>
      </w:pPr>
    </w:p>
    <w:p>
      <w:pPr>
        <w:ind w:left="20" w:right="120"/>
        <w:spacing w:after="0" w:line="261" w:lineRule="auto"/>
        <w:rPr>
          <w:sz w:val="20"/>
          <w:szCs w:val="20"/>
          <w:color w:val="auto"/>
        </w:rPr>
      </w:pPr>
      <w:r>
        <w:rPr>
          <w:rFonts w:ascii="Arial" w:cs="Arial" w:eastAsia="Arial" w:hAnsi="Arial"/>
          <w:sz w:val="18"/>
          <w:szCs w:val="18"/>
          <w:color w:val="auto"/>
        </w:rPr>
        <w:t xml:space="preserve">The Lessee shall pay the Lessor the goods and services tax (GST), the Québec </w:t>
      </w:r>
      <w:r>
        <w:rPr>
          <w:rFonts w:ascii="Arial" w:cs="Arial" w:eastAsia="Arial" w:hAnsi="Arial"/>
          <w:sz w:val="18"/>
          <w:szCs w:val="18"/>
          <w:b w:val="1"/>
          <w:bCs w:val="1"/>
          <w:color w:val="auto"/>
        </w:rPr>
        <w:t>sales</w:t>
      </w:r>
      <w:r>
        <w:rPr>
          <w:rFonts w:ascii="Arial" w:cs="Arial" w:eastAsia="Arial" w:hAnsi="Arial"/>
          <w:sz w:val="18"/>
          <w:szCs w:val="18"/>
          <w:color w:val="auto"/>
        </w:rPr>
        <w:t xml:space="preserve"> tax (QST) and any other similar tax that may be put in force prior to or during the Term, imposed by any competent authority, that the Lessor must collect or may be asked to collect in respect of the Rent or any other amount payable to the Lessor or for the benefit of the Lessor under the Lease or in respect of all goods, services or supplies that the Lessor may provide to the Lessee under the Lease.</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Insurance and Property Taxes</w:t>
      </w:r>
    </w:p>
    <w:p>
      <w:pPr>
        <w:spacing w:after="0" w:line="121" w:lineRule="exact"/>
        <w:rPr>
          <w:sz w:val="20"/>
          <w:szCs w:val="20"/>
          <w:color w:val="auto"/>
        </w:rPr>
      </w:pPr>
    </w:p>
    <w:p>
      <w:pPr>
        <w:ind w:left="20" w:right="100"/>
        <w:spacing w:after="0" w:line="263" w:lineRule="auto"/>
        <w:rPr>
          <w:sz w:val="20"/>
          <w:szCs w:val="20"/>
          <w:color w:val="auto"/>
        </w:rPr>
      </w:pPr>
      <w:r>
        <w:rPr>
          <w:rFonts w:ascii="Arial" w:cs="Arial" w:eastAsia="Arial" w:hAnsi="Arial"/>
          <w:sz w:val="18"/>
          <w:szCs w:val="18"/>
          <w:color w:val="auto"/>
        </w:rPr>
        <w:t>This Lease is a gross lease, and as such, the Rent includes the Lessee’s proportionate share of the property taxes affecting the Leased Premises of the Lessor. Notwithstanding the foregoing, the Lessee is responsible for all taxes imposed on property belonging to the Lessee, leasehold improvements, and on all other property placed by the Lessee on the Leased Premises.</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Late Payment</w:t>
      </w:r>
    </w:p>
    <w:p>
      <w:pPr>
        <w:spacing w:after="0" w:line="121" w:lineRule="exact"/>
        <w:rPr>
          <w:sz w:val="20"/>
          <w:szCs w:val="20"/>
          <w:color w:val="auto"/>
        </w:rPr>
      </w:pPr>
    </w:p>
    <w:p>
      <w:pPr>
        <w:ind w:left="20" w:right="720"/>
        <w:spacing w:after="0" w:line="277" w:lineRule="auto"/>
        <w:rPr>
          <w:sz w:val="20"/>
          <w:szCs w:val="20"/>
          <w:color w:val="auto"/>
        </w:rPr>
      </w:pPr>
      <w:r>
        <w:rPr>
          <w:rFonts w:ascii="Arial" w:cs="Arial" w:eastAsia="Arial" w:hAnsi="Arial"/>
          <w:sz w:val="18"/>
          <w:szCs w:val="18"/>
          <w:color w:val="auto"/>
        </w:rPr>
        <w:t>All sums payable by the Lessee in virtue of this Lease, not paid at maturity, shall bear interest at the rate of ten percent (10%) per annum calculated and compounded monthly until paid.</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Offset</w:t>
      </w:r>
    </w:p>
    <w:p>
      <w:pPr>
        <w:spacing w:after="0" w:line="121" w:lineRule="exact"/>
        <w:rPr>
          <w:sz w:val="20"/>
          <w:szCs w:val="20"/>
          <w:color w:val="auto"/>
        </w:rPr>
      </w:pPr>
    </w:p>
    <w:p>
      <w:pPr>
        <w:ind w:left="20" w:right="140"/>
        <w:spacing w:after="0" w:line="263" w:lineRule="auto"/>
        <w:rPr>
          <w:sz w:val="20"/>
          <w:szCs w:val="20"/>
          <w:color w:val="auto"/>
        </w:rPr>
      </w:pPr>
      <w:r>
        <w:rPr>
          <w:rFonts w:ascii="Arial" w:cs="Arial" w:eastAsia="Arial" w:hAnsi="Arial"/>
          <w:sz w:val="18"/>
          <w:szCs w:val="18"/>
          <w:color w:val="auto"/>
        </w:rPr>
        <w:t>The Lessor is entitled, at its discretion, to apply or offset all amounts received from the Lessee or due to the Lessee in respect of any amount due and payable by the Lessee under this Lease, notwithstanding any indication or instruction to the contrary by the Lessee, who agrees to said application or offset.</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b w:val="1"/>
          <w:bCs w:val="1"/>
          <w:color w:val="auto"/>
        </w:rPr>
        <w:t>Waiver of Compensation Right</w:t>
      </w:r>
    </w:p>
    <w:p>
      <w:pPr>
        <w:spacing w:after="0" w:line="121" w:lineRule="exact"/>
        <w:rPr>
          <w:sz w:val="20"/>
          <w:szCs w:val="20"/>
          <w:color w:val="auto"/>
        </w:rPr>
      </w:pPr>
    </w:p>
    <w:p>
      <w:pPr>
        <w:ind w:left="20"/>
        <w:spacing w:after="0" w:line="259" w:lineRule="auto"/>
        <w:rPr>
          <w:sz w:val="20"/>
          <w:szCs w:val="20"/>
          <w:color w:val="auto"/>
        </w:rPr>
      </w:pPr>
      <w:r>
        <w:rPr>
          <w:rFonts w:ascii="Arial" w:cs="Arial" w:eastAsia="Arial" w:hAnsi="Arial"/>
          <w:sz w:val="18"/>
          <w:szCs w:val="18"/>
          <w:color w:val="auto"/>
        </w:rPr>
        <w:t>The Lessee hereby waives the right to compensation in respect of each and every claim or indemnity, present or future, against any rent or other amounts due under this Lease. The Lessee agrees to pay the Rent and all other amounts due to the Lessor from time to time, irrespective of any claim, indemnification or compensation that the Lessee may seek or that a third party may claim on the Lessee’s behalf, and without any reduction or deduction.</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60" w:top="269" w:right="479" w:bottom="1440" w:gutter="0" w:footer="0" w:header="0"/>
        </w:sectPr>
      </w:pPr>
    </w:p>
    <w:bookmarkStart w:id="521" w:name="page522"/>
    <w:bookmarkEnd w:id="521"/>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4.8</w:t>
      </w:r>
      <w:r>
        <w:rPr>
          <w:sz w:val="20"/>
          <w:szCs w:val="20"/>
          <w:color w:val="auto"/>
        </w:rPr>
        <w:tab/>
      </w:r>
      <w:r>
        <w:rPr>
          <w:rFonts w:ascii="Arial" w:cs="Arial" w:eastAsia="Arial" w:hAnsi="Arial"/>
          <w:sz w:val="16"/>
          <w:szCs w:val="16"/>
          <w:b w:val="1"/>
          <w:bCs w:val="1"/>
          <w:color w:val="auto"/>
        </w:rPr>
        <w:t>Security Deposit</w:t>
      </w:r>
    </w:p>
    <w:p>
      <w:pPr>
        <w:spacing w:after="0" w:line="117" w:lineRule="exact"/>
        <w:rPr>
          <w:sz w:val="20"/>
          <w:szCs w:val="20"/>
          <w:color w:val="auto"/>
        </w:rPr>
      </w:pPr>
    </w:p>
    <w:p>
      <w:pPr>
        <w:ind w:left="20"/>
        <w:spacing w:after="0" w:line="286" w:lineRule="auto"/>
        <w:rPr>
          <w:sz w:val="20"/>
          <w:szCs w:val="20"/>
          <w:color w:val="auto"/>
        </w:rPr>
      </w:pPr>
      <w:r>
        <w:rPr>
          <w:rFonts w:ascii="Arial" w:cs="Arial" w:eastAsia="Arial" w:hAnsi="Arial"/>
          <w:sz w:val="16"/>
          <w:szCs w:val="16"/>
          <w:color w:val="auto"/>
        </w:rPr>
        <w:t>The Lessee shall submit a deposit in an amount equal to three (3) months of Rent to the Lessor (the “</w:t>
      </w:r>
      <w:r>
        <w:rPr>
          <w:rFonts w:ascii="Arial" w:cs="Arial" w:eastAsia="Arial" w:hAnsi="Arial"/>
          <w:sz w:val="16"/>
          <w:szCs w:val="16"/>
          <w:b w:val="1"/>
          <w:bCs w:val="1"/>
          <w:color w:val="auto"/>
        </w:rPr>
        <w:t>Deposit</w:t>
      </w:r>
      <w:r>
        <w:rPr>
          <w:rFonts w:ascii="Arial" w:cs="Arial" w:eastAsia="Arial" w:hAnsi="Arial"/>
          <w:sz w:val="16"/>
          <w:szCs w:val="16"/>
          <w:color w:val="auto"/>
        </w:rPr>
        <w:t xml:space="preserve">”) in accordance with the terms of Section 4.9 hereof, as security for the costs incurred by the Lessor which are the Lessee’s responsibility under this Lease and the faithful performance by the Lessee of the terms, covenants and conditions of this Lease during the Term. The Deposit will be returned by the Lessor to the Lessee within thirty (30) days of the end of the Term provided the Lessee shall have then complied with the provisions of Section 5.20 hereof and shall not otherwise then be in default hereunder, except that the Lessor may apply all or part of the Deposit as compensation for any loss or damage arising from the breach by the Lessee of any provision of this Lease. This right will not be construed to limit the Lessor’s other rights under this Agreement or under Applicable Law or to limit the amount recoverable by the Lessor for damages in respect of breaches by the Lessee of this Lease. If the Lessor uses all or part of the Deposit, the Lessee will, upon notification by the Lessor, remit to the Lessor the amount required to replenish the Deposit in respect of the amounts so applied. The Lessor will not be required to pay interest to the Lessee on any of the amounts paid to the Lessor or retained by it under this Section. The Lessor may deliver the Deposit to any purchaser of the Lessor’s interest in this Agreement, whereupon the Lessor will immediately be discharged from any further liability with respect to the Deposit. The Lessee will not assign, hypothecate or encumber its interest in the Deposit except in connection with a transfer permitted under Section 11.14 hereof, in which case the Lessee’s interest in the Deposit will be deemed to have been assigned to the assignee as of the date of the transfer. The Deposit will not be governed by the provisions of Articles 2283 and following of the </w:t>
      </w:r>
      <w:r>
        <w:rPr>
          <w:rFonts w:ascii="Arial" w:cs="Arial" w:eastAsia="Arial" w:hAnsi="Arial"/>
          <w:sz w:val="16"/>
          <w:szCs w:val="16"/>
          <w:i w:val="1"/>
          <w:iCs w:val="1"/>
          <w:color w:val="auto"/>
        </w:rPr>
        <w:t>Civil Code of Québec</w:t>
      </w:r>
      <w:r>
        <w:rPr>
          <w:rFonts w:ascii="Arial" w:cs="Arial" w:eastAsia="Arial" w:hAnsi="Arial"/>
          <w:sz w:val="16"/>
          <w:szCs w:val="16"/>
          <w:color w:val="auto"/>
        </w:rPr>
        <w:t xml:space="preserve"> and shall be considered as the property of the Lessor and not of the Lessee. In the event of bankruptcy, insolvency or liquidation of the Lessee, the Lessor shall immediately have the right to confiscate the Deposit and to retain it as owner without prejudice to all of the Lessor’s other rights and recourses.</w:t>
      </w:r>
    </w:p>
    <w:p>
      <w:pPr>
        <w:spacing w:after="0" w:line="31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6"/>
          <w:szCs w:val="16"/>
          <w:b w:val="1"/>
          <w:bCs w:val="1"/>
          <w:color w:val="auto"/>
        </w:rPr>
        <w:t>Prepaid Rent and Deposit</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Lessee shall remit to the Lessor the aggregate amount of $1,700,000.00 (as indicated below) applicable as follows:</w:t>
      </w:r>
    </w:p>
    <w:p>
      <w:pPr>
        <w:spacing w:after="0" w:line="131"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4.9.1</w:t>
      </w:r>
      <w:r>
        <w:rPr>
          <w:sz w:val="20"/>
          <w:szCs w:val="20"/>
          <w:color w:val="auto"/>
        </w:rPr>
        <w:tab/>
      </w:r>
      <w:r>
        <w:rPr>
          <w:rFonts w:ascii="Arial" w:cs="Arial" w:eastAsia="Arial" w:hAnsi="Arial"/>
          <w:sz w:val="16"/>
          <w:szCs w:val="16"/>
          <w:color w:val="auto"/>
        </w:rPr>
        <w:t>As to $343,649.86, as a security deposit to be dealt with in accordance with the terms of Section 4.8 hereof.</w:t>
      </w:r>
    </w:p>
    <w:p>
      <w:pPr>
        <w:spacing w:after="0" w:line="131" w:lineRule="exact"/>
        <w:rPr>
          <w:sz w:val="20"/>
          <w:szCs w:val="20"/>
          <w:color w:val="auto"/>
        </w:rPr>
      </w:pPr>
    </w:p>
    <w:p>
      <w:pPr>
        <w:ind w:left="1100" w:right="140" w:hanging="539"/>
        <w:spacing w:after="0" w:line="277" w:lineRule="auto"/>
        <w:tabs>
          <w:tab w:leader="none" w:pos="1080" w:val="left"/>
        </w:tabs>
        <w:rPr>
          <w:sz w:val="20"/>
          <w:szCs w:val="20"/>
          <w:color w:val="auto"/>
        </w:rPr>
      </w:pPr>
      <w:r>
        <w:rPr>
          <w:rFonts w:ascii="Arial" w:cs="Arial" w:eastAsia="Arial" w:hAnsi="Arial"/>
          <w:sz w:val="18"/>
          <w:szCs w:val="18"/>
          <w:color w:val="auto"/>
        </w:rPr>
        <w:t>4.9.2</w:t>
        <w:tab/>
        <w:t>as to $1,356,350.14, as pre-paid Rent to the extent of $56,514.59 per month for the twenty-four (24) consecutive months as of the Commencement Date.</w:t>
      </w:r>
    </w:p>
    <w:p>
      <w:pPr>
        <w:spacing w:after="0" w:line="76" w:lineRule="exact"/>
        <w:rPr>
          <w:sz w:val="20"/>
          <w:szCs w:val="20"/>
          <w:color w:val="auto"/>
        </w:rPr>
      </w:pPr>
    </w:p>
    <w:p>
      <w:pPr>
        <w:ind w:left="1100" w:right="20" w:hanging="539"/>
        <w:spacing w:after="0" w:line="293" w:lineRule="auto"/>
        <w:tabs>
          <w:tab w:leader="none" w:pos="1080" w:val="left"/>
        </w:tabs>
        <w:rPr>
          <w:sz w:val="20"/>
          <w:szCs w:val="20"/>
          <w:color w:val="auto"/>
        </w:rPr>
      </w:pPr>
      <w:r>
        <w:rPr>
          <w:rFonts w:ascii="Arial" w:cs="Arial" w:eastAsia="Arial" w:hAnsi="Arial"/>
          <w:sz w:val="18"/>
          <w:szCs w:val="18"/>
          <w:color w:val="auto"/>
        </w:rPr>
        <w:t>4.9.3</w:t>
      </w:r>
      <w:r>
        <w:rPr>
          <w:sz w:val="20"/>
          <w:szCs w:val="20"/>
          <w:color w:val="auto"/>
        </w:rPr>
        <w:tab/>
      </w:r>
      <w:r>
        <w:rPr>
          <w:rFonts w:ascii="Arial" w:cs="Arial" w:eastAsia="Arial" w:hAnsi="Arial"/>
          <w:sz w:val="16"/>
          <w:szCs w:val="16"/>
          <w:color w:val="auto"/>
        </w:rPr>
        <w:t>The Lessee shall remit to the Lessor on the Effective Date the amount of $850,000.00 and an irrevocable letter of credit issued by a Canadian chartered bank in the amount of $850,000.00 with an expiry date of not less than one (1) year. The Lessee shall remit to the Lessor on February 1, 2020 the amount of $850,000.00 and the Lessor shall contemporaneously therewith remit the said letter of credit. In the event the Lessee fails or omits to remit the amount of $850,000.00 on February 1, 2020, the Lessor shall be entitled to hold the letter of credit and draw on it on or before the expiry of the terms thereof (unless the Lessee shall have remitted such amount prior thereto) and apply the proceeds thereof in accordance with this section.</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60" w:top="269" w:right="459" w:bottom="1440" w:gutter="0" w:footer="0" w:header="0"/>
        </w:sectPr>
      </w:pPr>
    </w:p>
    <w:bookmarkStart w:id="522" w:name="page523"/>
    <w:bookmarkEnd w:id="522"/>
    <w:p>
      <w:pPr>
        <w:ind w:left="424" w:hanging="424"/>
        <w:spacing w:after="0"/>
        <w:tabs>
          <w:tab w:leader="none" w:pos="424"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LESSEE’S OBLIGATIONS</w:t>
      </w:r>
    </w:p>
    <w:p>
      <w:pPr>
        <w:spacing w:after="0" w:line="130"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5.1   Use of Leased Premises</w:t>
      </w:r>
    </w:p>
    <w:p>
      <w:pPr>
        <w:spacing w:after="0" w:line="135" w:lineRule="exact"/>
        <w:rPr>
          <w:sz w:val="20"/>
          <w:szCs w:val="20"/>
          <w:color w:val="auto"/>
        </w:rPr>
      </w:pPr>
    </w:p>
    <w:p>
      <w:pPr>
        <w:ind w:left="1524" w:right="40" w:hanging="539"/>
        <w:spacing w:after="0" w:line="296" w:lineRule="auto"/>
        <w:tabs>
          <w:tab w:leader="none" w:pos="1504"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The Lessee shall use the Leased Premises solely and exclusively for scientific research, development activities, laboratory use and/or office space in connection thereof including marketing and market development and shall comply with all requirements of all Applicable Laws. The Lessee’s activities in the Leased Premises shall consist of a minimum of 30% research and development activities. The Leased Premises may not be used for any other purposes without the written consent of the Lessor, failing which the Lessor is entitled to automatically terminate the Lease. Exterior storage is not permitted on any grounds of the Building.</w:t>
      </w:r>
    </w:p>
    <w:p>
      <w:pPr>
        <w:spacing w:after="0" w:line="67" w:lineRule="exact"/>
        <w:rPr>
          <w:sz w:val="20"/>
          <w:szCs w:val="20"/>
          <w:color w:val="auto"/>
        </w:rPr>
      </w:pPr>
    </w:p>
    <w:p>
      <w:pPr>
        <w:ind w:left="1524" w:hanging="539"/>
        <w:spacing w:after="0" w:line="269" w:lineRule="auto"/>
        <w:tabs>
          <w:tab w:leader="none" w:pos="1504"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7"/>
          <w:szCs w:val="17"/>
          <w:color w:val="auto"/>
        </w:rPr>
        <w:t xml:space="preserve">Notwithstanding any provision to the contrary, the Lessee shall not run any business or use, allow or tolerate the use of the Leased Premises or any part thereof for any activity that in the opinion of the Lessor would tarnish the character, quality or reputation of the Lessor or the Building, or for any fraudulent or immoral practice, or carry out in the Leased Premises any activity that would be dangerous or harmful or would do anything whatsoever that could hinder the peaceable enjoyment of the other tenants or occupants of the Building or make noise or create foul odors that could inconvenience the other tenants or occupants or neighbors, or create or tolerate any losses or damages, alteration or deterioration of the Leased Premises or the Building or overload the floors in such a way as to jeopardize the structure of the Building. The Lessee, shall not, in any manner whatsoever, hold the Lessor liable for any damages or inconveniences that the Lessee may suffer due to the fault or actions of any other tenant or occupant of the Building, and the Lessee expressly waives all claims and recourses it may or could have in respect of the Lessor pursuant to Sections 1859 and 1861 of the </w:t>
      </w:r>
      <w:r>
        <w:rPr>
          <w:rFonts w:ascii="Arial" w:cs="Arial" w:eastAsia="Arial" w:hAnsi="Arial"/>
          <w:sz w:val="17"/>
          <w:szCs w:val="17"/>
          <w:i w:val="1"/>
          <w:iCs w:val="1"/>
          <w:color w:val="auto"/>
        </w:rPr>
        <w:t>Civil Code of Québec</w:t>
      </w:r>
      <w:r>
        <w:rPr>
          <w:rFonts w:ascii="Arial" w:cs="Arial" w:eastAsia="Arial" w:hAnsi="Arial"/>
          <w:sz w:val="17"/>
          <w:szCs w:val="17"/>
          <w:color w:val="auto"/>
        </w:rPr>
        <w:t>.</w:t>
      </w:r>
    </w:p>
    <w:p>
      <w:pPr>
        <w:spacing w:after="0" w:line="91" w:lineRule="exact"/>
        <w:rPr>
          <w:sz w:val="20"/>
          <w:szCs w:val="20"/>
          <w:color w:val="auto"/>
        </w:rPr>
      </w:pPr>
    </w:p>
    <w:p>
      <w:pPr>
        <w:ind w:left="1524" w:right="20" w:hanging="539"/>
        <w:spacing w:after="0" w:line="275" w:lineRule="auto"/>
        <w:tabs>
          <w:tab w:leader="none" w:pos="1504"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7"/>
          <w:szCs w:val="17"/>
          <w:color w:val="auto"/>
        </w:rPr>
        <w:t>The Lessee acknowledges that the Lessor makes no representations or warranties that the Leased Premises may legally be used for activities carried out by the Lessee, notwithstanding the fact that such use complies with Sub-Section 5.1.1 of this Lease. It is the Lessee’s sole responsibility to obtain any permits, licenses or authorizations required by the relevant administrative authorities, civil servants, or relevant government officials. Notwithstanding the generality of the foregoing, the Lessee is not entitled to invoke inability to obtain any permits, licenses or authorizations as a basis for terminating this Lease.</w:t>
      </w:r>
    </w:p>
    <w:p>
      <w:pPr>
        <w:spacing w:after="0" w:line="321"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Maintenance</w:t>
      </w:r>
    </w:p>
    <w:p>
      <w:pPr>
        <w:spacing w:after="0" w:line="121" w:lineRule="exact"/>
        <w:rPr>
          <w:sz w:val="20"/>
          <w:szCs w:val="20"/>
          <w:color w:val="auto"/>
        </w:rPr>
      </w:pPr>
    </w:p>
    <w:p>
      <w:pPr>
        <w:ind w:left="444" w:right="540"/>
        <w:spacing w:after="0" w:line="308" w:lineRule="auto"/>
        <w:rPr>
          <w:sz w:val="20"/>
          <w:szCs w:val="20"/>
          <w:color w:val="auto"/>
        </w:rPr>
      </w:pPr>
      <w:r>
        <w:rPr>
          <w:rFonts w:ascii="Arial" w:cs="Arial" w:eastAsia="Arial" w:hAnsi="Arial"/>
          <w:sz w:val="17"/>
          <w:szCs w:val="17"/>
          <w:color w:val="auto"/>
        </w:rPr>
        <w:t>The Lessee undertakes to keep the Leased Premises clean and in good order and condition at all time during the Term. Notwithstanding the foregoing, the regular cleaning of the Leased Premises and the Building shall be conducted by the Lessor.</w:t>
      </w:r>
    </w:p>
    <w:p>
      <w:pPr>
        <w:spacing w:after="0" w:line="291"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3"/>
          <w:szCs w:val="13"/>
          <w:b w:val="1"/>
          <w:bCs w:val="1"/>
          <w:color w:val="auto"/>
        </w:rPr>
        <w:t>Access</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69" w:right="459" w:bottom="1440" w:gutter="0" w:footer="0" w:header="0"/>
        </w:sectPr>
      </w:pPr>
    </w:p>
    <w:bookmarkStart w:id="523" w:name="page524"/>
    <w:bookmarkEnd w:id="523"/>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Lessee will have access to the Leased Premises 24 hours a day, 365 days a year.</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Occupancy Limit</w:t>
      </w:r>
    </w:p>
    <w:p>
      <w:pPr>
        <w:spacing w:after="0" w:line="117" w:lineRule="exact"/>
        <w:rPr>
          <w:sz w:val="20"/>
          <w:szCs w:val="20"/>
          <w:color w:val="auto"/>
        </w:rPr>
      </w:pPr>
    </w:p>
    <w:p>
      <w:pPr>
        <w:ind w:left="20" w:right="460"/>
        <w:spacing w:after="0" w:line="282" w:lineRule="auto"/>
        <w:rPr>
          <w:sz w:val="20"/>
          <w:szCs w:val="20"/>
          <w:color w:val="auto"/>
        </w:rPr>
      </w:pPr>
      <w:r>
        <w:rPr>
          <w:rFonts w:ascii="Arial" w:cs="Arial" w:eastAsia="Arial" w:hAnsi="Arial"/>
          <w:sz w:val="18"/>
          <w:szCs w:val="18"/>
          <w:color w:val="auto"/>
        </w:rPr>
        <w:t xml:space="preserve">The Lessee undertakes and agrees not to have more than the number of persons indicated in </w:t>
      </w:r>
      <w:r>
        <w:rPr>
          <w:rFonts w:ascii="Arial" w:cs="Arial" w:eastAsia="Arial" w:hAnsi="Arial"/>
          <w:sz w:val="18"/>
          <w:szCs w:val="18"/>
          <w:b w:val="1"/>
          <w:bCs w:val="1"/>
          <w:color w:val="auto"/>
        </w:rPr>
        <w:t>Schedule A</w:t>
      </w:r>
      <w:r>
        <w:rPr>
          <w:rFonts w:ascii="Arial" w:cs="Arial" w:eastAsia="Arial" w:hAnsi="Arial"/>
          <w:sz w:val="18"/>
          <w:szCs w:val="18"/>
          <w:color w:val="auto"/>
        </w:rPr>
        <w:t xml:space="preserve"> in the Leased Premises at any given moment, except in exceptional circumstances.</w:t>
      </w:r>
    </w:p>
    <w:p>
      <w:pPr>
        <w:spacing w:after="0" w:line="31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Parking Space</w:t>
      </w:r>
    </w:p>
    <w:p>
      <w:pPr>
        <w:spacing w:after="0" w:line="135" w:lineRule="exact"/>
        <w:rPr>
          <w:sz w:val="20"/>
          <w:szCs w:val="20"/>
          <w:color w:val="auto"/>
        </w:rPr>
      </w:pPr>
    </w:p>
    <w:p>
      <w:pPr>
        <w:ind w:left="1100" w:right="20" w:hanging="539"/>
        <w:spacing w:after="0" w:line="301" w:lineRule="auto"/>
        <w:tabs>
          <w:tab w:leader="none" w:pos="1080" w:val="left"/>
        </w:tabs>
        <w:rPr>
          <w:sz w:val="20"/>
          <w:szCs w:val="20"/>
          <w:color w:val="auto"/>
        </w:rPr>
      </w:pPr>
      <w:r>
        <w:rPr>
          <w:rFonts w:ascii="Arial" w:cs="Arial" w:eastAsia="Arial" w:hAnsi="Arial"/>
          <w:sz w:val="18"/>
          <w:szCs w:val="18"/>
          <w:color w:val="auto"/>
        </w:rPr>
        <w:t>5.5.1</w:t>
      </w:r>
      <w:r>
        <w:rPr>
          <w:sz w:val="20"/>
          <w:szCs w:val="20"/>
          <w:color w:val="auto"/>
        </w:rPr>
        <w:tab/>
      </w:r>
      <w:r>
        <w:rPr>
          <w:rFonts w:ascii="Arial" w:cs="Arial" w:eastAsia="Arial" w:hAnsi="Arial"/>
          <w:sz w:val="16"/>
          <w:szCs w:val="16"/>
          <w:color w:val="auto"/>
        </w:rPr>
        <w:t xml:space="preserve">The Lessee shall have, for the duration of the Term, the exclusive use of 30 parking spaces which shall be located in the area shown on the site plan attached hereto as </w:t>
      </w:r>
      <w:r>
        <w:rPr>
          <w:rFonts w:ascii="Arial" w:cs="Arial" w:eastAsia="Arial" w:hAnsi="Arial"/>
          <w:sz w:val="16"/>
          <w:szCs w:val="16"/>
          <w:b w:val="1"/>
          <w:bCs w:val="1"/>
          <w:color w:val="auto"/>
        </w:rPr>
        <w:t>Appendix 5.5</w:t>
      </w:r>
      <w:r>
        <w:rPr>
          <w:rFonts w:ascii="Arial" w:cs="Arial" w:eastAsia="Arial" w:hAnsi="Arial"/>
          <w:sz w:val="16"/>
          <w:szCs w:val="16"/>
          <w:color w:val="auto"/>
        </w:rPr>
        <w:t>, at no additional charge, which parking spaces shall be identified by the Lessor from time to time during the duration of the Term and shall be usable by any of Lessee’s employees and visitors. During the Term of the Lease, the Lessee undertakes to ensure that its employees and visitors park their vehicles in such 30 parking spaces.</w:t>
      </w:r>
    </w:p>
    <w:p>
      <w:pPr>
        <w:spacing w:after="0" w:line="3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Rules</w:t>
      </w:r>
    </w:p>
    <w:p>
      <w:pPr>
        <w:spacing w:after="0" w:line="117" w:lineRule="exact"/>
        <w:rPr>
          <w:sz w:val="20"/>
          <w:szCs w:val="20"/>
          <w:color w:val="auto"/>
        </w:rPr>
      </w:pPr>
    </w:p>
    <w:p>
      <w:pPr>
        <w:ind w:left="20" w:right="60"/>
        <w:spacing w:after="0" w:line="292" w:lineRule="auto"/>
        <w:rPr>
          <w:sz w:val="20"/>
          <w:szCs w:val="20"/>
          <w:color w:val="auto"/>
        </w:rPr>
      </w:pPr>
      <w:r>
        <w:rPr>
          <w:rFonts w:ascii="Arial" w:cs="Arial" w:eastAsia="Arial" w:hAnsi="Arial"/>
          <w:sz w:val="16"/>
          <w:szCs w:val="16"/>
          <w:color w:val="auto"/>
        </w:rPr>
        <w:t xml:space="preserve">The Lessee undertakes to observe and apply the regulation appended hereto as </w:t>
      </w:r>
      <w:r>
        <w:rPr>
          <w:rFonts w:ascii="Arial" w:cs="Arial" w:eastAsia="Arial" w:hAnsi="Arial"/>
          <w:sz w:val="16"/>
          <w:szCs w:val="16"/>
          <w:b w:val="1"/>
          <w:bCs w:val="1"/>
          <w:color w:val="auto"/>
        </w:rPr>
        <w:t>Appendix 5.6</w:t>
      </w:r>
      <w:r>
        <w:rPr>
          <w:rFonts w:ascii="Arial" w:cs="Arial" w:eastAsia="Arial" w:hAnsi="Arial"/>
          <w:sz w:val="16"/>
          <w:szCs w:val="16"/>
          <w:color w:val="auto"/>
        </w:rPr>
        <w:t xml:space="preserve"> as may be modified by Lessor from time to time and any other subsequent regulations that the Lessor may deem it necessary or desirable to enact for, notably, the good reputation or cleanliness of the Building, the Common Facilities and the Leased Premises, for the use of and access to the Common Facilities, and for the handling, security and confinement of products inside the Building, the Common Facilities and the Leased Premises (the “</w:t>
      </w:r>
      <w:r>
        <w:rPr>
          <w:rFonts w:ascii="Arial" w:cs="Arial" w:eastAsia="Arial" w:hAnsi="Arial"/>
          <w:sz w:val="16"/>
          <w:szCs w:val="16"/>
          <w:b w:val="1"/>
          <w:bCs w:val="1"/>
          <w:color w:val="auto"/>
        </w:rPr>
        <w:t>Rules</w:t>
      </w:r>
      <w:r>
        <w:rPr>
          <w:rFonts w:ascii="Arial" w:cs="Arial" w:eastAsia="Arial" w:hAnsi="Arial"/>
          <w:sz w:val="16"/>
          <w:szCs w:val="16"/>
          <w:color w:val="auto"/>
        </w:rPr>
        <w:t>”). Such Rules, in addition to reasonable amendments, additions and changes that the Lessor may make and for which the Lessee shall receive a notice, shall be deemed to form an integral part of this Lease and shall be observed, followed and respected during the Lease Term in the same manner as all the other terms and conditions contained and stipulated herein. In case of conflict between the provisions of the Lease and the Rules, the provisions of the Lease shall prevail.</w:t>
      </w:r>
    </w:p>
    <w:p>
      <w:pPr>
        <w:spacing w:after="0" w:line="31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color w:val="auto"/>
        </w:rPr>
        <w:t>Visitors</w:t>
      </w:r>
    </w:p>
    <w:p>
      <w:pPr>
        <w:spacing w:after="0" w:line="121" w:lineRule="exact"/>
        <w:rPr>
          <w:sz w:val="20"/>
          <w:szCs w:val="20"/>
          <w:color w:val="auto"/>
        </w:rPr>
      </w:pPr>
    </w:p>
    <w:p>
      <w:pPr>
        <w:ind w:left="20" w:right="20"/>
        <w:spacing w:after="0" w:line="277" w:lineRule="auto"/>
        <w:rPr>
          <w:sz w:val="20"/>
          <w:szCs w:val="20"/>
          <w:color w:val="auto"/>
        </w:rPr>
      </w:pPr>
      <w:r>
        <w:rPr>
          <w:rFonts w:ascii="Arial" w:cs="Arial" w:eastAsia="Arial" w:hAnsi="Arial"/>
          <w:sz w:val="18"/>
          <w:szCs w:val="18"/>
          <w:color w:val="auto"/>
        </w:rPr>
        <w:t>It is hereby understood and agreed that authorized visitors will be allowed access to the Leased Premises and Common Facilities if they stay under the Lessee supervision. In all cases, the Lessee has full responsibility of visitors to whom he has given access.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 all times, the Lessee must apply the security procedures established by the Lessor.</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b w:val="1"/>
          <w:bCs w:val="1"/>
          <w:color w:val="auto"/>
        </w:rPr>
        <w:t>Insurance</w:t>
      </w:r>
    </w:p>
    <w:p>
      <w:pPr>
        <w:spacing w:after="0" w:line="135" w:lineRule="exact"/>
        <w:rPr>
          <w:sz w:val="20"/>
          <w:szCs w:val="20"/>
          <w:color w:val="auto"/>
        </w:rPr>
      </w:pPr>
    </w:p>
    <w:p>
      <w:pPr>
        <w:ind w:left="1100" w:hanging="539"/>
        <w:spacing w:after="0" w:line="311" w:lineRule="auto"/>
        <w:tabs>
          <w:tab w:leader="none" w:pos="1080" w:val="left"/>
        </w:tabs>
        <w:rPr>
          <w:sz w:val="20"/>
          <w:szCs w:val="20"/>
          <w:color w:val="auto"/>
        </w:rPr>
      </w:pPr>
      <w:r>
        <w:rPr>
          <w:rFonts w:ascii="Arial" w:cs="Arial" w:eastAsia="Arial" w:hAnsi="Arial"/>
          <w:sz w:val="18"/>
          <w:szCs w:val="18"/>
          <w:color w:val="auto"/>
        </w:rPr>
        <w:t>5.8.1</w:t>
      </w:r>
      <w:r>
        <w:rPr>
          <w:sz w:val="20"/>
          <w:szCs w:val="20"/>
          <w:color w:val="auto"/>
        </w:rPr>
        <w:tab/>
      </w:r>
      <w:r>
        <w:rPr>
          <w:rFonts w:ascii="Arial" w:cs="Arial" w:eastAsia="Arial" w:hAnsi="Arial"/>
          <w:sz w:val="16"/>
          <w:szCs w:val="16"/>
          <w:color w:val="auto"/>
        </w:rPr>
        <w:t>The Lessee shall, at its own expense, during the entire Lease Term, maintain in effect the insurance policies mentioned herein, issued by recognized insurers, which policies shall have terms and conditions acceptable to the Lessor and name the Lessor and any other person, corporation or company named by it as the additional insured, in accordance with their respective interests.</w:t>
      </w:r>
    </w:p>
    <w:p>
      <w:pPr>
        <w:spacing w:after="0" w:line="54" w:lineRule="exact"/>
        <w:rPr>
          <w:sz w:val="20"/>
          <w:szCs w:val="20"/>
          <w:color w:val="auto"/>
        </w:rPr>
      </w:pPr>
    </w:p>
    <w:p>
      <w:pPr>
        <w:ind w:left="1100" w:right="280" w:hanging="539"/>
        <w:spacing w:after="0" w:line="277" w:lineRule="auto"/>
        <w:tabs>
          <w:tab w:leader="none" w:pos="1080" w:val="left"/>
        </w:tabs>
        <w:rPr>
          <w:sz w:val="20"/>
          <w:szCs w:val="20"/>
          <w:color w:val="auto"/>
        </w:rPr>
      </w:pPr>
      <w:r>
        <w:rPr>
          <w:rFonts w:ascii="Arial" w:cs="Arial" w:eastAsia="Arial" w:hAnsi="Arial"/>
          <w:sz w:val="18"/>
          <w:szCs w:val="18"/>
          <w:color w:val="auto"/>
        </w:rPr>
        <w:t>5.8.2</w:t>
        <w:tab/>
        <w:t>An “all risks” insurance policy for two million dollars ($2,000,000) against fire, equipment breakage, operating losses and other claims generally covered by such a policy, at all times covering the full</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600"/>
          </w:cols>
          <w:pgMar w:left="860" w:top="273" w:right="439" w:bottom="1440" w:gutter="0" w:footer="0" w:header="0"/>
        </w:sectPr>
      </w:pPr>
    </w:p>
    <w:bookmarkStart w:id="524" w:name="page525"/>
    <w:bookmarkEnd w:id="524"/>
    <w:p>
      <w:pPr>
        <w:jc w:val="both"/>
        <w:ind w:left="560"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replacement value of the Lessee’s assets in the Leased Premises, leasehold and other improvements made by the Lessee to the Leased Premises as well as any other asset for which the Lessee is legally responsible or assets installed by the Lessee or on its behalf on the Building.</w:t>
      </w:r>
    </w:p>
    <w:p>
      <w:pPr>
        <w:spacing w:after="0" w:line="89" w:lineRule="exact"/>
        <w:rPr>
          <w:sz w:val="20"/>
          <w:szCs w:val="20"/>
          <w:color w:val="auto"/>
        </w:rPr>
      </w:pPr>
    </w:p>
    <w:p>
      <w:pPr>
        <w:ind w:left="540" w:right="40" w:hanging="539"/>
        <w:spacing w:after="0" w:line="311" w:lineRule="auto"/>
        <w:tabs>
          <w:tab w:leader="none" w:pos="520" w:val="left"/>
        </w:tabs>
        <w:rPr>
          <w:sz w:val="20"/>
          <w:szCs w:val="20"/>
          <w:color w:val="auto"/>
        </w:rPr>
      </w:pPr>
      <w:r>
        <w:rPr>
          <w:rFonts w:ascii="Arial" w:cs="Arial" w:eastAsia="Arial" w:hAnsi="Arial"/>
          <w:sz w:val="18"/>
          <w:szCs w:val="18"/>
          <w:color w:val="auto"/>
        </w:rPr>
        <w:t>5.8.3</w:t>
      </w:r>
      <w:r>
        <w:rPr>
          <w:sz w:val="20"/>
          <w:szCs w:val="20"/>
          <w:color w:val="auto"/>
        </w:rPr>
        <w:tab/>
      </w:r>
      <w:r>
        <w:rPr>
          <w:rFonts w:ascii="Arial" w:cs="Arial" w:eastAsia="Arial" w:hAnsi="Arial"/>
          <w:sz w:val="16"/>
          <w:szCs w:val="16"/>
          <w:color w:val="auto"/>
        </w:rPr>
        <w:t>A public liability insurance policy covering bodily injury, property damage, any liability assumed by the Lessee pursuant hereto and any liability arising from activities carried out by the Lessee and any other person in the Leased Premises, and work performed by the Lessee or by any other person, including persons for whom the Lessee is legally responsible, in any part of the Building.</w:t>
      </w:r>
    </w:p>
    <w:p>
      <w:pPr>
        <w:spacing w:after="0" w:line="4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This policy shall be taken out for an inclusive limit of no less than two million dollars ($2,000,000) for each claim involving bodily injury, death or property damage, or for a higher amount, which amount the Lessor may reasonably require, from time to time.</w:t>
      </w:r>
    </w:p>
    <w:p>
      <w:pPr>
        <w:spacing w:after="0" w:line="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5.8.4</w:t>
      </w:r>
      <w:r>
        <w:rPr>
          <w:sz w:val="20"/>
          <w:szCs w:val="20"/>
          <w:color w:val="auto"/>
        </w:rPr>
        <w:tab/>
      </w:r>
      <w:r>
        <w:rPr>
          <w:rFonts w:ascii="Arial" w:cs="Arial" w:eastAsia="Arial" w:hAnsi="Arial"/>
          <w:sz w:val="16"/>
          <w:szCs w:val="16"/>
          <w:color w:val="auto"/>
        </w:rPr>
        <w:t>A business interruption insurance for an indemnity period of three (3) months.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5.8.5</w:t>
      </w:r>
      <w:r>
        <w:rPr>
          <w:sz w:val="20"/>
          <w:szCs w:val="20"/>
          <w:color w:val="auto"/>
        </w:rPr>
        <w:tab/>
      </w:r>
      <w:r>
        <w:rPr>
          <w:rFonts w:ascii="Arial" w:cs="Arial" w:eastAsia="Arial" w:hAnsi="Arial"/>
          <w:sz w:val="16"/>
          <w:szCs w:val="16"/>
          <w:color w:val="auto"/>
        </w:rPr>
        <w:t>Any other insurance policy that the Lessor may reasonably require, from time to time.</w:t>
      </w:r>
    </w:p>
    <w:p>
      <w:pPr>
        <w:spacing w:after="0" w:line="131" w:lineRule="exact"/>
        <w:rPr>
          <w:sz w:val="20"/>
          <w:szCs w:val="20"/>
          <w:color w:val="auto"/>
        </w:rPr>
      </w:pPr>
    </w:p>
    <w:p>
      <w:pPr>
        <w:ind w:left="540" w:right="20" w:hanging="539"/>
        <w:spacing w:after="0" w:line="301" w:lineRule="auto"/>
        <w:tabs>
          <w:tab w:leader="none" w:pos="520" w:val="left"/>
        </w:tabs>
        <w:rPr>
          <w:sz w:val="20"/>
          <w:szCs w:val="20"/>
          <w:color w:val="auto"/>
        </w:rPr>
      </w:pPr>
      <w:r>
        <w:rPr>
          <w:rFonts w:ascii="Arial" w:cs="Arial" w:eastAsia="Arial" w:hAnsi="Arial"/>
          <w:sz w:val="18"/>
          <w:szCs w:val="18"/>
          <w:color w:val="auto"/>
        </w:rPr>
        <w:t>5.8.6</w:t>
      </w:r>
      <w:r>
        <w:rPr>
          <w:sz w:val="20"/>
          <w:szCs w:val="20"/>
          <w:color w:val="auto"/>
        </w:rPr>
        <w:tab/>
      </w:r>
      <w:r>
        <w:rPr>
          <w:rFonts w:ascii="Arial" w:cs="Arial" w:eastAsia="Arial" w:hAnsi="Arial"/>
          <w:sz w:val="16"/>
          <w:szCs w:val="16"/>
          <w:color w:val="auto"/>
        </w:rPr>
        <w:t>The Lessee shall not take any action, do anything whatsoever or keep in or close to the Leased Premises or the Building any product that could increase the risk of fire or increase the insurance premiums covering the Building. Under no circumstances shall the Lessee bring or keep in the Leased Premises flammable, explosive, hazardous or contaminated materials, unless used for its research and development activities as permitted under Section 5.1 and in compliance with all Applicable Laws and Section 5.10.5.</w:t>
      </w:r>
    </w:p>
    <w:p>
      <w:pPr>
        <w:spacing w:after="0" w:line="63" w:lineRule="exact"/>
        <w:rPr>
          <w:sz w:val="20"/>
          <w:szCs w:val="20"/>
          <w:color w:val="auto"/>
        </w:rPr>
      </w:pPr>
    </w:p>
    <w:p>
      <w:pPr>
        <w:ind w:left="540" w:right="80" w:hanging="539"/>
        <w:spacing w:after="0" w:line="257" w:lineRule="auto"/>
        <w:tabs>
          <w:tab w:leader="none" w:pos="520" w:val="left"/>
        </w:tabs>
        <w:rPr>
          <w:sz w:val="20"/>
          <w:szCs w:val="20"/>
          <w:color w:val="auto"/>
        </w:rPr>
      </w:pPr>
      <w:r>
        <w:rPr>
          <w:rFonts w:ascii="Arial" w:cs="Arial" w:eastAsia="Arial" w:hAnsi="Arial"/>
          <w:sz w:val="18"/>
          <w:szCs w:val="18"/>
          <w:color w:val="auto"/>
        </w:rPr>
        <w:t>5.8.7</w:t>
        <w:tab/>
        <w:t>In the event of an increase in the insurance premiums of the Lessor with respect to any of the policies covering or pertaining to the Building due to the violation of the provisions of the Lease by the Lessee, or due to the nature of the Lessee’s business in the Leased Premises, the Lessor, in addition to its other recourses, may pay the increased premium, which premium plus ten percent (10%) in administration charges the Lessee shall promptly repay the Lessor as additional rent, on receipt of a statement of account to this effect.</w:t>
      </w:r>
    </w:p>
    <w:p>
      <w:pPr>
        <w:spacing w:after="0" w:line="93" w:lineRule="exact"/>
        <w:rPr>
          <w:sz w:val="20"/>
          <w:szCs w:val="20"/>
          <w:color w:val="auto"/>
        </w:rPr>
      </w:pPr>
    </w:p>
    <w:p>
      <w:pPr>
        <w:ind w:left="540" w:hanging="539"/>
        <w:spacing w:after="0" w:line="272" w:lineRule="auto"/>
        <w:tabs>
          <w:tab w:leader="none" w:pos="520" w:val="left"/>
        </w:tabs>
        <w:rPr>
          <w:sz w:val="20"/>
          <w:szCs w:val="20"/>
          <w:color w:val="auto"/>
        </w:rPr>
      </w:pPr>
      <w:r>
        <w:rPr>
          <w:rFonts w:ascii="Arial" w:cs="Arial" w:eastAsia="Arial" w:hAnsi="Arial"/>
          <w:sz w:val="18"/>
          <w:szCs w:val="18"/>
          <w:color w:val="auto"/>
        </w:rPr>
        <w:t>5.8.8</w:t>
      </w:r>
      <w:r>
        <w:rPr>
          <w:sz w:val="20"/>
          <w:szCs w:val="20"/>
          <w:color w:val="auto"/>
        </w:rPr>
        <w:tab/>
      </w:r>
      <w:r>
        <w:rPr>
          <w:rFonts w:ascii="Arial" w:cs="Arial" w:eastAsia="Arial" w:hAnsi="Arial"/>
          <w:sz w:val="17"/>
          <w:szCs w:val="17"/>
          <w:color w:val="auto"/>
        </w:rPr>
        <w:t>Prior to the Effective Date of this Lease, and thereafter, the Lessee shall provide the Lessor with certificates attesting to the issuance and maintenance in effect of all insurance policies required pursuant hereto, immediately after the issuance of such insurance policies. If the Lessee fails to take out the insurance policy stipulated herein, to pay the applicable premiums or provide the aforementioned required certificates, the Lessor may, five (5) business days following a written notice to the Lessee to this effect, take out the required insurance policies on its own behalf and that of the Lessee, for a period not exceeding one year and pay the applicable premiums, if applicable, which premiums plus ten percent (10%) in administration charges the Lessee shall promptly repay the Lessor as additional rent, on receipt of a statement of account to this effect.</w:t>
      </w:r>
    </w:p>
    <w:p>
      <w:pPr>
        <w:spacing w:after="0" w:line="11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020"/>
          </w:cols>
          <w:pgMar w:left="1420" w:top="273" w:right="459" w:bottom="1440" w:gutter="0" w:footer="0" w:header="0"/>
        </w:sectPr>
      </w:pPr>
    </w:p>
    <w:bookmarkStart w:id="525" w:name="page526"/>
    <w:bookmarkEnd w:id="525"/>
    <w:p>
      <w:pPr>
        <w:ind w:left="560"/>
        <w:spacing w:after="0"/>
        <w:tabs>
          <w:tab w:leader="none" w:pos="1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5.8.9</w:t>
      </w:r>
      <w:r>
        <w:rPr>
          <w:sz w:val="20"/>
          <w:szCs w:val="20"/>
          <w:color w:val="auto"/>
        </w:rPr>
        <w:tab/>
      </w:r>
      <w:r>
        <w:rPr>
          <w:rFonts w:ascii="Arial" w:cs="Arial" w:eastAsia="Arial" w:hAnsi="Arial"/>
          <w:sz w:val="16"/>
          <w:szCs w:val="16"/>
          <w:color w:val="auto"/>
        </w:rPr>
        <w:t>The Lessor shall maintain the required insurance policies in effect during the entire Term pursuant to this Lease.</w:t>
      </w:r>
    </w:p>
    <w:p>
      <w:pPr>
        <w:spacing w:after="0" w:line="131" w:lineRule="exact"/>
        <w:rPr>
          <w:sz w:val="20"/>
          <w:szCs w:val="20"/>
          <w:color w:val="auto"/>
        </w:rPr>
      </w:pPr>
    </w:p>
    <w:p>
      <w:pPr>
        <w:ind w:left="1100" w:hanging="539"/>
        <w:spacing w:after="0" w:line="259" w:lineRule="auto"/>
        <w:rPr>
          <w:sz w:val="20"/>
          <w:szCs w:val="20"/>
          <w:color w:val="auto"/>
        </w:rPr>
      </w:pPr>
      <w:r>
        <w:rPr>
          <w:rFonts w:ascii="Arial" w:cs="Arial" w:eastAsia="Arial" w:hAnsi="Arial"/>
          <w:sz w:val="18"/>
          <w:szCs w:val="18"/>
          <w:color w:val="auto"/>
        </w:rPr>
        <w:t>5.8.10 The Lessee shall take out insurance coverage with companies duly authorized to conduct business in Canada and whose core business includes the insurance of such risks and to which the Lessor, which may, from time to time, hold hypothecary or other real rights to the property, has no reasonable objection, said insurance product being payable to said Parties according to their respective interests.</w:t>
      </w:r>
    </w:p>
    <w:p>
      <w:pPr>
        <w:spacing w:after="0" w:line="92" w:lineRule="exact"/>
        <w:rPr>
          <w:sz w:val="20"/>
          <w:szCs w:val="20"/>
          <w:color w:val="auto"/>
        </w:rPr>
      </w:pPr>
    </w:p>
    <w:p>
      <w:pPr>
        <w:ind w:left="1100" w:right="160" w:hanging="539"/>
        <w:spacing w:after="0" w:line="259" w:lineRule="auto"/>
        <w:rPr>
          <w:sz w:val="20"/>
          <w:szCs w:val="20"/>
          <w:color w:val="auto"/>
        </w:rPr>
      </w:pPr>
      <w:r>
        <w:rPr>
          <w:rFonts w:ascii="Arial" w:cs="Arial" w:eastAsia="Arial" w:hAnsi="Arial"/>
          <w:sz w:val="18"/>
          <w:szCs w:val="18"/>
          <w:color w:val="auto"/>
        </w:rPr>
        <w:t>5.8.11 All insurance policies shall be subject to the approval of the Lessor in respect of their form and content, which approval shall not be unreasonably withheld and shall contain a provision under which the insurers shall not be subrogated to the rights the Lessee may have against the Lessor in respect of the indemnities paid such that, in case of loss, the insurers have no recourse whatsoever either against the Lessor or the Lessee.</w:t>
      </w:r>
    </w:p>
    <w:p>
      <w:pPr>
        <w:spacing w:after="0" w:line="3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6"/>
          <w:szCs w:val="16"/>
          <w:b w:val="1"/>
          <w:bCs w:val="1"/>
          <w:color w:val="auto"/>
        </w:rPr>
        <w:t>Security Equipment</w:t>
      </w:r>
    </w:p>
    <w:p>
      <w:pPr>
        <w:spacing w:after="0" w:line="121" w:lineRule="exact"/>
        <w:rPr>
          <w:sz w:val="20"/>
          <w:szCs w:val="20"/>
          <w:color w:val="auto"/>
        </w:rPr>
      </w:pPr>
    </w:p>
    <w:p>
      <w:pPr>
        <w:ind w:left="20" w:right="260"/>
        <w:spacing w:after="0" w:line="277" w:lineRule="auto"/>
        <w:rPr>
          <w:sz w:val="20"/>
          <w:szCs w:val="20"/>
          <w:color w:val="auto"/>
        </w:rPr>
      </w:pPr>
      <w:r>
        <w:rPr>
          <w:rFonts w:ascii="Arial" w:cs="Arial" w:eastAsia="Arial" w:hAnsi="Arial"/>
          <w:sz w:val="18"/>
          <w:szCs w:val="18"/>
          <w:color w:val="auto"/>
        </w:rPr>
        <w:t>The Lessee undertakes and agrees not to temper with, alter, remove or otherwise disable any and all security equipment in the Leased Premises and in the Building, including, but not limited to fire prevention and detection equipment.</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6"/>
          <w:szCs w:val="16"/>
          <w:b w:val="1"/>
          <w:bCs w:val="1"/>
          <w:color w:val="auto"/>
        </w:rPr>
        <w:t>Environment</w:t>
      </w:r>
    </w:p>
    <w:p>
      <w:pPr>
        <w:spacing w:after="0" w:line="135" w:lineRule="exact"/>
        <w:rPr>
          <w:sz w:val="20"/>
          <w:szCs w:val="20"/>
          <w:color w:val="auto"/>
        </w:rPr>
      </w:pPr>
    </w:p>
    <w:p>
      <w:pPr>
        <w:ind w:left="1100" w:right="100" w:hanging="539"/>
        <w:spacing w:after="0" w:line="259" w:lineRule="auto"/>
        <w:rPr>
          <w:sz w:val="20"/>
          <w:szCs w:val="20"/>
          <w:color w:val="auto"/>
        </w:rPr>
      </w:pPr>
      <w:r>
        <w:rPr>
          <w:rFonts w:ascii="Arial" w:cs="Arial" w:eastAsia="Arial" w:hAnsi="Arial"/>
          <w:sz w:val="18"/>
          <w:szCs w:val="18"/>
          <w:color w:val="auto"/>
        </w:rPr>
        <w:t>5.10.1 The Lessee represents and warrants that it shall comply, at all times and at its expense, with any Applicable Laws aimed at regulating or protecting human health and safety or the environment or existing or imminent emissions, spills or discharges of Hazardous Materials into the environment or aimed at the treatment, warehousing, storage, elimination, transportation or handling of Hazardous Materials (hereinafter referred to as the “</w:t>
      </w:r>
      <w:r>
        <w:rPr>
          <w:rFonts w:ascii="Arial" w:cs="Arial" w:eastAsia="Arial" w:hAnsi="Arial"/>
          <w:sz w:val="18"/>
          <w:szCs w:val="18"/>
          <w:b w:val="1"/>
          <w:bCs w:val="1"/>
          <w:color w:val="auto"/>
        </w:rPr>
        <w:t>Environmental Laws</w:t>
      </w:r>
      <w:r>
        <w:rPr>
          <w:rFonts w:ascii="Arial" w:cs="Arial" w:eastAsia="Arial" w:hAnsi="Arial"/>
          <w:sz w:val="18"/>
          <w:szCs w:val="18"/>
          <w:color w:val="auto"/>
        </w:rPr>
        <w:t>”).</w:t>
      </w:r>
    </w:p>
    <w:p>
      <w:pPr>
        <w:spacing w:after="0" w:line="92" w:lineRule="exact"/>
        <w:rPr>
          <w:sz w:val="20"/>
          <w:szCs w:val="20"/>
          <w:color w:val="auto"/>
        </w:rPr>
      </w:pPr>
    </w:p>
    <w:p>
      <w:pPr>
        <w:ind w:left="1100" w:right="280" w:hanging="539"/>
        <w:spacing w:after="0" w:line="270" w:lineRule="auto"/>
        <w:rPr>
          <w:sz w:val="20"/>
          <w:szCs w:val="20"/>
          <w:color w:val="auto"/>
        </w:rPr>
      </w:pPr>
      <w:r>
        <w:rPr>
          <w:rFonts w:ascii="Arial" w:cs="Arial" w:eastAsia="Arial" w:hAnsi="Arial"/>
          <w:sz w:val="17"/>
          <w:szCs w:val="17"/>
          <w:color w:val="auto"/>
        </w:rPr>
        <w:t>5.10.2 Without limiting the scope of the foregoing and any other clause of this Lease, the Lessee undertakes to strictly comply with Environmental Laws in respect of the manufacture, processing, distribution, treatment, storage, warehousing, presence, transportation, use, disposal, pumping, injection, deposit, elimination, discharge, packaging, labelling, recycling, dispersion or leaching into the environment, leaking, spill, discharge, emanation, emission, deposit, handling, containment, clean-up or other remediation or corrective action of or in respect of any flammable liquid, explosive, solvent, contaminant, toxic substance or hazardous material or waste, including any chemical or other products included in the definition of “hazardous materials,” “hazardous waste,” “highly hazardous waste,” “quasi-hazardous waste,” “toxic substances,” “toxic pollutants,” “contaminants,” “pollutants,” “harmful products,” or terms with similar meanings in any Environmental Law (hereinafter referred to as “</w:t>
      </w:r>
      <w:r>
        <w:rPr>
          <w:rFonts w:ascii="Arial" w:cs="Arial" w:eastAsia="Arial" w:hAnsi="Arial"/>
          <w:sz w:val="17"/>
          <w:szCs w:val="17"/>
          <w:b w:val="1"/>
          <w:bCs w:val="1"/>
          <w:color w:val="auto"/>
        </w:rPr>
        <w:t>Hazardous Materials</w:t>
      </w:r>
      <w:r>
        <w:rPr>
          <w:rFonts w:ascii="Arial" w:cs="Arial" w:eastAsia="Arial" w:hAnsi="Arial"/>
          <w:sz w:val="17"/>
          <w:szCs w:val="17"/>
          <w:color w:val="auto"/>
        </w:rPr>
        <w:t>”).</w:t>
      </w:r>
    </w:p>
    <w:p>
      <w:pPr>
        <w:spacing w:after="0" w:line="86" w:lineRule="exact"/>
        <w:rPr>
          <w:sz w:val="20"/>
          <w:szCs w:val="20"/>
          <w:color w:val="auto"/>
        </w:rPr>
      </w:pPr>
    </w:p>
    <w:p>
      <w:pPr>
        <w:ind w:left="1100" w:right="400" w:hanging="539"/>
        <w:spacing w:after="0" w:line="286" w:lineRule="auto"/>
        <w:rPr>
          <w:sz w:val="20"/>
          <w:szCs w:val="20"/>
          <w:color w:val="auto"/>
        </w:rPr>
      </w:pPr>
      <w:r>
        <w:rPr>
          <w:rFonts w:ascii="Arial" w:cs="Arial" w:eastAsia="Arial" w:hAnsi="Arial"/>
          <w:sz w:val="17"/>
          <w:szCs w:val="17"/>
          <w:color w:val="auto"/>
        </w:rPr>
        <w:t>5.10.3 The Lessee undertakes to indemnify and hold the Lessor harmless from all costs, claims, losses, damages, liabilities, civil convictions and fines, criminal convictions and fines, penalties, expenses (including all legal, judicial or extrajudicial fees and expenses), investigation, remediation, monitoring, cleaning and restoration costs or any other</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60" w:top="273" w:right="459" w:bottom="1440" w:gutter="0" w:footer="0" w:header="0"/>
        </w:sectPr>
      </w:pPr>
    </w:p>
    <w:bookmarkStart w:id="526" w:name="page527"/>
    <w:bookmarkEnd w:id="526"/>
    <w:p>
      <w:pPr>
        <w:ind w:left="560"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damage arising from the failure of the Lessee (including its employees, contractors and agents and any other person for whom it is legally responsible) to comply with the obligations stipulated herein, including any third party claim or enforcement action regarding the presence of Hazardous Materials at the Leased Premises or which has migrated therefrom to any property adjoining or in the vicinity of the Leased Premises or the Building. The Lessee undertakes to post and keep posted in a clearly visible location in the work areas of the Leased Premises, any memorandum or press release of the Lessor in respect of Hazardous Materials. The aforementioned obligation to indemnify shall apply and survive beyond the Lease Term and shall apply until expiration of the applicable prescription period.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5.10.4 In addition to the foregoing, the Lessee agrees that:</w:t>
      </w:r>
    </w:p>
    <w:p>
      <w:pPr>
        <w:spacing w:after="0" w:line="131" w:lineRule="exact"/>
        <w:rPr>
          <w:sz w:val="20"/>
          <w:szCs w:val="20"/>
          <w:color w:val="auto"/>
        </w:rPr>
      </w:pPr>
    </w:p>
    <w:p>
      <w:pPr>
        <w:ind w:left="540" w:right="60" w:hanging="539"/>
        <w:spacing w:after="0" w:line="293" w:lineRule="auto"/>
        <w:tabs>
          <w:tab w:leader="none" w:pos="54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if it produces or introduces in or around the Leased Premises, any Hazardous Materials whatsoever or if the conduct of its business entails the production or presence of any Hazardous Materials whatsoever in and around the Leased Premises, then, and notwithstanding any provision to the contrary in this Lease or the Applicable Law, such Hazardous Materials will be and remain the exclusive property of the Lessee or its customers on behalf of whom the Lessee provides services and shall not become the property of the Lessor, notwithstanding the extent to which the Hazardous Materials or products containing Hazardous Materials are integrated into the Leased Premises and notwithstanding the expiration or early termination of the Lease;</w:t>
      </w:r>
    </w:p>
    <w:p>
      <w:pPr>
        <w:spacing w:after="0" w:line="69" w:lineRule="exact"/>
        <w:rPr>
          <w:rFonts w:ascii="Arial" w:cs="Arial" w:eastAsia="Arial" w:hAnsi="Arial"/>
          <w:sz w:val="16"/>
          <w:szCs w:val="16"/>
          <w:color w:val="auto"/>
        </w:rPr>
      </w:pPr>
    </w:p>
    <w:p>
      <w:pPr>
        <w:ind w:left="540" w:hanging="539"/>
        <w:spacing w:after="0" w:line="296" w:lineRule="auto"/>
        <w:tabs>
          <w:tab w:leader="none" w:pos="54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upon expiration or early termination of the Lease, the Lessee shall, at its expense, remove and dispose of all Hazardous Materials and all storage and other containers, in accordance with the Environmental Laws to the extent required by the Lessor, and in the case where such removal and disposal involves excavation work on the Leased Premises, in the Building or on the Building, the Lessee shall return the Leased Premises or the Building, as the case may be, in the same condition in which it was found immediately prior to the excavation, using only earth or other clean, uncontaminated materials, to the full satisfaction of the Lessor;</w:t>
      </w:r>
    </w:p>
    <w:p>
      <w:pPr>
        <w:spacing w:after="0" w:line="66" w:lineRule="exact"/>
        <w:rPr>
          <w:rFonts w:ascii="Arial" w:cs="Arial" w:eastAsia="Arial" w:hAnsi="Arial"/>
          <w:sz w:val="16"/>
          <w:szCs w:val="16"/>
          <w:color w:val="auto"/>
        </w:rPr>
      </w:pPr>
    </w:p>
    <w:p>
      <w:pPr>
        <w:ind w:left="540" w:right="20" w:hanging="539"/>
        <w:spacing w:after="0" w:line="288" w:lineRule="auto"/>
        <w:tabs>
          <w:tab w:leader="none" w:pos="54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Moreover, and subject to the other recourses of the Lessor pursuant hereto or under Applicable Law, should the Leased Premises remain vacant or can only be partially occupied following termination of this Lease, directly or indirectly due to the failure of the Lessee to fulfill its obligations pursuant to this Section 5.10; then, notwithstanding such Lease termination and in addition to all damages the Lessor may claim from the Lessee, the Lessee shall be deemed to continue occupying the Leased Premises on a monthly rental basis and shall be required to pay the Lessor Rent in advance at a monthly rate equal to one hundred percent (100%) of the Rent payment for the last month of the Term. In the event the arrival of a new tenant is postponed by the delay incurred by this continued occupancy, the Lessee shall be required to pay the Lessor Rent in advance at a monthly rate equal to two hundred percent (200%) of the Rent payment for the last month of the Term. Such rental on a monthly basis shall be deemed to continue until such time as the cleaning of the Leased Premises and all repairs to the Leased Premises and/or the Building are completed, and the Leased Premises and/or the Building or any parts thereof are returned to their original condition.</w:t>
      </w:r>
    </w:p>
    <w:p>
      <w:pPr>
        <w:spacing w:after="0" w:line="74" w:lineRule="exact"/>
        <w:rPr>
          <w:sz w:val="20"/>
          <w:szCs w:val="20"/>
          <w:color w:val="auto"/>
        </w:rPr>
      </w:pPr>
    </w:p>
    <w:p>
      <w:pPr>
        <w:ind w:left="540" w:right="500" w:hanging="539"/>
        <w:spacing w:after="0" w:line="277" w:lineRule="auto"/>
        <w:rPr>
          <w:sz w:val="20"/>
          <w:szCs w:val="20"/>
          <w:color w:val="auto"/>
        </w:rPr>
      </w:pPr>
      <w:r>
        <w:rPr>
          <w:rFonts w:ascii="Arial" w:cs="Arial" w:eastAsia="Arial" w:hAnsi="Arial"/>
          <w:sz w:val="18"/>
          <w:szCs w:val="18"/>
          <w:color w:val="auto"/>
        </w:rPr>
        <w:t>5.10.5 The Lessee agrees that it will not use Hazardous Materials in carrying out its activities, unless it complies with the following conditions:</w:t>
      </w:r>
    </w:p>
    <w:p>
      <w:pPr>
        <w:spacing w:after="0" w:line="1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020"/>
          </w:cols>
          <w:pgMar w:left="1420" w:top="273" w:right="459" w:bottom="1440" w:gutter="0" w:footer="0" w:header="0"/>
        </w:sectPr>
      </w:pPr>
    </w:p>
    <w:bookmarkStart w:id="527" w:name="page528"/>
    <w:bookmarkEnd w:id="527"/>
    <w:p>
      <w:pPr>
        <w:ind w:left="1100" w:right="440" w:hanging="539"/>
        <w:spacing w:after="0" w:line="277" w:lineRule="auto"/>
        <w:tabs>
          <w:tab w:leader="none" w:pos="11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Appropriate measures in accordance with Applicable Laws and the Rules, are taken with respect to the acquisition, handling, storage, utilization and disposal of Hazardous Materials;</w:t>
      </w:r>
    </w:p>
    <w:p>
      <w:pPr>
        <w:spacing w:after="0" w:line="75" w:lineRule="exact"/>
        <w:rPr>
          <w:rFonts w:ascii="Arial" w:cs="Arial" w:eastAsia="Arial" w:hAnsi="Arial"/>
          <w:sz w:val="18"/>
          <w:szCs w:val="18"/>
          <w:color w:val="auto"/>
        </w:rPr>
      </w:pPr>
    </w:p>
    <w:p>
      <w:pPr>
        <w:ind w:left="1100" w:hanging="539"/>
        <w:spacing w:after="0"/>
        <w:tabs>
          <w:tab w:leader="none" w:pos="11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list of Hazardous Materials and updates thereto are submitted to the Lessor once a year;</w:t>
      </w:r>
    </w:p>
    <w:p>
      <w:pPr>
        <w:spacing w:after="0" w:line="130" w:lineRule="exact"/>
        <w:rPr>
          <w:rFonts w:ascii="Arial" w:cs="Arial" w:eastAsia="Arial" w:hAnsi="Arial"/>
          <w:sz w:val="18"/>
          <w:szCs w:val="18"/>
          <w:color w:val="auto"/>
        </w:rPr>
      </w:pPr>
    </w:p>
    <w:p>
      <w:pPr>
        <w:ind w:left="1100" w:hanging="539"/>
        <w:spacing w:after="0"/>
        <w:tabs>
          <w:tab w:leader="none" w:pos="110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The maximum quantities of flammable and combustible liquids in the Leased Premises must be compliant with Appendix 3.</w:t>
      </w:r>
    </w:p>
    <w:p>
      <w:pPr>
        <w:spacing w:after="0" w:line="142" w:lineRule="exact"/>
        <w:rPr>
          <w:sz w:val="20"/>
          <w:szCs w:val="20"/>
          <w:color w:val="auto"/>
        </w:rPr>
      </w:pPr>
    </w:p>
    <w:p>
      <w:pPr>
        <w:ind w:left="1100" w:right="220" w:hanging="539"/>
        <w:spacing w:after="0" w:line="301" w:lineRule="auto"/>
        <w:rPr>
          <w:sz w:val="20"/>
          <w:szCs w:val="20"/>
          <w:color w:val="auto"/>
        </w:rPr>
      </w:pPr>
      <w:r>
        <w:rPr>
          <w:rFonts w:ascii="Arial" w:cs="Arial" w:eastAsia="Arial" w:hAnsi="Arial"/>
          <w:sz w:val="16"/>
          <w:szCs w:val="16"/>
          <w:color w:val="auto"/>
        </w:rPr>
        <w:t>5.10.6 The Lessee undertakes to ensure that the emission, transportation, deposit, discharge, release or disposal by the Lessee of all Hazardous Materials or waste (including waste water and waste oils) in the ground, atmosphere, water, or above water is carried out in accordance with all Applicable Laws. Where necessary, the Lessee undertakes to obtain all required authorizations in this regard from the competent authorities and where required, submit all required declarations to the relevant authorities.</w:t>
      </w:r>
    </w:p>
    <w:p>
      <w:pPr>
        <w:spacing w:after="0" w:line="3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6"/>
          <w:szCs w:val="16"/>
          <w:b w:val="1"/>
          <w:bCs w:val="1"/>
          <w:color w:val="auto"/>
        </w:rPr>
        <w:t>Compliance with standards</w:t>
      </w:r>
    </w:p>
    <w:p>
      <w:pPr>
        <w:spacing w:after="0" w:line="135" w:lineRule="exact"/>
        <w:rPr>
          <w:sz w:val="20"/>
          <w:szCs w:val="20"/>
          <w:color w:val="auto"/>
        </w:rPr>
      </w:pPr>
    </w:p>
    <w:p>
      <w:pPr>
        <w:ind w:left="1100" w:hanging="539"/>
        <w:spacing w:after="0" w:line="277" w:lineRule="auto"/>
        <w:rPr>
          <w:sz w:val="20"/>
          <w:szCs w:val="20"/>
          <w:color w:val="auto"/>
        </w:rPr>
      </w:pPr>
      <w:r>
        <w:rPr>
          <w:rFonts w:ascii="Arial" w:cs="Arial" w:eastAsia="Arial" w:hAnsi="Arial"/>
          <w:sz w:val="18"/>
          <w:szCs w:val="18"/>
          <w:color w:val="auto"/>
        </w:rPr>
        <w:t>5.11.1 The Lessor represents and warrants that the Leased Premises conform with all Applicable Laws at the beginning of the Term of the Lease.</w:t>
      </w:r>
    </w:p>
    <w:p>
      <w:pPr>
        <w:spacing w:after="0" w:line="76" w:lineRule="exact"/>
        <w:rPr>
          <w:sz w:val="20"/>
          <w:szCs w:val="20"/>
          <w:color w:val="auto"/>
        </w:rPr>
      </w:pPr>
    </w:p>
    <w:p>
      <w:pPr>
        <w:ind w:left="1100" w:right="160" w:hanging="539"/>
        <w:spacing w:after="0" w:line="277" w:lineRule="auto"/>
        <w:rPr>
          <w:sz w:val="20"/>
          <w:szCs w:val="20"/>
          <w:color w:val="auto"/>
        </w:rPr>
      </w:pPr>
      <w:r>
        <w:rPr>
          <w:rFonts w:ascii="Arial" w:cs="Arial" w:eastAsia="Arial" w:hAnsi="Arial"/>
          <w:sz w:val="18"/>
          <w:szCs w:val="18"/>
          <w:color w:val="auto"/>
        </w:rPr>
        <w:t>5.11.2 The Lessee must, during the term of this Lease, at its expense, promptly respect and conform to all current and future Applicable Laws.</w:t>
      </w:r>
    </w:p>
    <w:p>
      <w:pPr>
        <w:spacing w:after="0" w:line="76" w:lineRule="exact"/>
        <w:rPr>
          <w:sz w:val="20"/>
          <w:szCs w:val="20"/>
          <w:color w:val="auto"/>
        </w:rPr>
      </w:pPr>
    </w:p>
    <w:p>
      <w:pPr>
        <w:jc w:val="both"/>
        <w:ind w:left="1100" w:right="40" w:hanging="539"/>
        <w:spacing w:after="0" w:line="263" w:lineRule="auto"/>
        <w:rPr>
          <w:sz w:val="20"/>
          <w:szCs w:val="20"/>
          <w:color w:val="auto"/>
        </w:rPr>
      </w:pPr>
      <w:r>
        <w:rPr>
          <w:rFonts w:ascii="Arial" w:cs="Arial" w:eastAsia="Arial" w:hAnsi="Arial"/>
          <w:sz w:val="18"/>
          <w:szCs w:val="18"/>
          <w:color w:val="auto"/>
        </w:rPr>
        <w:t>5.11.3 Upon Lessor’s request, the Lessee must, at its own expense, hand over to the Lessor, an attestation certificate that is produced by a qualified and recognized professional, confirming that the Lessee’s operations conform to the biosafety standards as prescribed in the latest edition of the “Laboratory Biosafety Guidelines” by Health Canada.</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6"/>
          <w:szCs w:val="16"/>
          <w:b w:val="1"/>
          <w:bCs w:val="1"/>
          <w:color w:val="auto"/>
        </w:rPr>
        <w:t>Overload</w:t>
      </w:r>
    </w:p>
    <w:p>
      <w:pPr>
        <w:spacing w:after="0" w:line="121" w:lineRule="exact"/>
        <w:rPr>
          <w:sz w:val="20"/>
          <w:szCs w:val="20"/>
          <w:color w:val="auto"/>
        </w:rPr>
      </w:pPr>
    </w:p>
    <w:p>
      <w:pPr>
        <w:ind w:left="20" w:right="100"/>
        <w:spacing w:after="0" w:line="254" w:lineRule="auto"/>
        <w:rPr>
          <w:sz w:val="20"/>
          <w:szCs w:val="20"/>
          <w:color w:val="auto"/>
        </w:rPr>
      </w:pPr>
      <w:r>
        <w:rPr>
          <w:rFonts w:ascii="Arial" w:cs="Arial" w:eastAsia="Arial" w:hAnsi="Arial"/>
          <w:sz w:val="18"/>
          <w:szCs w:val="18"/>
          <w:color w:val="auto"/>
        </w:rPr>
        <w:t>The Lessee may not install in or on the Leased Premises any machine, equipment or other object that by reason of its weight or size may cause damage to the Leased Premises and it may not, in any event, overload the floors of the Leased Premises other than the NMR machine that the Lessee disclosed that it would be installing in the Leased Premises and for which the Lessor reinforced the floors. If any damage is caused to the Leased Premises by any machinery, equipment or object other than the said NMR machine or as the result of any negligence or abuse on the part of the Lessee, its cleaning staff, agents or employees or any person conducting business with the Lessee, the Lessee must, at the Lessor’s option, immediately repair the damage or pay the Lessor for the costs of repairs, without prejudice to any other recourse the Lessor may have under this Lease.</w:t>
      </w:r>
    </w:p>
    <w:p>
      <w:pPr>
        <w:spacing w:after="0" w:line="3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6"/>
          <w:szCs w:val="16"/>
          <w:b w:val="1"/>
          <w:bCs w:val="1"/>
          <w:color w:val="auto"/>
        </w:rPr>
        <w:t>Repairs</w:t>
      </w:r>
    </w:p>
    <w:p>
      <w:pPr>
        <w:spacing w:after="0" w:line="121" w:lineRule="exact"/>
        <w:rPr>
          <w:sz w:val="20"/>
          <w:szCs w:val="20"/>
          <w:color w:val="auto"/>
        </w:rPr>
      </w:pPr>
    </w:p>
    <w:p>
      <w:pPr>
        <w:ind w:left="20" w:right="340"/>
        <w:spacing w:after="0" w:line="277" w:lineRule="auto"/>
        <w:rPr>
          <w:sz w:val="20"/>
          <w:szCs w:val="20"/>
          <w:color w:val="auto"/>
        </w:rPr>
      </w:pPr>
      <w:r>
        <w:rPr>
          <w:rFonts w:ascii="Arial" w:cs="Arial" w:eastAsia="Arial" w:hAnsi="Arial"/>
          <w:sz w:val="18"/>
          <w:szCs w:val="18"/>
          <w:color w:val="auto"/>
        </w:rPr>
        <w:t>The Lessee shall promptly notify the Lessor in writing of any deterioration or any material damage to the Leased Premises resulting from any cause whatsoever.</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7"/>
          <w:szCs w:val="17"/>
          <w:b w:val="1"/>
          <w:bCs w:val="1"/>
          <w:color w:val="auto"/>
        </w:rPr>
        <w:t>Minor Repairs</w:t>
      </w:r>
    </w:p>
    <w:p>
      <w:pPr>
        <w:spacing w:after="0" w:line="16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40"/>
          </w:cols>
          <w:pgMar w:left="860" w:top="273" w:right="499" w:bottom="1440" w:gutter="0" w:footer="0" w:header="0"/>
        </w:sectPr>
      </w:pPr>
    </w:p>
    <w:bookmarkStart w:id="528" w:name="page529"/>
    <w:bookmarkEnd w:id="528"/>
    <w:p>
      <w:pPr>
        <w:ind w:left="20"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Lessor must make all minor repairs which may become necessary and more specifically, must maintain, at its expense, waste pipes, weep holes, tanks, sinks, cabinets and other accessories on the Leased Premises and repair all damage which might be caused to such accessory equipment. Notwithstanding the foregoing, minor repairs required to be made at the Leased Premises as a result of Lessee’s fault or neglect in the use of the Leased Premises or any material located therein shall be completed by the Lessor and reimbursed by the Lessee, plus a 10% administration fee.</w:t>
      </w:r>
    </w:p>
    <w:p>
      <w:pPr>
        <w:spacing w:after="0" w:line="33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5.15</w:t>
      </w:r>
      <w:r>
        <w:rPr>
          <w:sz w:val="20"/>
          <w:szCs w:val="20"/>
          <w:color w:val="auto"/>
        </w:rPr>
        <w:tab/>
      </w:r>
      <w:r>
        <w:rPr>
          <w:rFonts w:ascii="Arial" w:cs="Arial" w:eastAsia="Arial" w:hAnsi="Arial"/>
          <w:sz w:val="17"/>
          <w:szCs w:val="17"/>
          <w:b w:val="1"/>
          <w:bCs w:val="1"/>
          <w:color w:val="auto"/>
        </w:rPr>
        <w:t>Major Repairs</w:t>
      </w:r>
    </w:p>
    <w:p>
      <w:pPr>
        <w:spacing w:after="0" w:line="135" w:lineRule="exact"/>
        <w:rPr>
          <w:sz w:val="20"/>
          <w:szCs w:val="20"/>
          <w:color w:val="auto"/>
        </w:rPr>
      </w:pPr>
    </w:p>
    <w:p>
      <w:pPr>
        <w:ind w:left="560"/>
        <w:spacing w:after="0"/>
        <w:tabs>
          <w:tab w:leader="none" w:pos="1180" w:val="left"/>
        </w:tabs>
        <w:rPr>
          <w:sz w:val="20"/>
          <w:szCs w:val="20"/>
          <w:color w:val="auto"/>
        </w:rPr>
      </w:pPr>
      <w:r>
        <w:rPr>
          <w:rFonts w:ascii="Arial" w:cs="Arial" w:eastAsia="Arial" w:hAnsi="Arial"/>
          <w:sz w:val="18"/>
          <w:szCs w:val="18"/>
          <w:color w:val="auto"/>
        </w:rPr>
        <w:t>5.15.1</w:t>
      </w:r>
      <w:r>
        <w:rPr>
          <w:sz w:val="20"/>
          <w:szCs w:val="20"/>
          <w:color w:val="auto"/>
        </w:rPr>
        <w:tab/>
      </w:r>
      <w:r>
        <w:rPr>
          <w:rFonts w:ascii="Arial" w:cs="Arial" w:eastAsia="Arial" w:hAnsi="Arial"/>
          <w:sz w:val="16"/>
          <w:szCs w:val="16"/>
          <w:color w:val="auto"/>
        </w:rPr>
        <w:t>The Lessee shall immediately notify the Lessor in writing of any major repairs required to the Leased Premises.</w:t>
      </w:r>
    </w:p>
    <w:p>
      <w:pPr>
        <w:spacing w:after="0" w:line="131" w:lineRule="exact"/>
        <w:rPr>
          <w:sz w:val="20"/>
          <w:szCs w:val="20"/>
          <w:color w:val="auto"/>
        </w:rPr>
      </w:pPr>
    </w:p>
    <w:p>
      <w:pPr>
        <w:jc w:val="both"/>
        <w:ind w:left="1200" w:right="160" w:hanging="647"/>
        <w:spacing w:after="0" w:line="263" w:lineRule="auto"/>
        <w:tabs>
          <w:tab w:leader="none" w:pos="1180" w:val="left"/>
        </w:tabs>
        <w:rPr>
          <w:sz w:val="20"/>
          <w:szCs w:val="20"/>
          <w:color w:val="auto"/>
        </w:rPr>
      </w:pPr>
      <w:r>
        <w:rPr>
          <w:rFonts w:ascii="Arial" w:cs="Arial" w:eastAsia="Arial" w:hAnsi="Arial"/>
          <w:sz w:val="18"/>
          <w:szCs w:val="18"/>
          <w:color w:val="auto"/>
        </w:rPr>
        <w:t>5.15.2</w:t>
        <w:tab/>
        <w:t>The Lessee hereby acknowledges that it must endure all major repairs made by the Lessor during the term of this Lease without being entitled to claim damages, provided that the duration of major repairs stays within a reasonable delay which will take into account the nature and amount of repairs.</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5.16</w:t>
      </w:r>
      <w:r>
        <w:rPr>
          <w:sz w:val="20"/>
          <w:szCs w:val="20"/>
          <w:color w:val="auto"/>
        </w:rPr>
        <w:tab/>
      </w:r>
      <w:r>
        <w:rPr>
          <w:rFonts w:ascii="Arial" w:cs="Arial" w:eastAsia="Arial" w:hAnsi="Arial"/>
          <w:sz w:val="16"/>
          <w:szCs w:val="16"/>
          <w:b w:val="1"/>
          <w:bCs w:val="1"/>
          <w:color w:val="auto"/>
        </w:rPr>
        <w:t>Modifications, Additions and Improvements</w:t>
      </w:r>
    </w:p>
    <w:p>
      <w:pPr>
        <w:spacing w:after="0" w:line="135" w:lineRule="exact"/>
        <w:rPr>
          <w:sz w:val="20"/>
          <w:szCs w:val="20"/>
          <w:color w:val="auto"/>
        </w:rPr>
      </w:pPr>
    </w:p>
    <w:p>
      <w:pPr>
        <w:ind w:left="1200" w:right="200" w:hanging="647"/>
        <w:spacing w:after="0" w:line="308" w:lineRule="auto"/>
        <w:tabs>
          <w:tab w:leader="none" w:pos="1180" w:val="left"/>
        </w:tabs>
        <w:rPr>
          <w:sz w:val="20"/>
          <w:szCs w:val="20"/>
          <w:color w:val="auto"/>
        </w:rPr>
      </w:pPr>
      <w:r>
        <w:rPr>
          <w:rFonts w:ascii="Arial" w:cs="Arial" w:eastAsia="Arial" w:hAnsi="Arial"/>
          <w:sz w:val="18"/>
          <w:szCs w:val="18"/>
          <w:color w:val="auto"/>
        </w:rPr>
        <w:t>5.16.1</w:t>
      </w:r>
      <w:r>
        <w:rPr>
          <w:sz w:val="20"/>
          <w:szCs w:val="20"/>
          <w:color w:val="auto"/>
        </w:rPr>
        <w:tab/>
      </w:r>
      <w:r>
        <w:rPr>
          <w:rFonts w:ascii="Arial" w:cs="Arial" w:eastAsia="Arial" w:hAnsi="Arial"/>
          <w:sz w:val="17"/>
          <w:szCs w:val="17"/>
          <w:color w:val="auto"/>
        </w:rPr>
        <w:t>The Lessee may not make any structural or non-structural modifications or improvements to the Leased Premises without prior submission of plans and specifications to the Lessor for which written consent may not be unreasonably refused.</w:t>
      </w:r>
    </w:p>
    <w:p>
      <w:pPr>
        <w:spacing w:after="0" w:line="52" w:lineRule="exact"/>
        <w:rPr>
          <w:sz w:val="20"/>
          <w:szCs w:val="20"/>
          <w:color w:val="auto"/>
        </w:rPr>
      </w:pPr>
    </w:p>
    <w:p>
      <w:pPr>
        <w:ind w:left="1200" w:right="100" w:hanging="647"/>
        <w:spacing w:after="0" w:line="286" w:lineRule="auto"/>
        <w:tabs>
          <w:tab w:leader="none" w:pos="1180" w:val="left"/>
        </w:tabs>
        <w:rPr>
          <w:sz w:val="20"/>
          <w:szCs w:val="20"/>
          <w:color w:val="auto"/>
        </w:rPr>
      </w:pPr>
      <w:r>
        <w:rPr>
          <w:rFonts w:ascii="Arial" w:cs="Arial" w:eastAsia="Arial" w:hAnsi="Arial"/>
          <w:sz w:val="18"/>
          <w:szCs w:val="18"/>
          <w:color w:val="auto"/>
        </w:rPr>
        <w:t>5.16.2</w:t>
      </w:r>
      <w:r>
        <w:rPr>
          <w:sz w:val="20"/>
          <w:szCs w:val="20"/>
          <w:color w:val="auto"/>
        </w:rPr>
        <w:tab/>
      </w:r>
      <w:r>
        <w:rPr>
          <w:rFonts w:ascii="Arial" w:cs="Arial" w:eastAsia="Arial" w:hAnsi="Arial"/>
          <w:sz w:val="17"/>
          <w:szCs w:val="17"/>
          <w:color w:val="auto"/>
        </w:rPr>
        <w:t>Said modifications, additions or improvements must be carried out under the contractorship and supervision of the Lessor and in accordance with approved plans and specifications and all Applicable Laws of all public and quasi-public authorities having jurisdiction, including without limitation, the Fire Insurance Association and all other insurers of the Building.</w:t>
      </w:r>
    </w:p>
    <w:p>
      <w:pPr>
        <w:spacing w:after="0" w:line="71" w:lineRule="exact"/>
        <w:rPr>
          <w:sz w:val="20"/>
          <w:szCs w:val="20"/>
          <w:color w:val="auto"/>
        </w:rPr>
      </w:pPr>
    </w:p>
    <w:p>
      <w:pPr>
        <w:ind w:left="1200" w:right="20" w:hanging="647"/>
        <w:spacing w:after="0" w:line="277" w:lineRule="auto"/>
        <w:tabs>
          <w:tab w:leader="none" w:pos="1180" w:val="left"/>
        </w:tabs>
        <w:rPr>
          <w:sz w:val="20"/>
          <w:szCs w:val="20"/>
          <w:color w:val="auto"/>
        </w:rPr>
      </w:pPr>
      <w:r>
        <w:rPr>
          <w:rFonts w:ascii="Arial" w:cs="Arial" w:eastAsia="Arial" w:hAnsi="Arial"/>
          <w:sz w:val="18"/>
          <w:szCs w:val="18"/>
          <w:color w:val="auto"/>
        </w:rPr>
        <w:t>5.16.3</w:t>
        <w:tab/>
        <w:t>If the Lessee wishes to make changes to these plans and specifications after they have been approved by the Lessor, such changes shall be submitted to the Lessor for its written approval.</w:t>
      </w:r>
    </w:p>
    <w:p>
      <w:pPr>
        <w:spacing w:after="0" w:line="76" w:lineRule="exact"/>
        <w:rPr>
          <w:sz w:val="20"/>
          <w:szCs w:val="20"/>
          <w:color w:val="auto"/>
        </w:rPr>
      </w:pPr>
    </w:p>
    <w:p>
      <w:pPr>
        <w:ind w:left="1200" w:hanging="647"/>
        <w:spacing w:after="0" w:line="263" w:lineRule="auto"/>
        <w:tabs>
          <w:tab w:leader="none" w:pos="1180" w:val="left"/>
        </w:tabs>
        <w:rPr>
          <w:sz w:val="20"/>
          <w:szCs w:val="20"/>
          <w:color w:val="auto"/>
        </w:rPr>
      </w:pPr>
      <w:r>
        <w:rPr>
          <w:rFonts w:ascii="Arial" w:cs="Arial" w:eastAsia="Arial" w:hAnsi="Arial"/>
          <w:sz w:val="18"/>
          <w:szCs w:val="18"/>
          <w:color w:val="auto"/>
        </w:rPr>
        <w:t>5.16.4</w:t>
        <w:tab/>
        <w:t>If such plans are reasonably refused by the Lessor, (except in respect of the alterations, modifications or repairs contemplated in Section 5.16.8, where the Lessor may refuse at its sole discretion), the Lessee shall make the appropriate corrections and resubmit the modified plans to the Lessor for approval;</w:t>
      </w:r>
    </w:p>
    <w:p>
      <w:pPr>
        <w:spacing w:after="0" w:line="89" w:lineRule="exact"/>
        <w:rPr>
          <w:sz w:val="20"/>
          <w:szCs w:val="20"/>
          <w:color w:val="auto"/>
        </w:rPr>
      </w:pPr>
    </w:p>
    <w:p>
      <w:pPr>
        <w:ind w:left="1200" w:right="80" w:hanging="647"/>
        <w:spacing w:after="0" w:line="277" w:lineRule="auto"/>
        <w:tabs>
          <w:tab w:leader="none" w:pos="1180" w:val="left"/>
        </w:tabs>
        <w:rPr>
          <w:sz w:val="20"/>
          <w:szCs w:val="20"/>
          <w:color w:val="auto"/>
        </w:rPr>
      </w:pPr>
      <w:r>
        <w:rPr>
          <w:rFonts w:ascii="Arial" w:cs="Arial" w:eastAsia="Arial" w:hAnsi="Arial"/>
          <w:sz w:val="18"/>
          <w:szCs w:val="18"/>
          <w:color w:val="auto"/>
        </w:rPr>
        <w:t>5.16.5</w:t>
        <w:tab/>
        <w:t>The Lessee is responsible for all costs incurred with respect to these modifications and improvements, plus a 10% administration fee, without any liability or obligation whatsoever being incurred by the Lessor.</w:t>
      </w:r>
    </w:p>
    <w:p>
      <w:pPr>
        <w:spacing w:after="0" w:line="76" w:lineRule="exact"/>
        <w:rPr>
          <w:sz w:val="20"/>
          <w:szCs w:val="20"/>
          <w:color w:val="auto"/>
        </w:rPr>
      </w:pPr>
    </w:p>
    <w:p>
      <w:pPr>
        <w:ind w:left="1200" w:right="240" w:hanging="647"/>
        <w:spacing w:after="0" w:line="263" w:lineRule="auto"/>
        <w:tabs>
          <w:tab w:leader="none" w:pos="1180" w:val="left"/>
        </w:tabs>
        <w:rPr>
          <w:sz w:val="20"/>
          <w:szCs w:val="20"/>
          <w:color w:val="auto"/>
        </w:rPr>
      </w:pPr>
      <w:r>
        <w:rPr>
          <w:rFonts w:ascii="Arial" w:cs="Arial" w:eastAsia="Arial" w:hAnsi="Arial"/>
          <w:sz w:val="18"/>
          <w:szCs w:val="18"/>
          <w:color w:val="auto"/>
        </w:rPr>
        <w:t>5.16.6</w:t>
        <w:tab/>
        <w:t>Upon expiration of this Lease, the Lessee must leave the Leased Premises in the condition in which they were modified and/or improved; all modifications, additions or improvements become the property of the Lessor. The Lessee is not entitled to compensation or damages with respect to said modifications, additions or improvements.</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860" w:top="273" w:right="479" w:bottom="1440" w:gutter="0" w:footer="0" w:header="0"/>
        </w:sectPr>
      </w:pPr>
    </w:p>
    <w:bookmarkStart w:id="529" w:name="page530"/>
    <w:bookmarkEnd w:id="529"/>
    <w:p>
      <w:pPr>
        <w:ind w:left="640" w:right="200" w:hanging="647"/>
        <w:spacing w:after="0" w:line="257"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5.16.7</w:t>
        <w:tab/>
        <w:t>The Lessee is not entitled to enter into any deed or agreement that is likely to create or form the basis of a lien, servitude, hypothec or other encumbrance on the Building of the Lessor or on any interest the Lessor may have in the Building or Leased Premises; If, as the result of an action or omission (or other alleged action or omission) on the part of the Lessee, a hypothec or other lien is registered against the Building of the Lessor or the Leased Premises, the Lessee must at its own expense have such liens immediately radiated and cancelled.</w:t>
      </w:r>
    </w:p>
    <w:p>
      <w:pPr>
        <w:spacing w:after="0" w:line="93" w:lineRule="exact"/>
        <w:rPr>
          <w:sz w:val="20"/>
          <w:szCs w:val="20"/>
          <w:color w:val="auto"/>
        </w:rPr>
      </w:pPr>
    </w:p>
    <w:p>
      <w:pPr>
        <w:jc w:val="center"/>
        <w:ind w:right="220"/>
        <w:spacing w:after="0"/>
        <w:tabs>
          <w:tab w:leader="none" w:pos="160" w:val="left"/>
        </w:tabs>
        <w:rPr>
          <w:sz w:val="20"/>
          <w:szCs w:val="20"/>
          <w:color w:val="auto"/>
        </w:rPr>
      </w:pPr>
      <w:r>
        <w:rPr>
          <w:rFonts w:ascii="Arial" w:cs="Arial" w:eastAsia="Arial" w:hAnsi="Arial"/>
          <w:sz w:val="18"/>
          <w:szCs w:val="18"/>
          <w:color w:val="auto"/>
        </w:rPr>
        <w:t>5.16.8</w:t>
      </w:r>
      <w:r>
        <w:rPr>
          <w:sz w:val="20"/>
          <w:szCs w:val="20"/>
          <w:color w:val="auto"/>
        </w:rPr>
        <w:tab/>
      </w:r>
      <w:r>
        <w:rPr>
          <w:rFonts w:ascii="Arial" w:cs="Arial" w:eastAsia="Arial" w:hAnsi="Arial"/>
          <w:sz w:val="16"/>
          <w:szCs w:val="16"/>
          <w:color w:val="auto"/>
        </w:rPr>
        <w:t>Notwithstanding the provisions of Section 5.16.1 hereof, the Lessee shall not, under any circumstances, be authorized to make,</w:t>
      </w:r>
    </w:p>
    <w:p>
      <w:pPr>
        <w:spacing w:after="0" w:line="23" w:lineRule="exact"/>
        <w:rPr>
          <w:sz w:val="20"/>
          <w:szCs w:val="20"/>
          <w:color w:val="auto"/>
        </w:rPr>
      </w:pPr>
    </w:p>
    <w:p>
      <w:pPr>
        <w:ind w:left="640"/>
        <w:spacing w:after="0" w:line="285" w:lineRule="auto"/>
        <w:rPr>
          <w:sz w:val="20"/>
          <w:szCs w:val="20"/>
          <w:color w:val="auto"/>
        </w:rPr>
      </w:pPr>
      <w:r>
        <w:rPr>
          <w:rFonts w:ascii="Arial" w:cs="Arial" w:eastAsia="Arial" w:hAnsi="Arial"/>
          <w:sz w:val="16"/>
          <w:szCs w:val="16"/>
          <w:color w:val="auto"/>
        </w:rPr>
        <w:t>without the prior written consent of the Lessor, which consent the Lessor may refuse in its sole discretion, alterations, modifications or improvements to the Leased Premises or install any equipment that (i) involves new structures or additional structures to the Building, (ii) may affect or change, in any manner whatsoever, the exterior appearance of the Building, (iii) may affect the mechanical, electrical, heating, ventilation, air conditioning, plumbing, control and sprinkler systems of the Leased Premises or the Building, or may affect any guarantee in respect of such systems or improvements, (iv) may, in any manner whatsoever, be considered a natural structure or that would otherwise affect the structure or any part of the Building or any part of the land on which the Building is erected on, (v) may affect the roof of the Building, including its components, (vi) would be installed outside the Leased Premises, or (vii) fails to respect or is not in harmony with the master plan of the Technoparc Montreal and its design criteria, the whole as reasonably determined by the Lessor and its professionals. Moreover, insofar as the alterations, modifications or improvements to be made by the Lessee would affect one of the preceding elements and the Lessee has obtained the prior written approval of the Lessor, the Lessee, in order to perform the work, shall use the contractors, subcontractors, architects and engineers designated by the Lessor, the whole at the Lessee’s expense.</w:t>
      </w:r>
    </w:p>
    <w:p>
      <w:pPr>
        <w:spacing w:after="0" w:line="77" w:lineRule="exact"/>
        <w:rPr>
          <w:sz w:val="20"/>
          <w:szCs w:val="20"/>
          <w:color w:val="auto"/>
        </w:rPr>
      </w:pPr>
    </w:p>
    <w:p>
      <w:pPr>
        <w:ind w:left="640" w:right="40" w:hanging="647"/>
        <w:spacing w:after="0" w:line="269" w:lineRule="auto"/>
        <w:tabs>
          <w:tab w:leader="none" w:pos="620" w:val="left"/>
        </w:tabs>
        <w:rPr>
          <w:sz w:val="20"/>
          <w:szCs w:val="20"/>
          <w:color w:val="auto"/>
        </w:rPr>
      </w:pPr>
      <w:r>
        <w:rPr>
          <w:rFonts w:ascii="Arial" w:cs="Arial" w:eastAsia="Arial" w:hAnsi="Arial"/>
          <w:sz w:val="18"/>
          <w:szCs w:val="18"/>
          <w:color w:val="auto"/>
        </w:rPr>
        <w:t>5.16.9</w:t>
      </w:r>
      <w:r>
        <w:rPr>
          <w:sz w:val="20"/>
          <w:szCs w:val="20"/>
          <w:color w:val="auto"/>
        </w:rPr>
        <w:tab/>
      </w:r>
      <w:r>
        <w:rPr>
          <w:rFonts w:ascii="Arial" w:cs="Arial" w:eastAsia="Arial" w:hAnsi="Arial"/>
          <w:sz w:val="17"/>
          <w:szCs w:val="17"/>
          <w:color w:val="auto"/>
        </w:rPr>
        <w:t>Notwithstanding the provisions of Article 7 hereof and any obligation of the Lessor to make repairs and for any reconstruction as stipulated in this Section, if a hypothecary creditor with an interest in an insurance benefit due to damage or destruction of the Building or the Leased Premises refuses to allow the use of such benefit for repairs, replacement, reconstruction or restoration as stipulated above or for payment of amounts incurred or that will be incurred for such purposes, or if the damages or destruction are caused by a risk against which the Lessor is not insured, or if the insurance benefits are not sufficient to cover all the costs of the reconstruction or repair (including professional fees and expenses, financing charges and other costs of a similar nature), or if fewer than two (2) years remain to the Term, then, in the event of such damages or destruction, and provided that a written notice in each case was provided to the Lessee by the Lessor within thirty (30) business days following such damage or destruction, the obligation of the Lessor to repair or rebuild, as stipulated above, shall come to an end and become null and void and the Lease shall terminate effective as of the first day following the date of the damage or destruction, unless the Lessor, in its sole discretion, concurrently with this notice, notifies the Lessee that notwithstanding the decision of the hypothecary creditor or the absence or</w:t>
      </w:r>
    </w:p>
    <w:p>
      <w:pPr>
        <w:spacing w:after="0" w:line="11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000"/>
          </w:cols>
          <w:pgMar w:left="1420" w:top="273" w:right="479" w:bottom="1440" w:gutter="0" w:footer="0" w:header="0"/>
        </w:sectPr>
      </w:pPr>
    </w:p>
    <w:bookmarkStart w:id="530" w:name="page531"/>
    <w:bookmarkEnd w:id="530"/>
    <w:p>
      <w:pPr>
        <w:ind w:left="122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insufficiency of the insurance coverage, it decides to repair and rebuild, in which case the provisions of Article 7 will apply </w:t>
      </w:r>
      <w:r>
        <w:rPr>
          <w:rFonts w:ascii="Arial" w:cs="Arial" w:eastAsia="Arial" w:hAnsi="Arial"/>
          <w:sz w:val="18"/>
          <w:szCs w:val="18"/>
          <w:i w:val="1"/>
          <w:iCs w:val="1"/>
          <w:color w:val="auto"/>
        </w:rPr>
        <w:t xml:space="preserve">mutatis mutandis. </w:t>
      </w:r>
      <w:r>
        <w:rPr>
          <w:rFonts w:ascii="Arial" w:cs="Arial" w:eastAsia="Arial" w:hAnsi="Arial"/>
          <w:sz w:val="18"/>
          <w:szCs w:val="18"/>
          <w:color w:val="auto"/>
        </w:rPr>
        <w:t>If the Lease is terminated as mentioned above, the Rent and any other amounts payable by the Lessee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Lease provisions will be adjusted accordingly and the Lessee shall be responsible for the full payment of such Rent until the date of such damage or destruction.</w:t>
      </w:r>
    </w:p>
    <w:p>
      <w:pPr>
        <w:spacing w:after="0" w:line="92" w:lineRule="exact"/>
        <w:rPr>
          <w:sz w:val="20"/>
          <w:szCs w:val="20"/>
          <w:color w:val="auto"/>
        </w:rPr>
      </w:pPr>
    </w:p>
    <w:p>
      <w:pPr>
        <w:ind w:left="1200" w:right="620" w:hanging="647"/>
        <w:spacing w:after="0" w:line="277" w:lineRule="auto"/>
        <w:rPr>
          <w:sz w:val="20"/>
          <w:szCs w:val="20"/>
          <w:color w:val="auto"/>
        </w:rPr>
      </w:pPr>
      <w:r>
        <w:rPr>
          <w:rFonts w:ascii="Arial" w:cs="Arial" w:eastAsia="Arial" w:hAnsi="Arial"/>
          <w:sz w:val="18"/>
          <w:szCs w:val="18"/>
          <w:color w:val="auto"/>
        </w:rPr>
        <w:t>5.16.10 No clauses hereof shall obligate the Lessor to repair, replace or rebuild any alteration, addition, installation, modification, improvement, work of the Lessee or any other improvement or asset of the Lessee.</w:t>
      </w:r>
    </w:p>
    <w:p>
      <w:pPr>
        <w:spacing w:after="0" w:line="76" w:lineRule="exact"/>
        <w:rPr>
          <w:sz w:val="20"/>
          <w:szCs w:val="20"/>
          <w:color w:val="auto"/>
        </w:rPr>
      </w:pPr>
    </w:p>
    <w:p>
      <w:pPr>
        <w:ind w:left="1200" w:hanging="647"/>
        <w:spacing w:after="0" w:line="272" w:lineRule="auto"/>
        <w:rPr>
          <w:sz w:val="20"/>
          <w:szCs w:val="20"/>
          <w:color w:val="auto"/>
        </w:rPr>
      </w:pPr>
      <w:r>
        <w:rPr>
          <w:rFonts w:ascii="Arial" w:cs="Arial" w:eastAsia="Arial" w:hAnsi="Arial"/>
          <w:sz w:val="17"/>
          <w:szCs w:val="17"/>
          <w:color w:val="auto"/>
        </w:rPr>
        <w:t>5.16.11 If the Lessor repairs the Leased Premises as stipulated herein, the Lessee will be obligated to promptly and diligently repair, replace or rebuild its alterations, additions, installations, modifications, improvements, the work of the Lessee as well as the assets located in the Leased Premises prior to such damage or destruction, such that the Lessee can use and occupy the Leased Premises, and in all cases the Lessee shall repair, replace or rebuild them within sixty (60) days of the date on which the Lessor completed its work. Notwithstanding all the provisions of Article 7 to the contrary, if the Lessee fails to complete these repairs, replacements or reconstruction within the sixty (60) days mentioned above, the total Rent will still be payable upon expiration of this deadline, without any reduction or deduction.</w:t>
      </w:r>
    </w:p>
    <w:p>
      <w:pPr>
        <w:spacing w:after="0" w:line="32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5.17</w:t>
      </w:r>
      <w:r>
        <w:rPr>
          <w:sz w:val="20"/>
          <w:szCs w:val="20"/>
          <w:color w:val="auto"/>
        </w:rPr>
        <w:tab/>
      </w:r>
      <w:r>
        <w:rPr>
          <w:rFonts w:ascii="Arial" w:cs="Arial" w:eastAsia="Arial" w:hAnsi="Arial"/>
          <w:sz w:val="15"/>
          <w:szCs w:val="15"/>
          <w:b w:val="1"/>
          <w:bCs w:val="1"/>
          <w:color w:val="auto"/>
        </w:rPr>
        <w:t>Access to Premises</w:t>
      </w:r>
    </w:p>
    <w:p>
      <w:pPr>
        <w:spacing w:after="0" w:line="135" w:lineRule="exact"/>
        <w:rPr>
          <w:sz w:val="20"/>
          <w:szCs w:val="20"/>
          <w:color w:val="auto"/>
        </w:rPr>
      </w:pPr>
    </w:p>
    <w:p>
      <w:pPr>
        <w:jc w:val="both"/>
        <w:ind w:left="1200" w:hanging="647"/>
        <w:spacing w:after="0" w:line="263" w:lineRule="auto"/>
        <w:tabs>
          <w:tab w:leader="none" w:pos="1180" w:val="left"/>
        </w:tabs>
        <w:rPr>
          <w:sz w:val="20"/>
          <w:szCs w:val="20"/>
          <w:color w:val="auto"/>
        </w:rPr>
      </w:pPr>
      <w:r>
        <w:rPr>
          <w:rFonts w:ascii="Arial" w:cs="Arial" w:eastAsia="Arial" w:hAnsi="Arial"/>
          <w:sz w:val="18"/>
          <w:szCs w:val="18"/>
          <w:color w:val="auto"/>
        </w:rPr>
        <w:t>5.17.1</w:t>
        <w:tab/>
        <w:t>The Lessor and its representatives will have the right, at any reasonable time during the Term and following a reasonable notice to the Lessee (except in emergency situations where no notice is required), to enter the Leased Premises to examine the condition of the Leased Premises.</w:t>
      </w:r>
    </w:p>
    <w:p>
      <w:pPr>
        <w:spacing w:after="0" w:line="89" w:lineRule="exact"/>
        <w:rPr>
          <w:sz w:val="20"/>
          <w:szCs w:val="20"/>
          <w:color w:val="auto"/>
        </w:rPr>
      </w:pPr>
    </w:p>
    <w:p>
      <w:pPr>
        <w:ind w:left="1200" w:hanging="647"/>
        <w:spacing w:after="0" w:line="259" w:lineRule="auto"/>
        <w:tabs>
          <w:tab w:leader="none" w:pos="1180" w:val="left"/>
        </w:tabs>
        <w:rPr>
          <w:sz w:val="20"/>
          <w:szCs w:val="20"/>
          <w:color w:val="auto"/>
        </w:rPr>
      </w:pPr>
      <w:r>
        <w:rPr>
          <w:rFonts w:ascii="Arial" w:cs="Arial" w:eastAsia="Arial" w:hAnsi="Arial"/>
          <w:sz w:val="18"/>
          <w:szCs w:val="18"/>
          <w:color w:val="auto"/>
        </w:rPr>
        <w:t>5.17.2</w:t>
        <w:tab/>
        <w:t>The Lessor may at any time, without prior notice to the Lessee, perform emergency minor repairs and invoice the cost to the Lessee, which are the Lessee’s responsibility pursuant to this Lease. The Lessor acknowledges the confidential nature of the activities of the Lessee in the Leased Premises and undertakes, when its employees or any persons under its control have access to the Leased Premises, to take reasonable measures to preserve this confidentiality.</w:t>
      </w:r>
    </w:p>
    <w:p>
      <w:pPr>
        <w:spacing w:after="0" w:line="92" w:lineRule="exact"/>
        <w:rPr>
          <w:sz w:val="20"/>
          <w:szCs w:val="20"/>
          <w:color w:val="auto"/>
        </w:rPr>
      </w:pPr>
    </w:p>
    <w:p>
      <w:pPr>
        <w:ind w:left="1200" w:right="300" w:hanging="647"/>
        <w:spacing w:after="0" w:line="277" w:lineRule="auto"/>
        <w:tabs>
          <w:tab w:leader="none" w:pos="1180" w:val="left"/>
        </w:tabs>
        <w:rPr>
          <w:sz w:val="20"/>
          <w:szCs w:val="20"/>
          <w:color w:val="auto"/>
        </w:rPr>
      </w:pPr>
      <w:r>
        <w:rPr>
          <w:rFonts w:ascii="Arial" w:cs="Arial" w:eastAsia="Arial" w:hAnsi="Arial"/>
          <w:sz w:val="18"/>
          <w:szCs w:val="18"/>
          <w:color w:val="auto"/>
        </w:rPr>
        <w:t>5.17.3</w:t>
        <w:tab/>
        <w:t>During the last six (6) months of this Lease, the Lessee must permit prospective tenants to visit the premises. The Lessor must identify the visitors and advise the Lessee two (2) working days prior to the visit.</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5.18</w:t>
      </w:r>
      <w:r>
        <w:rPr>
          <w:sz w:val="20"/>
          <w:szCs w:val="20"/>
          <w:color w:val="auto"/>
        </w:rPr>
        <w:tab/>
      </w:r>
      <w:r>
        <w:rPr>
          <w:rFonts w:ascii="Arial" w:cs="Arial" w:eastAsia="Arial" w:hAnsi="Arial"/>
          <w:sz w:val="16"/>
          <w:szCs w:val="16"/>
          <w:b w:val="1"/>
          <w:bCs w:val="1"/>
          <w:color w:val="auto"/>
        </w:rPr>
        <w:t>Lease Preparation Expenses</w:t>
      </w:r>
    </w:p>
    <w:p>
      <w:pPr>
        <w:spacing w:after="0" w:line="135" w:lineRule="exact"/>
        <w:rPr>
          <w:sz w:val="20"/>
          <w:szCs w:val="20"/>
          <w:color w:val="auto"/>
        </w:rPr>
      </w:pPr>
    </w:p>
    <w:p>
      <w:pPr>
        <w:jc w:val="both"/>
        <w:ind w:left="1200" w:right="80" w:hanging="647"/>
        <w:spacing w:after="0" w:line="286" w:lineRule="auto"/>
        <w:tabs>
          <w:tab w:leader="none" w:pos="1180" w:val="left"/>
        </w:tabs>
        <w:rPr>
          <w:sz w:val="20"/>
          <w:szCs w:val="20"/>
          <w:color w:val="auto"/>
        </w:rPr>
      </w:pPr>
      <w:r>
        <w:rPr>
          <w:rFonts w:ascii="Arial" w:cs="Arial" w:eastAsia="Arial" w:hAnsi="Arial"/>
          <w:sz w:val="18"/>
          <w:szCs w:val="18"/>
          <w:color w:val="auto"/>
        </w:rPr>
        <w:t>5.18.1</w:t>
      </w:r>
      <w:r>
        <w:rPr>
          <w:sz w:val="20"/>
          <w:szCs w:val="20"/>
          <w:color w:val="auto"/>
        </w:rPr>
        <w:tab/>
      </w:r>
      <w:r>
        <w:rPr>
          <w:rFonts w:ascii="Arial" w:cs="Arial" w:eastAsia="Arial" w:hAnsi="Arial"/>
          <w:sz w:val="17"/>
          <w:szCs w:val="17"/>
          <w:color w:val="auto"/>
        </w:rPr>
        <w:t>Both Parties agree that the Lessor is responsible for the preparation of the first draft of the Lease. Both Parties agree that they are each responsible for their share of legal fees incurred in the negotiation of the Lease. Furthermore, neither Party may incur such legal fees, payable by the other Party, without having obtained prior written permission of the latter.</w:t>
      </w:r>
    </w:p>
    <w:p>
      <w:pPr>
        <w:spacing w:after="0" w:line="71" w:lineRule="exact"/>
        <w:rPr>
          <w:sz w:val="20"/>
          <w:szCs w:val="20"/>
          <w:color w:val="auto"/>
        </w:rPr>
      </w:pPr>
    </w:p>
    <w:p>
      <w:pPr>
        <w:ind w:left="1200" w:right="380" w:hanging="647"/>
        <w:spacing w:after="0" w:line="277" w:lineRule="auto"/>
        <w:tabs>
          <w:tab w:leader="none" w:pos="1180" w:val="left"/>
        </w:tabs>
        <w:rPr>
          <w:sz w:val="20"/>
          <w:szCs w:val="20"/>
          <w:color w:val="auto"/>
        </w:rPr>
      </w:pPr>
      <w:r>
        <w:rPr>
          <w:rFonts w:ascii="Arial" w:cs="Arial" w:eastAsia="Arial" w:hAnsi="Arial"/>
          <w:sz w:val="18"/>
          <w:szCs w:val="18"/>
          <w:color w:val="auto"/>
        </w:rPr>
        <w:t>5.18.2</w:t>
        <w:tab/>
        <w:t>The Lessee acknowledges that is has dealt with no other broker other than CBRE regarding the proposed Lease. Both Parties agree that the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0"/>
          </w:cols>
          <w:pgMar w:left="860" w:top="273" w:right="459" w:bottom="1440" w:gutter="0" w:footer="0" w:header="0"/>
        </w:sectPr>
      </w:pPr>
    </w:p>
    <w:bookmarkStart w:id="531" w:name="page532"/>
    <w:bookmarkEnd w:id="531"/>
    <w:p>
      <w:pPr>
        <w:ind w:left="112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Lessor shall be responsible for any compensation to CBRE in connection with the negotiation and execution of the Lease between the Lessor and the Lessee. No other broker or agent shall negotiate or participate in the negotiation or execution of the Lease between the Lessor and the Lessee.</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5.19</w:t>
      </w:r>
      <w:r>
        <w:rPr>
          <w:sz w:val="20"/>
          <w:szCs w:val="20"/>
          <w:color w:val="auto"/>
        </w:rPr>
        <w:tab/>
      </w:r>
      <w:r>
        <w:rPr>
          <w:rFonts w:ascii="Arial" w:cs="Arial" w:eastAsia="Arial" w:hAnsi="Arial"/>
          <w:sz w:val="16"/>
          <w:szCs w:val="16"/>
          <w:b w:val="1"/>
          <w:bCs w:val="1"/>
          <w:color w:val="auto"/>
        </w:rPr>
        <w:t>Non-Responsibility of the Lessor</w:t>
      </w:r>
    </w:p>
    <w:p>
      <w:pPr>
        <w:spacing w:after="0" w:line="135" w:lineRule="exact"/>
        <w:rPr>
          <w:sz w:val="20"/>
          <w:szCs w:val="20"/>
          <w:color w:val="auto"/>
        </w:rPr>
      </w:pPr>
    </w:p>
    <w:p>
      <w:pPr>
        <w:ind w:left="1100" w:right="20" w:hanging="539"/>
        <w:spacing w:after="0" w:line="301" w:lineRule="auto"/>
        <w:rPr>
          <w:sz w:val="20"/>
          <w:szCs w:val="20"/>
          <w:color w:val="auto"/>
        </w:rPr>
      </w:pPr>
      <w:r>
        <w:rPr>
          <w:rFonts w:ascii="Arial" w:cs="Arial" w:eastAsia="Arial" w:hAnsi="Arial"/>
          <w:sz w:val="16"/>
          <w:szCs w:val="16"/>
          <w:color w:val="auto"/>
        </w:rPr>
        <w:t>5.19.1 The Lessee releases from liability and holds the Lessor harmless from all damages or losses caused directly or indirectly to the property, merchandise or operations of the Lessee on the Leased Premises, caused by the occupants of adjacent premises by reason of a fallen wall, plaster or ceiling, snow, or rain or by reason of a heating unit, humidity or flood; the Lessor must however appropriately maintain the Leased Premises and take the necessary measures to prevent or repair any defects when so notified.</w:t>
      </w:r>
    </w:p>
    <w:p>
      <w:pPr>
        <w:spacing w:after="0" w:line="63" w:lineRule="exact"/>
        <w:rPr>
          <w:sz w:val="20"/>
          <w:szCs w:val="20"/>
          <w:color w:val="auto"/>
        </w:rPr>
      </w:pPr>
    </w:p>
    <w:p>
      <w:pPr>
        <w:ind w:left="1100" w:right="540" w:hanging="539"/>
        <w:spacing w:after="0" w:line="259" w:lineRule="auto"/>
        <w:rPr>
          <w:sz w:val="20"/>
          <w:szCs w:val="20"/>
          <w:color w:val="auto"/>
        </w:rPr>
      </w:pPr>
      <w:r>
        <w:rPr>
          <w:rFonts w:ascii="Arial" w:cs="Arial" w:eastAsia="Arial" w:hAnsi="Arial"/>
          <w:sz w:val="18"/>
          <w:szCs w:val="18"/>
          <w:color w:val="auto"/>
        </w:rPr>
        <w:t>5.19.2 Except for gross negligence, the Lessor, its agents, representatives, employees or contractors shall not be held liable for any damage caused to the Leased Premises or its contents as a result of entry on the Leased Premises by the Lessor, its agents, representatives, employees or contractors for inspection purposes or to carry out any work whatsoever, or in the case of an emergency.</w:t>
      </w:r>
    </w:p>
    <w:p>
      <w:pPr>
        <w:spacing w:after="0" w:line="92" w:lineRule="exact"/>
        <w:rPr>
          <w:sz w:val="20"/>
          <w:szCs w:val="20"/>
          <w:color w:val="auto"/>
        </w:rPr>
      </w:pPr>
    </w:p>
    <w:p>
      <w:pPr>
        <w:ind w:left="1100" w:hanging="539"/>
        <w:spacing w:after="0" w:line="259" w:lineRule="auto"/>
        <w:rPr>
          <w:sz w:val="20"/>
          <w:szCs w:val="20"/>
          <w:color w:val="auto"/>
        </w:rPr>
      </w:pPr>
      <w:r>
        <w:rPr>
          <w:rFonts w:ascii="Arial" w:cs="Arial" w:eastAsia="Arial" w:hAnsi="Arial"/>
          <w:sz w:val="18"/>
          <w:szCs w:val="18"/>
          <w:color w:val="auto"/>
        </w:rPr>
        <w:t>5.19.3 It is further agreed that the Lessee releases the Lessor from all liability that may result from the interruption of services in the Building, provided the Lessor takes all necessary steps to restore such services with all due diligence. Therefore, the Lessee hereby expressly waives the right to all damages resulting from loss of enjoyment of the Leased Premises subject to Section 6.1 of this Lease.</w:t>
      </w:r>
    </w:p>
    <w:p>
      <w:pPr>
        <w:spacing w:after="0" w:line="92" w:lineRule="exact"/>
        <w:rPr>
          <w:sz w:val="20"/>
          <w:szCs w:val="20"/>
          <w:color w:val="auto"/>
        </w:rPr>
      </w:pPr>
    </w:p>
    <w:p>
      <w:pPr>
        <w:jc w:val="both"/>
        <w:ind w:left="1100" w:right="240" w:hanging="539"/>
        <w:spacing w:after="0" w:line="263" w:lineRule="auto"/>
        <w:rPr>
          <w:sz w:val="20"/>
          <w:szCs w:val="20"/>
          <w:color w:val="auto"/>
        </w:rPr>
      </w:pPr>
      <w:r>
        <w:rPr>
          <w:rFonts w:ascii="Arial" w:cs="Arial" w:eastAsia="Arial" w:hAnsi="Arial"/>
          <w:sz w:val="18"/>
          <w:szCs w:val="18"/>
          <w:color w:val="auto"/>
        </w:rPr>
        <w:t>5.19.4 The Lessee releases the Lessor from all liability resulting from the use by the Lessee of equipment and instruments provided by Lessor or on its behalf; the Lessor must, however, maintain such equipment and instruments in good working order, and take all necessary measures to repair same when so notified.</w:t>
      </w:r>
    </w:p>
    <w:p>
      <w:pPr>
        <w:spacing w:after="0" w:line="89" w:lineRule="exact"/>
        <w:rPr>
          <w:sz w:val="20"/>
          <w:szCs w:val="20"/>
          <w:color w:val="auto"/>
        </w:rPr>
      </w:pPr>
    </w:p>
    <w:p>
      <w:pPr>
        <w:ind w:left="1100" w:right="60" w:hanging="539"/>
        <w:spacing w:after="0" w:line="273" w:lineRule="auto"/>
        <w:rPr>
          <w:sz w:val="20"/>
          <w:szCs w:val="20"/>
          <w:color w:val="auto"/>
        </w:rPr>
      </w:pPr>
      <w:r>
        <w:rPr>
          <w:rFonts w:ascii="Arial" w:cs="Arial" w:eastAsia="Arial" w:hAnsi="Arial"/>
          <w:sz w:val="17"/>
          <w:szCs w:val="17"/>
          <w:color w:val="auto"/>
        </w:rPr>
        <w:t>5.19.5 Save in the event of the gross negligence of the Lessor, the Lessor shall, under no circumstances, be held liable in any manner whatsoever for any losses, costs, damages or expenses, whether direct or indirect, arising from any interruption in the provision of any service or additional service regardless of their nature. The Lessee shall not be entitled, following any such interruption, to obtain compensation or reduction in Rent or be entitled to terminate the Lease. The Lessor may interrupt the use or provision of any service when necessary following an accident, defective operation, or in accordance with any Applicable Laws, or during any repairs, improvements or rebuilding that the Lessor deems necessary.</w:t>
      </w:r>
    </w:p>
    <w:p>
      <w:pPr>
        <w:spacing w:after="0" w:line="32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5.20</w:t>
      </w:r>
      <w:r>
        <w:rPr>
          <w:sz w:val="20"/>
          <w:szCs w:val="20"/>
          <w:color w:val="auto"/>
        </w:rPr>
        <w:tab/>
      </w:r>
      <w:r>
        <w:rPr>
          <w:rFonts w:ascii="Arial" w:cs="Arial" w:eastAsia="Arial" w:hAnsi="Arial"/>
          <w:sz w:val="15"/>
          <w:szCs w:val="15"/>
          <w:b w:val="1"/>
          <w:bCs w:val="1"/>
          <w:color w:val="auto"/>
        </w:rPr>
        <w:t>Return of Leased Premises</w:t>
      </w:r>
    </w:p>
    <w:p>
      <w:pPr>
        <w:spacing w:after="0" w:line="135" w:lineRule="exact"/>
        <w:rPr>
          <w:sz w:val="20"/>
          <w:szCs w:val="20"/>
          <w:color w:val="auto"/>
        </w:rPr>
      </w:pPr>
    </w:p>
    <w:p>
      <w:pPr>
        <w:ind w:left="1100" w:right="60" w:hanging="539"/>
        <w:spacing w:after="0" w:line="263" w:lineRule="auto"/>
        <w:rPr>
          <w:sz w:val="20"/>
          <w:szCs w:val="20"/>
          <w:color w:val="auto"/>
        </w:rPr>
      </w:pPr>
      <w:r>
        <w:rPr>
          <w:rFonts w:ascii="Arial" w:cs="Arial" w:eastAsia="Arial" w:hAnsi="Arial"/>
          <w:sz w:val="18"/>
          <w:szCs w:val="18"/>
          <w:color w:val="auto"/>
        </w:rPr>
        <w:t>5.20.1 Upon expiration or early termination of the Lease, the Lessee shall peacefully return to the Lessor, the vacant possession of the Leased Premises as well as all leasehold improvements, additions, modifications, changes or construction that, at all times prior to or during the Lease Term, will be or were made to the Leased Premises,</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40"/>
          </w:cols>
          <w:pgMar w:left="860" w:top="273" w:right="499" w:bottom="1440" w:gutter="0" w:footer="0" w:header="0"/>
        </w:sectPr>
      </w:pPr>
    </w:p>
    <w:bookmarkStart w:id="532" w:name="page533"/>
    <w:bookmarkEnd w:id="532"/>
    <w:p>
      <w:pPr>
        <w:ind w:left="1120"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 good condition, with the exception of normal wear and tear, the whole, without the Lessee or any other person claiming any compensation whatsoever.</w:t>
      </w:r>
    </w:p>
    <w:p>
      <w:pPr>
        <w:spacing w:after="0" w:line="76" w:lineRule="exact"/>
        <w:rPr>
          <w:sz w:val="20"/>
          <w:szCs w:val="20"/>
          <w:color w:val="auto"/>
        </w:rPr>
      </w:pPr>
    </w:p>
    <w:p>
      <w:pPr>
        <w:ind w:left="1100" w:right="100" w:hanging="539"/>
        <w:spacing w:after="0" w:line="271" w:lineRule="auto"/>
        <w:rPr>
          <w:sz w:val="20"/>
          <w:szCs w:val="20"/>
          <w:color w:val="auto"/>
        </w:rPr>
      </w:pPr>
      <w:r>
        <w:rPr>
          <w:rFonts w:ascii="Arial" w:cs="Arial" w:eastAsia="Arial" w:hAnsi="Arial"/>
          <w:sz w:val="17"/>
          <w:szCs w:val="17"/>
          <w:color w:val="auto"/>
        </w:rPr>
        <w:t>5.20.2 The Lessee may, during the Lease Term, remove its machinery and equipment during the normal course of business, provided that such equipment and machinery exceed the needs of the Lessee, or provided that the Lessee replace said equipment and machinery with similar new equipment, and provided that in each case the Lessee is not in default under the terms of this Lease and that removal does not constitute a breach of the clauses hereof. The machinery and equipment of the Lessee does not include: a) the heating, ventilation or air conditioning systems; b) machinery, installations and equipment located in or serving the Leased Premises or incorporated therein or into the Building or that cannot be removed without damaging the Leased Premises or the Building; c) floor coverings, light fixtures and doors; d) which machinery and equipment are all deemed to be leasehold improvements and the property of the Lessor.</w:t>
      </w:r>
    </w:p>
    <w:p>
      <w:pPr>
        <w:spacing w:after="0" w:line="84" w:lineRule="exact"/>
        <w:rPr>
          <w:sz w:val="20"/>
          <w:szCs w:val="20"/>
          <w:color w:val="auto"/>
        </w:rPr>
      </w:pPr>
    </w:p>
    <w:p>
      <w:pPr>
        <w:jc w:val="both"/>
        <w:ind w:left="1100" w:right="480" w:hanging="539"/>
        <w:spacing w:after="0" w:line="286" w:lineRule="auto"/>
        <w:rPr>
          <w:sz w:val="20"/>
          <w:szCs w:val="20"/>
          <w:color w:val="auto"/>
        </w:rPr>
      </w:pPr>
      <w:r>
        <w:rPr>
          <w:rFonts w:ascii="Arial" w:cs="Arial" w:eastAsia="Arial" w:hAnsi="Arial"/>
          <w:sz w:val="17"/>
          <w:szCs w:val="17"/>
          <w:color w:val="auto"/>
        </w:rPr>
        <w:t>5.20.3 The Lessee shall, upon expiration or early termination of the Lease, return the Leased Premises in the condition in which the Lessee is required to maintain them pursuant to the terms of this Agreement, with the exception of normal wear and tear, and remove its machinery and equipment, and repair all damages caused by such removal.</w:t>
      </w:r>
    </w:p>
    <w:p>
      <w:pPr>
        <w:spacing w:after="0" w:line="71" w:lineRule="exact"/>
        <w:rPr>
          <w:sz w:val="20"/>
          <w:szCs w:val="20"/>
          <w:color w:val="auto"/>
        </w:rPr>
      </w:pPr>
    </w:p>
    <w:p>
      <w:pPr>
        <w:ind w:left="1100" w:hanging="539"/>
        <w:spacing w:after="0" w:line="272" w:lineRule="auto"/>
        <w:rPr>
          <w:sz w:val="20"/>
          <w:szCs w:val="20"/>
          <w:color w:val="auto"/>
        </w:rPr>
      </w:pPr>
      <w:r>
        <w:rPr>
          <w:rFonts w:ascii="Arial" w:cs="Arial" w:eastAsia="Arial" w:hAnsi="Arial"/>
          <w:sz w:val="17"/>
          <w:szCs w:val="17"/>
          <w:color w:val="auto"/>
        </w:rPr>
        <w:t>5.20.4 Furthermore, the Lessee shall, upon expiration or early termination of the Lease, immediately remove at its expense the alterations, modifications, additions, installations and improvements made by the Lessee or by the Lessor for the Lessee prior to or following the Effective Date and repair all damages caused by such installation or removal. Any equipment or machinery or other property left by the Lessee in the Leased Premises upon expiration or early termination of the Lease shall become the sole property of the Lessor, without the Lessee or any other person claiming any compensation whatsoever. The Lessor may dispose of such equipment or machinery in any manner it deems appropriate. The obligations of the Lessee of this Sub-Section shall survive the expiration and early termination of the Lease.</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5.20.5 For greater certainty, the provisions included in this Section 5.20 do not increase Lessee’s obligations set forth under Sections 5.13,</w:t>
      </w:r>
    </w:p>
    <w:p>
      <w:pPr>
        <w:spacing w:after="0" w:line="4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5.14, 5.15 and 5.16.</w:t>
      </w:r>
    </w:p>
    <w:p>
      <w:pPr>
        <w:spacing w:after="0" w:line="35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5.21</w:t>
      </w:r>
      <w:r>
        <w:rPr>
          <w:sz w:val="20"/>
          <w:szCs w:val="20"/>
          <w:color w:val="auto"/>
        </w:rPr>
        <w:tab/>
      </w:r>
      <w:r>
        <w:rPr>
          <w:rFonts w:ascii="Arial" w:cs="Arial" w:eastAsia="Arial" w:hAnsi="Arial"/>
          <w:sz w:val="16"/>
          <w:szCs w:val="16"/>
          <w:b w:val="1"/>
          <w:bCs w:val="1"/>
          <w:color w:val="auto"/>
        </w:rPr>
        <w:t>Alternative Execution</w:t>
      </w:r>
    </w:p>
    <w:p>
      <w:pPr>
        <w:spacing w:after="0" w:line="135" w:lineRule="exact"/>
        <w:rPr>
          <w:sz w:val="20"/>
          <w:szCs w:val="20"/>
          <w:color w:val="auto"/>
        </w:rPr>
      </w:pPr>
    </w:p>
    <w:p>
      <w:pPr>
        <w:ind w:left="1100" w:right="280" w:hanging="539"/>
        <w:spacing w:after="0" w:line="263" w:lineRule="auto"/>
        <w:rPr>
          <w:sz w:val="20"/>
          <w:szCs w:val="20"/>
          <w:color w:val="auto"/>
        </w:rPr>
      </w:pPr>
      <w:r>
        <w:rPr>
          <w:rFonts w:ascii="Arial" w:cs="Arial" w:eastAsia="Arial" w:hAnsi="Arial"/>
          <w:sz w:val="18"/>
          <w:szCs w:val="18"/>
          <w:color w:val="auto"/>
        </w:rPr>
        <w:t>5.21.1 It is hereby expressly understood and agreed that if, at any time and as often as the situation arises, the Lessee fails to fulfill or execute any of its obligations under the terms of this Lease, the Lessor may, without excusing or releasing the Lessee from such obligations, itself respect and fulfill said obligation or obligations of the Lessee.</w:t>
      </w:r>
    </w:p>
    <w:p>
      <w:pPr>
        <w:spacing w:after="0" w:line="89" w:lineRule="exact"/>
        <w:rPr>
          <w:sz w:val="20"/>
          <w:szCs w:val="20"/>
          <w:color w:val="auto"/>
        </w:rPr>
      </w:pPr>
    </w:p>
    <w:p>
      <w:pPr>
        <w:ind w:left="1100" w:right="120" w:hanging="539"/>
        <w:spacing w:after="0" w:line="259" w:lineRule="auto"/>
        <w:rPr>
          <w:sz w:val="20"/>
          <w:szCs w:val="20"/>
          <w:color w:val="auto"/>
        </w:rPr>
      </w:pPr>
      <w:r>
        <w:rPr>
          <w:rFonts w:ascii="Arial" w:cs="Arial" w:eastAsia="Arial" w:hAnsi="Arial"/>
          <w:sz w:val="18"/>
          <w:szCs w:val="18"/>
          <w:color w:val="auto"/>
        </w:rPr>
        <w:t>5.21.2 In this regard, the Lessor may pay the amounts required or deemed necessary and subsequently collect from the Lessee such amounts plus applicable interest charged from the date on which the Lessor paid said amounts, at the interest rate agreed to herein as additional rent; the Lessee undertakes to immediately reimburse all such expenses as well as the applicable interest on such amounts at the agreed upon rate.</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80"/>
          </w:cols>
          <w:pgMar w:left="860" w:top="273" w:right="459" w:bottom="1440" w:gutter="0" w:footer="0" w:header="0"/>
        </w:sectPr>
      </w:pPr>
    </w:p>
    <w:bookmarkStart w:id="533" w:name="page534"/>
    <w:bookmarkEnd w:id="533"/>
    <w:p>
      <w:pPr>
        <w:ind w:left="424" w:hanging="424"/>
        <w:spacing w:after="0"/>
        <w:tabs>
          <w:tab w:leader="none" w:pos="424"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LESSOR’S OBLIGATIONS</w:t>
      </w:r>
    </w:p>
    <w:p>
      <w:pPr>
        <w:spacing w:after="0" w:line="131"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Lessor’s Work</w:t>
      </w:r>
    </w:p>
    <w:p>
      <w:pPr>
        <w:spacing w:after="0" w:line="131" w:lineRule="exact"/>
        <w:rPr>
          <w:sz w:val="20"/>
          <w:szCs w:val="20"/>
          <w:color w:val="auto"/>
        </w:rPr>
      </w:pPr>
    </w:p>
    <w:p>
      <w:pPr>
        <w:ind w:left="1524" w:hanging="539"/>
        <w:spacing w:after="0" w:line="277" w:lineRule="auto"/>
        <w:tabs>
          <w:tab w:leader="none" w:pos="1504"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7"/>
          <w:szCs w:val="17"/>
          <w:color w:val="auto"/>
        </w:rPr>
        <w:t xml:space="preserve">The Leased Premises shall be fully completed in accordance with the specifications described on </w:t>
      </w:r>
      <w:r>
        <w:rPr>
          <w:rFonts w:ascii="Arial" w:cs="Arial" w:eastAsia="Arial" w:hAnsi="Arial"/>
          <w:sz w:val="17"/>
          <w:szCs w:val="17"/>
          <w:b w:val="1"/>
          <w:bCs w:val="1"/>
          <w:color w:val="auto"/>
        </w:rPr>
        <w:t>Appendix 6.1</w:t>
      </w:r>
      <w:r>
        <w:rPr>
          <w:rFonts w:ascii="Arial" w:cs="Arial" w:eastAsia="Arial" w:hAnsi="Arial"/>
          <w:sz w:val="17"/>
          <w:szCs w:val="17"/>
          <w:color w:val="auto"/>
        </w:rPr>
        <w:t xml:space="preserve"> attached hereto on or prior to the Commencement Date, at Lessor’s sole expense, with the intention to provide the Lessee with a Leased Premises equipped with all base building systems, including HVAC system, electrical, life safety and plumbing systems in good working condition (collectively, the “</w:t>
      </w:r>
      <w:r>
        <w:rPr>
          <w:rFonts w:ascii="Arial" w:cs="Arial" w:eastAsia="Arial" w:hAnsi="Arial"/>
          <w:sz w:val="17"/>
          <w:szCs w:val="17"/>
          <w:b w:val="1"/>
          <w:bCs w:val="1"/>
          <w:color w:val="auto"/>
        </w:rPr>
        <w:t>Lessor’s Work</w:t>
      </w:r>
      <w:r>
        <w:rPr>
          <w:rFonts w:ascii="Arial" w:cs="Arial" w:eastAsia="Arial" w:hAnsi="Arial"/>
          <w:sz w:val="17"/>
          <w:szCs w:val="17"/>
          <w:color w:val="auto"/>
        </w:rPr>
        <w:t xml:space="preserve">”). Any amendments to the specifications described on </w:t>
      </w:r>
      <w:r>
        <w:rPr>
          <w:rFonts w:ascii="Arial" w:cs="Arial" w:eastAsia="Arial" w:hAnsi="Arial"/>
          <w:sz w:val="17"/>
          <w:szCs w:val="17"/>
          <w:b w:val="1"/>
          <w:bCs w:val="1"/>
          <w:color w:val="auto"/>
        </w:rPr>
        <w:t>Appendix 6.1</w:t>
      </w:r>
      <w:r>
        <w:rPr>
          <w:rFonts w:ascii="Arial" w:cs="Arial" w:eastAsia="Arial" w:hAnsi="Arial"/>
          <w:sz w:val="17"/>
          <w:szCs w:val="17"/>
          <w:color w:val="auto"/>
        </w:rPr>
        <w:t xml:space="preserve"> shall be agreed to by the Lessor and the Lessee, prior to the Lessor commencing the Lessor’s Work.</w:t>
      </w:r>
    </w:p>
    <w:p>
      <w:pPr>
        <w:spacing w:after="0" w:line="77" w:lineRule="exact"/>
        <w:rPr>
          <w:sz w:val="20"/>
          <w:szCs w:val="20"/>
          <w:color w:val="auto"/>
        </w:rPr>
      </w:pPr>
    </w:p>
    <w:p>
      <w:pPr>
        <w:ind w:left="1524" w:hanging="539"/>
        <w:spacing w:after="0" w:line="259" w:lineRule="auto"/>
        <w:tabs>
          <w:tab w:leader="none" w:pos="1504" w:val="left"/>
        </w:tabs>
        <w:rPr>
          <w:sz w:val="20"/>
          <w:szCs w:val="20"/>
          <w:color w:val="auto"/>
        </w:rPr>
      </w:pPr>
      <w:r>
        <w:rPr>
          <w:rFonts w:ascii="Arial" w:cs="Arial" w:eastAsia="Arial" w:hAnsi="Arial"/>
          <w:sz w:val="18"/>
          <w:szCs w:val="18"/>
          <w:color w:val="auto"/>
        </w:rPr>
        <w:t>6.1.2</w:t>
        <w:tab/>
        <w:t>The Lessor’s Work shall be performed in a good and workmanlike manner, in compliance with all Applicable Laws and Lessor shall obtain and keep in full force and effect and in good standing, at its own cost, all approvals and permits from authorities having jurisdiction in respect thereof. Any work in addition to any of the items specifically enumerated as Lessor’s Work shall be performed at the own costs and expenses of the Lessee.</w:t>
      </w:r>
    </w:p>
    <w:p>
      <w:pPr>
        <w:spacing w:after="0" w:line="92" w:lineRule="exact"/>
        <w:rPr>
          <w:sz w:val="20"/>
          <w:szCs w:val="20"/>
          <w:color w:val="auto"/>
        </w:rPr>
      </w:pPr>
    </w:p>
    <w:p>
      <w:pPr>
        <w:ind w:left="1524" w:right="40" w:hanging="539"/>
        <w:spacing w:after="0" w:line="269" w:lineRule="auto"/>
        <w:tabs>
          <w:tab w:leader="none" w:pos="1504"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7"/>
          <w:szCs w:val="17"/>
          <w:color w:val="auto"/>
        </w:rPr>
        <w:t>The Lessee and the Lessor and their respective professional consultants will tour the Leased Premises thirty (30) days prior to the Commencement Date in order to review whether substantial completion of the Lessor’s Work is on schedule. Within ten (10) days following the inspection, the architect shall identify and list deficiencies in the Lessor’s Work, which list shall be provided to the Lessor and the Lessee (the “</w:t>
      </w:r>
      <w:r>
        <w:rPr>
          <w:rFonts w:ascii="Arial" w:cs="Arial" w:eastAsia="Arial" w:hAnsi="Arial"/>
          <w:sz w:val="17"/>
          <w:szCs w:val="17"/>
          <w:b w:val="1"/>
          <w:bCs w:val="1"/>
          <w:color w:val="auto"/>
        </w:rPr>
        <w:t>Deficiency List</w:t>
      </w:r>
      <w:r>
        <w:rPr>
          <w:rFonts w:ascii="Arial" w:cs="Arial" w:eastAsia="Arial" w:hAnsi="Arial"/>
          <w:sz w:val="17"/>
          <w:szCs w:val="17"/>
          <w:color w:val="auto"/>
        </w:rPr>
        <w:t>”). The Deficiency List shall be accompanied by a letter from the architect certifying that the Lessor has achieved substantial completion of the Lessor’s Work, subject to any deficiencies that are identified in the Deficiency List. Lessor will promptly provide a timeline satisfactory to the Lessee for rectification by the Lessor of all deficiencies identified in the Deficiency List. The Lessor will proceed forthwith to diligently rectify such deficiencies at its sole cost, provided that those minor deficiencies which do not materially interfere with the utilization of the work in question for such purpose (as determined by the Lessee, acting reasonably) may be rectified after the Commencement Date, in which case the Lessor will coordinate with the Lessee in order to correct such deficiencies so as to interfere as little as reasonably possible with Lessee’s use and enjoyment of the Leased Premises.</w:t>
      </w:r>
    </w:p>
    <w:p>
      <w:pPr>
        <w:spacing w:after="0" w:line="87" w:lineRule="exact"/>
        <w:rPr>
          <w:sz w:val="20"/>
          <w:szCs w:val="20"/>
          <w:color w:val="auto"/>
        </w:rPr>
      </w:pPr>
    </w:p>
    <w:p>
      <w:pPr>
        <w:ind w:left="1524" w:right="240" w:hanging="539"/>
        <w:spacing w:after="0" w:line="263" w:lineRule="auto"/>
        <w:tabs>
          <w:tab w:leader="none" w:pos="1504" w:val="left"/>
        </w:tabs>
        <w:rPr>
          <w:sz w:val="20"/>
          <w:szCs w:val="20"/>
          <w:color w:val="auto"/>
        </w:rPr>
      </w:pPr>
      <w:r>
        <w:rPr>
          <w:rFonts w:ascii="Arial" w:cs="Arial" w:eastAsia="Arial" w:hAnsi="Arial"/>
          <w:sz w:val="18"/>
          <w:szCs w:val="18"/>
          <w:color w:val="auto"/>
        </w:rPr>
        <w:t>6.1.4</w:t>
        <w:tab/>
        <w:t>The Lessor acknowledges that it is critical to the Lessee that the Lessor provides substantial completion of the Lessor’s Work by the Commencement Date. If for any reason the Lessor is unable to provide substantial completion of the Lessor’s Work by the Commencement Date for reasons exclusively under Lessor’s control:</w:t>
      </w:r>
    </w:p>
    <w:p>
      <w:pPr>
        <w:spacing w:after="0" w:line="89" w:lineRule="exact"/>
        <w:rPr>
          <w:sz w:val="20"/>
          <w:szCs w:val="20"/>
          <w:color w:val="auto"/>
        </w:rPr>
      </w:pPr>
    </w:p>
    <w:p>
      <w:pPr>
        <w:ind w:left="1524" w:right="80" w:hanging="539"/>
        <w:spacing w:after="0" w:line="277" w:lineRule="auto"/>
        <w:tabs>
          <w:tab w:leader="none" w:pos="152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Lessor will notify the Lessee of the new scheduled date for the Commencement Date, and the Commencement Date, the Initial Term and all other relevant dates and periods will be adjusted accordingly;</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69" w:right="459" w:bottom="1440" w:gutter="0" w:footer="0" w:header="0"/>
        </w:sectPr>
      </w:pPr>
    </w:p>
    <w:bookmarkStart w:id="534" w:name="page535"/>
    <w:bookmarkEnd w:id="534"/>
    <w:p>
      <w:pPr>
        <w:ind w:left="1100" w:right="240" w:hanging="539"/>
        <w:spacing w:after="0" w:line="259" w:lineRule="auto"/>
        <w:tabs>
          <w:tab w:leader="none" w:pos="1100" w:val="left"/>
        </w:tabs>
        <w:numPr>
          <w:ilvl w:val="0"/>
          <w:numId w:val="3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Lessor is unable to provide substantial completion of the Lessor’s Work by the Commencement Date, the Lessor shall be responsible to pay the Lessee (failing which Lessee may deduct such amount from the next payment or payments due by Lessee hereunder), as liquidated damages in full and final satisfaction of all Lessee’s claims in respect of such delay, for any month of delay, 125% of the monthly Rent set forth herein; and</w:t>
      </w:r>
    </w:p>
    <w:p>
      <w:pPr>
        <w:spacing w:after="0" w:line="92" w:lineRule="exact"/>
        <w:rPr>
          <w:rFonts w:ascii="Arial" w:cs="Arial" w:eastAsia="Arial" w:hAnsi="Arial"/>
          <w:sz w:val="18"/>
          <w:szCs w:val="18"/>
          <w:color w:val="auto"/>
        </w:rPr>
      </w:pPr>
    </w:p>
    <w:p>
      <w:pPr>
        <w:ind w:left="1100" w:right="160" w:hanging="539"/>
        <w:spacing w:after="0" w:line="255" w:lineRule="auto"/>
        <w:tabs>
          <w:tab w:leader="none" w:pos="110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if for any reason the Lessor is unable to provide substantial completion of the Lessor’s Work by December 31</w:t>
      </w:r>
      <w:r>
        <w:rPr>
          <w:rFonts w:ascii="Arial" w:cs="Arial" w:eastAsia="Arial" w:hAnsi="Arial"/>
          <w:sz w:val="15"/>
          <w:szCs w:val="15"/>
          <w:color w:val="auto"/>
        </w:rPr>
        <w:t>st</w:t>
      </w:r>
      <w:r>
        <w:rPr>
          <w:rFonts w:ascii="Arial" w:cs="Arial" w:eastAsia="Arial" w:hAnsi="Arial"/>
          <w:sz w:val="18"/>
          <w:szCs w:val="18"/>
          <w:color w:val="auto"/>
        </w:rPr>
        <w:t>, 2020, the Lessee but not the Lessor shall have the right at any time thereafter until a certificate of substantial completion of the Lessor’s Work is issued by the architect but no later, by written notice to the Lessor, to terminate this Lease at no cost, penalty or compensation by the Lessee and Lessor shall be liable to Lessee for the liquidated damages set forth in Subsection (b) only. Should the Lessee not exercise its termination right during the aforesaid prescribed period, then such termination right shall be automatically null and void and of no further force or effect.</w:t>
      </w:r>
    </w:p>
    <w:p>
      <w:pPr>
        <w:spacing w:after="0" w:line="98" w:lineRule="exact"/>
        <w:rPr>
          <w:sz w:val="20"/>
          <w:szCs w:val="20"/>
          <w:color w:val="auto"/>
        </w:rPr>
      </w:pPr>
    </w:p>
    <w:p>
      <w:pPr>
        <w:ind w:left="1100" w:hanging="539"/>
        <w:spacing w:after="0" w:line="257" w:lineRule="auto"/>
        <w:tabs>
          <w:tab w:leader="none" w:pos="1080" w:val="left"/>
        </w:tabs>
        <w:rPr>
          <w:sz w:val="20"/>
          <w:szCs w:val="20"/>
          <w:color w:val="auto"/>
        </w:rPr>
      </w:pPr>
      <w:r>
        <w:rPr>
          <w:rFonts w:ascii="Arial" w:cs="Arial" w:eastAsia="Arial" w:hAnsi="Arial"/>
          <w:sz w:val="18"/>
          <w:szCs w:val="18"/>
          <w:color w:val="auto"/>
        </w:rPr>
        <w:t>6.1.5</w:t>
        <w:tab/>
        <w:t>Notwithstanding any other provision of this Lease, the Lessee shall benefit from a six (6) month period from the substantial completion (the “</w:t>
      </w:r>
      <w:r>
        <w:rPr>
          <w:rFonts w:ascii="Arial" w:cs="Arial" w:eastAsia="Arial" w:hAnsi="Arial"/>
          <w:sz w:val="18"/>
          <w:szCs w:val="18"/>
          <w:b w:val="1"/>
          <w:bCs w:val="1"/>
          <w:color w:val="auto"/>
        </w:rPr>
        <w:t>Warranty Period</w:t>
      </w:r>
      <w:r>
        <w:rPr>
          <w:rFonts w:ascii="Arial" w:cs="Arial" w:eastAsia="Arial" w:hAnsi="Arial"/>
          <w:sz w:val="18"/>
          <w:szCs w:val="18"/>
          <w:color w:val="auto"/>
        </w:rPr>
        <w:t>”) to notify the Lessor in writing of any visible, hidden or apparent defect affecting the Lessor’s Work or the Leased Premises and the Lessor shall promptly correct any such defect at its sole costs. At the expiry of the Warranty Period, except for the defects or required repair or replacement disclosed in writing to the Lessor, the Leased Premises shall be deemed to be in good and satisfactory order.</w:t>
      </w:r>
    </w:p>
    <w:p>
      <w:pPr>
        <w:spacing w:after="0" w:line="93"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6"/>
          <w:szCs w:val="16"/>
          <w:color w:val="auto"/>
        </w:rPr>
        <w:t>Without limiting any other provision of this Lease, Lessor represents, warrants and covenants that, as at the Commencement Date:</w:t>
      </w:r>
    </w:p>
    <w:p>
      <w:pPr>
        <w:spacing w:after="0" w:line="131" w:lineRule="exact"/>
        <w:rPr>
          <w:sz w:val="20"/>
          <w:szCs w:val="20"/>
          <w:color w:val="auto"/>
        </w:rPr>
      </w:pPr>
    </w:p>
    <w:p>
      <w:pPr>
        <w:ind w:left="1100" w:hanging="539"/>
        <w:spacing w:after="0"/>
        <w:tabs>
          <w:tab w:leader="none" w:pos="11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Building shall comply with all Applicable Laws, including all applicable Environmental Laws;</w:t>
      </w:r>
    </w:p>
    <w:p>
      <w:pPr>
        <w:spacing w:after="0" w:line="130" w:lineRule="exact"/>
        <w:rPr>
          <w:rFonts w:ascii="Arial" w:cs="Arial" w:eastAsia="Arial" w:hAnsi="Arial"/>
          <w:sz w:val="18"/>
          <w:szCs w:val="18"/>
          <w:color w:val="auto"/>
        </w:rPr>
      </w:pPr>
    </w:p>
    <w:p>
      <w:pPr>
        <w:ind w:left="1100" w:right="200" w:hanging="539"/>
        <w:spacing w:after="0" w:line="263" w:lineRule="auto"/>
        <w:tabs>
          <w:tab w:leader="none" w:pos="11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Building shall be free of any Hazardous Materials which are in violation of any applicable Environmental Laws and that no Hazardous Material in violation of any applicable Environmental Laws shall have migrated from any adjoining property into the Building; and</w:t>
      </w:r>
    </w:p>
    <w:p>
      <w:pPr>
        <w:spacing w:after="0" w:line="89" w:lineRule="exact"/>
        <w:rPr>
          <w:rFonts w:ascii="Arial" w:cs="Arial" w:eastAsia="Arial" w:hAnsi="Arial"/>
          <w:sz w:val="18"/>
          <w:szCs w:val="18"/>
          <w:color w:val="auto"/>
        </w:rPr>
      </w:pPr>
    </w:p>
    <w:p>
      <w:pPr>
        <w:ind w:left="1100" w:right="680" w:hanging="539"/>
        <w:spacing w:after="0" w:line="277" w:lineRule="auto"/>
        <w:tabs>
          <w:tab w:leader="none" w:pos="11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Building and all buildings, structures, improvements, facilities, equipment and Building systems shall be in brand new operating condition and order and shall be adequate and suitable for operation by Lessee.</w:t>
      </w:r>
    </w:p>
    <w:p>
      <w:pPr>
        <w:spacing w:after="0" w:line="76"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15"/>
          <w:szCs w:val="15"/>
          <w:color w:val="auto"/>
        </w:rPr>
        <w:t>Change Orders</w:t>
      </w:r>
    </w:p>
    <w:p>
      <w:pPr>
        <w:spacing w:after="0" w:line="131" w:lineRule="exact"/>
        <w:rPr>
          <w:sz w:val="20"/>
          <w:szCs w:val="20"/>
          <w:color w:val="auto"/>
        </w:rPr>
      </w:pPr>
    </w:p>
    <w:p>
      <w:pPr>
        <w:ind w:left="1100" w:right="60" w:hanging="539"/>
        <w:spacing w:after="0" w:line="263" w:lineRule="auto"/>
        <w:tabs>
          <w:tab w:leader="none" w:pos="1080" w:val="left"/>
        </w:tabs>
        <w:rPr>
          <w:sz w:val="20"/>
          <w:szCs w:val="20"/>
          <w:color w:val="auto"/>
        </w:rPr>
      </w:pPr>
      <w:r>
        <w:rPr>
          <w:rFonts w:ascii="Arial" w:cs="Arial" w:eastAsia="Arial" w:hAnsi="Arial"/>
          <w:sz w:val="18"/>
          <w:szCs w:val="18"/>
          <w:color w:val="auto"/>
        </w:rPr>
        <w:t>6.1.8</w:t>
        <w:tab/>
        <w:t>Any changes to the scope of work to be performed by the Lessor under the terms hereof requested by the Lessee shall be at its sole costs and be payable upon approval by the Lessee of a change order to be delivered by the Lessor to the Lessee reflecting such requested change.</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Peaceable Enjoyment</w:t>
      </w:r>
    </w:p>
    <w:p>
      <w:pPr>
        <w:spacing w:after="0" w:line="16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0"/>
          </w:cols>
          <w:pgMar w:left="860" w:top="273" w:right="479" w:bottom="1440" w:gutter="0" w:footer="0" w:header="0"/>
        </w:sectPr>
      </w:pPr>
    </w:p>
    <w:bookmarkStart w:id="535" w:name="page536"/>
    <w:bookmarkEnd w:id="535"/>
    <w:p>
      <w:pPr>
        <w:ind w:lef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While and so long as the Lessee conforms to the terms and conditions of this Lease, the Lessor must provide the Lessee with peaceable enjoyment of the Leased Premises and Common Facilities for the term of this Lease, without interruption or disturbance on the part of the Lessor or its representatives.</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Operating Expenses</w:t>
      </w:r>
    </w:p>
    <w:p>
      <w:pPr>
        <w:spacing w:after="0" w:line="135" w:lineRule="exact"/>
        <w:rPr>
          <w:sz w:val="20"/>
          <w:szCs w:val="20"/>
          <w:color w:val="auto"/>
        </w:rPr>
      </w:pPr>
    </w:p>
    <w:p>
      <w:pPr>
        <w:ind w:left="1100" w:right="180" w:hanging="539"/>
        <w:spacing w:after="0" w:line="263" w:lineRule="auto"/>
        <w:tabs>
          <w:tab w:leader="none" w:pos="1080" w:val="left"/>
        </w:tabs>
        <w:rPr>
          <w:sz w:val="20"/>
          <w:szCs w:val="20"/>
          <w:color w:val="auto"/>
        </w:rPr>
      </w:pPr>
      <w:r>
        <w:rPr>
          <w:rFonts w:ascii="Arial" w:cs="Arial" w:eastAsia="Arial" w:hAnsi="Arial"/>
          <w:sz w:val="18"/>
          <w:szCs w:val="18"/>
          <w:color w:val="auto"/>
        </w:rPr>
        <w:t>6.3.1</w:t>
        <w:tab/>
        <w:t>Subject to any provisions to the contrary contained in this Lease, the Lessor must without any liability being incurred by the Lessee, assume all maintenance, electricity, gas, water, steam, fuel, heating and air conditioning costs and expenses related to the Building, Common Facilities and the Leased Premises.</w:t>
      </w:r>
    </w:p>
    <w:p>
      <w:pPr>
        <w:spacing w:after="0" w:line="89" w:lineRule="exact"/>
        <w:rPr>
          <w:sz w:val="20"/>
          <w:szCs w:val="20"/>
          <w:color w:val="auto"/>
        </w:rPr>
      </w:pPr>
    </w:p>
    <w:p>
      <w:pPr>
        <w:jc w:val="both"/>
        <w:ind w:left="1100" w:right="520" w:hanging="539"/>
        <w:spacing w:after="0" w:line="263" w:lineRule="auto"/>
        <w:tabs>
          <w:tab w:leader="none" w:pos="1080" w:val="left"/>
        </w:tabs>
        <w:rPr>
          <w:sz w:val="20"/>
          <w:szCs w:val="20"/>
          <w:color w:val="auto"/>
        </w:rPr>
      </w:pPr>
      <w:r>
        <w:rPr>
          <w:rFonts w:ascii="Arial" w:cs="Arial" w:eastAsia="Arial" w:hAnsi="Arial"/>
          <w:sz w:val="18"/>
          <w:szCs w:val="18"/>
          <w:color w:val="auto"/>
        </w:rPr>
        <w:t>6.3.2</w:t>
        <w:tab/>
        <w:t>In the event the Lessor considers that modifications, additions or improvements made to the Leased Premises for the Lessee increase the operating costs set out in Sub-Section 6.3.1, the Lessee must, without any liability being incurred by the Lessor, assume such additional costs.</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8"/>
          <w:szCs w:val="18"/>
          <w:b w:val="1"/>
          <w:bCs w:val="1"/>
          <w:color w:val="auto"/>
        </w:rPr>
        <w:t>HVAC</w:t>
      </w:r>
    </w:p>
    <w:p>
      <w:pPr>
        <w:spacing w:after="0" w:line="135" w:lineRule="exact"/>
        <w:rPr>
          <w:sz w:val="20"/>
          <w:szCs w:val="20"/>
          <w:color w:val="auto"/>
        </w:rPr>
      </w:pPr>
    </w:p>
    <w:p>
      <w:pPr>
        <w:jc w:val="both"/>
        <w:ind w:left="1100" w:right="440" w:hanging="539"/>
        <w:spacing w:after="0" w:line="263" w:lineRule="auto"/>
        <w:tabs>
          <w:tab w:leader="none" w:pos="1080" w:val="left"/>
        </w:tabs>
        <w:rPr>
          <w:sz w:val="20"/>
          <w:szCs w:val="20"/>
          <w:color w:val="auto"/>
        </w:rPr>
      </w:pPr>
      <w:r>
        <w:rPr>
          <w:rFonts w:ascii="Arial" w:cs="Arial" w:eastAsia="Arial" w:hAnsi="Arial"/>
          <w:sz w:val="18"/>
          <w:szCs w:val="18"/>
          <w:color w:val="auto"/>
        </w:rPr>
        <w:t>6.4.1</w:t>
        <w:tab/>
        <w:t>The Lessor must heat the Building, Common Facilities and the Leased Premises and, when and as required, must provide air conditioning from 20°C to 24°C during Normal Business Hours, excluding statutory holidays in the Province of Québec. The foregoing shall not limit the provisions set forth in Section 5.3.</w:t>
      </w:r>
    </w:p>
    <w:p>
      <w:pPr>
        <w:spacing w:after="0" w:line="89" w:lineRule="exact"/>
        <w:rPr>
          <w:sz w:val="20"/>
          <w:szCs w:val="20"/>
          <w:color w:val="auto"/>
        </w:rPr>
      </w:pPr>
    </w:p>
    <w:p>
      <w:pPr>
        <w:ind w:left="1100" w:hanging="539"/>
        <w:spacing w:after="0" w:line="257" w:lineRule="auto"/>
        <w:tabs>
          <w:tab w:leader="none" w:pos="1080" w:val="left"/>
        </w:tabs>
        <w:rPr>
          <w:sz w:val="20"/>
          <w:szCs w:val="20"/>
          <w:color w:val="auto"/>
        </w:rPr>
      </w:pPr>
      <w:r>
        <w:rPr>
          <w:rFonts w:ascii="Arial" w:cs="Arial" w:eastAsia="Arial" w:hAnsi="Arial"/>
          <w:sz w:val="18"/>
          <w:szCs w:val="18"/>
          <w:color w:val="auto"/>
        </w:rPr>
        <w:t>6.4.2</w:t>
        <w:tab/>
        <w:t>Notwithstanding the foregoing, the Lessee shall have the right to override and control the HVAC system of the laboratory component of the Leased Premises during week-ends and statutory holidays in the Province of Québec, and outside the Normal Business Hours (the “</w:t>
      </w:r>
      <w:r>
        <w:rPr>
          <w:rFonts w:ascii="Arial" w:cs="Arial" w:eastAsia="Arial" w:hAnsi="Arial"/>
          <w:sz w:val="18"/>
          <w:szCs w:val="18"/>
          <w:b w:val="1"/>
          <w:bCs w:val="1"/>
          <w:color w:val="auto"/>
        </w:rPr>
        <w:t>Override Right</w:t>
      </w:r>
      <w:r>
        <w:rPr>
          <w:rFonts w:ascii="Arial" w:cs="Arial" w:eastAsia="Arial" w:hAnsi="Arial"/>
          <w:sz w:val="18"/>
          <w:szCs w:val="18"/>
          <w:color w:val="auto"/>
        </w:rPr>
        <w:t>”), the whole at the Lessor’s cost and expense. Notwithstanding the foregoing, the Lessee shall reimburse the Lessor for the costs and expenses incurred by the Lessor in respect of such Override Right where such Override Right is exercised for more than 30 hours per month.</w:t>
      </w:r>
    </w:p>
    <w:p>
      <w:pPr>
        <w:spacing w:after="0" w:line="33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5"/>
          <w:szCs w:val="15"/>
          <w:b w:val="1"/>
          <w:bCs w:val="1"/>
          <w:color w:val="auto"/>
        </w:rPr>
        <w:t>Services</w:t>
      </w:r>
    </w:p>
    <w:p>
      <w:pPr>
        <w:spacing w:after="0" w:line="135"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6.5.1</w:t>
      </w:r>
      <w:r>
        <w:rPr>
          <w:sz w:val="20"/>
          <w:szCs w:val="20"/>
          <w:color w:val="auto"/>
        </w:rPr>
        <w:tab/>
      </w:r>
      <w:r>
        <w:rPr>
          <w:rFonts w:ascii="Arial" w:cs="Arial" w:eastAsia="Arial" w:hAnsi="Arial"/>
          <w:sz w:val="16"/>
          <w:szCs w:val="16"/>
          <w:color w:val="auto"/>
        </w:rPr>
        <w:t>The Lessor must provide the Lessee with the following services and must assume the costs thereof:</w:t>
      </w:r>
    </w:p>
    <w:p>
      <w:pPr>
        <w:spacing w:after="0" w:line="131" w:lineRule="exact"/>
        <w:rPr>
          <w:sz w:val="20"/>
          <w:szCs w:val="20"/>
          <w:color w:val="auto"/>
        </w:rPr>
      </w:pPr>
    </w:p>
    <w:p>
      <w:pPr>
        <w:ind w:left="1100" w:hanging="539"/>
        <w:spacing w:after="0"/>
        <w:tabs>
          <w:tab w:leader="none" w:pos="11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identification control access with respect to the doors and entrance identified on Appendix 6.5.1;</w:t>
      </w:r>
    </w:p>
    <w:p>
      <w:pPr>
        <w:spacing w:after="0" w:line="130" w:lineRule="exact"/>
        <w:rPr>
          <w:rFonts w:ascii="Arial" w:cs="Arial" w:eastAsia="Arial" w:hAnsi="Arial"/>
          <w:sz w:val="18"/>
          <w:szCs w:val="18"/>
          <w:color w:val="auto"/>
        </w:rPr>
      </w:pPr>
    </w:p>
    <w:p>
      <w:pPr>
        <w:ind w:left="1100" w:hanging="539"/>
        <w:spacing w:after="0"/>
        <w:tabs>
          <w:tab w:leader="none" w:pos="11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cleaning services;</w:t>
      </w:r>
    </w:p>
    <w:p>
      <w:pPr>
        <w:spacing w:after="0" w:line="130" w:lineRule="exact"/>
        <w:rPr>
          <w:rFonts w:ascii="Arial" w:cs="Arial" w:eastAsia="Arial" w:hAnsi="Arial"/>
          <w:sz w:val="18"/>
          <w:szCs w:val="18"/>
          <w:color w:val="auto"/>
        </w:rPr>
      </w:pPr>
    </w:p>
    <w:p>
      <w:pPr>
        <w:ind w:left="1100" w:hanging="539"/>
        <w:spacing w:after="0"/>
        <w:tabs>
          <w:tab w:leader="none" w:pos="11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purified deionized water;</w:t>
      </w:r>
    </w:p>
    <w:p>
      <w:pPr>
        <w:spacing w:after="0" w:line="130" w:lineRule="exact"/>
        <w:rPr>
          <w:rFonts w:ascii="Arial" w:cs="Arial" w:eastAsia="Arial" w:hAnsi="Arial"/>
          <w:sz w:val="18"/>
          <w:szCs w:val="18"/>
          <w:color w:val="auto"/>
        </w:rPr>
      </w:pPr>
    </w:p>
    <w:p>
      <w:pPr>
        <w:ind w:left="1100" w:hanging="539"/>
        <w:spacing w:after="0"/>
        <w:tabs>
          <w:tab w:leader="none" w:pos="11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high-speed Internet;</w:t>
      </w:r>
    </w:p>
    <w:p>
      <w:pPr>
        <w:spacing w:after="0" w:line="130" w:lineRule="exact"/>
        <w:rPr>
          <w:rFonts w:ascii="Arial" w:cs="Arial" w:eastAsia="Arial" w:hAnsi="Arial"/>
          <w:sz w:val="18"/>
          <w:szCs w:val="18"/>
          <w:color w:val="auto"/>
        </w:rPr>
      </w:pPr>
    </w:p>
    <w:p>
      <w:pPr>
        <w:ind w:left="1100" w:hanging="539"/>
        <w:spacing w:after="0"/>
        <w:tabs>
          <w:tab w:leader="none" w:pos="11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access to conference rooms</w:t>
      </w:r>
    </w:p>
    <w:p>
      <w:pPr>
        <w:spacing w:after="0" w:line="130" w:lineRule="exact"/>
        <w:rPr>
          <w:rFonts w:ascii="Arial" w:cs="Arial" w:eastAsia="Arial" w:hAnsi="Arial"/>
          <w:sz w:val="18"/>
          <w:szCs w:val="18"/>
          <w:color w:val="auto"/>
        </w:rPr>
      </w:pPr>
    </w:p>
    <w:p>
      <w:pPr>
        <w:ind w:left="1100" w:hanging="539"/>
        <w:spacing w:after="0"/>
        <w:tabs>
          <w:tab w:leader="none" w:pos="11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use of auditorium;</w:t>
      </w:r>
    </w:p>
    <w:p>
      <w:pPr>
        <w:spacing w:after="0" w:line="130" w:lineRule="exact"/>
        <w:rPr>
          <w:rFonts w:ascii="Arial" w:cs="Arial" w:eastAsia="Arial" w:hAnsi="Arial"/>
          <w:sz w:val="18"/>
          <w:szCs w:val="18"/>
          <w:color w:val="auto"/>
        </w:rPr>
      </w:pPr>
    </w:p>
    <w:p>
      <w:pPr>
        <w:ind w:left="1100" w:hanging="539"/>
        <w:spacing w:after="0"/>
        <w:tabs>
          <w:tab w:leader="none" w:pos="11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access of business centre / lounge;</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60"/>
          </w:cols>
          <w:pgMar w:left="860" w:top="273" w:right="479" w:bottom="1440" w:gutter="0" w:footer="0" w:header="0"/>
        </w:sectPr>
      </w:pPr>
    </w:p>
    <w:bookmarkStart w:id="536" w:name="page537"/>
    <w:bookmarkEnd w:id="536"/>
    <w:p>
      <w:pPr>
        <w:ind w:left="1100" w:hanging="539"/>
        <w:spacing w:after="0"/>
        <w:tabs>
          <w:tab w:leader="none" w:pos="1100" w:val="left"/>
        </w:tabs>
        <w:numPr>
          <w:ilvl w:val="0"/>
          <w:numId w:val="3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networking and social activities;</w:t>
      </w:r>
    </w:p>
    <w:p>
      <w:pPr>
        <w:spacing w:after="0" w:line="130" w:lineRule="exact"/>
        <w:rPr>
          <w:rFonts w:ascii="Arial" w:cs="Arial" w:eastAsia="Arial" w:hAnsi="Arial"/>
          <w:sz w:val="18"/>
          <w:szCs w:val="18"/>
          <w:color w:val="auto"/>
        </w:rPr>
      </w:pPr>
    </w:p>
    <w:p>
      <w:pPr>
        <w:ind w:left="1100" w:hanging="539"/>
        <w:spacing w:after="0"/>
        <w:tabs>
          <w:tab w:leader="none" w:pos="110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maintenance of the Building and Common Facilities;</w:t>
      </w:r>
    </w:p>
    <w:p>
      <w:pPr>
        <w:spacing w:after="0" w:line="130" w:lineRule="exact"/>
        <w:rPr>
          <w:rFonts w:ascii="Arial" w:cs="Arial" w:eastAsia="Arial" w:hAnsi="Arial"/>
          <w:sz w:val="18"/>
          <w:szCs w:val="18"/>
          <w:color w:val="auto"/>
        </w:rPr>
      </w:pPr>
    </w:p>
    <w:p>
      <w:pPr>
        <w:ind w:left="1100" w:hanging="539"/>
        <w:spacing w:after="0"/>
        <w:tabs>
          <w:tab w:leader="none" w:pos="110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exterior landscaping and maintenance;</w:t>
      </w:r>
    </w:p>
    <w:p>
      <w:pPr>
        <w:spacing w:after="0" w:line="130" w:lineRule="exact"/>
        <w:rPr>
          <w:rFonts w:ascii="Arial" w:cs="Arial" w:eastAsia="Arial" w:hAnsi="Arial"/>
          <w:sz w:val="18"/>
          <w:szCs w:val="18"/>
          <w:color w:val="auto"/>
        </w:rPr>
      </w:pPr>
    </w:p>
    <w:p>
      <w:pPr>
        <w:ind w:left="1100" w:hanging="539"/>
        <w:spacing w:after="0"/>
        <w:tabs>
          <w:tab w:leader="none" w:pos="110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maintenance of parking lot; and</w:t>
      </w:r>
    </w:p>
    <w:p>
      <w:pPr>
        <w:spacing w:after="0" w:line="130" w:lineRule="exact"/>
        <w:rPr>
          <w:rFonts w:ascii="Arial" w:cs="Arial" w:eastAsia="Arial" w:hAnsi="Arial"/>
          <w:sz w:val="18"/>
          <w:szCs w:val="18"/>
          <w:color w:val="auto"/>
        </w:rPr>
      </w:pPr>
    </w:p>
    <w:p>
      <w:pPr>
        <w:ind w:left="1100" w:hanging="539"/>
        <w:spacing w:after="0"/>
        <w:tabs>
          <w:tab w:leader="none" w:pos="110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management of controlled building access and security patrols.</w:t>
      </w:r>
    </w:p>
    <w:p>
      <w:pPr>
        <w:spacing w:after="0" w:line="131" w:lineRule="exact"/>
        <w:rPr>
          <w:sz w:val="20"/>
          <w:szCs w:val="20"/>
          <w:color w:val="auto"/>
        </w:rPr>
      </w:pPr>
    </w:p>
    <w:p>
      <w:pPr>
        <w:ind w:left="1100" w:right="20" w:hanging="539"/>
        <w:spacing w:after="0" w:line="257" w:lineRule="auto"/>
        <w:tabs>
          <w:tab w:leader="none" w:pos="1080" w:val="left"/>
        </w:tabs>
        <w:rPr>
          <w:sz w:val="20"/>
          <w:szCs w:val="20"/>
          <w:color w:val="auto"/>
        </w:rPr>
      </w:pPr>
      <w:r>
        <w:rPr>
          <w:rFonts w:ascii="Arial" w:cs="Arial" w:eastAsia="Arial" w:hAnsi="Arial"/>
          <w:sz w:val="18"/>
          <w:szCs w:val="18"/>
          <w:color w:val="auto"/>
        </w:rPr>
        <w:t>6.5.2</w:t>
        <w:tab/>
        <w:t>The Lessor provides those of the services below that the Lessee requests be provided to it, from time to time, against payment upon presentation by the Lessor of a monthly statement of account to this effect. The Lessee undertakes and agrees to procure such services exclusively with the Lessor. This obligation stems from the business model of the Lessor, the presence of facilities specifically designed for this purpose, and from the signing of sponsorship agreements with preferred suppliers that give access to preferable rates.</w:t>
      </w:r>
    </w:p>
    <w:p>
      <w:pPr>
        <w:spacing w:after="0" w:line="93" w:lineRule="exact"/>
        <w:rPr>
          <w:sz w:val="20"/>
          <w:szCs w:val="20"/>
          <w:color w:val="auto"/>
        </w:rPr>
      </w:pPr>
    </w:p>
    <w:p>
      <w:pPr>
        <w:ind w:left="1100" w:hanging="539"/>
        <w:spacing w:after="0" w:line="263" w:lineRule="auto"/>
        <w:tabs>
          <w:tab w:leader="none" w:pos="110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collection, segregation and safe elimination of biomedical, chemical and radioactive waste. For such services, the Lessee agrees to pay the Lessor, upon receipt of the statement of account to this effect, all the costs of the additional services, plus ten percent (10%) in administration charges;</w:t>
      </w:r>
    </w:p>
    <w:p>
      <w:pPr>
        <w:spacing w:after="0" w:line="89" w:lineRule="exact"/>
        <w:rPr>
          <w:rFonts w:ascii="Arial" w:cs="Arial" w:eastAsia="Arial" w:hAnsi="Arial"/>
          <w:sz w:val="18"/>
          <w:szCs w:val="18"/>
          <w:color w:val="auto"/>
        </w:rPr>
      </w:pPr>
    </w:p>
    <w:p>
      <w:pPr>
        <w:ind w:left="1100" w:right="60" w:hanging="539"/>
        <w:spacing w:after="0" w:line="263" w:lineRule="auto"/>
        <w:tabs>
          <w:tab w:leader="none" w:pos="110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supply of nitrogen, gas and liquid (and no other gas) in tanks or through a distribution network (if available) and cryogenic liquids. For such services, the Lessee agrees to pay the Lessor, upon receipt of the statement of account to this effect, all the costs of the additional services, plus ten percent (10%) in administration charges.</w:t>
      </w:r>
    </w:p>
    <w:p>
      <w:pPr>
        <w:spacing w:after="0" w:line="89" w:lineRule="exact"/>
        <w:rPr>
          <w:sz w:val="20"/>
          <w:szCs w:val="20"/>
          <w:color w:val="auto"/>
        </w:rPr>
      </w:pPr>
    </w:p>
    <w:p>
      <w:pPr>
        <w:ind w:left="1100" w:right="340" w:hanging="539"/>
        <w:spacing w:after="0" w:line="259" w:lineRule="auto"/>
        <w:tabs>
          <w:tab w:leader="none" w:pos="1080" w:val="left"/>
        </w:tabs>
        <w:rPr>
          <w:sz w:val="20"/>
          <w:szCs w:val="20"/>
          <w:color w:val="auto"/>
        </w:rPr>
      </w:pPr>
      <w:r>
        <w:rPr>
          <w:rFonts w:ascii="Arial" w:cs="Arial" w:eastAsia="Arial" w:hAnsi="Arial"/>
          <w:sz w:val="18"/>
          <w:szCs w:val="18"/>
          <w:color w:val="auto"/>
        </w:rPr>
        <w:t>6.5.3</w:t>
        <w:tab/>
        <w:t>The Lessor and the Lessee acknowledge that a vacuum system and a compressed air system have been installed in the Leased Premises prior to the Commencement Date by the Lessee and at the Lessee’s sole costs and expenses. Notwithstanding the foregoing, the Lessor agrees to maintain such vacuum system and compressed air system during the Term and shall assume the costs thereof.</w:t>
      </w:r>
    </w:p>
    <w:p>
      <w:pPr>
        <w:spacing w:after="0" w:line="92" w:lineRule="exact"/>
        <w:rPr>
          <w:sz w:val="20"/>
          <w:szCs w:val="20"/>
          <w:color w:val="auto"/>
        </w:rPr>
      </w:pPr>
    </w:p>
    <w:p>
      <w:pPr>
        <w:jc w:val="center"/>
        <w:ind w:right="-199"/>
        <w:spacing w:after="0"/>
        <w:tabs>
          <w:tab w:leader="none" w:pos="160" w:val="left"/>
        </w:tabs>
        <w:rPr>
          <w:sz w:val="20"/>
          <w:szCs w:val="20"/>
          <w:color w:val="auto"/>
        </w:rPr>
      </w:pPr>
      <w:r>
        <w:rPr>
          <w:rFonts w:ascii="Arial" w:cs="Arial" w:eastAsia="Arial" w:hAnsi="Arial"/>
          <w:sz w:val="18"/>
          <w:szCs w:val="18"/>
          <w:color w:val="auto"/>
        </w:rPr>
        <w:t>6.5.4</w:t>
      </w:r>
      <w:r>
        <w:rPr>
          <w:sz w:val="20"/>
          <w:szCs w:val="20"/>
          <w:color w:val="auto"/>
        </w:rPr>
        <w:tab/>
      </w:r>
      <w:r>
        <w:rPr>
          <w:rFonts w:ascii="Arial" w:cs="Arial" w:eastAsia="Arial" w:hAnsi="Arial"/>
          <w:sz w:val="16"/>
          <w:szCs w:val="16"/>
          <w:color w:val="auto"/>
        </w:rPr>
        <w:t>The Lessor may, on giving reasonable notice to the Lessee, interrupt or suspend the supply to the Building, Common Facilities</w:t>
      </w:r>
    </w:p>
    <w:p>
      <w:pPr>
        <w:spacing w:after="0" w:line="23" w:lineRule="exact"/>
        <w:rPr>
          <w:sz w:val="20"/>
          <w:szCs w:val="20"/>
          <w:color w:val="auto"/>
        </w:rPr>
      </w:pPr>
    </w:p>
    <w:p>
      <w:pPr>
        <w:ind w:left="1100" w:right="240"/>
        <w:spacing w:after="0" w:line="255" w:lineRule="auto"/>
        <w:rPr>
          <w:sz w:val="20"/>
          <w:szCs w:val="20"/>
          <w:color w:val="auto"/>
        </w:rPr>
      </w:pPr>
      <w:r>
        <w:rPr>
          <w:rFonts w:ascii="Arial" w:cs="Arial" w:eastAsia="Arial" w:hAnsi="Arial"/>
          <w:sz w:val="18"/>
          <w:szCs w:val="18"/>
          <w:color w:val="auto"/>
        </w:rPr>
        <w:t>and/or Leased Premises, of all services, including public utilities, for the purpose of carrying out repairs, modifications, improvements or additions in relation to the Leased Premises or any other part of the Building in which the Leased Premises are located, until completion of the repairs, modifications, improvements or additions.</w:t>
      </w:r>
    </w:p>
    <w:p>
      <w:pPr>
        <w:spacing w:after="0" w:line="33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7"/>
          <w:szCs w:val="17"/>
          <w:b w:val="1"/>
          <w:bCs w:val="1"/>
          <w:color w:val="auto"/>
        </w:rPr>
        <w:t>Major Repairs</w:t>
      </w:r>
    </w:p>
    <w:p>
      <w:pPr>
        <w:spacing w:after="0" w:line="135" w:lineRule="exact"/>
        <w:rPr>
          <w:sz w:val="20"/>
          <w:szCs w:val="20"/>
          <w:color w:val="auto"/>
        </w:rPr>
      </w:pPr>
    </w:p>
    <w:p>
      <w:pPr>
        <w:ind w:left="1100" w:right="320" w:hanging="539"/>
        <w:spacing w:after="0" w:line="342" w:lineRule="auto"/>
        <w:tabs>
          <w:tab w:leader="none" w:pos="1080" w:val="left"/>
        </w:tabs>
        <w:rPr>
          <w:sz w:val="20"/>
          <w:szCs w:val="20"/>
          <w:color w:val="auto"/>
        </w:rPr>
      </w:pPr>
      <w:r>
        <w:rPr>
          <w:rFonts w:ascii="Arial" w:cs="Arial" w:eastAsia="Arial" w:hAnsi="Arial"/>
          <w:sz w:val="18"/>
          <w:szCs w:val="18"/>
          <w:color w:val="auto"/>
        </w:rPr>
        <w:t>6.6.1</w:t>
      </w:r>
      <w:r>
        <w:rPr>
          <w:sz w:val="20"/>
          <w:szCs w:val="20"/>
          <w:color w:val="auto"/>
        </w:rPr>
        <w:tab/>
      </w:r>
      <w:r>
        <w:rPr>
          <w:rFonts w:ascii="Arial" w:cs="Arial" w:eastAsia="Arial" w:hAnsi="Arial"/>
          <w:sz w:val="16"/>
          <w:szCs w:val="16"/>
          <w:color w:val="auto"/>
        </w:rPr>
        <w:t>The Lessor hereby undertakes to make any major repairs required to the Leased Premises and assume all costs. The Lessor will coordinate the execution of all major repairs and of all external specialists required to complete such major repairs.</w:t>
      </w:r>
    </w:p>
    <w:p>
      <w:pPr>
        <w:spacing w:after="0" w:line="29" w:lineRule="exact"/>
        <w:rPr>
          <w:sz w:val="20"/>
          <w:szCs w:val="20"/>
          <w:color w:val="auto"/>
        </w:rPr>
      </w:pPr>
    </w:p>
    <w:p>
      <w:pPr>
        <w:ind w:left="1100" w:right="460" w:hanging="539"/>
        <w:spacing w:after="0" w:line="277" w:lineRule="auto"/>
        <w:tabs>
          <w:tab w:leader="none" w:pos="1080" w:val="left"/>
        </w:tabs>
        <w:rPr>
          <w:sz w:val="20"/>
          <w:szCs w:val="20"/>
          <w:color w:val="auto"/>
        </w:rPr>
      </w:pPr>
      <w:r>
        <w:rPr>
          <w:rFonts w:ascii="Arial" w:cs="Arial" w:eastAsia="Arial" w:hAnsi="Arial"/>
          <w:sz w:val="18"/>
          <w:szCs w:val="18"/>
          <w:color w:val="auto"/>
        </w:rPr>
        <w:t>6.6.2</w:t>
        <w:tab/>
        <w:t>The Lessor will give to the Lessee, as soon as possible, a prior notice before the commencement of the work. The Lessor will submit to the Lessee regular written notices stating the progress of the repairs.</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5"/>
          <w:szCs w:val="15"/>
          <w:b w:val="1"/>
          <w:bCs w:val="1"/>
          <w:color w:val="auto"/>
        </w:rPr>
        <w:t>Signs</w:t>
      </w:r>
    </w:p>
    <w:p>
      <w:pPr>
        <w:spacing w:after="0" w:line="16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80"/>
          </w:cols>
          <w:pgMar w:left="860" w:top="273" w:right="459" w:bottom="1440" w:gutter="0" w:footer="0" w:header="0"/>
        </w:sectPr>
      </w:pPr>
    </w:p>
    <w:bookmarkStart w:id="537" w:name="page538"/>
    <w:bookmarkEnd w:id="537"/>
    <w:p>
      <w:pPr>
        <w:ind w:left="444"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Lessor hereby undertakes to provide the installation of standardized signs for both tenants and suites in the interior and exterior of the Building. All other signs must be approved by the Lessor.</w:t>
      </w:r>
    </w:p>
    <w:p>
      <w:pPr>
        <w:spacing w:after="0" w:line="315" w:lineRule="exact"/>
        <w:rPr>
          <w:sz w:val="20"/>
          <w:szCs w:val="20"/>
          <w:color w:val="auto"/>
        </w:rPr>
      </w:pPr>
    </w:p>
    <w:p>
      <w:pPr>
        <w:ind w:left="424" w:hanging="424"/>
        <w:spacing w:after="0"/>
        <w:tabs>
          <w:tab w:leader="none" w:pos="424"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FIRE AND DESTRUCTION OF LEASED PREMISES</w:t>
      </w:r>
    </w:p>
    <w:p>
      <w:pPr>
        <w:spacing w:after="0" w:line="121" w:lineRule="exact"/>
        <w:rPr>
          <w:rFonts w:ascii="Arial" w:cs="Arial" w:eastAsia="Arial" w:hAnsi="Arial"/>
          <w:sz w:val="18"/>
          <w:szCs w:val="18"/>
          <w:b w:val="1"/>
          <w:bCs w:val="1"/>
          <w:color w:val="auto"/>
        </w:rPr>
      </w:pPr>
    </w:p>
    <w:p>
      <w:pPr>
        <w:ind w:left="444"/>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7.1 If, during the Term, the Building is completely destroyed or damaged to such an extent that it is rendered completely unusable for any purpose whatsoever, the Lessor may, within sixty (60) days of the occurrence of said disaster, notify the Lessee of its intention to rebuild or repair the Building, in which case, provided that the Lessee cannot be held liable for the damages suffered, the Rent payable by the Lessee will be reduced in proportion to the diminution in the Lessee’s peaceable enjoyment until such time as the reconstruction and repairs are terminated, in which case the Lessee may not request termination of this Lease nor seek any indemnification, damages or other form of compensation from the Lessor. Should the Lessor fail to inform the Lessee of its intention to proceed with the above-mentioned reconstruction or repair of the Leased Premises, this Lease will be regarded as having terminated on the date of the destruction or damage, without any recourse whatsoever by the Lessee against the Lessor.</w:t>
      </w:r>
    </w:p>
    <w:p>
      <w:pPr>
        <w:spacing w:after="0" w:line="83" w:lineRule="exact"/>
        <w:rPr>
          <w:rFonts w:ascii="Arial" w:cs="Arial" w:eastAsia="Arial" w:hAnsi="Arial"/>
          <w:sz w:val="18"/>
          <w:szCs w:val="18"/>
          <w:b w:val="1"/>
          <w:bCs w:val="1"/>
          <w:color w:val="auto"/>
        </w:rPr>
      </w:pPr>
    </w:p>
    <w:p>
      <w:pPr>
        <w:ind w:left="444"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7.2 If, during the term of this Lease, the Building is only partially destroyed or damaged and requires extensive repairs but the Leased Premises are not destroyed or rendered unusable, the Lessor may, at its option:</w:t>
      </w:r>
    </w:p>
    <w:p>
      <w:pPr>
        <w:spacing w:after="0" w:line="76" w:lineRule="exact"/>
        <w:rPr>
          <w:sz w:val="20"/>
          <w:szCs w:val="20"/>
          <w:color w:val="auto"/>
        </w:rPr>
      </w:pPr>
    </w:p>
    <w:p>
      <w:pPr>
        <w:jc w:val="right"/>
        <w:ind w:left="984" w:right="300"/>
        <w:spacing w:after="0" w:line="291" w:lineRule="auto"/>
        <w:rPr>
          <w:sz w:val="20"/>
          <w:szCs w:val="20"/>
          <w:color w:val="auto"/>
        </w:rPr>
      </w:pPr>
      <w:r>
        <w:rPr>
          <w:rFonts w:ascii="Arial" w:cs="Arial" w:eastAsia="Arial" w:hAnsi="Arial"/>
          <w:sz w:val="16"/>
          <w:szCs w:val="16"/>
          <w:color w:val="auto"/>
        </w:rPr>
        <w:t>7.2.1  terminate this Lease within thirty (30) days of the occurrence of the destruction or damage by virtue of the option to this effect hereby conferred by the Lessee, by manifesting its intentions in writing in which case, the Lease automatically terminates five</w:t>
      </w:r>
    </w:p>
    <w:p>
      <w:pPr>
        <w:ind w:left="1524" w:right="140" w:firstLine="1"/>
        <w:spacing w:after="0" w:line="260" w:lineRule="auto"/>
        <w:tabs>
          <w:tab w:leader="none" w:pos="1779" w:val="left"/>
        </w:tabs>
        <w:numPr>
          <w:ilvl w:val="0"/>
          <w:numId w:val="347"/>
        </w:numPr>
        <w:rPr>
          <w:rFonts w:ascii="Arial" w:cs="Arial" w:eastAsia="Arial" w:hAnsi="Arial"/>
          <w:sz w:val="18"/>
          <w:szCs w:val="18"/>
          <w:color w:val="auto"/>
        </w:rPr>
      </w:pPr>
      <w:r>
        <w:rPr>
          <w:rFonts w:ascii="Arial" w:cs="Arial" w:eastAsia="Arial" w:hAnsi="Arial"/>
          <w:sz w:val="18"/>
          <w:szCs w:val="18"/>
          <w:color w:val="auto"/>
        </w:rPr>
        <w:t>days following the receipt by the Lessee of the above-mentioned notice and the Lessee is not entitled to claim any indemnity, damages or other form of compensation whatsoever from the Lessor; or</w:t>
      </w:r>
    </w:p>
    <w:p>
      <w:pPr>
        <w:spacing w:after="0" w:line="91" w:lineRule="exact"/>
        <w:rPr>
          <w:sz w:val="20"/>
          <w:szCs w:val="20"/>
          <w:color w:val="auto"/>
        </w:rPr>
      </w:pPr>
    </w:p>
    <w:p>
      <w:pPr>
        <w:ind w:left="1524" w:right="20" w:hanging="539"/>
        <w:spacing w:after="0" w:line="275" w:lineRule="auto"/>
        <w:tabs>
          <w:tab w:leader="none" w:pos="1504"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7"/>
          <w:szCs w:val="17"/>
          <w:color w:val="auto"/>
        </w:rPr>
        <w:t>within the same delay, notify the Lessee of its intention to rebuild or repair the Building, in which case the Lessee must endure the repairs without any reduction in Rent for the duration of the reconstruction or repairs and is not entitled to request termination of this Lease or claim any indemnification, damages or any other form of compensation whatsoever from the Lessor. In this case, the Lessor will complete the repairs within a reasonable delay which will take into account the nature and amount of the repairs. The Lessor will submit to the Lessee regular written notices stating the progress of the repairs.</w:t>
      </w:r>
    </w:p>
    <w:p>
      <w:pPr>
        <w:spacing w:after="0" w:line="68" w:lineRule="exact"/>
        <w:rPr>
          <w:sz w:val="20"/>
          <w:szCs w:val="20"/>
          <w:color w:val="auto"/>
        </w:rPr>
      </w:pPr>
    </w:p>
    <w:p>
      <w:pPr>
        <w:ind w:left="444" w:right="120"/>
        <w:spacing w:after="0" w:line="291" w:lineRule="auto"/>
        <w:rPr>
          <w:sz w:val="20"/>
          <w:szCs w:val="20"/>
          <w:color w:val="auto"/>
        </w:rPr>
      </w:pPr>
      <w:r>
        <w:rPr>
          <w:rFonts w:ascii="Arial" w:cs="Arial" w:eastAsia="Arial" w:hAnsi="Arial"/>
          <w:sz w:val="16"/>
          <w:szCs w:val="16"/>
          <w:color w:val="auto"/>
        </w:rPr>
        <w:t>7.3 If, during the term of this Lease, the Leased Premises are totally destroyed or damaged to such an extent that they are rendered completely unusable, the Lessee must notify the Lessor in writing of the occurrence of such destruction or damage and the Lessor may then within sixty</w:t>
      </w:r>
    </w:p>
    <w:p>
      <w:pPr>
        <w:ind w:left="444" w:right="20" w:hanging="4"/>
        <w:spacing w:after="0" w:line="270" w:lineRule="auto"/>
        <w:tabs>
          <w:tab w:leader="none" w:pos="789" w:val="left"/>
        </w:tabs>
        <w:numPr>
          <w:ilvl w:val="0"/>
          <w:numId w:val="348"/>
        </w:numPr>
        <w:rPr>
          <w:rFonts w:ascii="Arial" w:cs="Arial" w:eastAsia="Arial" w:hAnsi="Arial"/>
          <w:sz w:val="17"/>
          <w:szCs w:val="17"/>
          <w:color w:val="auto"/>
        </w:rPr>
      </w:pPr>
      <w:r>
        <w:rPr>
          <w:rFonts w:ascii="Arial" w:cs="Arial" w:eastAsia="Arial" w:hAnsi="Arial"/>
          <w:sz w:val="17"/>
          <w:szCs w:val="17"/>
          <w:color w:val="auto"/>
        </w:rPr>
        <w:t>days of receipt of said notice inform the Lessee of its intention to rebuild or repair, in which case and provided that the Lessee can in no way be held liable for the damages, the Rent payable by the Lessee will be reduced in proportion to the diminution in peaceable enjoyment of the Leased Premises until such time as the reconstruction or repairs are completed. The Lessee will not be entitled to claim any indemnification, damages or any other form of compensation whatsoever from the Lessor. Should the Lessor fail to inform the Lessee of its intention to proceed with the above-mentioned reconstruction or repair of the Leased Premises, this Lease will be regarded as having terminated on the date of the destruction or damage, without any recourse whatsoever by the Lessee against the Lessor.</w:t>
      </w:r>
    </w:p>
    <w:p>
      <w:pPr>
        <w:spacing w:after="0" w:line="111"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4"/>
          </w:cols>
          <w:pgMar w:left="436" w:top="273" w:right="539" w:bottom="1440" w:gutter="0" w:footer="0" w:header="0"/>
        </w:sectPr>
      </w:pPr>
    </w:p>
    <w:bookmarkStart w:id="538" w:name="page539"/>
    <w:bookmarkEnd w:id="538"/>
    <w:p>
      <w:pPr>
        <w:ind w:left="444"/>
        <w:spacing w:after="0"/>
        <w:tabs>
          <w:tab w:leader="none" w:pos="8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7.4</w:t>
      </w:r>
      <w:r>
        <w:rPr>
          <w:sz w:val="20"/>
          <w:szCs w:val="20"/>
          <w:color w:val="auto"/>
        </w:rPr>
        <w:tab/>
      </w:r>
      <w:r>
        <w:rPr>
          <w:rFonts w:ascii="Arial" w:cs="Arial" w:eastAsia="Arial" w:hAnsi="Arial"/>
          <w:sz w:val="16"/>
          <w:szCs w:val="16"/>
          <w:color w:val="auto"/>
        </w:rPr>
        <w:t>If, during the term of this Lease, the Leased Premises are only partially destroyed or damaged, the Lessee must immediately notify the</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Lessor in writing and the Lessor may then, within sixty (60) days of receipt of this notice:</w:t>
      </w:r>
    </w:p>
    <w:p>
      <w:pPr>
        <w:spacing w:after="0" w:line="116" w:lineRule="exact"/>
        <w:rPr>
          <w:sz w:val="20"/>
          <w:szCs w:val="20"/>
          <w:color w:val="auto"/>
        </w:rPr>
      </w:pPr>
    </w:p>
    <w:p>
      <w:pPr>
        <w:ind w:left="1524" w:right="140" w:hanging="539"/>
        <w:spacing w:after="0" w:line="259" w:lineRule="auto"/>
        <w:tabs>
          <w:tab w:leader="none" w:pos="1504" w:val="left"/>
        </w:tabs>
        <w:rPr>
          <w:sz w:val="20"/>
          <w:szCs w:val="20"/>
          <w:color w:val="auto"/>
        </w:rPr>
      </w:pPr>
      <w:r>
        <w:rPr>
          <w:rFonts w:ascii="Arial" w:cs="Arial" w:eastAsia="Arial" w:hAnsi="Arial"/>
          <w:sz w:val="18"/>
          <w:szCs w:val="18"/>
          <w:color w:val="auto"/>
        </w:rPr>
        <w:t>7.4.1</w:t>
        <w:tab/>
        <w:t>terminate this Lease by virtue of the option hereby granted by the Lessee by manifesting its intentions to this effect by given written notice to the Lessee, in which case, the Lease automatically terminates on the first day of the month following receipt by the Lessee of such notice and the Lessee is not entitled to claim any indemnification, damages or any other form of compensation whatsoever from the Lessor; or</w:t>
      </w:r>
    </w:p>
    <w:p>
      <w:pPr>
        <w:spacing w:after="0" w:line="92" w:lineRule="exact"/>
        <w:rPr>
          <w:sz w:val="20"/>
          <w:szCs w:val="20"/>
          <w:color w:val="auto"/>
        </w:rPr>
      </w:pPr>
    </w:p>
    <w:p>
      <w:pPr>
        <w:ind w:left="1524" w:right="120" w:hanging="539"/>
        <w:spacing w:after="0" w:line="279" w:lineRule="auto"/>
        <w:tabs>
          <w:tab w:leader="none" w:pos="1504" w:val="left"/>
        </w:tabs>
        <w:rPr>
          <w:sz w:val="20"/>
          <w:szCs w:val="20"/>
          <w:color w:val="auto"/>
        </w:rPr>
      </w:pPr>
      <w:r>
        <w:rPr>
          <w:rFonts w:ascii="Arial" w:cs="Arial" w:eastAsia="Arial" w:hAnsi="Arial"/>
          <w:sz w:val="18"/>
          <w:szCs w:val="18"/>
          <w:color w:val="auto"/>
        </w:rPr>
        <w:t>7.4.2</w:t>
      </w:r>
      <w:r>
        <w:rPr>
          <w:sz w:val="20"/>
          <w:szCs w:val="20"/>
          <w:color w:val="auto"/>
        </w:rPr>
        <w:tab/>
      </w:r>
      <w:r>
        <w:rPr>
          <w:rFonts w:ascii="Arial" w:cs="Arial" w:eastAsia="Arial" w:hAnsi="Arial"/>
          <w:sz w:val="17"/>
          <w:szCs w:val="17"/>
          <w:color w:val="auto"/>
        </w:rPr>
        <w:t>notify the Lessee of its intention to rebuild or repair the Leased Premises in which case, provided the Lessee cannot be held liable for the damages suffered, the Rent payable by the Lessee will be reduced in proportion to the diminution in peaceable enjoyment that it must endure until completion of the reconstruction or repairs and the Lessee is not entitled to claim any indemnification, damages or other any other form of compensation whatsoever from the Lessor.</w:t>
      </w:r>
    </w:p>
    <w:p>
      <w:pPr>
        <w:spacing w:after="0" w:line="316" w:lineRule="exact"/>
        <w:rPr>
          <w:sz w:val="20"/>
          <w:szCs w:val="20"/>
          <w:color w:val="auto"/>
        </w:rPr>
      </w:pPr>
    </w:p>
    <w:p>
      <w:pPr>
        <w:ind w:left="424" w:hanging="424"/>
        <w:spacing w:after="0"/>
        <w:tabs>
          <w:tab w:leader="none" w:pos="424"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RIGHT OF FIRST OPPORTUNITY</w:t>
      </w:r>
    </w:p>
    <w:p>
      <w:pPr>
        <w:spacing w:after="0" w:line="121" w:lineRule="exact"/>
        <w:rPr>
          <w:rFonts w:ascii="Arial" w:cs="Arial" w:eastAsia="Arial" w:hAnsi="Arial"/>
          <w:sz w:val="18"/>
          <w:szCs w:val="18"/>
          <w:b w:val="1"/>
          <w:bCs w:val="1"/>
          <w:color w:val="auto"/>
        </w:rPr>
      </w:pPr>
    </w:p>
    <w:p>
      <w:pPr>
        <w:ind w:left="444"/>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8.1 Provided (i) this Lease is then in full force and effect, (ii) the Lessee is itself in occupancy and carries on business in and from the entirety of the Leased Premises, and (iii) the Lessee is not in default in the performance of its obligations under this Lease, during the Term of the Lease:</w:t>
      </w:r>
    </w:p>
    <w:p>
      <w:pPr>
        <w:spacing w:after="0" w:line="25" w:lineRule="exact"/>
        <w:rPr>
          <w:sz w:val="20"/>
          <w:szCs w:val="20"/>
          <w:color w:val="auto"/>
        </w:rPr>
      </w:pPr>
    </w:p>
    <w:p>
      <w:pPr>
        <w:ind w:left="1524" w:right="120" w:hanging="539"/>
        <w:spacing w:after="0" w:line="286" w:lineRule="auto"/>
        <w:tabs>
          <w:tab w:leader="none" w:pos="1504"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color w:val="auto"/>
        </w:rPr>
        <w:t>the Lessor will notify the Lessee quarterly (the “</w:t>
      </w:r>
      <w:r>
        <w:rPr>
          <w:rFonts w:ascii="Arial" w:cs="Arial" w:eastAsia="Arial" w:hAnsi="Arial"/>
          <w:sz w:val="16"/>
          <w:szCs w:val="16"/>
          <w:b w:val="1"/>
          <w:bCs w:val="1"/>
          <w:color w:val="auto"/>
        </w:rPr>
        <w:t>2nd Floor ROFO Notice</w:t>
      </w:r>
      <w:r>
        <w:rPr>
          <w:rFonts w:ascii="Arial" w:cs="Arial" w:eastAsia="Arial" w:hAnsi="Arial"/>
          <w:sz w:val="16"/>
          <w:szCs w:val="16"/>
          <w:color w:val="auto"/>
        </w:rPr>
        <w:t>”) if, and only if, any space (the “</w:t>
      </w:r>
      <w:r>
        <w:rPr>
          <w:rFonts w:ascii="Arial" w:cs="Arial" w:eastAsia="Arial" w:hAnsi="Arial"/>
          <w:sz w:val="16"/>
          <w:szCs w:val="16"/>
          <w:b w:val="1"/>
          <w:bCs w:val="1"/>
          <w:color w:val="auto"/>
        </w:rPr>
        <w:t>2nd Floor ROFO</w:t>
      </w:r>
      <w:r>
        <w:rPr>
          <w:rFonts w:ascii="Arial" w:cs="Arial" w:eastAsia="Arial" w:hAnsi="Arial"/>
          <w:sz w:val="16"/>
          <w:szCs w:val="16"/>
          <w:color w:val="auto"/>
        </w:rPr>
        <w:t xml:space="preserve"> </w:t>
      </w:r>
      <w:r>
        <w:rPr>
          <w:rFonts w:ascii="Arial" w:cs="Arial" w:eastAsia="Arial" w:hAnsi="Arial"/>
          <w:sz w:val="16"/>
          <w:szCs w:val="16"/>
          <w:b w:val="1"/>
          <w:bCs w:val="1"/>
          <w:color w:val="auto"/>
        </w:rPr>
        <w:t>Space</w:t>
      </w:r>
      <w:r>
        <w:rPr>
          <w:rFonts w:ascii="Arial" w:cs="Arial" w:eastAsia="Arial" w:hAnsi="Arial"/>
          <w:sz w:val="16"/>
          <w:szCs w:val="16"/>
          <w:color w:val="auto"/>
        </w:rPr>
        <w:t>”) that comprises all or any portion of the second (2</w:t>
      </w:r>
      <w:r>
        <w:rPr>
          <w:rFonts w:ascii="Arial" w:cs="Arial" w:eastAsia="Arial" w:hAnsi="Arial"/>
          <w:sz w:val="13"/>
          <w:szCs w:val="13"/>
          <w:color w:val="auto"/>
        </w:rPr>
        <w:t>nd</w:t>
      </w:r>
      <w:r>
        <w:rPr>
          <w:rFonts w:ascii="Arial" w:cs="Arial" w:eastAsia="Arial" w:hAnsi="Arial"/>
          <w:sz w:val="16"/>
          <w:szCs w:val="16"/>
          <w:color w:val="auto"/>
        </w:rPr>
        <w:t>) floor of the Building is available for lease. The Lessor shall have no</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to notify the Lessee if no such 2nd Floor ROFO Space is available for lease. The 2nd Floor ROFO Notice shall include the terms and conditions the Lessor is willing to accept for the lease of the 2nd Floor ROFO Space. The Lessee shall have an ongoing right of first opportunity to lease the 2nd Floor ROFO Space during the Term by delivering to the Lessor, within ten</w:t>
      </w:r>
    </w:p>
    <w:p>
      <w:pPr>
        <w:spacing w:after="0" w:line="2" w:lineRule="exact"/>
        <w:rPr>
          <w:sz w:val="20"/>
          <w:szCs w:val="20"/>
          <w:color w:val="auto"/>
        </w:rPr>
      </w:pPr>
    </w:p>
    <w:p>
      <w:pPr>
        <w:ind w:left="1524" w:firstLine="1"/>
        <w:spacing w:after="0" w:line="253" w:lineRule="auto"/>
        <w:tabs>
          <w:tab w:leader="none" w:pos="1869" w:val="left"/>
        </w:tabs>
        <w:numPr>
          <w:ilvl w:val="0"/>
          <w:numId w:val="350"/>
        </w:numPr>
        <w:rPr>
          <w:rFonts w:ascii="Arial" w:cs="Arial" w:eastAsia="Arial" w:hAnsi="Arial"/>
          <w:sz w:val="18"/>
          <w:szCs w:val="18"/>
          <w:color w:val="auto"/>
        </w:rPr>
      </w:pPr>
      <w:r>
        <w:rPr>
          <w:rFonts w:ascii="Arial" w:cs="Arial" w:eastAsia="Arial" w:hAnsi="Arial"/>
          <w:sz w:val="18"/>
          <w:szCs w:val="18"/>
          <w:color w:val="auto"/>
        </w:rPr>
        <w:t>business days of receipt of the 2nd Floor ROFO Notice, a written offer to lease the 2nd Floor ROFO Space upon the terms and conditions provided in the 2nd Floor ROFO Notice, failing which the Lessor is free to accept the third party offer at any time before the next quarter on terms that are not more favorable to the tenant thereunder than those that were included in the most recent 2</w:t>
      </w:r>
      <w:r>
        <w:rPr>
          <w:rFonts w:ascii="Arial" w:cs="Arial" w:eastAsia="Arial" w:hAnsi="Arial"/>
          <w:sz w:val="15"/>
          <w:szCs w:val="15"/>
          <w:color w:val="auto"/>
        </w:rPr>
        <w:t>nd</w:t>
      </w:r>
      <w:r>
        <w:rPr>
          <w:rFonts w:ascii="Arial" w:cs="Arial" w:eastAsia="Arial" w:hAnsi="Arial"/>
          <w:sz w:val="18"/>
          <w:szCs w:val="18"/>
          <w:color w:val="auto"/>
        </w:rPr>
        <w:t xml:space="preserve"> Floor ROFO Notice.</w:t>
      </w:r>
    </w:p>
    <w:p>
      <w:pPr>
        <w:spacing w:after="0" w:line="337" w:lineRule="exact"/>
        <w:rPr>
          <w:sz w:val="20"/>
          <w:szCs w:val="20"/>
          <w:color w:val="auto"/>
        </w:rPr>
      </w:pPr>
    </w:p>
    <w:p>
      <w:pPr>
        <w:ind w:left="424" w:hanging="424"/>
        <w:spacing w:after="0"/>
        <w:tabs>
          <w:tab w:leader="none" w:pos="424"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RIGHT OF FIRST REFUSAL</w:t>
      </w:r>
    </w:p>
    <w:p>
      <w:pPr>
        <w:spacing w:after="0" w:line="121" w:lineRule="exact"/>
        <w:rPr>
          <w:rFonts w:ascii="Arial" w:cs="Arial" w:eastAsia="Arial" w:hAnsi="Arial"/>
          <w:sz w:val="18"/>
          <w:szCs w:val="18"/>
          <w:b w:val="1"/>
          <w:bCs w:val="1"/>
          <w:color w:val="auto"/>
        </w:rPr>
      </w:pPr>
    </w:p>
    <w:p>
      <w:pPr>
        <w:ind w:left="444"/>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9.1 Provided (i) this Lease is then in full force and effect, (ii) the Lessee is itself in occupancy and carries on business in and from the entirety of the Leased Premises, and (iii) the Lessee is not in default in the performance of its obligations under this Lease, during the Term of the Lease:</w:t>
      </w:r>
    </w:p>
    <w:p>
      <w:pPr>
        <w:spacing w:after="0" w:line="25" w:lineRule="exact"/>
        <w:rPr>
          <w:sz w:val="20"/>
          <w:szCs w:val="20"/>
          <w:color w:val="auto"/>
        </w:rPr>
      </w:pPr>
    </w:p>
    <w:p>
      <w:pPr>
        <w:ind w:left="1524" w:right="120" w:hanging="539"/>
        <w:spacing w:after="0" w:line="266" w:lineRule="auto"/>
        <w:tabs>
          <w:tab w:leader="none" w:pos="1504" w:val="left"/>
        </w:tabs>
        <w:rPr>
          <w:sz w:val="20"/>
          <w:szCs w:val="20"/>
          <w:color w:val="auto"/>
        </w:rPr>
      </w:pPr>
      <w:r>
        <w:rPr>
          <w:rFonts w:ascii="Arial" w:cs="Arial" w:eastAsia="Arial" w:hAnsi="Arial"/>
          <w:sz w:val="18"/>
          <w:szCs w:val="18"/>
          <w:color w:val="auto"/>
        </w:rPr>
        <w:t>9.1.1</w:t>
        <w:tab/>
        <w:t>the Lessor will notify the Lessee (the “</w:t>
      </w:r>
      <w:r>
        <w:rPr>
          <w:rFonts w:ascii="Arial" w:cs="Arial" w:eastAsia="Arial" w:hAnsi="Arial"/>
          <w:sz w:val="18"/>
          <w:szCs w:val="18"/>
          <w:b w:val="1"/>
          <w:bCs w:val="1"/>
          <w:color w:val="auto"/>
        </w:rPr>
        <w:t>Phase II ROFR Notice</w:t>
      </w:r>
      <w:r>
        <w:rPr>
          <w:rFonts w:ascii="Arial" w:cs="Arial" w:eastAsia="Arial" w:hAnsi="Arial"/>
          <w:sz w:val="18"/>
          <w:szCs w:val="18"/>
          <w:color w:val="auto"/>
        </w:rPr>
        <w:t xml:space="preserve">”) if it receives an offer from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third party which the Lessor is prepared to accept for any entire floor (the “</w:t>
      </w:r>
      <w:r>
        <w:rPr>
          <w:rFonts w:ascii="Arial" w:cs="Arial" w:eastAsia="Arial" w:hAnsi="Arial"/>
          <w:sz w:val="18"/>
          <w:szCs w:val="18"/>
          <w:b w:val="1"/>
          <w:bCs w:val="1"/>
          <w:color w:val="auto"/>
        </w:rPr>
        <w:t>Phase II ROFR Space</w:t>
      </w:r>
      <w:r>
        <w:rPr>
          <w:rFonts w:ascii="Arial" w:cs="Arial" w:eastAsia="Arial" w:hAnsi="Arial"/>
          <w:sz w:val="18"/>
          <w:szCs w:val="18"/>
          <w:color w:val="auto"/>
        </w:rPr>
        <w:t>”) that comprises the Phase II. The Lessee shall have an ongoing right</w:t>
      </w:r>
    </w:p>
    <w:p>
      <w:pPr>
        <w:spacing w:after="0" w:line="11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4"/>
          </w:cols>
          <w:pgMar w:left="436" w:top="273" w:right="479" w:bottom="1440" w:gutter="0" w:footer="0" w:header="0"/>
        </w:sectPr>
      </w:pPr>
    </w:p>
    <w:bookmarkStart w:id="539" w:name="page540"/>
    <w:bookmarkEnd w:id="539"/>
    <w:p>
      <w:pPr>
        <w:ind w:left="15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first refusal to lease the Phase II ROFR Space during the Term by delivering to the Lessor, within ten (10) business days of receipt of the Phase II ROFR Notice, a written offer to lease the Phase II ROFR Space upon the same terms and conditions than the third party offer, failing which the Lessor is free to accept the third party offer.</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TERMINATION OF LEASE</w:t>
      </w:r>
    </w:p>
    <w:p>
      <w:pPr>
        <w:spacing w:after="0" w:line="131"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Immediate termination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Lease is automatically terminated, without notice or formal request, should any of the following events occur:</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10.1.1 the Lessee makes an assignment of its assets to its creditors or submits a proposal to its creditors;</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10.1.2 the Lessee files a petition in voluntary bankruptcy or bankruptcy proceedings are instituted against the Lessee;</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10.1.3 a receiver or trustee in bankruptcy is appointed to administer the Lessee’s property;</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10.1.4 the Lessee voluntarily attempts to liquidate its assets;</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10.1.5 an enforcement notice is issued as the result of a judgment rendered against the Lessee;</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10.1.6 the Lessee avails itself of the protection provided by insolvency legislation;</w:t>
      </w:r>
    </w:p>
    <w:p>
      <w:pPr>
        <w:spacing w:after="0" w:line="131" w:lineRule="exact"/>
        <w:rPr>
          <w:sz w:val="20"/>
          <w:szCs w:val="20"/>
          <w:color w:val="auto"/>
        </w:rPr>
      </w:pPr>
    </w:p>
    <w:p>
      <w:pPr>
        <w:ind w:left="1520" w:right="400" w:hanging="539"/>
        <w:spacing w:after="0" w:line="277" w:lineRule="auto"/>
        <w:rPr>
          <w:sz w:val="20"/>
          <w:szCs w:val="20"/>
          <w:color w:val="auto"/>
        </w:rPr>
      </w:pPr>
      <w:r>
        <w:rPr>
          <w:rFonts w:ascii="Arial" w:cs="Arial" w:eastAsia="Arial" w:hAnsi="Arial"/>
          <w:sz w:val="18"/>
          <w:szCs w:val="18"/>
          <w:color w:val="auto"/>
        </w:rPr>
        <w:t>10.1.7 the Lessee abandons the Leased Premises before the expiration or renewal of this Lease, with or without the knowledge of the Lessor and without its authorization;</w:t>
      </w:r>
    </w:p>
    <w:p>
      <w:pPr>
        <w:spacing w:after="0" w:line="76" w:lineRule="exact"/>
        <w:rPr>
          <w:sz w:val="20"/>
          <w:szCs w:val="20"/>
          <w:color w:val="auto"/>
        </w:rPr>
      </w:pPr>
    </w:p>
    <w:p>
      <w:pPr>
        <w:ind w:left="1520" w:right="180" w:hanging="539"/>
        <w:spacing w:after="0" w:line="277" w:lineRule="auto"/>
        <w:rPr>
          <w:sz w:val="20"/>
          <w:szCs w:val="20"/>
          <w:color w:val="auto"/>
        </w:rPr>
      </w:pPr>
      <w:r>
        <w:rPr>
          <w:rFonts w:ascii="Arial" w:cs="Arial" w:eastAsia="Arial" w:hAnsi="Arial"/>
          <w:sz w:val="18"/>
          <w:szCs w:val="18"/>
          <w:color w:val="auto"/>
        </w:rPr>
        <w:t>10.1.8 the Lessee acts in a manner or permits the occurrence of anything that would result in the immediate and irrevocable cancellation of an insurance policy on the Leased Premises or render the Leased Premises uninsurable;</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10.1.9 the Lessee changes the use of the Leased Premises without obtaining the Lessor’s prior written authorization;</w:t>
      </w:r>
    </w:p>
    <w:p>
      <w:pPr>
        <w:spacing w:after="0" w:line="117" w:lineRule="exact"/>
        <w:rPr>
          <w:sz w:val="20"/>
          <w:szCs w:val="20"/>
          <w:color w:val="auto"/>
        </w:rPr>
      </w:pPr>
    </w:p>
    <w:p>
      <w:pPr>
        <w:ind w:left="440" w:right="320"/>
        <w:spacing w:after="0" w:line="255" w:lineRule="auto"/>
        <w:rPr>
          <w:sz w:val="20"/>
          <w:szCs w:val="20"/>
          <w:color w:val="auto"/>
        </w:rPr>
      </w:pPr>
      <w:r>
        <w:rPr>
          <w:rFonts w:ascii="Arial" w:cs="Arial" w:eastAsia="Arial" w:hAnsi="Arial"/>
          <w:sz w:val="18"/>
          <w:szCs w:val="18"/>
          <w:color w:val="auto"/>
        </w:rPr>
        <w:t>In each of the above-mentioned cases, the Lessor may, without notice or any other form of legal proceeding, immediately enter the Leased Premises and retake possession, and remove the Lessee’s effects from the Leased Premises. Furthermore, the full amount of the Rent for the current month and the following three (3) consecutive months become immediately due and payable; furthermore, the Lessor is immediately entitled to claim this amount, as well as all arrears and all other amounts that may be owing to the Lessor by the Lessee under the terms of this Lease, without prejudice to all other rights and recourses the Lessor may have under this Lease. Upon such a termination, the Lessee shall peacefully return the Leased Premises to the Lessor.</w:t>
      </w:r>
    </w:p>
    <w:p>
      <w:pPr>
        <w:spacing w:after="0" w:line="337"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Termination Upon Notice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3" w:right="459" w:bottom="1440" w:gutter="0" w:footer="0" w:header="0"/>
        </w:sectPr>
      </w:pPr>
    </w:p>
    <w:bookmarkStart w:id="540" w:name="page541"/>
    <w:bookmarkEnd w:id="540"/>
    <w:p>
      <w:pPr>
        <w:jc w:val="both"/>
        <w:ind w:left="20"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to the causes for termination set out in Section 10.1, this Lease may be terminated by the Party not in default upon the expiration of a delay of thirty (30) days given in a written notice to the Party in default if the Party has not remedied said default to the satisfaction of the other Party, in any of the following situations:</w:t>
      </w:r>
    </w:p>
    <w:p>
      <w:pPr>
        <w:spacing w:after="0" w:line="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10.2.1 the Lessee has not paid its Rent on the due date;</w:t>
      </w:r>
    </w:p>
    <w:p>
      <w:pPr>
        <w:spacing w:after="0" w:line="131" w:lineRule="exact"/>
        <w:rPr>
          <w:sz w:val="20"/>
          <w:szCs w:val="20"/>
          <w:color w:val="auto"/>
        </w:rPr>
      </w:pPr>
    </w:p>
    <w:p>
      <w:pPr>
        <w:ind w:left="1100" w:right="60" w:hanging="539"/>
        <w:spacing w:after="0" w:line="277" w:lineRule="auto"/>
        <w:rPr>
          <w:sz w:val="20"/>
          <w:szCs w:val="20"/>
          <w:color w:val="auto"/>
        </w:rPr>
      </w:pPr>
      <w:r>
        <w:rPr>
          <w:rFonts w:ascii="Arial" w:cs="Arial" w:eastAsia="Arial" w:hAnsi="Arial"/>
          <w:sz w:val="18"/>
          <w:szCs w:val="18"/>
          <w:color w:val="auto"/>
        </w:rPr>
        <w:t>10.2.2 the Lessee fails to occupy the Leased Premises for a period of thirty (30) consecutive days of for a period of sixty (60) days within any given ninety (90) day period without the prior written consent of the Lessor;</w:t>
      </w:r>
    </w:p>
    <w:p>
      <w:pPr>
        <w:spacing w:after="0" w:line="76" w:lineRule="exact"/>
        <w:rPr>
          <w:sz w:val="20"/>
          <w:szCs w:val="20"/>
          <w:color w:val="auto"/>
        </w:rPr>
      </w:pPr>
    </w:p>
    <w:p>
      <w:pPr>
        <w:ind w:left="1100" w:right="20" w:hanging="539"/>
        <w:spacing w:after="0" w:line="277" w:lineRule="auto"/>
        <w:rPr>
          <w:sz w:val="20"/>
          <w:szCs w:val="20"/>
          <w:color w:val="auto"/>
        </w:rPr>
      </w:pPr>
      <w:r>
        <w:rPr>
          <w:rFonts w:ascii="Arial" w:cs="Arial" w:eastAsia="Arial" w:hAnsi="Arial"/>
          <w:sz w:val="18"/>
          <w:szCs w:val="18"/>
          <w:color w:val="auto"/>
        </w:rPr>
        <w:t>10.2.3 there occurs a change of control of the Lessee without the Lessor’s prior authorization which shall not be unreasonably withheld as set forth in Section 11.14;</w:t>
      </w:r>
    </w:p>
    <w:p>
      <w:pPr>
        <w:spacing w:after="0" w:line="76" w:lineRule="exact"/>
        <w:rPr>
          <w:sz w:val="20"/>
          <w:szCs w:val="20"/>
          <w:color w:val="auto"/>
        </w:rPr>
      </w:pPr>
    </w:p>
    <w:p>
      <w:pPr>
        <w:ind w:left="1100" w:right="320" w:hanging="539"/>
        <w:spacing w:after="0" w:line="277" w:lineRule="auto"/>
        <w:rPr>
          <w:sz w:val="20"/>
          <w:szCs w:val="20"/>
          <w:color w:val="auto"/>
        </w:rPr>
      </w:pPr>
      <w:r>
        <w:rPr>
          <w:rFonts w:ascii="Arial" w:cs="Arial" w:eastAsia="Arial" w:hAnsi="Arial"/>
          <w:sz w:val="18"/>
          <w:szCs w:val="18"/>
          <w:color w:val="auto"/>
        </w:rPr>
        <w:t>10.2.4 the Lessee assigns this Lease or sub-leases the Leased Premises or permits a third party to occupy the Leased Premises without obtaining the Lessor’s prior authorization, as required under this Lease;</w:t>
      </w:r>
    </w:p>
    <w:p>
      <w:pPr>
        <w:spacing w:after="0" w:line="76" w:lineRule="exact"/>
        <w:rPr>
          <w:sz w:val="20"/>
          <w:szCs w:val="20"/>
          <w:color w:val="auto"/>
        </w:rPr>
      </w:pPr>
    </w:p>
    <w:p>
      <w:pPr>
        <w:ind w:left="1100" w:right="20" w:hanging="539"/>
        <w:spacing w:after="0" w:line="301" w:lineRule="auto"/>
        <w:rPr>
          <w:sz w:val="20"/>
          <w:szCs w:val="20"/>
          <w:color w:val="auto"/>
        </w:rPr>
      </w:pPr>
      <w:r>
        <w:rPr>
          <w:rFonts w:ascii="Arial" w:cs="Arial" w:eastAsia="Arial" w:hAnsi="Arial"/>
          <w:sz w:val="16"/>
          <w:szCs w:val="16"/>
          <w:color w:val="auto"/>
        </w:rPr>
        <w:t>10.2.5 any insurance policy of the Lessee covering any part of the Leased Premises is cancelled or adversely changed or is not renewed as a result of any use or occupancy of the Leased Premises, or the Lessee acts in a manner or permits the occurrence of anything that would result in the possible cancellation of an insurance policy on the Leased Premises, and does not take the necessary steps to remedy this occurrence, within the time prescribed by the insurer’s written notice to that effect;</w:t>
      </w:r>
    </w:p>
    <w:p>
      <w:pPr>
        <w:spacing w:after="0" w:line="63" w:lineRule="exact"/>
        <w:rPr>
          <w:sz w:val="20"/>
          <w:szCs w:val="20"/>
          <w:color w:val="auto"/>
        </w:rPr>
      </w:pPr>
    </w:p>
    <w:p>
      <w:pPr>
        <w:ind w:left="1100" w:hanging="539"/>
        <w:spacing w:after="0" w:line="277" w:lineRule="auto"/>
        <w:rPr>
          <w:sz w:val="20"/>
          <w:szCs w:val="20"/>
          <w:color w:val="auto"/>
        </w:rPr>
      </w:pPr>
      <w:r>
        <w:rPr>
          <w:rFonts w:ascii="Arial" w:cs="Arial" w:eastAsia="Arial" w:hAnsi="Arial"/>
          <w:sz w:val="18"/>
          <w:szCs w:val="18"/>
          <w:color w:val="auto"/>
        </w:rPr>
        <w:t>10.2.6 the Lessor omits, refuses or neglects to repair at its expense construction defects, hidden defects and defective work that restrict the use of the Leased Premises;</w:t>
      </w:r>
    </w:p>
    <w:p>
      <w:pPr>
        <w:spacing w:after="0" w:line="76" w:lineRule="exact"/>
        <w:rPr>
          <w:sz w:val="20"/>
          <w:szCs w:val="20"/>
          <w:color w:val="auto"/>
        </w:rPr>
      </w:pPr>
    </w:p>
    <w:p>
      <w:pPr>
        <w:ind w:left="1100" w:right="800" w:hanging="539"/>
        <w:spacing w:after="0" w:line="342" w:lineRule="auto"/>
        <w:rPr>
          <w:sz w:val="20"/>
          <w:szCs w:val="20"/>
          <w:color w:val="auto"/>
        </w:rPr>
      </w:pPr>
      <w:r>
        <w:rPr>
          <w:rFonts w:ascii="Arial" w:cs="Arial" w:eastAsia="Arial" w:hAnsi="Arial"/>
          <w:sz w:val="16"/>
          <w:szCs w:val="16"/>
          <w:color w:val="auto"/>
        </w:rPr>
        <w:t>10.2.7 if the Lessee fails to respect any regulation or any directive, instruction, agreement or rule and, if applicable, any written agreement, the whole, in respect of the use of the Common Facilities or specialized equipment provided by the Lessor;</w:t>
      </w:r>
    </w:p>
    <w:p>
      <w:pPr>
        <w:spacing w:after="0" w:line="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10.2.8 the total expropriation of the Leased Premises by a government authority.</w:t>
      </w:r>
    </w:p>
    <w:p>
      <w:pPr>
        <w:spacing w:after="0" w:line="117" w:lineRule="exact"/>
        <w:rPr>
          <w:sz w:val="20"/>
          <w:szCs w:val="20"/>
          <w:color w:val="auto"/>
        </w:rPr>
      </w:pPr>
    </w:p>
    <w:p>
      <w:pPr>
        <w:ind w:left="20"/>
        <w:spacing w:after="0" w:line="311" w:lineRule="auto"/>
        <w:rPr>
          <w:sz w:val="20"/>
          <w:szCs w:val="20"/>
          <w:color w:val="auto"/>
        </w:rPr>
      </w:pPr>
      <w:r>
        <w:rPr>
          <w:rFonts w:ascii="Arial" w:cs="Arial" w:eastAsia="Arial" w:hAnsi="Arial"/>
          <w:sz w:val="16"/>
          <w:szCs w:val="16"/>
          <w:color w:val="auto"/>
        </w:rPr>
        <w:t>Where the Lessee is in default and fails to correct such default in the prescribed delay, the Lessor may immediately terminate this Lease, repossess the Leased Premises, lease them and retain whatever rent is collected from the new Lessee as compensatory damages, without prejudice to any other rights and recourses the Lessor may have against the Lessee for all rent and other amounts owing under the terms of this Lease or at law.</w:t>
      </w:r>
    </w:p>
    <w:p>
      <w:pPr>
        <w:spacing w:after="0" w:line="41" w:lineRule="exact"/>
        <w:rPr>
          <w:sz w:val="20"/>
          <w:szCs w:val="20"/>
          <w:color w:val="auto"/>
        </w:rPr>
      </w:pPr>
    </w:p>
    <w:p>
      <w:pPr>
        <w:ind w:left="20" w:right="200"/>
        <w:spacing w:after="0" w:line="277" w:lineRule="auto"/>
        <w:rPr>
          <w:sz w:val="20"/>
          <w:szCs w:val="20"/>
          <w:color w:val="auto"/>
        </w:rPr>
      </w:pPr>
      <w:r>
        <w:rPr>
          <w:rFonts w:ascii="Arial" w:cs="Arial" w:eastAsia="Arial" w:hAnsi="Arial"/>
          <w:sz w:val="18"/>
          <w:szCs w:val="18"/>
          <w:color w:val="auto"/>
        </w:rPr>
        <w:t>Where the Lessor is in default, the Lessee is entitled, at its option, to request a reduction in Rent, or terminate the Lease at a date of its choosing without prejudice to all of its other legal rights and remedies.</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Notice</w:t>
      </w:r>
    </w:p>
    <w:p>
      <w:pPr>
        <w:spacing w:after="0" w:line="121" w:lineRule="exact"/>
        <w:rPr>
          <w:sz w:val="20"/>
          <w:szCs w:val="20"/>
          <w:color w:val="auto"/>
        </w:rPr>
      </w:pPr>
    </w:p>
    <w:p>
      <w:pPr>
        <w:ind w:left="20" w:right="220"/>
        <w:spacing w:after="0" w:line="277" w:lineRule="auto"/>
        <w:rPr>
          <w:sz w:val="20"/>
          <w:szCs w:val="20"/>
          <w:color w:val="auto"/>
        </w:rPr>
      </w:pPr>
      <w:r>
        <w:rPr>
          <w:rFonts w:ascii="Arial" w:cs="Arial" w:eastAsia="Arial" w:hAnsi="Arial"/>
          <w:sz w:val="18"/>
          <w:szCs w:val="18"/>
          <w:color w:val="auto"/>
        </w:rPr>
        <w:t>Subject to any other clause of this Agreement to the contrary, any notice required by virtue of this Agreement is properly given provided it is in writing and delivered by a</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60"/>
          </w:cols>
          <w:pgMar w:left="860" w:top="273" w:right="479" w:bottom="1440" w:gutter="0" w:footer="0" w:header="0"/>
        </w:sectPr>
      </w:pPr>
    </w:p>
    <w:bookmarkStart w:id="541" w:name="page542"/>
    <w:bookmarkEnd w:id="541"/>
    <w:p>
      <w:pPr>
        <w:ind w:left="444"/>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means of communication allowing the sender to prove that said notice was delivered to the intended recipient at the address indicated in </w:t>
      </w:r>
      <w:r>
        <w:rPr>
          <w:rFonts w:ascii="Arial" w:cs="Arial" w:eastAsia="Arial" w:hAnsi="Arial"/>
          <w:sz w:val="18"/>
          <w:szCs w:val="18"/>
          <w:b w:val="1"/>
          <w:bCs w:val="1"/>
          <w:color w:val="auto"/>
        </w:rPr>
        <w:t>Schedule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 </w:t>
      </w:r>
      <w:r>
        <w:rPr>
          <w:rFonts w:ascii="Arial" w:cs="Arial" w:eastAsia="Arial" w:hAnsi="Arial"/>
          <w:sz w:val="18"/>
          <w:szCs w:val="18"/>
          <w:color w:val="auto"/>
        </w:rPr>
        <w:t>or at any other address that may be indicated by said recipient in accordance with this clause.</w:t>
      </w:r>
    </w:p>
    <w:p>
      <w:pPr>
        <w:spacing w:after="0" w:line="310" w:lineRule="exact"/>
        <w:rPr>
          <w:sz w:val="20"/>
          <w:szCs w:val="20"/>
          <w:color w:val="auto"/>
        </w:rPr>
      </w:pPr>
    </w:p>
    <w:p>
      <w:pPr>
        <w:ind w:left="424" w:hanging="424"/>
        <w:spacing w:after="0"/>
        <w:tabs>
          <w:tab w:leader="none" w:pos="424"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GENERAL DISPOSITIONS</w:t>
      </w:r>
    </w:p>
    <w:p>
      <w:pPr>
        <w:spacing w:after="0" w:line="130"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11.1   Lessee’s Current Lease</w:t>
      </w:r>
    </w:p>
    <w:p>
      <w:pPr>
        <w:spacing w:after="0" w:line="121" w:lineRule="exact"/>
        <w:rPr>
          <w:rFonts w:ascii="Arial" w:cs="Arial" w:eastAsia="Arial" w:hAnsi="Arial"/>
          <w:sz w:val="18"/>
          <w:szCs w:val="18"/>
          <w:b w:val="1"/>
          <w:bCs w:val="1"/>
          <w:color w:val="auto"/>
        </w:rPr>
      </w:pPr>
    </w:p>
    <w:p>
      <w:pPr>
        <w:ind w:left="444" w:right="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Lessor hereby agrees to work closely and in good faith with the Lessee in order to help the Lessee to secure a subtenant or lease transferee who would agree to sublease or take over the Lessee’s current lease at 7210 Frederick-Banting Street, Suite 100, Saint-Laurent, Province of Québec. Notwithstanding the foregoing, in the event the Parties, working in good faith, are unable to find said subtenant or transferee, the Lessor shall bear no responsibility. The Lessor and the Lessee acknowledge that the Lessee has entered into an agreement with CBRE as of the Effective Date whereby CBRE has agreed to act as broker for and on behalf of the Lessee in order to sublease the Lessee’s current lease at 7210 Frederick-Banting Street, Suite 100, Saint-Laurent, Province of Québec.</w:t>
      </w:r>
    </w:p>
    <w:p>
      <w:pPr>
        <w:spacing w:after="0" w:line="322"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11.2   Waiver</w:t>
      </w:r>
    </w:p>
    <w:p>
      <w:pPr>
        <w:spacing w:after="0" w:line="121" w:lineRule="exact"/>
        <w:rPr>
          <w:rFonts w:ascii="Arial" w:cs="Arial" w:eastAsia="Arial" w:hAnsi="Arial"/>
          <w:sz w:val="18"/>
          <w:szCs w:val="18"/>
          <w:b w:val="1"/>
          <w:bCs w:val="1"/>
          <w:color w:val="auto"/>
        </w:rPr>
      </w:pPr>
    </w:p>
    <w:p>
      <w:pPr>
        <w:ind w:left="444" w:right="2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xml:space="preserve">The Lessee waives the benefit of Article 1854, second paragraph, Article 1859, Article 1864, Article 1865, Article 1868, Article 1869, Article 1871, Article 1873, Article 1878, Article 1879 and Article 1883 of the </w:t>
      </w:r>
      <w:r>
        <w:rPr>
          <w:rFonts w:ascii="Arial" w:cs="Arial" w:eastAsia="Arial" w:hAnsi="Arial"/>
          <w:sz w:val="18"/>
          <w:szCs w:val="18"/>
          <w:i w:val="1"/>
          <w:iCs w:val="1"/>
          <w:color w:val="auto"/>
        </w:rPr>
        <w:t>Civil Code of Québec</w:t>
      </w:r>
      <w:r>
        <w:rPr>
          <w:rFonts w:ascii="Arial" w:cs="Arial" w:eastAsia="Arial" w:hAnsi="Arial"/>
          <w:sz w:val="18"/>
          <w:szCs w:val="18"/>
          <w:color w:val="auto"/>
        </w:rPr>
        <w:t>, or any successor legislation to the same or similar effect.</w:t>
      </w:r>
    </w:p>
    <w:p>
      <w:pPr>
        <w:spacing w:after="0" w:line="328"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11.3   Entire Agreement</w:t>
      </w:r>
    </w:p>
    <w:p>
      <w:pPr>
        <w:spacing w:after="0" w:line="121" w:lineRule="exact"/>
        <w:rPr>
          <w:rFonts w:ascii="Arial" w:cs="Arial" w:eastAsia="Arial" w:hAnsi="Arial"/>
          <w:sz w:val="18"/>
          <w:szCs w:val="18"/>
          <w:b w:val="1"/>
          <w:bCs w:val="1"/>
          <w:color w:val="auto"/>
        </w:rPr>
      </w:pPr>
    </w:p>
    <w:p>
      <w:pPr>
        <w:jc w:val="both"/>
        <w:ind w:left="444" w:right="4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terms and conditions of this Lease supersede the terms and conditions of any and all prior agreements (including the letter of intention between the Lessor and the Lessee dated March 18, 2019) and any and all representations that may have been made prior to this Lease with respect to the subject matter of this Lease.</w:t>
      </w:r>
    </w:p>
    <w:p>
      <w:pPr>
        <w:spacing w:after="0" w:line="328"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Governing Laws and Jurisdiction</w:t>
      </w:r>
    </w:p>
    <w:p>
      <w:pPr>
        <w:spacing w:after="0" w:line="135" w:lineRule="exact"/>
        <w:rPr>
          <w:sz w:val="20"/>
          <w:szCs w:val="20"/>
          <w:color w:val="auto"/>
        </w:rPr>
      </w:pPr>
    </w:p>
    <w:p>
      <w:pPr>
        <w:ind w:left="1524" w:right="200" w:hanging="539"/>
        <w:spacing w:after="0" w:line="308" w:lineRule="auto"/>
        <w:rPr>
          <w:sz w:val="20"/>
          <w:szCs w:val="20"/>
          <w:color w:val="auto"/>
        </w:rPr>
      </w:pPr>
      <w:r>
        <w:rPr>
          <w:rFonts w:ascii="Arial" w:cs="Arial" w:eastAsia="Arial" w:hAnsi="Arial"/>
          <w:sz w:val="17"/>
          <w:szCs w:val="17"/>
          <w:color w:val="auto"/>
        </w:rPr>
        <w:t>11.4.1 This Lease, its interpretation, execution, application, enforceability and legal consequences are subject to the relevant legislation currently in force in the Province of Québec and which govern in whole or in part the clauses contained herein.</w:t>
      </w:r>
    </w:p>
    <w:p>
      <w:pPr>
        <w:spacing w:after="0" w:line="52" w:lineRule="exact"/>
        <w:rPr>
          <w:sz w:val="20"/>
          <w:szCs w:val="20"/>
          <w:color w:val="auto"/>
        </w:rPr>
      </w:pPr>
    </w:p>
    <w:p>
      <w:pPr>
        <w:jc w:val="both"/>
        <w:ind w:left="1524" w:right="120" w:hanging="539"/>
        <w:spacing w:after="0" w:line="263" w:lineRule="auto"/>
        <w:rPr>
          <w:sz w:val="20"/>
          <w:szCs w:val="20"/>
          <w:color w:val="auto"/>
        </w:rPr>
      </w:pPr>
      <w:r>
        <w:rPr>
          <w:rFonts w:ascii="Arial" w:cs="Arial" w:eastAsia="Arial" w:hAnsi="Arial"/>
          <w:sz w:val="18"/>
          <w:szCs w:val="18"/>
          <w:color w:val="auto"/>
        </w:rPr>
        <w:t>11.4.2 The Parties hereby elect domicile before the court of competent jurisdiction in the judicial district of Montreal, Québec, Canada, for the purpose of all legal proceedings that may be instituted as a consequence of this Lease, to the exclusion of all other judicial districts that may legally have jurisdiction regarding any such disputes so arising.</w:t>
      </w:r>
    </w:p>
    <w:p>
      <w:pPr>
        <w:spacing w:after="0" w:line="328"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Headings.</w:t>
      </w:r>
    </w:p>
    <w:p>
      <w:pPr>
        <w:spacing w:after="0" w:line="121" w:lineRule="exact"/>
        <w:rPr>
          <w:sz w:val="20"/>
          <w:szCs w:val="20"/>
          <w:color w:val="auto"/>
        </w:rPr>
      </w:pPr>
    </w:p>
    <w:p>
      <w:pPr>
        <w:ind w:left="444" w:right="460"/>
        <w:spacing w:after="0" w:line="263" w:lineRule="auto"/>
        <w:rPr>
          <w:sz w:val="20"/>
          <w:szCs w:val="20"/>
          <w:color w:val="auto"/>
        </w:rPr>
      </w:pPr>
      <w:r>
        <w:rPr>
          <w:rFonts w:ascii="Arial" w:cs="Arial" w:eastAsia="Arial" w:hAnsi="Arial"/>
          <w:sz w:val="18"/>
          <w:szCs w:val="18"/>
          <w:color w:val="auto"/>
        </w:rPr>
        <w:t>The headings used in this Lease have no interpretative value whatsoever but are for convenience only and for the purpose of classifying and identifying the clauses constituting the agreement between the Parties to this Lease and, as such no significance may be attributed to such headings nor may they affect the interpretation of a given clause.</w:t>
      </w:r>
    </w:p>
    <w:p>
      <w:pPr>
        <w:spacing w:after="0" w:line="328"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b w:val="1"/>
          <w:bCs w:val="1"/>
          <w:color w:val="auto"/>
        </w:rPr>
        <w:t>Gender and number</w:t>
      </w:r>
    </w:p>
    <w:p>
      <w:pPr>
        <w:spacing w:after="0" w:line="16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4"/>
          </w:cols>
          <w:pgMar w:left="436" w:top="269" w:right="499" w:bottom="1440" w:gutter="0" w:footer="0" w:header="0"/>
        </w:sectPr>
      </w:pPr>
    </w:p>
    <w:bookmarkStart w:id="542" w:name="page543"/>
    <w:bookmarkEnd w:id="542"/>
    <w:p>
      <w:pPr>
        <w:ind w:left="20"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 the context so requires, the masculine gender includes the feminine and vice versa, and similarly, the singular includes the plural and vice versa, with all the necessary grammatical changes being made in each case, so that the meaning of any sentence is clear and logical.</w:t>
      </w:r>
    </w:p>
    <w:p>
      <w:pPr>
        <w:spacing w:after="0" w:line="26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b w:val="1"/>
          <w:bCs w:val="1"/>
          <w:color w:val="auto"/>
        </w:rPr>
        <w:t>Canadian currency</w:t>
      </w:r>
    </w:p>
    <w:p>
      <w:pPr>
        <w:spacing w:after="0" w:line="121" w:lineRule="exact"/>
        <w:rPr>
          <w:sz w:val="20"/>
          <w:szCs w:val="20"/>
          <w:color w:val="auto"/>
        </w:rPr>
      </w:pPr>
    </w:p>
    <w:p>
      <w:pPr>
        <w:ind w:left="20" w:right="420"/>
        <w:spacing w:after="0" w:line="263" w:lineRule="auto"/>
        <w:rPr>
          <w:sz w:val="20"/>
          <w:szCs w:val="20"/>
          <w:color w:val="auto"/>
        </w:rPr>
      </w:pPr>
      <w:r>
        <w:rPr>
          <w:rFonts w:ascii="Arial" w:cs="Arial" w:eastAsia="Arial" w:hAnsi="Arial"/>
          <w:sz w:val="18"/>
          <w:szCs w:val="18"/>
          <w:color w:val="auto"/>
        </w:rPr>
        <w:t>All amounts of money stipulated in this Lease are expressed in Canadian currency. Furthermore, unless otherwise indicated in this Lease, the amounts indicated are not to be interpreted to include the goods and services tax (GST), the Québec sales tax (QST) and/or any other tax chargeable on this type of payment during the term of this Lease.</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5"/>
          <w:szCs w:val="15"/>
          <w:b w:val="1"/>
          <w:bCs w:val="1"/>
          <w:color w:val="auto"/>
        </w:rPr>
        <w:t>Appendices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Schedules and Appendices to this Lease form an integral part of this Lease.</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6"/>
          <w:szCs w:val="16"/>
          <w:b w:val="1"/>
          <w:bCs w:val="1"/>
          <w:color w:val="auto"/>
        </w:rPr>
        <w:t>Force Majeure</w:t>
      </w:r>
    </w:p>
    <w:p>
      <w:pPr>
        <w:spacing w:after="0" w:line="121" w:lineRule="exact"/>
        <w:rPr>
          <w:sz w:val="20"/>
          <w:szCs w:val="20"/>
          <w:color w:val="auto"/>
        </w:rPr>
      </w:pPr>
    </w:p>
    <w:p>
      <w:pPr>
        <w:ind w:left="20" w:right="40"/>
        <w:spacing w:after="0" w:line="275" w:lineRule="auto"/>
        <w:rPr>
          <w:sz w:val="20"/>
          <w:szCs w:val="20"/>
          <w:color w:val="auto"/>
        </w:rPr>
      </w:pPr>
      <w:r>
        <w:rPr>
          <w:rFonts w:ascii="Arial" w:cs="Arial" w:eastAsia="Arial" w:hAnsi="Arial"/>
          <w:sz w:val="17"/>
          <w:szCs w:val="17"/>
          <w:color w:val="auto"/>
        </w:rPr>
        <w:t>Neither Party may be considered to be in default of its obligations if performance of its obligations under this Lease is delayed, impeded or prevented by reason of force majeure. Force majeure is any event beyond the control of the Parties to this Lease, which could not have been reasonably foreseen and against which they could not have protected themselves. Force majeure includes, without limitation, any act of God, strike, partial or total work stoppage, lock-out, fire, riot, civil or military intervention or any mandatory compliance with regulations or ordinances issued by a government authority and any act of war (declared or undeclared).</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11.10  Severability</w:t>
      </w:r>
    </w:p>
    <w:p>
      <w:pPr>
        <w:spacing w:after="0" w:line="121" w:lineRule="exact"/>
        <w:rPr>
          <w:sz w:val="20"/>
          <w:szCs w:val="20"/>
          <w:color w:val="auto"/>
        </w:rPr>
      </w:pPr>
    </w:p>
    <w:p>
      <w:pPr>
        <w:ind w:left="20" w:right="60"/>
        <w:spacing w:after="0" w:line="263" w:lineRule="auto"/>
        <w:rPr>
          <w:sz w:val="20"/>
          <w:szCs w:val="20"/>
          <w:color w:val="auto"/>
        </w:rPr>
      </w:pPr>
      <w:r>
        <w:rPr>
          <w:rFonts w:ascii="Arial" w:cs="Arial" w:eastAsia="Arial" w:hAnsi="Arial"/>
          <w:sz w:val="18"/>
          <w:szCs w:val="18"/>
          <w:color w:val="auto"/>
        </w:rPr>
        <w:t>If any provision of this Lease is determined to be invalid or unenforceable in whole or in part, such invalidity or unenforceability shall attach only to such provision or part of such provision and the remaining part of such provision and all other provisions of this Lease shall continue in full force and effect.</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b w:val="1"/>
          <w:bCs w:val="1"/>
          <w:color w:val="auto"/>
        </w:rPr>
        <w:t>Enurement</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Lease will enure to Parties hereto, their legal representatives, successors and permitted assigns.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11.12  Prevalence</w:t>
      </w:r>
    </w:p>
    <w:p>
      <w:pPr>
        <w:spacing w:after="0" w:line="135" w:lineRule="exact"/>
        <w:rPr>
          <w:sz w:val="20"/>
          <w:szCs w:val="20"/>
          <w:color w:val="auto"/>
        </w:rPr>
      </w:pPr>
    </w:p>
    <w:p>
      <w:pPr>
        <w:ind w:left="1200" w:hanging="647"/>
        <w:spacing w:after="0" w:line="286" w:lineRule="auto"/>
        <w:rPr>
          <w:sz w:val="20"/>
          <w:szCs w:val="20"/>
          <w:color w:val="auto"/>
        </w:rPr>
      </w:pPr>
      <w:r>
        <w:rPr>
          <w:rFonts w:ascii="Arial" w:cs="Arial" w:eastAsia="Arial" w:hAnsi="Arial"/>
          <w:sz w:val="16"/>
          <w:szCs w:val="16"/>
          <w:color w:val="auto"/>
        </w:rPr>
        <w:t xml:space="preserve">11.12.1 The Parties agree that the provisions of the Lease shall, at all times and in all manner, prevail over any provision of the </w:t>
      </w:r>
      <w:r>
        <w:rPr>
          <w:rFonts w:ascii="Arial" w:cs="Arial" w:eastAsia="Arial" w:hAnsi="Arial"/>
          <w:sz w:val="16"/>
          <w:szCs w:val="16"/>
          <w:i w:val="1"/>
          <w:iCs w:val="1"/>
          <w:color w:val="auto"/>
        </w:rPr>
        <w:t>Civil Code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Québec </w:t>
      </w:r>
      <w:r>
        <w:rPr>
          <w:rFonts w:ascii="Arial" w:cs="Arial" w:eastAsia="Arial" w:hAnsi="Arial"/>
          <w:sz w:val="16"/>
          <w:szCs w:val="16"/>
          <w:color w:val="auto"/>
        </w:rPr>
        <w:t>or any law contrary to or incompatible with a provision hereof, more specifically but without limitation in respect of i)</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 limits granted to remedy a default, ii) any obligation of delivery or guarantee by the Lessor, iii) any obligation of any of the Parties in respect of the intended use of the Leased Premises or repairs, replacements or maintenance of the Leased Premises,</w:t>
      </w:r>
    </w:p>
    <w:p>
      <w:pPr>
        <w:spacing w:after="0" w:line="1" w:lineRule="exact"/>
        <w:rPr>
          <w:sz w:val="20"/>
          <w:szCs w:val="20"/>
          <w:color w:val="auto"/>
        </w:rPr>
      </w:pPr>
    </w:p>
    <w:p>
      <w:pPr>
        <w:ind w:left="1460" w:hanging="251"/>
        <w:spacing w:after="0"/>
        <w:tabs>
          <w:tab w:leader="none" w:pos="146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the time limit to respond to a request to assign the Lease of the Leased Premises or to sublease the Leased Premises, v) the</w:t>
      </w:r>
    </w:p>
    <w:p>
      <w:pPr>
        <w:spacing w:after="0" w:line="32" w:lineRule="exact"/>
        <w:rPr>
          <w:rFonts w:ascii="Arial" w:cs="Arial" w:eastAsia="Arial" w:hAnsi="Arial"/>
          <w:sz w:val="16"/>
          <w:szCs w:val="16"/>
          <w:color w:val="auto"/>
        </w:rPr>
      </w:pPr>
    </w:p>
    <w:p>
      <w:pPr>
        <w:ind w:left="1200" w:right="80"/>
        <w:spacing w:after="0" w:line="255" w:lineRule="auto"/>
        <w:rPr>
          <w:rFonts w:ascii="Arial" w:cs="Arial" w:eastAsia="Arial" w:hAnsi="Arial"/>
          <w:sz w:val="16"/>
          <w:szCs w:val="16"/>
          <w:color w:val="auto"/>
        </w:rPr>
      </w:pPr>
      <w:r>
        <w:rPr>
          <w:rFonts w:ascii="Arial" w:cs="Arial" w:eastAsia="Arial" w:hAnsi="Arial"/>
          <w:sz w:val="18"/>
          <w:szCs w:val="18"/>
          <w:color w:val="auto"/>
        </w:rPr>
        <w:t>release of the Lessee in case of a Lease assignment, vi) the tacit renewal of said Lease or vii) returning the Leased Premises in its original condition upon expiration of the Lease, the Parties expressly waiving the right to invoke any provision of any law to the contrary effect.</w:t>
      </w:r>
    </w:p>
    <w:p>
      <w:pPr>
        <w:spacing w:after="0" w:line="12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80"/>
          </w:cols>
          <w:pgMar w:left="860" w:top="273" w:right="459" w:bottom="1440" w:gutter="0" w:footer="0" w:header="0"/>
        </w:sectPr>
      </w:pPr>
    </w:p>
    <w:bookmarkStart w:id="543" w:name="page544"/>
    <w:bookmarkEnd w:id="543"/>
    <w:p>
      <w:pPr>
        <w:ind w:left="1200" w:right="40" w:hanging="647"/>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11.12.2 Notwithstanding Sections 1878 and 1879 of the </w:t>
      </w:r>
      <w:r>
        <w:rPr>
          <w:rFonts w:ascii="Arial" w:cs="Arial" w:eastAsia="Arial" w:hAnsi="Arial"/>
          <w:sz w:val="18"/>
          <w:szCs w:val="18"/>
          <w:i w:val="1"/>
          <w:iCs w:val="1"/>
          <w:color w:val="auto"/>
        </w:rPr>
        <w:t>Civil Code of Québec</w:t>
      </w:r>
      <w:r>
        <w:rPr>
          <w:rFonts w:ascii="Arial" w:cs="Arial" w:eastAsia="Arial" w:hAnsi="Arial"/>
          <w:sz w:val="18"/>
          <w:szCs w:val="18"/>
          <w:color w:val="auto"/>
        </w:rPr>
        <w:t xml:space="preserve"> or any law or custom to the contrary effect, the Lease shall not be subject to a tacit renewal, and the Lessee shall not be entitled to occupy the Leased Premises after the end of the Lease Term unless the Lessor and the Lessee agree in writing prior to its termination on the terms and conditions of a Lease renewal or extension.</w:t>
      </w:r>
    </w:p>
    <w:p>
      <w:pPr>
        <w:spacing w:after="0" w:line="92" w:lineRule="exact"/>
        <w:rPr>
          <w:sz w:val="20"/>
          <w:szCs w:val="20"/>
          <w:color w:val="auto"/>
        </w:rPr>
      </w:pPr>
    </w:p>
    <w:p>
      <w:pPr>
        <w:ind w:left="1200" w:hanging="647"/>
        <w:spacing w:after="0" w:line="255" w:lineRule="auto"/>
        <w:rPr>
          <w:sz w:val="20"/>
          <w:szCs w:val="20"/>
          <w:color w:val="auto"/>
        </w:rPr>
      </w:pPr>
      <w:r>
        <w:rPr>
          <w:rFonts w:ascii="Arial" w:cs="Arial" w:eastAsia="Arial" w:hAnsi="Arial"/>
          <w:sz w:val="18"/>
          <w:szCs w:val="18"/>
          <w:color w:val="auto"/>
        </w:rPr>
        <w:t>11.12.3 If the Lessee retains possession of the Leased Premises following the termination of the Lease Term without any written agreement to this effect, as stipulated above, the Lessee shall be deemed to occupy the Leased Premises against the will of the Lessor and only on a monthly basis at a rate equal to two hundred percent (200%) of the Rent payable for the last month of the Lease Term, which amount shall be payable in advance, subject to the right of the Lessor to enter the Leased Premises, take possession and evict the Lessee without notice or indemnity payable to the Lessee and subject to the other recourses of the Lessor pursuant hereto or under Applicable Law.</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11.13  Further Assurance</w:t>
      </w:r>
    </w:p>
    <w:p>
      <w:pPr>
        <w:spacing w:after="0" w:line="135" w:lineRule="exact"/>
        <w:rPr>
          <w:sz w:val="20"/>
          <w:szCs w:val="20"/>
          <w:color w:val="auto"/>
        </w:rPr>
      </w:pPr>
    </w:p>
    <w:p>
      <w:pPr>
        <w:ind w:left="1200" w:right="600" w:hanging="647"/>
        <w:spacing w:after="0" w:line="277" w:lineRule="auto"/>
        <w:rPr>
          <w:sz w:val="20"/>
          <w:szCs w:val="20"/>
          <w:color w:val="auto"/>
        </w:rPr>
      </w:pPr>
      <w:r>
        <w:rPr>
          <w:rFonts w:ascii="Arial" w:cs="Arial" w:eastAsia="Arial" w:hAnsi="Arial"/>
          <w:sz w:val="18"/>
          <w:szCs w:val="18"/>
          <w:color w:val="auto"/>
        </w:rPr>
        <w:t>11.13.1 At the request of the Lessor or any third party the Lessee must promptly execute all the documents or certificates deemed necessary or useful by the Lessor to give effect to any and all dispositions of this Lease.</w:t>
      </w:r>
    </w:p>
    <w:p>
      <w:pPr>
        <w:spacing w:after="0" w:line="76" w:lineRule="exact"/>
        <w:rPr>
          <w:sz w:val="20"/>
          <w:szCs w:val="20"/>
          <w:color w:val="auto"/>
        </w:rPr>
      </w:pPr>
    </w:p>
    <w:p>
      <w:pPr>
        <w:ind w:left="1200" w:right="40" w:hanging="647"/>
        <w:spacing w:after="0" w:line="263" w:lineRule="auto"/>
        <w:rPr>
          <w:sz w:val="20"/>
          <w:szCs w:val="20"/>
          <w:color w:val="auto"/>
        </w:rPr>
      </w:pPr>
      <w:r>
        <w:rPr>
          <w:rFonts w:ascii="Arial" w:cs="Arial" w:eastAsia="Arial" w:hAnsi="Arial"/>
          <w:sz w:val="18"/>
          <w:szCs w:val="18"/>
          <w:color w:val="auto"/>
        </w:rPr>
        <w:t>11.13.2 If the Lessee fails to execute the above documents or certificates within a reasonable delay, the Lessee irrevocably designates the Lessor as its representative with full powers and authority to execute and deliver in the Lessee’s name any such documents or certificates.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11.14  Change of Control, Assignment and Sublease</w:t>
      </w:r>
    </w:p>
    <w:p>
      <w:pPr>
        <w:spacing w:after="0" w:line="135" w:lineRule="exact"/>
        <w:rPr>
          <w:sz w:val="20"/>
          <w:szCs w:val="20"/>
          <w:color w:val="auto"/>
        </w:rPr>
      </w:pPr>
    </w:p>
    <w:p>
      <w:pPr>
        <w:ind w:left="1200" w:right="40" w:hanging="647"/>
        <w:spacing w:after="0" w:line="259" w:lineRule="auto"/>
        <w:rPr>
          <w:sz w:val="20"/>
          <w:szCs w:val="20"/>
          <w:color w:val="auto"/>
        </w:rPr>
      </w:pPr>
      <w:r>
        <w:rPr>
          <w:rFonts w:ascii="Arial" w:cs="Arial" w:eastAsia="Arial" w:hAnsi="Arial"/>
          <w:sz w:val="18"/>
          <w:szCs w:val="18"/>
          <w:color w:val="auto"/>
        </w:rPr>
        <w:t xml:space="preserve">11.14.1 The Lessee may not assign this Lease, in whole or in part, or sublease, in whole or in part, the Leased Premises, without the prior written consent of the Lessor, not to be unreasonably withheld, unless the assignment or sublease is made in favor of a wholly-owned subsidiary of the Lessee. For the purpose of the Lease, a change of control of the Lessee will be deemed an assignment to which this Section applies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92"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11.14.2 If the Lessee wishes to assign or sublease the Leased Premises, or transfer this Lease in any other manner, in whole or in part, or</w:t>
      </w:r>
    </w:p>
    <w:p>
      <w:pPr>
        <w:spacing w:after="0" w:line="46" w:lineRule="exact"/>
        <w:rPr>
          <w:sz w:val="20"/>
          <w:szCs w:val="20"/>
          <w:color w:val="auto"/>
        </w:rPr>
      </w:pPr>
    </w:p>
    <w:p>
      <w:pPr>
        <w:ind w:left="1200" w:right="120"/>
        <w:spacing w:after="0" w:line="273" w:lineRule="auto"/>
        <w:rPr>
          <w:sz w:val="20"/>
          <w:szCs w:val="20"/>
          <w:color w:val="auto"/>
        </w:rPr>
      </w:pPr>
      <w:r>
        <w:rPr>
          <w:rFonts w:ascii="Arial" w:cs="Arial" w:eastAsia="Arial" w:hAnsi="Arial"/>
          <w:sz w:val="17"/>
          <w:szCs w:val="17"/>
          <w:color w:val="auto"/>
        </w:rPr>
        <w:t>any interest therein, the Lessee must in each and every case provide the Lessor with prior written notice of its intention, designating the proposed assignee, sub-lessee or occupant; the Lessor must, within thirty (30) days of the notice, advise the Lessee in writing that it a) consents, or b) refuses to consent to the aforementioned assignment or sublease. The Lessor’s silence may, at no time, be interpreted as constituting consent to the transfer requested by the Lessee.</w:t>
      </w:r>
    </w:p>
    <w:p>
      <w:pPr>
        <w:spacing w:after="0" w:line="82" w:lineRule="exact"/>
        <w:rPr>
          <w:sz w:val="20"/>
          <w:szCs w:val="20"/>
          <w:color w:val="auto"/>
        </w:rPr>
      </w:pPr>
    </w:p>
    <w:p>
      <w:pPr>
        <w:ind w:left="1200" w:right="200" w:hanging="647"/>
        <w:spacing w:after="0" w:line="277" w:lineRule="auto"/>
        <w:rPr>
          <w:sz w:val="20"/>
          <w:szCs w:val="20"/>
          <w:color w:val="auto"/>
        </w:rPr>
      </w:pPr>
      <w:r>
        <w:rPr>
          <w:rFonts w:ascii="Arial" w:cs="Arial" w:eastAsia="Arial" w:hAnsi="Arial"/>
          <w:sz w:val="18"/>
          <w:szCs w:val="18"/>
          <w:color w:val="auto"/>
        </w:rPr>
        <w:t>11.14.3 Without limiting the generality of the foregoing, in determining whether or not to grant its consent, it shall not be unreasonable for the Lessor to withhold its consent if:</w:t>
      </w:r>
    </w:p>
    <w:p>
      <w:pPr>
        <w:spacing w:after="0" w:line="76" w:lineRule="exact"/>
        <w:rPr>
          <w:sz w:val="20"/>
          <w:szCs w:val="20"/>
          <w:color w:val="auto"/>
        </w:rPr>
      </w:pPr>
    </w:p>
    <w:p>
      <w:pPr>
        <w:ind w:left="5000" w:right="3260" w:hanging="4439"/>
        <w:spacing w:after="0" w:line="449" w:lineRule="auto"/>
        <w:tabs>
          <w:tab w:leader="none" w:pos="1215"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Lessee is in default under this Lease beyond any applicable grace or cure period; 29</w:t>
      </w:r>
    </w:p>
    <w:p>
      <w:pPr>
        <w:sectPr>
          <w:pgSz w:w="11900" w:h="16838" w:orient="portrait"/>
          <w:cols w:equalWidth="0" w:num="1">
            <w:col w:w="10540"/>
          </w:cols>
          <w:pgMar w:left="860" w:top="273" w:right="499" w:bottom="1440" w:gutter="0" w:footer="0" w:header="0"/>
        </w:sectPr>
      </w:pPr>
    </w:p>
    <w:bookmarkStart w:id="544" w:name="page545"/>
    <w:bookmarkEnd w:id="544"/>
    <w:p>
      <w:pPr>
        <w:ind w:left="1200" w:right="100" w:hanging="639"/>
        <w:spacing w:after="0" w:line="296" w:lineRule="auto"/>
        <w:tabs>
          <w:tab w:leader="none" w:pos="1200" w:val="left"/>
        </w:tabs>
        <w:numPr>
          <w:ilvl w:val="0"/>
          <w:numId w:val="3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Lessor’s opinion, arrived at in good faith, the transferee or any principal or principal shareholder of the transferee: (i) does not have a history of successful business operations in the business to be conducted in the Leased Premises; (ii) does not have a good credit rating; (iii) has a history of defaults under commercial leases; (iv) does not carry business in life science; or (v) the Lessor does not receive such financial, business or other information relating to the proposed transferee and its principals as the Lessor reasonably requires to enable it to make a determination concerning the matters set out in this Section.</w:t>
      </w:r>
    </w:p>
    <w:p>
      <w:pPr>
        <w:spacing w:after="0" w:line="67" w:lineRule="exact"/>
        <w:rPr>
          <w:sz w:val="20"/>
          <w:szCs w:val="20"/>
          <w:color w:val="auto"/>
        </w:rPr>
      </w:pPr>
    </w:p>
    <w:p>
      <w:pPr>
        <w:jc w:val="center"/>
        <w:ind w:left="920"/>
        <w:spacing w:after="0"/>
        <w:rPr>
          <w:sz w:val="20"/>
          <w:szCs w:val="20"/>
          <w:color w:val="auto"/>
        </w:rPr>
      </w:pPr>
      <w:r>
        <w:rPr>
          <w:rFonts w:ascii="Arial" w:cs="Arial" w:eastAsia="Arial" w:hAnsi="Arial"/>
          <w:sz w:val="16"/>
          <w:szCs w:val="16"/>
          <w:color w:val="auto"/>
        </w:rPr>
        <w:t>11.14.4 Notwithstanding any assignment or sublease, the Lessee remains solidary liable for this Lease and is not relieved of its obligation</w:t>
      </w:r>
    </w:p>
    <w:p>
      <w:pPr>
        <w:spacing w:after="0" w:line="46" w:lineRule="exact"/>
        <w:rPr>
          <w:sz w:val="20"/>
          <w:szCs w:val="20"/>
          <w:color w:val="auto"/>
        </w:rPr>
      </w:pPr>
    </w:p>
    <w:p>
      <w:pPr>
        <w:ind w:left="1200" w:right="660"/>
        <w:spacing w:after="0" w:line="260" w:lineRule="auto"/>
        <w:rPr>
          <w:sz w:val="20"/>
          <w:szCs w:val="20"/>
          <w:color w:val="auto"/>
        </w:rPr>
      </w:pPr>
      <w:r>
        <w:rPr>
          <w:rFonts w:ascii="Arial" w:cs="Arial" w:eastAsia="Arial" w:hAnsi="Arial"/>
          <w:sz w:val="18"/>
          <w:szCs w:val="18"/>
          <w:color w:val="auto"/>
        </w:rPr>
        <w:t>to execute the terms, conditions and clauses of this Lease, including, without limiting the generality of the foregoing, the obligation to make all rent payments due under this Lease.</w:t>
      </w:r>
    </w:p>
    <w:p>
      <w:pPr>
        <w:spacing w:after="0" w:line="91" w:lineRule="exact"/>
        <w:rPr>
          <w:sz w:val="20"/>
          <w:szCs w:val="20"/>
          <w:color w:val="auto"/>
        </w:rPr>
      </w:pPr>
    </w:p>
    <w:p>
      <w:pPr>
        <w:ind w:left="1200" w:right="200" w:hanging="647"/>
        <w:spacing w:after="0" w:line="279" w:lineRule="auto"/>
        <w:rPr>
          <w:sz w:val="20"/>
          <w:szCs w:val="20"/>
          <w:color w:val="auto"/>
        </w:rPr>
      </w:pPr>
      <w:r>
        <w:rPr>
          <w:rFonts w:ascii="Arial" w:cs="Arial" w:eastAsia="Arial" w:hAnsi="Arial"/>
          <w:sz w:val="17"/>
          <w:szCs w:val="17"/>
          <w:color w:val="auto"/>
        </w:rPr>
        <w:t>11.14.5 Any assignment of this Lease agreed to by the Lessor must be prepared by the Lessor or its attorneys, and all reasonable legal fees relating to this assignment must be assumed by the Lessee. Any consent granted by the Lessor is subject to the Lessee’s obligation to ensure that any assignee or sub-lessee agrees to be bound by all the terms, conditions and clauses in this Lease, as though the assignee or sub-lessee had originally signed this Lease as Lessee.</w:t>
      </w:r>
    </w:p>
    <w:p>
      <w:pPr>
        <w:spacing w:after="0" w:line="77" w:lineRule="exact"/>
        <w:rPr>
          <w:sz w:val="20"/>
          <w:szCs w:val="20"/>
          <w:color w:val="auto"/>
        </w:rPr>
      </w:pPr>
    </w:p>
    <w:p>
      <w:pPr>
        <w:ind w:left="1200" w:hanging="647"/>
        <w:spacing w:after="0" w:line="301" w:lineRule="auto"/>
        <w:rPr>
          <w:sz w:val="20"/>
          <w:szCs w:val="20"/>
          <w:color w:val="auto"/>
        </w:rPr>
      </w:pPr>
      <w:r>
        <w:rPr>
          <w:rFonts w:ascii="Arial" w:cs="Arial" w:eastAsia="Arial" w:hAnsi="Arial"/>
          <w:sz w:val="16"/>
          <w:szCs w:val="16"/>
          <w:color w:val="auto"/>
        </w:rPr>
        <w:t>11.14.6 Notwithstanding the foregoing provisions, a change of control resulting from the transfer, assignment or sale of the voting shares of the Lessee by and between present and future shareholders of the Lessee that are venture capital funds shall not be deemed an assignment to which this Section applies. For the purposes hereof a “venture capital fund” shall mean a widely held fund which is not directly or indirectly controlled by a public pharmaceutical company nor by any one entity in particular.</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11.15  Registration</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The Lessee may register a notice of this lease pursuant to article 2999.1 of the </w:t>
      </w:r>
      <w:r>
        <w:rPr>
          <w:rFonts w:ascii="Arial" w:cs="Arial" w:eastAsia="Arial" w:hAnsi="Arial"/>
          <w:sz w:val="17"/>
          <w:szCs w:val="17"/>
          <w:i w:val="1"/>
          <w:iCs w:val="1"/>
          <w:color w:val="auto"/>
        </w:rPr>
        <w:t>Civil Code of Quebec</w:t>
      </w:r>
      <w:r>
        <w:rPr>
          <w:rFonts w:ascii="Arial" w:cs="Arial" w:eastAsia="Arial" w:hAnsi="Arial"/>
          <w:sz w:val="17"/>
          <w:szCs w:val="17"/>
          <w:color w:val="auto"/>
        </w:rPr>
        <w:t xml:space="preserve"> without the consent of the Lessor.</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11.16  Transfer by Lessor</w:t>
      </w:r>
    </w:p>
    <w:p>
      <w:pPr>
        <w:spacing w:after="0" w:line="121" w:lineRule="exact"/>
        <w:rPr>
          <w:sz w:val="20"/>
          <w:szCs w:val="20"/>
          <w:color w:val="auto"/>
        </w:rPr>
      </w:pPr>
    </w:p>
    <w:p>
      <w:pPr>
        <w:ind w:left="20" w:right="20"/>
        <w:spacing w:after="0" w:line="263" w:lineRule="auto"/>
        <w:rPr>
          <w:sz w:val="20"/>
          <w:szCs w:val="20"/>
          <w:color w:val="auto"/>
        </w:rPr>
      </w:pPr>
      <w:r>
        <w:rPr>
          <w:rFonts w:ascii="Arial" w:cs="Arial" w:eastAsia="Arial" w:hAnsi="Arial"/>
          <w:sz w:val="18"/>
          <w:szCs w:val="18"/>
          <w:color w:val="auto"/>
        </w:rPr>
        <w:t>The Lessor may, at any time and without the consent of the Lessee, sell, assign, transfer, lease, hypothecate, charge, encumber or otherwise deal with the whole or any part of its interest in the Leased Premises (subject always to this Lease and the rights of the Lessee hereunder) and all of its, right, title and interest in this Lease and the Rent payable hereunder.</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11.17  Status Statement</w:t>
      </w:r>
    </w:p>
    <w:p>
      <w:pPr>
        <w:spacing w:after="0" w:line="121" w:lineRule="exact"/>
        <w:rPr>
          <w:sz w:val="20"/>
          <w:szCs w:val="20"/>
          <w:color w:val="auto"/>
        </w:rPr>
      </w:pPr>
    </w:p>
    <w:p>
      <w:pPr>
        <w:jc w:val="both"/>
        <w:ind w:left="20" w:right="440"/>
        <w:spacing w:after="0" w:line="311" w:lineRule="auto"/>
        <w:rPr>
          <w:sz w:val="20"/>
          <w:szCs w:val="20"/>
          <w:color w:val="auto"/>
        </w:rPr>
      </w:pPr>
      <w:r>
        <w:rPr>
          <w:rFonts w:ascii="Arial" w:cs="Arial" w:eastAsia="Arial" w:hAnsi="Arial"/>
          <w:sz w:val="16"/>
          <w:szCs w:val="16"/>
          <w:color w:val="auto"/>
        </w:rPr>
        <w:t>The Lessee shall, within five (5) business days after receipt of written request from the Lessor, execute an acknowledgement or certificate in favour of any actual or prospective purchaser, creditor or encumbrancer, acknowledging or certifying as to the status of this Lease, as to any modifications thereof, as to any breaches of covenant known to the Lessee and as to the state of the Rent account, and such other matters</w:t>
      </w:r>
    </w:p>
    <w:p>
      <w:pPr>
        <w:spacing w:after="0" w:line="8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60"/>
          </w:cols>
          <w:pgMar w:left="860" w:top="273" w:right="479" w:bottom="1440" w:gutter="0" w:footer="0" w:header="0"/>
        </w:sectPr>
      </w:pPr>
    </w:p>
    <w:bookmarkStart w:id="545" w:name="page546"/>
    <w:bookmarkEnd w:id="545"/>
    <w:p>
      <w:pPr>
        <w:ind w:left="20"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may be reasonably requested by the Lessor, with the intent that any such acknowledgement or certificate may be relied upon by the person to whom it is addressed.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11.18  Declarations</w:t>
      </w:r>
    </w:p>
    <w:p>
      <w:pPr>
        <w:spacing w:after="0" w:line="135" w:lineRule="exact"/>
        <w:rPr>
          <w:sz w:val="20"/>
          <w:szCs w:val="20"/>
          <w:color w:val="auto"/>
        </w:rPr>
      </w:pPr>
    </w:p>
    <w:p>
      <w:pPr>
        <w:ind w:left="1200" w:right="280" w:hanging="647"/>
        <w:spacing w:after="0" w:line="277" w:lineRule="auto"/>
        <w:rPr>
          <w:sz w:val="20"/>
          <w:szCs w:val="20"/>
          <w:color w:val="auto"/>
        </w:rPr>
      </w:pPr>
      <w:r>
        <w:rPr>
          <w:rFonts w:ascii="Arial" w:cs="Arial" w:eastAsia="Arial" w:hAnsi="Arial"/>
          <w:sz w:val="18"/>
          <w:szCs w:val="18"/>
          <w:color w:val="auto"/>
        </w:rPr>
        <w:t>11.18.1 The Parties hereby expressly declare and acknowledge that the provisions of this Lease have not been unilaterally imposed by either of them but have instead been freely negotiated.</w:t>
      </w:r>
    </w:p>
    <w:p>
      <w:pPr>
        <w:spacing w:after="0" w:line="76" w:lineRule="exact"/>
        <w:rPr>
          <w:sz w:val="20"/>
          <w:szCs w:val="20"/>
          <w:color w:val="auto"/>
        </w:rPr>
      </w:pPr>
    </w:p>
    <w:p>
      <w:pPr>
        <w:jc w:val="both"/>
        <w:ind w:left="1200" w:hanging="647"/>
        <w:spacing w:after="0" w:line="263" w:lineRule="auto"/>
        <w:rPr>
          <w:sz w:val="20"/>
          <w:szCs w:val="20"/>
          <w:color w:val="auto"/>
        </w:rPr>
      </w:pPr>
      <w:r>
        <w:rPr>
          <w:rFonts w:ascii="Arial" w:cs="Arial" w:eastAsia="Arial" w:hAnsi="Arial"/>
          <w:sz w:val="18"/>
          <w:szCs w:val="18"/>
          <w:color w:val="auto"/>
        </w:rPr>
        <w:t>11.18.2 Furthermore, each Party has obtained an adequate explanation as to the nature and scope of each clause of this Lease and has had reasonable opportunity to have these clauses reviewed by its legal advisor and declares it is satisfied with the legibility and clarity of said clauses.</w:t>
      </w:r>
    </w:p>
    <w:p>
      <w:pPr>
        <w:spacing w:after="0" w:line="89" w:lineRule="exact"/>
        <w:rPr>
          <w:sz w:val="20"/>
          <w:szCs w:val="20"/>
          <w:color w:val="auto"/>
        </w:rPr>
      </w:pPr>
    </w:p>
    <w:p>
      <w:pPr>
        <w:ind w:left="1200" w:right="440" w:hanging="647"/>
        <w:spacing w:after="0" w:line="277" w:lineRule="auto"/>
        <w:rPr>
          <w:sz w:val="20"/>
          <w:szCs w:val="20"/>
          <w:color w:val="auto"/>
        </w:rPr>
      </w:pPr>
      <w:r>
        <w:rPr>
          <w:rFonts w:ascii="Arial" w:cs="Arial" w:eastAsia="Arial" w:hAnsi="Arial"/>
          <w:sz w:val="18"/>
          <w:szCs w:val="18"/>
          <w:color w:val="auto"/>
        </w:rPr>
        <w:t>11.18.3 Lastly, each Party hereby declares and acknowledges that each clause in this Lease, including those that impose penalties or restrictions, is reasonable and necessary for the protection of their respective interests.</w:t>
      </w:r>
    </w:p>
    <w:p>
      <w:pPr>
        <w:spacing w:after="0" w:line="76" w:lineRule="exact"/>
        <w:rPr>
          <w:sz w:val="20"/>
          <w:szCs w:val="20"/>
          <w:color w:val="auto"/>
        </w:rPr>
      </w:pPr>
    </w:p>
    <w:p>
      <w:pPr>
        <w:ind w:left="1200" w:hanging="647"/>
        <w:spacing w:after="0" w:line="277" w:lineRule="auto"/>
        <w:rPr>
          <w:sz w:val="20"/>
          <w:szCs w:val="20"/>
          <w:color w:val="auto"/>
        </w:rPr>
      </w:pPr>
      <w:r>
        <w:rPr>
          <w:rFonts w:ascii="Arial" w:cs="Arial" w:eastAsia="Arial" w:hAnsi="Arial"/>
          <w:sz w:val="18"/>
          <w:szCs w:val="18"/>
          <w:color w:val="auto"/>
        </w:rPr>
        <w:t>11.18.4 In consideration of the foregoing, each Party hereby expressly waives the right to invoke the nullity of any clause of this Lease on the grounds that it is incomprehensible, illegible or abusive.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11.19  Language</w:t>
      </w:r>
    </w:p>
    <w:p>
      <w:pPr>
        <w:spacing w:after="0" w:line="121" w:lineRule="exact"/>
        <w:rPr>
          <w:sz w:val="20"/>
          <w:szCs w:val="20"/>
          <w:color w:val="auto"/>
        </w:rPr>
      </w:pPr>
    </w:p>
    <w:p>
      <w:pPr>
        <w:ind w:left="20" w:right="60"/>
        <w:spacing w:after="0" w:line="277" w:lineRule="auto"/>
        <w:rPr>
          <w:sz w:val="20"/>
          <w:szCs w:val="20"/>
          <w:color w:val="auto"/>
        </w:rPr>
      </w:pPr>
      <w:r>
        <w:rPr>
          <w:rFonts w:ascii="Arial" w:cs="Arial" w:eastAsia="Arial" w:hAnsi="Arial"/>
          <w:sz w:val="18"/>
          <w:szCs w:val="18"/>
          <w:color w:val="auto"/>
        </w:rPr>
        <w:t xml:space="preserve">The Parties hereto confirm that it is their wish that this Agreement be drawn up in English only. </w:t>
      </w:r>
      <w:r>
        <w:rPr>
          <w:rFonts w:ascii="Arial" w:cs="Arial" w:eastAsia="Arial" w:hAnsi="Arial"/>
          <w:sz w:val="18"/>
          <w:szCs w:val="18"/>
          <w:i w:val="1"/>
          <w:iCs w:val="1"/>
          <w:color w:val="auto"/>
        </w:rPr>
        <w:t>Les parties aux présentes confirment leur volonté</w:t>
      </w:r>
      <w:r>
        <w:rPr>
          <w:rFonts w:ascii="Arial" w:cs="Arial" w:eastAsia="Arial" w:hAnsi="Arial"/>
          <w:sz w:val="18"/>
          <w:szCs w:val="18"/>
          <w:color w:val="auto"/>
        </w:rPr>
        <w:t xml:space="preserve"> </w:t>
      </w:r>
      <w:r>
        <w:rPr>
          <w:rFonts w:ascii="Arial" w:cs="Arial" w:eastAsia="Arial" w:hAnsi="Arial"/>
          <w:sz w:val="18"/>
          <w:szCs w:val="18"/>
          <w:i w:val="1"/>
          <w:iCs w:val="1"/>
          <w:color w:val="auto"/>
        </w:rPr>
        <w:t>que cette convention soit rédigée en anglais seulement.</w:t>
      </w:r>
    </w:p>
    <w:p>
      <w:pPr>
        <w:spacing w:after="0" w:line="17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was intentionally left blank.</w:t>
      </w:r>
    </w:p>
    <w:p>
      <w:pPr>
        <w:spacing w:after="0" w:line="23" w:lineRule="exact"/>
        <w:rPr>
          <w:sz w:val="20"/>
          <w:szCs w:val="20"/>
          <w:color w:val="auto"/>
        </w:rPr>
      </w:pPr>
    </w:p>
    <w:p>
      <w:pPr>
        <w:jc w:val="center"/>
        <w:ind w:right="400"/>
        <w:spacing w:after="0"/>
        <w:rPr>
          <w:sz w:val="20"/>
          <w:szCs w:val="20"/>
          <w:color w:val="auto"/>
        </w:rPr>
      </w:pPr>
      <w:r>
        <w:rPr>
          <w:rFonts w:ascii="Arial" w:cs="Arial" w:eastAsia="Arial" w:hAnsi="Arial"/>
          <w:sz w:val="18"/>
          <w:szCs w:val="18"/>
          <w:i w:val="1"/>
          <w:iCs w:val="1"/>
          <w:color w:val="auto"/>
        </w:rPr>
        <w:t>Signatures are on the following page</w:t>
      </w:r>
      <w:r>
        <w:rPr>
          <w:rFonts w:ascii="Arial" w:cs="Arial" w:eastAsia="Arial" w:hAnsi="Arial"/>
          <w:sz w:val="18"/>
          <w:szCs w:val="18"/>
          <w:color w:val="auto"/>
        </w:rPr>
        <w:t>]</w:t>
      </w:r>
    </w:p>
    <w:p>
      <w:pPr>
        <w:spacing w:after="0" w:line="14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60"/>
          </w:cols>
          <w:pgMar w:left="860" w:top="273" w:right="479" w:bottom="1440" w:gutter="0" w:footer="0" w:header="0"/>
        </w:sectPr>
      </w:pPr>
    </w:p>
    <w:bookmarkStart w:id="546" w:name="page547"/>
    <w:bookmarkEnd w:id="54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each of the Parties has caused this Agreement to be executed on the date indicated hereinabove.</w:t>
      </w:r>
    </w:p>
    <w:p>
      <w:pPr>
        <w:spacing w:after="0" w:line="275"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(Lessor)</w:t>
      </w:r>
      <w:r>
        <w:rPr>
          <w:sz w:val="20"/>
          <w:szCs w:val="20"/>
          <w:color w:val="auto"/>
        </w:rPr>
        <w:tab/>
      </w:r>
      <w:r>
        <w:rPr>
          <w:rFonts w:ascii="Arial" w:cs="Arial" w:eastAsia="Arial" w:hAnsi="Arial"/>
          <w:sz w:val="18"/>
          <w:szCs w:val="18"/>
          <w:b w:val="1"/>
          <w:bCs w:val="1"/>
          <w:color w:val="auto"/>
        </w:rPr>
        <w:t>NEOMED INSTITUTE</w:t>
      </w:r>
    </w:p>
    <w:p>
      <w:pPr>
        <w:spacing w:after="0" w:line="25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 Pierre-Yves Desbiens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14605</wp:posOffset>
            </wp:positionV>
            <wp:extent cx="225425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Pierre-Yves Desbiens, COO</w:t>
      </w:r>
    </w:p>
    <w:p>
      <w:pPr>
        <w:spacing w:after="0" w:line="200" w:lineRule="exact"/>
        <w:rPr>
          <w:sz w:val="20"/>
          <w:szCs w:val="20"/>
          <w:color w:val="auto"/>
        </w:rPr>
      </w:pPr>
    </w:p>
    <w:p>
      <w:pPr>
        <w:spacing w:after="0" w:line="318"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(Lessee)</w:t>
      </w:r>
      <w:r>
        <w:rPr>
          <w:sz w:val="20"/>
          <w:szCs w:val="20"/>
          <w:color w:val="auto"/>
        </w:rPr>
        <w:tab/>
      </w:r>
      <w:r>
        <w:rPr>
          <w:rFonts w:ascii="Arial" w:cs="Arial" w:eastAsia="Arial" w:hAnsi="Arial"/>
          <w:sz w:val="18"/>
          <w:szCs w:val="18"/>
          <w:b w:val="1"/>
          <w:bCs w:val="1"/>
          <w:color w:val="auto"/>
        </w:rPr>
        <w:t>REPARE THERAPEUTICS INC</w:t>
      </w:r>
      <w:r>
        <w:rPr>
          <w:rFonts w:ascii="Arial" w:cs="Arial" w:eastAsia="Arial" w:hAnsi="Arial"/>
          <w:sz w:val="18"/>
          <w:szCs w:val="18"/>
          <w:color w:val="auto"/>
        </w:rPr>
        <w:t>.</w:t>
      </w:r>
    </w:p>
    <w:p>
      <w:pPr>
        <w:spacing w:after="0" w:line="25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 Lloyd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14605</wp:posOffset>
            </wp:positionV>
            <wp:extent cx="225425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Lloyd Segal, Chief Executive Officer</w:t>
      </w:r>
    </w:p>
    <w:p>
      <w:pPr>
        <w:sectPr>
          <w:pgSz w:w="11900" w:h="16838" w:orient="portrait"/>
          <w:cols w:equalWidth="0" w:num="1">
            <w:col w:w="10019"/>
          </w:cols>
          <w:pgMar w:left="440" w:top="269" w:right="1440" w:bottom="1440" w:gutter="0" w:footer="0" w:header="0"/>
        </w:sectPr>
      </w:pPr>
    </w:p>
    <w:bookmarkStart w:id="547" w:name="page548"/>
    <w:bookmarkEnd w:id="547"/>
    <w:p>
      <w:pPr>
        <w:jc w:val="center"/>
        <w:ind w:right="-1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25" w:lineRule="exact"/>
        <w:rPr>
          <w:sz w:val="20"/>
          <w:szCs w:val="20"/>
          <w:color w:val="auto"/>
        </w:rPr>
      </w:pPr>
    </w:p>
    <w:p>
      <w:pPr>
        <w:jc w:val="center"/>
        <w:ind w:right="-143"/>
        <w:spacing w:after="0"/>
        <w:rPr>
          <w:sz w:val="20"/>
          <w:szCs w:val="20"/>
          <w:color w:val="auto"/>
        </w:rPr>
      </w:pPr>
      <w:r>
        <w:rPr>
          <w:rFonts w:ascii="Arial" w:cs="Arial" w:eastAsia="Arial" w:hAnsi="Arial"/>
          <w:sz w:val="18"/>
          <w:szCs w:val="18"/>
          <w:b w:val="1"/>
          <w:bCs w:val="1"/>
          <w:color w:val="auto"/>
        </w:rPr>
        <w:t>GENERAL LEASE INFORMATION</w:t>
      </w:r>
    </w:p>
    <w:p>
      <w:pPr>
        <w:spacing w:after="0" w:line="252" w:lineRule="exact"/>
        <w:rPr>
          <w:sz w:val="20"/>
          <w:szCs w:val="20"/>
          <w:color w:val="auto"/>
        </w:rPr>
      </w:pPr>
    </w:p>
    <w:p>
      <w:pPr>
        <w:ind w:left="424" w:hanging="424"/>
        <w:spacing w:after="0"/>
        <w:tabs>
          <w:tab w:leader="none" w:pos="424"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LEASED PREMISES</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Entire third (3</w:t>
      </w:r>
      <w:r>
        <w:rPr>
          <w:rFonts w:ascii="Arial" w:cs="Arial" w:eastAsia="Arial" w:hAnsi="Arial"/>
          <w:sz w:val="15"/>
          <w:szCs w:val="15"/>
          <w:color w:val="auto"/>
        </w:rPr>
        <w:t>rd</w:t>
      </w:r>
      <w:r>
        <w:rPr>
          <w:rFonts w:ascii="Arial" w:cs="Arial" w:eastAsia="Arial" w:hAnsi="Arial"/>
          <w:sz w:val="18"/>
          <w:szCs w:val="18"/>
          <w:color w:val="auto"/>
        </w:rPr>
        <w:t xml:space="preserve">) floor of the Building, measuring 17,123.46 rentable square feet, as outlined in </w:t>
      </w:r>
      <w:r>
        <w:rPr>
          <w:rFonts w:ascii="Arial" w:cs="Arial" w:eastAsia="Arial" w:hAnsi="Arial"/>
          <w:sz w:val="18"/>
          <w:szCs w:val="18"/>
          <w:b w:val="1"/>
          <w:bCs w:val="1"/>
          <w:color w:val="auto"/>
        </w:rPr>
        <w:t>Appendix 2.1</w:t>
      </w:r>
      <w:r>
        <w:rPr>
          <w:rFonts w:ascii="Arial" w:cs="Arial" w:eastAsia="Arial" w:hAnsi="Arial"/>
          <w:sz w:val="18"/>
          <w:szCs w:val="18"/>
          <w:color w:val="auto"/>
        </w:rPr>
        <w:t>.</w:t>
      </w:r>
    </w:p>
    <w:p>
      <w:pPr>
        <w:spacing w:after="0" w:line="374" w:lineRule="exact"/>
        <w:rPr>
          <w:sz w:val="20"/>
          <w:szCs w:val="20"/>
          <w:color w:val="auto"/>
        </w:rPr>
      </w:pPr>
    </w:p>
    <w:p>
      <w:pPr>
        <w:ind w:left="424" w:hanging="424"/>
        <w:spacing w:after="0"/>
        <w:tabs>
          <w:tab w:leader="none" w:pos="424"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121" w:lineRule="exact"/>
        <w:rPr>
          <w:rFonts w:ascii="Arial" w:cs="Arial" w:eastAsia="Arial" w:hAnsi="Arial"/>
          <w:sz w:val="18"/>
          <w:szCs w:val="18"/>
          <w:b w:val="1"/>
          <w:bCs w:val="1"/>
          <w:color w:val="auto"/>
        </w:rPr>
      </w:pPr>
    </w:p>
    <w:p>
      <w:pPr>
        <w:ind w:left="44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initial term of this Lease is for a period of sixty (60) months. As such, this Lease commences on the Commencement Date and terminates on June 30</w:t>
      </w:r>
      <w:r>
        <w:rPr>
          <w:rFonts w:ascii="Arial" w:cs="Arial" w:eastAsia="Arial" w:hAnsi="Arial"/>
          <w:sz w:val="15"/>
          <w:szCs w:val="15"/>
          <w:color w:val="auto"/>
        </w:rPr>
        <w:t>th</w:t>
      </w:r>
      <w:r>
        <w:rPr>
          <w:rFonts w:ascii="Arial" w:cs="Arial" w:eastAsia="Arial" w:hAnsi="Arial"/>
          <w:sz w:val="18"/>
          <w:szCs w:val="18"/>
          <w:color w:val="auto"/>
        </w:rPr>
        <w:t>, 2025 subject to early termination or renewal in accordance with the provisions of this Lease.</w:t>
      </w:r>
    </w:p>
    <w:p>
      <w:pPr>
        <w:spacing w:after="0" w:line="315" w:lineRule="exact"/>
        <w:rPr>
          <w:sz w:val="20"/>
          <w:szCs w:val="20"/>
          <w:color w:val="auto"/>
        </w:rPr>
      </w:pPr>
    </w:p>
    <w:p>
      <w:pPr>
        <w:ind w:left="424" w:hanging="424"/>
        <w:spacing w:after="0"/>
        <w:tabs>
          <w:tab w:leader="none" w:pos="424"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ANNUAL RENT PER SQUARE FEET</w:t>
      </w:r>
    </w:p>
    <w:p>
      <w:pPr>
        <w:spacing w:after="0" w:line="235"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w:t>
            </w:r>
          </w:p>
        </w:tc>
        <w:tc>
          <w:tcPr>
            <w:tcW w:w="6580" w:type="dxa"/>
            <w:vAlign w:val="bottom"/>
            <w:vMerge w:val="restart"/>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6580" w:type="dxa"/>
            <w:vAlign w:val="bottom"/>
            <w:vMerge w:val="continue"/>
          </w:tcPr>
          <w:p>
            <w:pPr>
              <w:spacing w:after="0"/>
              <w:rPr>
                <w:sz w:val="15"/>
                <w:szCs w:val="15"/>
                <w:color w:val="auto"/>
              </w:rPr>
            </w:pPr>
          </w:p>
        </w:tc>
        <w:tc>
          <w:tcPr>
            <w:tcW w:w="6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3"/>
              </w:rPr>
              <w:t>Premises</w:t>
            </w:r>
          </w:p>
        </w:tc>
        <w:tc>
          <w:tcPr>
            <w:tcW w:w="0" w:type="dxa"/>
            <w:vAlign w:val="bottom"/>
          </w:tcPr>
          <w:p>
            <w:pPr>
              <w:spacing w:after="0"/>
              <w:rPr>
                <w:sz w:val="1"/>
                <w:szCs w:val="1"/>
                <w:color w:val="auto"/>
              </w:rPr>
            </w:pPr>
          </w:p>
        </w:tc>
      </w:tr>
      <w:tr>
        <w:trPr>
          <w:trHeight w:val="203"/>
        </w:trPr>
        <w:tc>
          <w:tcPr>
            <w:tcW w:w="6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Year 1</w:t>
            </w:r>
          </w:p>
        </w:tc>
        <w:tc>
          <w:tcPr>
            <w:tcW w:w="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6"/>
              </w:rPr>
              <w:t>$ 75.63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Year 2</w:t>
            </w:r>
          </w:p>
        </w:tc>
        <w:tc>
          <w:tcPr>
            <w:tcW w:w="600" w:type="dxa"/>
            <w:vAlign w:val="bottom"/>
            <w:gridSpan w:val="2"/>
          </w:tcPr>
          <w:p>
            <w:pPr>
              <w:spacing w:after="0"/>
              <w:rPr>
                <w:sz w:val="20"/>
                <w:szCs w:val="20"/>
                <w:color w:val="auto"/>
              </w:rPr>
            </w:pPr>
            <w:r>
              <w:rPr>
                <w:rFonts w:ascii="Arial" w:cs="Arial" w:eastAsia="Arial" w:hAnsi="Arial"/>
                <w:sz w:val="18"/>
                <w:szCs w:val="18"/>
                <w:color w:val="auto"/>
                <w:w w:val="96"/>
              </w:rPr>
              <w:t>$ 76.75</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3</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$ 77.89</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Year 4</w:t>
            </w:r>
          </w:p>
        </w:tc>
        <w:tc>
          <w:tcPr>
            <w:tcW w:w="600" w:type="dxa"/>
            <w:vAlign w:val="bottom"/>
            <w:gridSpan w:val="2"/>
          </w:tcPr>
          <w:p>
            <w:pPr>
              <w:spacing w:after="0"/>
              <w:rPr>
                <w:sz w:val="20"/>
                <w:szCs w:val="20"/>
                <w:color w:val="auto"/>
              </w:rPr>
            </w:pPr>
            <w:r>
              <w:rPr>
                <w:rFonts w:ascii="Arial" w:cs="Arial" w:eastAsia="Arial" w:hAnsi="Arial"/>
                <w:sz w:val="18"/>
                <w:szCs w:val="18"/>
                <w:color w:val="auto"/>
                <w:w w:val="96"/>
              </w:rPr>
              <w:t>$ 79.05</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5</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$ 80.23</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44" w:right="6520" w:hanging="444"/>
        <w:spacing w:after="0" w:line="380" w:lineRule="auto"/>
        <w:tabs>
          <w:tab w:leader="none" w:pos="431"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AUTOMATIC WITHDRAWAL INFORMATION Name of bank, credit union or financial institution: Account Number:</w:t>
      </w:r>
    </w:p>
    <w:p>
      <w:pPr>
        <w:spacing w:after="0" w:line="2" w:lineRule="exact"/>
        <w:rPr>
          <w:rFonts w:ascii="Arial" w:cs="Arial" w:eastAsia="Arial" w:hAnsi="Arial"/>
          <w:sz w:val="18"/>
          <w:szCs w:val="18"/>
          <w:b w:val="1"/>
          <w:bCs w:val="1"/>
          <w:color w:val="auto"/>
        </w:rPr>
      </w:pPr>
    </w:p>
    <w:p>
      <w:pPr>
        <w:ind w:left="444" w:right="9120"/>
        <w:spacing w:after="0" w:line="422" w:lineRule="auto"/>
        <w:rPr>
          <w:rFonts w:ascii="Arial" w:cs="Arial" w:eastAsia="Arial" w:hAnsi="Arial"/>
          <w:sz w:val="18"/>
          <w:szCs w:val="18"/>
          <w:b w:val="1"/>
          <w:bCs w:val="1"/>
          <w:color w:val="auto"/>
        </w:rPr>
      </w:pPr>
      <w:r>
        <w:rPr>
          <w:rFonts w:ascii="Arial" w:cs="Arial" w:eastAsia="Arial" w:hAnsi="Arial"/>
          <w:sz w:val="16"/>
          <w:szCs w:val="16"/>
          <w:b w:val="1"/>
          <w:bCs w:val="1"/>
          <w:color w:val="auto"/>
        </w:rPr>
        <w:t>Branch Number: Address:</w:t>
      </w:r>
    </w:p>
    <w:p>
      <w:pPr>
        <w:jc w:val="both"/>
        <w:ind w:left="444" w:right="9440"/>
        <w:spacing w:after="0" w:line="488" w:lineRule="auto"/>
        <w:rPr>
          <w:rFonts w:ascii="Arial" w:cs="Arial" w:eastAsia="Arial" w:hAnsi="Arial"/>
          <w:sz w:val="18"/>
          <w:szCs w:val="18"/>
          <w:b w:val="1"/>
          <w:bCs w:val="1"/>
          <w:color w:val="auto"/>
        </w:rPr>
      </w:pPr>
      <w:r>
        <w:rPr>
          <w:rFonts w:ascii="Arial" w:cs="Arial" w:eastAsia="Arial" w:hAnsi="Arial"/>
          <w:sz w:val="16"/>
          <w:szCs w:val="16"/>
          <w:b w:val="1"/>
          <w:bCs w:val="1"/>
          <w:color w:val="auto"/>
        </w:rPr>
        <w:t>Postal Code: Signature(s):</w:t>
      </w:r>
    </w:p>
    <w:p>
      <w:pPr>
        <w:spacing w:after="0" w:line="156" w:lineRule="exact"/>
        <w:rPr>
          <w:sz w:val="20"/>
          <w:szCs w:val="20"/>
          <w:color w:val="auto"/>
        </w:rPr>
      </w:pPr>
    </w:p>
    <w:p>
      <w:pPr>
        <w:ind w:left="444" w:right="8720" w:hanging="444"/>
        <w:spacing w:after="0" w:line="407" w:lineRule="auto"/>
        <w:tabs>
          <w:tab w:leader="none" w:pos="436"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OCCUPANCY LIMIT </w:t>
      </w:r>
      <w:r>
        <w:rPr>
          <w:rFonts w:ascii="Arial" w:cs="Arial" w:eastAsia="Arial" w:hAnsi="Arial"/>
          <w:sz w:val="18"/>
          <w:szCs w:val="18"/>
          <w:color w:val="auto"/>
        </w:rPr>
        <w:t>65</w:t>
      </w:r>
    </w:p>
    <w:p>
      <w:pPr>
        <w:spacing w:after="0" w:line="202" w:lineRule="exact"/>
        <w:rPr>
          <w:sz w:val="20"/>
          <w:szCs w:val="20"/>
          <w:color w:val="auto"/>
        </w:rPr>
      </w:pPr>
    </w:p>
    <w:p>
      <w:pPr>
        <w:ind w:left="424" w:hanging="424"/>
        <w:spacing w:after="0"/>
        <w:tabs>
          <w:tab w:leader="none" w:pos="424"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130"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   LESSOR</w:t>
      </w:r>
    </w:p>
    <w:p>
      <w:pPr>
        <w:sectPr>
          <w:pgSz w:w="11900" w:h="16838" w:orient="portrait"/>
          <w:cols w:equalWidth="0" w:num="1">
            <w:col w:w="10884"/>
          </w:cols>
          <w:pgMar w:left="436" w:top="269" w:right="579" w:bottom="1440" w:gutter="0" w:footer="0" w:header="0"/>
        </w:sectPr>
      </w:pPr>
    </w:p>
    <w:bookmarkStart w:id="548" w:name="page549"/>
    <w:bookmarkEnd w:id="548"/>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NEOMED INSTITUTE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7171, Frederick-Banting Street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Saint-Laurent (Québec)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H4S 1Z9</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 Pierre-Yves Desbiens</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color w:val="auto"/>
        </w:rPr>
        <w:t>LESSEE</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REPARE THERAPEUTICS INC.</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7210 Frederick-Banting Street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Saint-Laurent, QC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H4S 2A1</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 Lloyd Segal</w:t>
      </w:r>
    </w:p>
    <w:p>
      <w:pPr>
        <w:spacing w:after="0" w:line="158"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599"/>
          </w:cols>
          <w:pgMar w:left="860" w:top="273" w:right="1440" w:bottom="1440" w:gutter="0" w:footer="0" w:header="0"/>
        </w:sectPr>
      </w:pPr>
    </w:p>
    <w:bookmarkStart w:id="549" w:name="page550"/>
    <w:bookmarkEnd w:id="5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PLAN OF THE LEASED PREMISES</w:t>
      </w:r>
    </w:p>
    <w:p>
      <w:pPr>
        <w:sectPr>
          <w:pgSz w:w="11900" w:h="16838" w:orient="portrait"/>
          <w:cols w:equalWidth="0" w:num="1">
            <w:col w:w="9019"/>
          </w:cols>
          <w:pgMar w:left="1440" w:top="269" w:right="1440" w:bottom="1440" w:gutter="0" w:footer="0" w:header="0"/>
        </w:sectPr>
      </w:pPr>
    </w:p>
    <w:bookmarkStart w:id="550" w:name="page551"/>
    <w:bookmarkEnd w:id="55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MAXIMUM QUANTITIES OF FLAMMABLE AND COMBUSTIBLE LIQUIDS IN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LABORATORY UNITS OUTSIDE OF INSIDE LIQUID STORAGE AREAS</w:t>
      </w:r>
    </w:p>
    <w:p>
      <w:pPr>
        <w:sectPr>
          <w:pgSz w:w="11900" w:h="16838" w:orient="portrait"/>
          <w:cols w:equalWidth="0" w:num="1">
            <w:col w:w="10960"/>
          </w:cols>
          <w:pgMar w:left="440" w:top="26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Laboratory unit Fire Hazard Class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 (Low fire hazard)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gridSpan w:val="4"/>
          </w:tcPr>
          <w:p>
            <w:pPr>
              <w:jc w:val="center"/>
              <w:ind w:right="40"/>
              <w:spacing w:after="0"/>
              <w:rPr>
                <w:sz w:val="20"/>
                <w:szCs w:val="20"/>
                <w:color w:val="auto"/>
              </w:rPr>
            </w:pPr>
            <w:r>
              <w:rPr>
                <w:rFonts w:ascii="Arial" w:cs="Arial" w:eastAsia="Arial" w:hAnsi="Arial"/>
                <w:sz w:val="14"/>
                <w:szCs w:val="14"/>
                <w:color w:val="auto"/>
                <w:w w:val="92"/>
              </w:rPr>
              <w:t>Quantities in Use and</w:t>
            </w:r>
          </w:p>
        </w:tc>
      </w:tr>
      <w:tr>
        <w:trPr>
          <w:trHeight w:val="167"/>
        </w:trPr>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4"/>
          </w:tcPr>
          <w:p>
            <w:pPr>
              <w:ind w:left="440"/>
              <w:spacing w:after="0"/>
              <w:rPr>
                <w:sz w:val="20"/>
                <w:szCs w:val="20"/>
                <w:color w:val="auto"/>
              </w:rPr>
            </w:pPr>
            <w:r>
              <w:rPr>
                <w:rFonts w:ascii="Arial" w:cs="Arial" w:eastAsia="Arial" w:hAnsi="Arial"/>
                <w:sz w:val="14"/>
                <w:szCs w:val="14"/>
                <w:color w:val="auto"/>
              </w:rPr>
              <w:t>Quantities in Use</w:t>
            </w:r>
          </w:p>
        </w:tc>
        <w:tc>
          <w:tcPr>
            <w:tcW w:w="1880" w:type="dxa"/>
            <w:vAlign w:val="bottom"/>
            <w:gridSpan w:val="4"/>
          </w:tcPr>
          <w:p>
            <w:pPr>
              <w:jc w:val="center"/>
              <w:ind w:right="40"/>
              <w:spacing w:after="0"/>
              <w:rPr>
                <w:sz w:val="20"/>
                <w:szCs w:val="20"/>
                <w:color w:val="auto"/>
              </w:rPr>
            </w:pPr>
            <w:r>
              <w:rPr>
                <w:rFonts w:ascii="Arial" w:cs="Arial" w:eastAsia="Arial" w:hAnsi="Arial"/>
                <w:sz w:val="14"/>
                <w:szCs w:val="14"/>
                <w:color w:val="auto"/>
                <w:w w:val="89"/>
              </w:rPr>
              <w:t>Storage</w:t>
            </w:r>
          </w:p>
        </w:tc>
      </w:tr>
      <w:tr>
        <w:trPr>
          <w:trHeight w:val="123"/>
        </w:trPr>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Borders>
              <w:top w:val="single" w:sz="8" w:color="auto"/>
            </w:tcBorders>
            <w:gridSpan w:val="2"/>
          </w:tcPr>
          <w:p>
            <w:pPr>
              <w:jc w:val="center"/>
              <w:ind w:right="380"/>
              <w:spacing w:after="0" w:line="123" w:lineRule="exact"/>
              <w:rPr>
                <w:sz w:val="20"/>
                <w:szCs w:val="20"/>
                <w:color w:val="auto"/>
              </w:rPr>
            </w:pPr>
            <w:r>
              <w:rPr>
                <w:rFonts w:ascii="Arial" w:cs="Arial" w:eastAsia="Arial" w:hAnsi="Arial"/>
                <w:sz w:val="14"/>
                <w:szCs w:val="14"/>
                <w:color w:val="auto"/>
                <w:w w:val="98"/>
              </w:rPr>
              <w:t>Maximum</w:t>
            </w:r>
          </w:p>
        </w:tc>
        <w:tc>
          <w:tcPr>
            <w:tcW w:w="7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400"/>
              <w:spacing w:after="0" w:line="123" w:lineRule="exact"/>
              <w:rPr>
                <w:sz w:val="20"/>
                <w:szCs w:val="20"/>
                <w:color w:val="auto"/>
              </w:rPr>
            </w:pPr>
            <w:r>
              <w:rPr>
                <w:rFonts w:ascii="Arial" w:cs="Arial" w:eastAsia="Arial" w:hAnsi="Arial"/>
                <w:sz w:val="14"/>
                <w:szCs w:val="14"/>
                <w:color w:val="auto"/>
                <w:w w:val="98"/>
              </w:rPr>
              <w:t>Maximum</w:t>
            </w:r>
          </w:p>
        </w:tc>
        <w:tc>
          <w:tcPr>
            <w:tcW w:w="7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48"/>
        </w:trPr>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Quantity per</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8"/>
              </w:rPr>
              <w:t>Maximum</w:t>
            </w: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4"/>
              </w:rPr>
              <w:t>Quantity per</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8"/>
              </w:rPr>
              <w:t>Maximum</w:t>
            </w:r>
          </w:p>
        </w:tc>
      </w:tr>
      <w:tr>
        <w:trPr>
          <w:trHeight w:val="149"/>
        </w:trPr>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Flammable and</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4"/>
              </w:rPr>
              <w:t>100 sq Ft of</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Quantity per</w:t>
            </w: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1"/>
              </w:rPr>
              <w:t>100 sq Ft of</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Quantity per</w:t>
            </w:r>
          </w:p>
        </w:tc>
      </w:tr>
      <w:tr>
        <w:trPr>
          <w:trHeight w:val="148"/>
        </w:trPr>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Combustible</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Laboratory</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5"/>
              </w:rPr>
              <w:t>Laboratory</w:t>
            </w: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5"/>
              </w:rPr>
              <w:t>Laboratory</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Laboratory</w:t>
            </w:r>
          </w:p>
        </w:tc>
      </w:tr>
      <w:tr>
        <w:trPr>
          <w:trHeight w:val="167"/>
        </w:trPr>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Liquid Class</w:t>
            </w: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color w:val="auto"/>
              </w:rPr>
              <w:t>Unit (L)</w:t>
            </w: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color w:val="auto"/>
              </w:rPr>
              <w:t>Unit (L)</w:t>
            </w: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color w:val="auto"/>
              </w:rPr>
              <w:t>Unit (L)</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rPr>
              <w:t>Unit (L)</w:t>
            </w:r>
          </w:p>
        </w:tc>
      </w:tr>
      <w:tr>
        <w:trPr>
          <w:trHeight w:val="195"/>
        </w:trPr>
        <w:tc>
          <w:tcPr>
            <w:tcW w:w="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I</w:t>
            </w:r>
          </w:p>
        </w:tc>
        <w:tc>
          <w:tcPr>
            <w:tcW w:w="340" w:type="dxa"/>
            <w:vAlign w:val="bottom"/>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7.5</w:t>
            </w:r>
          </w:p>
        </w:tc>
        <w:tc>
          <w:tcPr>
            <w:tcW w:w="400" w:type="dxa"/>
            <w:vAlign w:val="bottom"/>
          </w:tcPr>
          <w:p>
            <w:pPr>
              <w:spacing w:after="0"/>
              <w:rPr>
                <w:sz w:val="16"/>
                <w:szCs w:val="16"/>
                <w:color w:val="auto"/>
              </w:rPr>
            </w:pPr>
          </w:p>
        </w:tc>
        <w:tc>
          <w:tcPr>
            <w:tcW w:w="720" w:type="dxa"/>
            <w:vAlign w:val="bottom"/>
            <w:tcBorders>
              <w:top w:val="single" w:sz="8" w:color="auto"/>
            </w:tcBorders>
          </w:tcPr>
          <w:p>
            <w:pPr>
              <w:ind w:left="460"/>
              <w:spacing w:after="0" w:line="195" w:lineRule="exact"/>
              <w:rPr>
                <w:sz w:val="20"/>
                <w:szCs w:val="20"/>
                <w:color w:val="auto"/>
              </w:rPr>
            </w:pPr>
            <w:r>
              <w:rPr>
                <w:rFonts w:ascii="Arial" w:cs="Arial" w:eastAsia="Arial" w:hAnsi="Arial"/>
                <w:sz w:val="18"/>
                <w:szCs w:val="18"/>
                <w:color w:val="auto"/>
                <w:w w:val="79"/>
              </w:rPr>
              <w:t>570</w:t>
            </w:r>
          </w:p>
        </w:tc>
        <w:tc>
          <w:tcPr>
            <w:tcW w:w="420" w:type="dxa"/>
            <w:vAlign w:val="bottom"/>
          </w:tcPr>
          <w:p>
            <w:pPr>
              <w:spacing w:after="0"/>
              <w:rPr>
                <w:sz w:val="16"/>
                <w:szCs w:val="16"/>
                <w:color w:val="auto"/>
              </w:rPr>
            </w:pP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w:t>
            </w:r>
          </w:p>
        </w:tc>
        <w:tc>
          <w:tcPr>
            <w:tcW w:w="400" w:type="dxa"/>
            <w:vAlign w:val="bottom"/>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1136</w:t>
            </w:r>
          </w:p>
        </w:tc>
        <w:tc>
          <w:tcPr>
            <w:tcW w:w="20" w:type="dxa"/>
            <w:vAlign w:val="bottom"/>
          </w:tcPr>
          <w:p>
            <w:pPr>
              <w:spacing w:after="0"/>
              <w:rPr>
                <w:sz w:val="16"/>
                <w:szCs w:val="16"/>
                <w:color w:val="auto"/>
              </w:rPr>
            </w:pPr>
          </w:p>
        </w:tc>
      </w:tr>
      <w:tr>
        <w:trPr>
          <w:trHeight w:val="230"/>
        </w:trPr>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I, II and IIIA</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15</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757</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-3532505</wp:posOffset>
            </wp:positionH>
            <wp:positionV relativeFrom="paragraph">
              <wp:posOffset>-282575</wp:posOffset>
            </wp:positionV>
            <wp:extent cx="6995160" cy="1460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ectPr>
          <w:pgSz w:w="11900" w:h="16838" w:orient="portrait"/>
          <w:cols w:equalWidth="0" w:num="2">
            <w:col w:w="4840" w:space="720"/>
            <w:col w:w="5400"/>
          </w:cols>
          <w:pgMar w:left="440" w:top="269" w:right="499" w:bottom="1440" w:gutter="0" w:footer="0" w:header="0"/>
          <w:type w:val="continuous"/>
        </w:sectPr>
      </w:pPr>
    </w:p>
    <w:bookmarkStart w:id="551" w:name="page552"/>
    <w:bookmarkEnd w:id="5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5.5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PARKING SPACES</w:t>
      </w:r>
    </w:p>
    <w:p>
      <w:pPr>
        <w:sectPr>
          <w:pgSz w:w="11900" w:h="16838" w:orient="portrait"/>
          <w:cols w:equalWidth="0" w:num="1">
            <w:col w:w="9019"/>
          </w:cols>
          <w:pgMar w:left="1440" w:top="269" w:right="1440" w:bottom="1440" w:gutter="0" w:footer="0" w:header="0"/>
        </w:sectPr>
      </w:pPr>
    </w:p>
    <w:bookmarkStart w:id="552" w:name="page553"/>
    <w:bookmarkEnd w:id="55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5.6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RESIDENT COMPANY POLICIES AND PROCEDURES GUIDE</w:t>
      </w:r>
    </w:p>
    <w:p>
      <w:pPr>
        <w:sectPr>
          <w:pgSz w:w="11900" w:h="16838" w:orient="portrait"/>
          <w:cols w:equalWidth="0" w:num="1">
            <w:col w:w="9019"/>
          </w:cols>
          <w:pgMar w:left="1440" w:top="269" w:right="1440" w:bottom="1440" w:gutter="0" w:footer="0" w:header="0"/>
        </w:sectPr>
      </w:pPr>
    </w:p>
    <w:bookmarkStart w:id="553" w:name="page554"/>
    <w:bookmarkEnd w:id="553"/>
    <w:p>
      <w:pPr>
        <w:jc w:val="center"/>
        <w:ind w:right="-1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6.1</w:t>
      </w:r>
    </w:p>
    <w:p>
      <w:pPr>
        <w:spacing w:after="0" w:line="225"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LESSOR’S WORK – SPECIFICATIONS</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4"/>
          <w:szCs w:val="14"/>
          <w:u w:val="single" w:color="auto"/>
          <w:color w:val="auto"/>
        </w:rPr>
        <w:t>Details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Offices*</w:t>
      </w:r>
    </w:p>
    <w:p>
      <w:pPr>
        <w:spacing w:after="0" w:line="8" w:lineRule="exact"/>
        <w:rPr>
          <w:sz w:val="20"/>
          <w:szCs w:val="20"/>
          <w:color w:val="auto"/>
        </w:rPr>
      </w:pPr>
    </w:p>
    <w:p>
      <w:pPr>
        <w:ind w:left="4"/>
        <w:spacing w:after="0"/>
        <w:rPr>
          <w:sz w:val="20"/>
          <w:szCs w:val="20"/>
          <w:color w:val="auto"/>
        </w:rPr>
      </w:pPr>
      <w:r>
        <w:rPr>
          <w:rFonts w:ascii="Arial" w:cs="Arial" w:eastAsia="Arial" w:hAnsi="Arial"/>
          <w:sz w:val="18"/>
          <w:szCs w:val="18"/>
          <w:color w:val="auto"/>
        </w:rPr>
        <w:t>Laboratories*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Flooring*</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Electrical network*</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HVAC*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Lab Safety equipment*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Parking lot*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Exterior Landscaping</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Controlled access**</w:t>
      </w:r>
    </w:p>
    <w:p>
      <w:pPr>
        <w:spacing w:after="0" w:line="238" w:lineRule="exact"/>
        <w:rPr>
          <w:sz w:val="20"/>
          <w:szCs w:val="20"/>
          <w:color w:val="auto"/>
        </w:rPr>
      </w:pPr>
    </w:p>
    <w:p>
      <w:pPr>
        <w:ind w:left="424" w:hanging="424"/>
        <w:spacing w:after="0" w:line="258" w:lineRule="auto"/>
        <w:tabs>
          <w:tab w:leader="none" w:pos="42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Based on plans presented to the Lessee and further modified according to Lessee’s request and according to the directive #MA-03 of the Contract with BTL Construction.</w:t>
      </w:r>
    </w:p>
    <w:p>
      <w:pPr>
        <w:spacing w:after="0" w:line="1" w:lineRule="exact"/>
        <w:rPr>
          <w:sz w:val="20"/>
          <w:szCs w:val="20"/>
          <w:color w:val="auto"/>
        </w:rPr>
      </w:pPr>
    </w:p>
    <w:p>
      <w:pPr>
        <w:ind w:left="424" w:hanging="424"/>
        <w:spacing w:after="0"/>
        <w:tabs>
          <w:tab w:leader="none" w:pos="424" w:val="left"/>
        </w:tabs>
        <w:numPr>
          <w:ilvl w:val="0"/>
          <w:numId w:val="363"/>
        </w:numPr>
        <w:rPr>
          <w:rFonts w:ascii="Arial" w:cs="Arial" w:eastAsia="Arial" w:hAnsi="Arial"/>
          <w:sz w:val="18"/>
          <w:szCs w:val="18"/>
          <w:color w:val="auto"/>
        </w:rPr>
      </w:pPr>
      <w:r>
        <w:rPr>
          <w:rFonts w:ascii="Arial" w:cs="Arial" w:eastAsia="Arial" w:hAnsi="Arial"/>
          <w:sz w:val="18"/>
          <w:szCs w:val="18"/>
          <w:color w:val="auto"/>
        </w:rPr>
        <w:t>Based on appendix 6.5.1</w:t>
      </w:r>
    </w:p>
    <w:p>
      <w:pPr>
        <w:sectPr>
          <w:pgSz w:w="11900" w:h="16838" w:orient="portrait"/>
          <w:cols w:equalWidth="0" w:num="1">
            <w:col w:w="10904"/>
          </w:cols>
          <w:pgMar w:left="436" w:top="269" w:right="559" w:bottom="1440" w:gutter="0" w:footer="0" w:header="0"/>
        </w:sectPr>
      </w:pPr>
    </w:p>
    <w:bookmarkStart w:id="554" w:name="page555"/>
    <w:bookmarkEnd w:id="5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6.5.1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CONTROLLED ACCESS DOORS</w:t>
      </w:r>
    </w:p>
    <w:p>
      <w:pPr>
        <w:sectPr>
          <w:pgSz w:w="11900" w:h="16838" w:orient="portrait"/>
          <w:cols w:equalWidth="0" w:num="1">
            <w:col w:w="9019"/>
          </w:cols>
          <w:pgMar w:left="1440" w:top="269" w:right="1440" w:bottom="1440" w:gutter="0" w:footer="0" w:header="0"/>
        </w:sectPr>
      </w:pPr>
    </w:p>
    <w:bookmarkStart w:id="555" w:name="page556"/>
    <w:bookmarkEnd w:id="555"/>
    <w:p>
      <w:pPr>
        <w:ind w:left="10000"/>
        <w:spacing w:after="0"/>
        <w:rPr>
          <w:sz w:val="20"/>
          <w:szCs w:val="20"/>
          <w:color w:val="auto"/>
        </w:rPr>
      </w:pPr>
      <w:r>
        <w:rPr>
          <w:rFonts w:ascii="Arial" w:cs="Arial" w:eastAsia="Arial" w:hAnsi="Arial"/>
          <w:sz w:val="16"/>
          <w:szCs w:val="16"/>
          <w:b w:val="1"/>
          <w:bCs w:val="1"/>
          <w:color w:val="auto"/>
        </w:rPr>
        <w:t>Exhibit 10.15</w:t>
      </w:r>
    </w:p>
    <w:p>
      <w:pPr>
        <w:spacing w:after="0" w:line="248" w:lineRule="exact"/>
        <w:rPr>
          <w:sz w:val="20"/>
          <w:szCs w:val="20"/>
          <w:color w:val="auto"/>
        </w:rPr>
      </w:pPr>
    </w:p>
    <w:p>
      <w:pPr>
        <w:ind w:right="640"/>
        <w:spacing w:after="0" w:line="266"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REPARE THERAPEUTICS INC. HAS DETERMINED THE INFORMATION (I) IS NOT MATERIAL AND (II) WOULD LIKELY CAUSE COMPETITIVE HARM TO REPARE THERAPEUTICS INC. IF PUBLICLY DISCLOSED.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SERVICES, LICENSE AND COLLABORATION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ONO PHARMACEUTICAL CO., LTD.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31, 2019</w:t>
      </w:r>
    </w:p>
    <w:p>
      <w:pPr>
        <w:sectPr>
          <w:pgSz w:w="11900" w:h="16838" w:orient="portrait"/>
          <w:cols w:equalWidth="0" w:num="1">
            <w:col w:w="11020"/>
          </w:cols>
          <w:pgMar w:left="440" w:top="121" w:right="439" w:bottom="1440" w:gutter="0" w:footer="0" w:header="0"/>
        </w:sectPr>
      </w:pPr>
    </w:p>
    <w:bookmarkStart w:id="556" w:name="page557"/>
    <w:bookmarkEnd w:id="556"/>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8660" w:type="dxa"/>
            <w:vAlign w:val="bottom"/>
          </w:tcPr>
          <w:p>
            <w:pPr>
              <w:ind w:left="424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20"/>
                <w:szCs w:val="20"/>
                <w:color w:val="auto"/>
              </w:rPr>
            </w:pPr>
          </w:p>
        </w:tc>
      </w:tr>
      <w:tr>
        <w:trPr>
          <w:trHeight w:val="445"/>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866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8660" w:type="dxa"/>
            <w:vAlign w:val="bottom"/>
          </w:tcPr>
          <w:p>
            <w:pPr>
              <w:ind w:left="80"/>
              <w:spacing w:after="0"/>
              <w:rPr>
                <w:sz w:val="20"/>
                <w:szCs w:val="20"/>
                <w:color w:val="auto"/>
              </w:rPr>
            </w:pPr>
            <w:r>
              <w:rPr>
                <w:rFonts w:ascii="Arial" w:cs="Arial" w:eastAsia="Arial" w:hAnsi="Arial"/>
                <w:sz w:val="18"/>
                <w:szCs w:val="18"/>
                <w:color w:val="auto"/>
              </w:rPr>
              <w:t>RESEARCH PROGRAM</w:t>
            </w:r>
          </w:p>
        </w:tc>
        <w:tc>
          <w:tcPr>
            <w:tcW w:w="2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3.</w:t>
            </w:r>
          </w:p>
        </w:tc>
        <w:tc>
          <w:tcPr>
            <w:tcW w:w="8660" w:type="dxa"/>
            <w:vAlign w:val="bottom"/>
          </w:tcPr>
          <w:p>
            <w:pPr>
              <w:ind w:left="80"/>
              <w:spacing w:after="0"/>
              <w:rPr>
                <w:sz w:val="20"/>
                <w:szCs w:val="20"/>
                <w:color w:val="auto"/>
              </w:rPr>
            </w:pPr>
            <w:r>
              <w:rPr>
                <w:rFonts w:ascii="Arial" w:cs="Arial" w:eastAsia="Arial" w:hAnsi="Arial"/>
                <w:sz w:val="18"/>
                <w:szCs w:val="18"/>
                <w:color w:val="auto"/>
              </w:rPr>
              <w:t>DRUG CANDIDATE SELECTION</w:t>
            </w:r>
          </w:p>
        </w:tc>
        <w:tc>
          <w:tcPr>
            <w:tcW w:w="2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4.</w:t>
            </w:r>
          </w:p>
        </w:tc>
        <w:tc>
          <w:tcPr>
            <w:tcW w:w="8660" w:type="dxa"/>
            <w:vAlign w:val="bottom"/>
          </w:tcPr>
          <w:p>
            <w:pPr>
              <w:ind w:left="80"/>
              <w:spacing w:after="0"/>
              <w:rPr>
                <w:sz w:val="20"/>
                <w:szCs w:val="20"/>
                <w:color w:val="auto"/>
              </w:rPr>
            </w:pPr>
            <w:r>
              <w:rPr>
                <w:rFonts w:ascii="Arial" w:cs="Arial" w:eastAsia="Arial" w:hAnsi="Arial"/>
                <w:sz w:val="18"/>
                <w:szCs w:val="18"/>
                <w:color w:val="auto"/>
              </w:rPr>
              <w:t>DEVELOPMENT</w:t>
            </w:r>
          </w:p>
        </w:tc>
        <w:tc>
          <w:tcPr>
            <w:tcW w:w="2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5.</w:t>
            </w:r>
          </w:p>
        </w:tc>
        <w:tc>
          <w:tcPr>
            <w:tcW w:w="8660" w:type="dxa"/>
            <w:vAlign w:val="bottom"/>
          </w:tcPr>
          <w:p>
            <w:pPr>
              <w:ind w:left="80"/>
              <w:spacing w:after="0"/>
              <w:rPr>
                <w:sz w:val="20"/>
                <w:szCs w:val="20"/>
                <w:color w:val="auto"/>
              </w:rPr>
            </w:pPr>
            <w:r>
              <w:rPr>
                <w:rFonts w:ascii="Arial" w:cs="Arial" w:eastAsia="Arial" w:hAnsi="Arial"/>
                <w:sz w:val="18"/>
                <w:szCs w:val="18"/>
                <w:color w:val="auto"/>
              </w:rPr>
              <w:t>REGULATORY MATTERS</w:t>
            </w:r>
          </w:p>
        </w:tc>
        <w:tc>
          <w:tcPr>
            <w:tcW w:w="2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6.</w:t>
            </w:r>
          </w:p>
        </w:tc>
        <w:tc>
          <w:tcPr>
            <w:tcW w:w="8660" w:type="dxa"/>
            <w:vAlign w:val="bottom"/>
          </w:tcPr>
          <w:p>
            <w:pPr>
              <w:ind w:left="80"/>
              <w:spacing w:after="0"/>
              <w:rPr>
                <w:sz w:val="20"/>
                <w:szCs w:val="20"/>
                <w:color w:val="auto"/>
              </w:rPr>
            </w:pPr>
            <w:r>
              <w:rPr>
                <w:rFonts w:ascii="Arial" w:cs="Arial" w:eastAsia="Arial" w:hAnsi="Arial"/>
                <w:sz w:val="18"/>
                <w:szCs w:val="18"/>
                <w:color w:val="auto"/>
              </w:rPr>
              <w:t>COMMERCIALIZATION</w:t>
            </w: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7.</w:t>
            </w:r>
          </w:p>
        </w:tc>
        <w:tc>
          <w:tcPr>
            <w:tcW w:w="8660" w:type="dxa"/>
            <w:vAlign w:val="bottom"/>
          </w:tcPr>
          <w:p>
            <w:pPr>
              <w:ind w:left="80"/>
              <w:spacing w:after="0"/>
              <w:rPr>
                <w:sz w:val="20"/>
                <w:szCs w:val="20"/>
                <w:color w:val="auto"/>
              </w:rPr>
            </w:pPr>
            <w:r>
              <w:rPr>
                <w:rFonts w:ascii="Arial" w:cs="Arial" w:eastAsia="Arial" w:hAnsi="Arial"/>
                <w:sz w:val="18"/>
                <w:szCs w:val="18"/>
                <w:color w:val="auto"/>
              </w:rPr>
              <w:t>MANUFACTURE AND SUPPLY</w:t>
            </w:r>
          </w:p>
        </w:tc>
        <w:tc>
          <w:tcPr>
            <w:tcW w:w="2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8.</w:t>
            </w:r>
          </w:p>
        </w:tc>
        <w:tc>
          <w:tcPr>
            <w:tcW w:w="8660" w:type="dxa"/>
            <w:vAlign w:val="bottom"/>
          </w:tcPr>
          <w:p>
            <w:pPr>
              <w:ind w:left="80"/>
              <w:spacing w:after="0"/>
              <w:rPr>
                <w:sz w:val="20"/>
                <w:szCs w:val="20"/>
                <w:color w:val="auto"/>
              </w:rPr>
            </w:pPr>
            <w:r>
              <w:rPr>
                <w:rFonts w:ascii="Arial" w:cs="Arial" w:eastAsia="Arial" w:hAnsi="Arial"/>
                <w:sz w:val="18"/>
                <w:szCs w:val="18"/>
                <w:color w:val="auto"/>
              </w:rPr>
              <w:t>COLLABORATION MANAGEMENT</w:t>
            </w:r>
          </w:p>
        </w:tc>
        <w:tc>
          <w:tcPr>
            <w:tcW w:w="2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9.</w:t>
            </w:r>
          </w:p>
        </w:tc>
        <w:tc>
          <w:tcPr>
            <w:tcW w:w="8660" w:type="dxa"/>
            <w:vAlign w:val="bottom"/>
          </w:tcPr>
          <w:p>
            <w:pPr>
              <w:ind w:left="80"/>
              <w:spacing w:after="0"/>
              <w:rPr>
                <w:sz w:val="20"/>
                <w:szCs w:val="20"/>
                <w:color w:val="auto"/>
              </w:rPr>
            </w:pPr>
            <w:r>
              <w:rPr>
                <w:rFonts w:ascii="Arial" w:cs="Arial" w:eastAsia="Arial" w:hAnsi="Arial"/>
                <w:sz w:val="18"/>
                <w:szCs w:val="18"/>
                <w:color w:val="auto"/>
              </w:rPr>
              <w:t>CONFIDENTIALITY AND PUBLICATION</w:t>
            </w:r>
          </w:p>
        </w:tc>
        <w:tc>
          <w:tcPr>
            <w:tcW w:w="2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10.</w:t>
            </w:r>
          </w:p>
        </w:tc>
        <w:tc>
          <w:tcPr>
            <w:tcW w:w="8660" w:type="dxa"/>
            <w:vAlign w:val="bottom"/>
          </w:tcPr>
          <w:p>
            <w:pPr>
              <w:ind w:left="80"/>
              <w:spacing w:after="0"/>
              <w:rPr>
                <w:sz w:val="20"/>
                <w:szCs w:val="20"/>
                <w:color w:val="auto"/>
              </w:rPr>
            </w:pPr>
            <w:r>
              <w:rPr>
                <w:rFonts w:ascii="Arial" w:cs="Arial" w:eastAsia="Arial" w:hAnsi="Arial"/>
                <w:sz w:val="18"/>
                <w:szCs w:val="18"/>
                <w:color w:val="auto"/>
              </w:rPr>
              <w:t>LICENSES</w:t>
            </w:r>
          </w:p>
        </w:tc>
        <w:tc>
          <w:tcPr>
            <w:tcW w:w="20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11.</w:t>
            </w:r>
          </w:p>
        </w:tc>
        <w:tc>
          <w:tcPr>
            <w:tcW w:w="8660" w:type="dxa"/>
            <w:vAlign w:val="bottom"/>
          </w:tcPr>
          <w:p>
            <w:pPr>
              <w:ind w:left="80"/>
              <w:spacing w:after="0"/>
              <w:rPr>
                <w:sz w:val="20"/>
                <w:szCs w:val="20"/>
                <w:color w:val="auto"/>
              </w:rPr>
            </w:pPr>
            <w:r>
              <w:rPr>
                <w:rFonts w:ascii="Arial" w:cs="Arial" w:eastAsia="Arial" w:hAnsi="Arial"/>
                <w:sz w:val="18"/>
                <w:szCs w:val="18"/>
                <w:color w:val="auto"/>
              </w:rPr>
              <w:t>FINANCIAL TERMS; ROYALTY REPORTS; PAYMENTS AND AUDITS</w:t>
            </w:r>
          </w:p>
        </w:tc>
        <w:tc>
          <w:tcPr>
            <w:tcW w:w="20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12.</w:t>
            </w:r>
          </w:p>
        </w:tc>
        <w:tc>
          <w:tcPr>
            <w:tcW w:w="8660" w:type="dxa"/>
            <w:vAlign w:val="bottom"/>
          </w:tcPr>
          <w:p>
            <w:pPr>
              <w:ind w:left="80"/>
              <w:spacing w:after="0"/>
              <w:rPr>
                <w:sz w:val="20"/>
                <w:szCs w:val="20"/>
                <w:color w:val="auto"/>
              </w:rPr>
            </w:pPr>
            <w:r>
              <w:rPr>
                <w:rFonts w:ascii="Arial" w:cs="Arial" w:eastAsia="Arial" w:hAnsi="Arial"/>
                <w:sz w:val="18"/>
                <w:szCs w:val="18"/>
                <w:color w:val="auto"/>
              </w:rPr>
              <w:t>REPRESENTATIONS, WARRANTIES AND COVENANTS</w:t>
            </w:r>
          </w:p>
        </w:tc>
        <w:tc>
          <w:tcPr>
            <w:tcW w:w="20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13.</w:t>
            </w:r>
          </w:p>
        </w:tc>
        <w:tc>
          <w:tcPr>
            <w:tcW w:w="8660" w:type="dxa"/>
            <w:vAlign w:val="bottom"/>
          </w:tcPr>
          <w:p>
            <w:pPr>
              <w:ind w:left="80"/>
              <w:spacing w:after="0"/>
              <w:rPr>
                <w:sz w:val="20"/>
                <w:szCs w:val="20"/>
                <w:color w:val="auto"/>
              </w:rPr>
            </w:pPr>
            <w:r>
              <w:rPr>
                <w:rFonts w:ascii="Arial" w:cs="Arial" w:eastAsia="Arial" w:hAnsi="Arial"/>
                <w:sz w:val="18"/>
                <w:szCs w:val="18"/>
                <w:color w:val="auto"/>
              </w:rPr>
              <w:t>INDEMNIFICATION; LIMITATION OF LIABILITY; INSURANCE</w:t>
            </w:r>
          </w:p>
        </w:tc>
        <w:tc>
          <w:tcPr>
            <w:tcW w:w="20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14.</w:t>
            </w:r>
          </w:p>
        </w:tc>
        <w:tc>
          <w:tcPr>
            <w:tcW w:w="8660" w:type="dxa"/>
            <w:vAlign w:val="bottom"/>
          </w:tcPr>
          <w:p>
            <w:pPr>
              <w:ind w:left="80"/>
              <w:spacing w:after="0"/>
              <w:rPr>
                <w:sz w:val="20"/>
                <w:szCs w:val="20"/>
                <w:color w:val="auto"/>
              </w:rPr>
            </w:pPr>
            <w:r>
              <w:rPr>
                <w:rFonts w:ascii="Arial" w:cs="Arial" w:eastAsia="Arial" w:hAnsi="Arial"/>
                <w:sz w:val="18"/>
                <w:szCs w:val="18"/>
                <w:color w:val="auto"/>
              </w:rPr>
              <w:t>INTELLECTUAL PROPERTY OWNERSHIP, PROTECTION AND RELATED MATTERS</w:t>
            </w:r>
          </w:p>
        </w:tc>
        <w:tc>
          <w:tcPr>
            <w:tcW w:w="20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15.</w:t>
            </w:r>
          </w:p>
        </w:tc>
        <w:tc>
          <w:tcPr>
            <w:tcW w:w="8660" w:type="dxa"/>
            <w:vAlign w:val="bottom"/>
          </w:tcPr>
          <w:p>
            <w:pPr>
              <w:ind w:left="80"/>
              <w:spacing w:after="0"/>
              <w:rPr>
                <w:sz w:val="20"/>
                <w:szCs w:val="20"/>
                <w:color w:val="auto"/>
              </w:rPr>
            </w:pPr>
            <w:r>
              <w:rPr>
                <w:rFonts w:ascii="Arial" w:cs="Arial" w:eastAsia="Arial" w:hAnsi="Arial"/>
                <w:sz w:val="18"/>
                <w:szCs w:val="18"/>
                <w:color w:val="auto"/>
              </w:rPr>
              <w:t>TERM AND TERMINATION; REMEDIES</w:t>
            </w:r>
          </w:p>
        </w:tc>
        <w:tc>
          <w:tcPr>
            <w:tcW w:w="20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16.</w:t>
            </w:r>
          </w:p>
        </w:tc>
        <w:tc>
          <w:tcPr>
            <w:tcW w:w="8660" w:type="dxa"/>
            <w:vAlign w:val="bottom"/>
          </w:tcPr>
          <w:p>
            <w:pPr>
              <w:ind w:left="80"/>
              <w:spacing w:after="0"/>
              <w:rPr>
                <w:sz w:val="20"/>
                <w:szCs w:val="20"/>
                <w:color w:val="auto"/>
              </w:rPr>
            </w:pPr>
            <w:r>
              <w:rPr>
                <w:rFonts w:ascii="Arial" w:cs="Arial" w:eastAsia="Arial" w:hAnsi="Arial"/>
                <w:sz w:val="18"/>
                <w:szCs w:val="18"/>
                <w:color w:val="auto"/>
              </w:rPr>
              <w:t>MISCELLANEOUS</w:t>
            </w:r>
          </w:p>
        </w:tc>
        <w:tc>
          <w:tcPr>
            <w:tcW w:w="2060" w:type="dxa"/>
            <w:vAlign w:val="bottom"/>
          </w:tcPr>
          <w:p>
            <w:pPr>
              <w:jc w:val="right"/>
              <w:spacing w:after="0"/>
              <w:rPr>
                <w:sz w:val="20"/>
                <w:szCs w:val="20"/>
                <w:color w:val="auto"/>
              </w:rPr>
            </w:pPr>
            <w:r>
              <w:rPr>
                <w:rFonts w:ascii="Arial" w:cs="Arial" w:eastAsia="Arial" w:hAnsi="Arial"/>
                <w:sz w:val="18"/>
                <w:szCs w:val="18"/>
                <w:color w:val="auto"/>
              </w:rPr>
              <w:t>78</w:t>
            </w:r>
          </w:p>
        </w:tc>
      </w:tr>
    </w:tbl>
    <w:p>
      <w:pPr>
        <w:jc w:val="right"/>
        <w:spacing w:after="0"/>
        <w:rPr>
          <w:sz w:val="20"/>
          <w:szCs w:val="20"/>
          <w:color w:val="auto"/>
        </w:rPr>
        <w:sectPr>
          <w:pgSz w:w="11900" w:h="16838" w:orient="portrait"/>
          <w:cols w:equalWidth="0" w:num="1">
            <w:col w:w="11020"/>
          </w:cols>
          <w:pgMar w:left="440" w:top="269"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57" w:name="page558"/>
    <w:bookmarkEnd w:id="557"/>
    <w:p>
      <w:pPr>
        <w:jc w:val="right"/>
        <w:ind w:right="39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SCHEDULES</w:t>
      </w:r>
    </w:p>
    <w:p>
      <w:pPr>
        <w:spacing w:after="0" w:line="256"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Schedule 2.4.1</w:t>
      </w:r>
      <w:r>
        <w:rPr>
          <w:sz w:val="20"/>
          <w:szCs w:val="20"/>
          <w:color w:val="auto"/>
        </w:rPr>
        <w:tab/>
      </w:r>
      <w:r>
        <w:rPr>
          <w:rFonts w:ascii="Arial" w:cs="Arial" w:eastAsia="Arial" w:hAnsi="Arial"/>
          <w:sz w:val="15"/>
          <w:szCs w:val="15"/>
          <w:color w:val="auto"/>
        </w:rPr>
        <w:t>Research Plan</w:t>
      </w:r>
    </w:p>
    <w:p>
      <w:pPr>
        <w:spacing w:after="0" w:line="23"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Schedule 10.3</w:t>
      </w:r>
      <w:r>
        <w:rPr>
          <w:sz w:val="20"/>
          <w:szCs w:val="20"/>
          <w:color w:val="auto"/>
        </w:rPr>
        <w:tab/>
      </w:r>
      <w:r>
        <w:rPr>
          <w:rFonts w:ascii="Arial" w:cs="Arial" w:eastAsia="Arial" w:hAnsi="Arial"/>
          <w:sz w:val="16"/>
          <w:szCs w:val="16"/>
          <w:color w:val="auto"/>
        </w:rPr>
        <w:t>Specific Obligations under the NYU Agreement</w:t>
      </w:r>
    </w:p>
    <w:p>
      <w:pPr>
        <w:spacing w:after="0" w:line="9"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Schedule 12.2.3</w:t>
      </w:r>
      <w:r>
        <w:rPr>
          <w:sz w:val="20"/>
          <w:szCs w:val="20"/>
          <w:color w:val="auto"/>
        </w:rPr>
        <w:tab/>
      </w:r>
      <w:r>
        <w:rPr>
          <w:rFonts w:ascii="Arial" w:cs="Arial" w:eastAsia="Arial" w:hAnsi="Arial"/>
          <w:sz w:val="15"/>
          <w:szCs w:val="15"/>
          <w:color w:val="auto"/>
        </w:rPr>
        <w:t>Repare Patent Rights</w:t>
      </w:r>
    </w:p>
    <w:p>
      <w:pPr>
        <w:spacing w:after="0" w:line="9"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Schedule 12.2.4</w:t>
      </w:r>
      <w:r>
        <w:rPr>
          <w:sz w:val="20"/>
          <w:szCs w:val="20"/>
          <w:color w:val="auto"/>
        </w:rPr>
        <w:tab/>
      </w:r>
      <w:r>
        <w:rPr>
          <w:rFonts w:ascii="Arial" w:cs="Arial" w:eastAsia="Arial" w:hAnsi="Arial"/>
          <w:sz w:val="16"/>
          <w:szCs w:val="16"/>
          <w:color w:val="auto"/>
        </w:rPr>
        <w:t>Repare In-Licenses</w:t>
      </w:r>
    </w:p>
    <w:p>
      <w:pPr>
        <w:spacing w:after="0" w:line="14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019"/>
          </w:cols>
          <w:pgMar w:left="440" w:top="269" w:right="1440" w:bottom="1440" w:gutter="0" w:footer="0" w:header="0"/>
        </w:sectPr>
      </w:pPr>
    </w:p>
    <w:bookmarkStart w:id="558" w:name="page559"/>
    <w:bookmarkEnd w:id="55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RESEARCH SERVICES, LICENSE AND COLLABORATION AGREEMENT</w:t>
      </w:r>
    </w:p>
    <w:p>
      <w:pPr>
        <w:spacing w:after="0" w:line="22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THIS RESEARCH SERVICES, LICENSE AND COLLABORATION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January 31, 2019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Repare Therapeutics, Inc., a corporation organized and existing under the laws of Canada and having its principal place of business at 7210 Frederick-Banting, St-Laurent, Quebec, H4S 2A1, Canada (“</w:t>
      </w:r>
      <w:r>
        <w:rPr>
          <w:rFonts w:ascii="Arial" w:cs="Arial" w:eastAsia="Arial" w:hAnsi="Arial"/>
          <w:sz w:val="18"/>
          <w:szCs w:val="18"/>
          <w:b w:val="1"/>
          <w:bCs w:val="1"/>
          <w:color w:val="auto"/>
        </w:rPr>
        <w:t>Repare</w:t>
      </w:r>
      <w:r>
        <w:rPr>
          <w:rFonts w:ascii="Arial" w:cs="Arial" w:eastAsia="Arial" w:hAnsi="Arial"/>
          <w:sz w:val="18"/>
          <w:szCs w:val="18"/>
          <w:color w:val="auto"/>
        </w:rPr>
        <w:t>”), and Ono Pharmaceutical Co., Ltd., a corporation organized and existing under the laws of Japan and having an address of 8-2, Kyutaromachi 1-chome, Chuo-ku, Osaka 541-8564, Japan (“</w:t>
      </w:r>
      <w:r>
        <w:rPr>
          <w:rFonts w:ascii="Arial" w:cs="Arial" w:eastAsia="Arial" w:hAnsi="Arial"/>
          <w:sz w:val="18"/>
          <w:szCs w:val="18"/>
          <w:b w:val="1"/>
          <w:bCs w:val="1"/>
          <w:color w:val="auto"/>
        </w:rPr>
        <w:t>Ono</w:t>
      </w:r>
      <w:r>
        <w:rPr>
          <w:rFonts w:ascii="Arial" w:cs="Arial" w:eastAsia="Arial" w:hAnsi="Arial"/>
          <w:sz w:val="18"/>
          <w:szCs w:val="18"/>
          <w:color w:val="auto"/>
        </w:rPr>
        <w:t>”).</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WHEREAS, Repare owns or otherwise controls certain technology and information relating to Repare’s lead inhibitor program targeting DNA Polymerase </w:t>
      </w:r>
      <w:r>
        <w:rPr>
          <w:rFonts w:ascii="Arial" w:cs="Arial" w:eastAsia="Arial" w:hAnsi="Arial"/>
          <w:sz w:val="18"/>
          <w:szCs w:val="18"/>
          <w:color w:val="auto"/>
        </w:rPr>
        <w:t>q</w:t>
      </w:r>
      <w:r>
        <w:rPr>
          <w:rFonts w:ascii="Arial" w:cs="Arial" w:eastAsia="Arial" w:hAnsi="Arial"/>
          <w:sz w:val="18"/>
          <w:szCs w:val="18"/>
          <w:b w:val="1"/>
          <w:bCs w:val="1"/>
          <w:color w:val="auto"/>
        </w:rPr>
        <w:t>¸ (“Pol</w:t>
      </w:r>
      <w:r>
        <w:rPr>
          <w:rFonts w:ascii="Arial" w:cs="Arial" w:eastAsia="Arial" w:hAnsi="Arial"/>
          <w:sz w:val="18"/>
          <w:szCs w:val="18"/>
          <w:color w:val="auto"/>
        </w:rPr>
        <w:t>q</w:t>
      </w:r>
      <w:r>
        <w:rPr>
          <w:rFonts w:ascii="Arial" w:cs="Arial" w:eastAsia="Arial" w:hAnsi="Arial"/>
          <w:sz w:val="18"/>
          <w:szCs w:val="18"/>
          <w:b w:val="1"/>
          <w:bCs w:val="1"/>
          <w:color w:val="auto"/>
        </w:rPr>
        <w:t>”);</w:t>
      </w:r>
    </w:p>
    <w:p>
      <w:pPr>
        <w:spacing w:after="0" w:line="162"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Ono is a pharmaceutical company that conducts research, development, manufacturing and commercialization of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and</w:t>
      </w:r>
    </w:p>
    <w:p>
      <w:pPr>
        <w:spacing w:after="0" w:line="162"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Ono and Repare desire to collaborate together to research, develop and commercialize products targeting Polq¸ in the Territory,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and conditions set forth herein.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premises and the mutual promises, covenants and conditions contained in this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the Parties hereby agree as follows: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Unless specifically set forth to the contrary herein, the following terms, whether used in the singular or plural, shall have the respective meanings set forth below:</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505(b)(2) NDA</w:t>
      </w:r>
      <w:r>
        <w:rPr>
          <w:rFonts w:ascii="Arial" w:cs="Arial" w:eastAsia="Arial" w:hAnsi="Arial"/>
          <w:sz w:val="18"/>
          <w:szCs w:val="18"/>
          <w:color w:val="auto"/>
        </w:rPr>
        <w:t>” means a new drug application submitted to the FDA under 21 U.S.C. § 355(b)(2) (or any replacement thereof).</w:t>
      </w:r>
    </w:p>
    <w:p>
      <w:pPr>
        <w:spacing w:after="0" w:line="225" w:lineRule="exact"/>
        <w:rPr>
          <w:sz w:val="20"/>
          <w:szCs w:val="20"/>
          <w:color w:val="auto"/>
        </w:rPr>
      </w:pPr>
    </w:p>
    <w:p>
      <w:pPr>
        <w:ind w:right="40" w:firstLine="440"/>
        <w:spacing w:after="0" w:line="274"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color w:val="auto"/>
        </w:rPr>
        <w:t>“</w:t>
      </w:r>
      <w:r>
        <w:rPr>
          <w:rFonts w:ascii="Arial" w:cs="Arial" w:eastAsia="Arial" w:hAnsi="Arial"/>
          <w:sz w:val="17"/>
          <w:szCs w:val="17"/>
          <w:b w:val="1"/>
          <w:bCs w:val="1"/>
          <w:color w:val="auto"/>
        </w:rPr>
        <w:t>Acceptance</w:t>
      </w:r>
      <w:r>
        <w:rPr>
          <w:rFonts w:ascii="Arial" w:cs="Arial" w:eastAsia="Arial" w:hAnsi="Arial"/>
          <w:sz w:val="17"/>
          <w:szCs w:val="17"/>
          <w:color w:val="auto"/>
        </w:rPr>
        <w:t>” means, with respect to an IND, the earlier of (i) the day following the last day on which the applicable Regulatory Authority</w:t>
      </w:r>
      <w:r>
        <w:rPr>
          <w:rFonts w:ascii="Arial" w:cs="Arial" w:eastAsia="Arial" w:hAnsi="Arial"/>
          <w:sz w:val="17"/>
          <w:szCs w:val="17"/>
          <w:b w:val="1"/>
          <w:bCs w:val="1"/>
          <w:color w:val="auto"/>
        </w:rPr>
        <w:t xml:space="preserve"> </w:t>
      </w:r>
      <w:r>
        <w:rPr>
          <w:rFonts w:ascii="Arial" w:cs="Arial" w:eastAsia="Arial" w:hAnsi="Arial"/>
          <w:sz w:val="17"/>
          <w:szCs w:val="17"/>
          <w:color w:val="auto"/>
        </w:rPr>
        <w:t>may object to an IND submission or (ii) the day on which the applicable Regulatory Authority affirmatively accepts an IND submission and notifies the applicable Party it may proceed with Clinical Studies pursuant to such IND. For example, in the United States, in the event that the FDA does not make any objection within thirty (30) calendar days from the IND submission, then Acceptance of such IND would occur thirty-one (31) calendar days from the date of the IND submission. For the avoidance of doubt, if the FDA objects to an IND submission within such thirty (30) day period, then Acceptance of such IND shall occur only after such objection is overcome.</w:t>
      </w:r>
    </w:p>
    <w:p>
      <w:pPr>
        <w:spacing w:after="0" w:line="173"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color w:val="auto"/>
        </w:rPr>
        <w:t>Acquirer</w:t>
      </w:r>
      <w:r>
        <w:rPr>
          <w:rFonts w:ascii="Arial" w:cs="Arial" w:eastAsia="Arial" w:hAnsi="Arial"/>
          <w:sz w:val="18"/>
          <w:szCs w:val="18"/>
          <w:color w:val="auto"/>
        </w:rPr>
        <w:t>” means, collectively, the Third Party referenced in the definition of “Change of Control” and such Third Party’s Affiliates,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the applicable Party in the definition of Change of Control and such Party’s Affiliates, in each case with respect to all such entities as determined as of immediately prior to the closing of such Change of Control.</w:t>
      </w:r>
    </w:p>
    <w:p>
      <w:pPr>
        <w:spacing w:after="0" w:line="176" w:lineRule="exact"/>
        <w:rPr>
          <w:sz w:val="20"/>
          <w:szCs w:val="20"/>
          <w:color w:val="auto"/>
        </w:rPr>
      </w:pPr>
    </w:p>
    <w:p>
      <w:pPr>
        <w:jc w:val="right"/>
        <w:ind w:right="5420"/>
        <w:spacing w:after="0"/>
        <w:rPr>
          <w:sz w:val="20"/>
          <w:szCs w:val="20"/>
          <w:color w:val="auto"/>
        </w:rPr>
      </w:pPr>
      <w:r>
        <w:rPr>
          <w:rFonts w:ascii="Arial" w:cs="Arial" w:eastAsia="Arial" w:hAnsi="Arial"/>
          <w:sz w:val="17"/>
          <w:szCs w:val="17"/>
          <w:b w:val="1"/>
          <w:bCs w:val="1"/>
          <w:color w:val="auto"/>
        </w:rPr>
        <w:t xml:space="preserve">1.4. </w:t>
      </w:r>
      <w:r>
        <w:rPr>
          <w:rFonts w:ascii="Arial" w:cs="Arial" w:eastAsia="Arial" w:hAnsi="Arial"/>
          <w:sz w:val="17"/>
          <w:szCs w:val="17"/>
          <w:color w:val="auto"/>
        </w:rPr>
        <w:t>“</w:t>
      </w:r>
      <w:r>
        <w:rPr>
          <w:rFonts w:ascii="Arial" w:cs="Arial" w:eastAsia="Arial" w:hAnsi="Arial"/>
          <w:sz w:val="17"/>
          <w:szCs w:val="17"/>
          <w:b w:val="1"/>
          <w:bCs w:val="1"/>
          <w:color w:val="auto"/>
        </w:rPr>
        <w:t>Acquiring Party</w:t>
      </w:r>
      <w:r>
        <w:rPr>
          <w:rFonts w:ascii="Arial" w:cs="Arial" w:eastAsia="Arial" w:hAnsi="Arial"/>
          <w:sz w:val="17"/>
          <w:szCs w:val="17"/>
          <w:color w:val="auto"/>
        </w:rPr>
        <w:t>” has the meaning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16.15.2.1</w:t>
      </w:r>
      <w:r>
        <w:rPr>
          <w:rFonts w:ascii="Arial" w:cs="Arial" w:eastAsia="Arial" w:hAnsi="Arial"/>
          <w:sz w:val="17"/>
          <w:szCs w:val="17"/>
          <w:color w:val="auto"/>
        </w:rPr>
        <w:t>.</w:t>
      </w:r>
    </w:p>
    <w:p>
      <w:pPr>
        <w:spacing w:after="0" w:line="173" w:lineRule="exact"/>
        <w:rPr>
          <w:sz w:val="20"/>
          <w:szCs w:val="20"/>
          <w:color w:val="auto"/>
        </w:rPr>
      </w:pPr>
    </w:p>
    <w:p>
      <w:pPr>
        <w:jc w:val="right"/>
        <w:ind w:right="53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69" w:right="479" w:bottom="1440" w:gutter="0" w:footer="0" w:header="0"/>
        </w:sectPr>
      </w:pPr>
    </w:p>
    <w:bookmarkStart w:id="559" w:name="page560"/>
    <w:bookmarkEnd w:id="559"/>
    <w:p>
      <w:pPr>
        <w:ind w:left="4" w:right="2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1.5.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Person, any other Person which controls, is controlled by, or is under common control with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Person. For purposes of this definition, “control” shall mean: (a) in the case of corporate entities, direct or indirect ownership of more than fifty percent (50%) of the stock or shares entitled to vote for the election of directors, or otherwise having the power to control or direct the affairs of such Person; and (b) in the case of non-corporate entities, direct or indirect ownership of more than fifty percent (50%) of the equity interest or the power to direct the management and policies of such non-corporate entities.</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color w:val="auto"/>
        </w:rPr>
        <w:t>“</w:t>
      </w:r>
      <w:r>
        <w:rPr>
          <w:rFonts w:ascii="Arial" w:cs="Arial" w:eastAsia="Arial" w:hAnsi="Arial"/>
          <w:sz w:val="18"/>
          <w:szCs w:val="18"/>
          <w:b w:val="1"/>
          <w:bCs w:val="1"/>
          <w:color w:val="auto"/>
        </w:rPr>
        <w:t>ANDA</w:t>
      </w:r>
      <w:r>
        <w:rPr>
          <w:rFonts w:ascii="Arial" w:cs="Arial" w:eastAsia="Arial" w:hAnsi="Arial"/>
          <w:sz w:val="18"/>
          <w:szCs w:val="18"/>
          <w:color w:val="auto"/>
        </w:rPr>
        <w:t>” means an Abbreviated New Drug Application pursuant to 21 U.S.C. § 355(j) and 21 C.F.R. § 314.3.</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color w:val="auto"/>
        </w:rPr>
        <w:t>Bankrupt Party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10.5</w:t>
      </w:r>
      <w:r>
        <w:rPr>
          <w:rFonts w:ascii="Arial" w:cs="Arial" w:eastAsia="Arial" w:hAnsi="Arial"/>
          <w:sz w:val="18"/>
          <w:szCs w:val="18"/>
          <w:b w:val="1"/>
          <w:bCs w:val="1"/>
          <w:color w:val="auto"/>
        </w:rPr>
        <w:t xml:space="preserve"> </w:t>
      </w:r>
      <w:r>
        <w:rPr>
          <w:rFonts w:ascii="Arial" w:cs="Arial" w:eastAsia="Arial" w:hAnsi="Arial"/>
          <w:sz w:val="18"/>
          <w:szCs w:val="18"/>
          <w:color w:val="auto"/>
        </w:rPr>
        <w:t>(Bankruptcy and Bankruptcy Code).</w:t>
      </w:r>
    </w:p>
    <w:p>
      <w:pPr>
        <w:spacing w:after="0" w:line="225" w:lineRule="exact"/>
        <w:rPr>
          <w:sz w:val="20"/>
          <w:szCs w:val="20"/>
          <w:color w:val="auto"/>
        </w:rPr>
      </w:pPr>
    </w:p>
    <w:p>
      <w:pPr>
        <w:ind w:left="4" w:right="200" w:firstLine="440"/>
        <w:spacing w:after="0" w:line="289" w:lineRule="auto"/>
        <w:rPr>
          <w:sz w:val="20"/>
          <w:szCs w:val="20"/>
          <w:color w:val="auto"/>
        </w:rPr>
      </w:pPr>
      <w:r>
        <w:rPr>
          <w:rFonts w:ascii="Arial" w:cs="Arial" w:eastAsia="Arial" w:hAnsi="Arial"/>
          <w:sz w:val="17"/>
          <w:szCs w:val="17"/>
          <w:b w:val="1"/>
          <w:bCs w:val="1"/>
          <w:color w:val="auto"/>
        </w:rPr>
        <w:t xml:space="preserve">1.9. </w:t>
      </w:r>
      <w:r>
        <w:rPr>
          <w:rFonts w:ascii="Arial" w:cs="Arial" w:eastAsia="Arial" w:hAnsi="Arial"/>
          <w:sz w:val="17"/>
          <w:szCs w:val="17"/>
          <w:color w:val="auto"/>
        </w:rPr>
        <w:t>“</w:t>
      </w:r>
      <w:r>
        <w:rPr>
          <w:rFonts w:ascii="Arial" w:cs="Arial" w:eastAsia="Arial" w:hAnsi="Arial"/>
          <w:sz w:val="17"/>
          <w:szCs w:val="17"/>
          <w:b w:val="1"/>
          <w:bCs w:val="1"/>
          <w:color w:val="auto"/>
        </w:rPr>
        <w:t>Bankruptcy Code</w:t>
      </w:r>
      <w:r>
        <w:rPr>
          <w:rFonts w:ascii="Arial" w:cs="Arial" w:eastAsia="Arial" w:hAnsi="Arial"/>
          <w:sz w:val="17"/>
          <w:szCs w:val="17"/>
          <w:color w:val="auto"/>
        </w:rPr>
        <w:t>” means Section 365(n) of Title 11 of the United States Code (the “</w:t>
      </w:r>
      <w:r>
        <w:rPr>
          <w:rFonts w:ascii="Arial" w:cs="Arial" w:eastAsia="Arial" w:hAnsi="Arial"/>
          <w:sz w:val="17"/>
          <w:szCs w:val="17"/>
          <w:b w:val="1"/>
          <w:bCs w:val="1"/>
          <w:color w:val="auto"/>
        </w:rPr>
        <w:t>U.S. Bankruptcy Code</w:t>
      </w:r>
      <w:r>
        <w:rPr>
          <w:rFonts w:ascii="Arial" w:cs="Arial" w:eastAsia="Arial" w:hAnsi="Arial"/>
          <w:sz w:val="17"/>
          <w:szCs w:val="17"/>
          <w:color w:val="auto"/>
        </w:rPr>
        <w:t>”) in case of USA,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Creditors Arrangement Act (“</w:t>
      </w:r>
      <w:r>
        <w:rPr>
          <w:rFonts w:ascii="Arial" w:cs="Arial" w:eastAsia="Arial" w:hAnsi="Arial"/>
          <w:sz w:val="17"/>
          <w:szCs w:val="17"/>
          <w:b w:val="1"/>
          <w:bCs w:val="1"/>
          <w:color w:val="auto"/>
        </w:rPr>
        <w:t>CCAA</w:t>
      </w:r>
      <w:r>
        <w:rPr>
          <w:rFonts w:ascii="Arial" w:cs="Arial" w:eastAsia="Arial" w:hAnsi="Arial"/>
          <w:sz w:val="17"/>
          <w:szCs w:val="17"/>
          <w:color w:val="auto"/>
        </w:rPr>
        <w:t>”) and the Bankruptcy and Insolvency Act (the “</w:t>
      </w:r>
      <w:r>
        <w:rPr>
          <w:rFonts w:ascii="Arial" w:cs="Arial" w:eastAsia="Arial" w:hAnsi="Arial"/>
          <w:sz w:val="17"/>
          <w:szCs w:val="17"/>
          <w:b w:val="1"/>
          <w:bCs w:val="1"/>
          <w:color w:val="auto"/>
        </w:rPr>
        <w:t>BIA</w:t>
      </w:r>
      <w:r>
        <w:rPr>
          <w:rFonts w:ascii="Arial" w:cs="Arial" w:eastAsia="Arial" w:hAnsi="Arial"/>
          <w:sz w:val="17"/>
          <w:szCs w:val="17"/>
          <w:color w:val="auto"/>
        </w:rPr>
        <w:t>”)” in case of Canada and “Bankruptcy Act and its relevant acts” in case of Japan or the equivalent of any of the foregoing in any foreign counterpart thereto, as applicable.</w:t>
      </w:r>
    </w:p>
    <w:p>
      <w:pPr>
        <w:spacing w:after="0" w:line="158" w:lineRule="exact"/>
        <w:rPr>
          <w:sz w:val="20"/>
          <w:szCs w:val="20"/>
          <w:color w:val="auto"/>
        </w:rPr>
      </w:pPr>
    </w:p>
    <w:p>
      <w:pPr>
        <w:jc w:val="both"/>
        <w:ind w:left="4" w:right="180" w:firstLine="440"/>
        <w:spacing w:after="0" w:line="266"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Business Day(s)</w:t>
      </w:r>
      <w:r>
        <w:rPr>
          <w:rFonts w:ascii="Arial" w:cs="Arial" w:eastAsia="Arial" w:hAnsi="Arial"/>
          <w:sz w:val="18"/>
          <w:szCs w:val="18"/>
          <w:color w:val="auto"/>
        </w:rPr>
        <w:t>” means any day other than a day which is a Saturday, a Sunday, any day banks are authorized or required to be closed in</w:t>
      </w:r>
      <w:r>
        <w:rPr>
          <w:rFonts w:ascii="Arial" w:cs="Arial" w:eastAsia="Arial" w:hAnsi="Arial"/>
          <w:sz w:val="18"/>
          <w:szCs w:val="18"/>
          <w:b w:val="1"/>
          <w:bCs w:val="1"/>
          <w:color w:val="auto"/>
        </w:rPr>
        <w:t xml:space="preserve"> </w:t>
      </w:r>
      <w:r>
        <w:rPr>
          <w:rFonts w:ascii="Arial" w:cs="Arial" w:eastAsia="Arial" w:hAnsi="Arial"/>
          <w:sz w:val="18"/>
          <w:szCs w:val="18"/>
          <w:color w:val="auto"/>
        </w:rPr>
        <w:t>Canada or Japan or any day within Repare’s corporate holidays (for Repare’s obligations) or Ono’s corporate holidays (for Ono’s obligations). The list of the Parties’ respective corporate holidays is yearly exchanged.</w:t>
      </w:r>
    </w:p>
    <w:p>
      <w:pPr>
        <w:spacing w:after="0" w:line="176"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color w:val="auto"/>
        </w:rPr>
        <w:t>“</w:t>
      </w:r>
      <w:r>
        <w:rPr>
          <w:rFonts w:ascii="Arial" w:cs="Arial" w:eastAsia="Arial" w:hAnsi="Arial"/>
          <w:sz w:val="16"/>
          <w:szCs w:val="16"/>
          <w:b w:val="1"/>
          <w:bCs w:val="1"/>
          <w:color w:val="auto"/>
        </w:rPr>
        <w:t>Calendar Quarter</w:t>
      </w:r>
      <w:r>
        <w:rPr>
          <w:rFonts w:ascii="Arial" w:cs="Arial" w:eastAsia="Arial" w:hAnsi="Arial"/>
          <w:sz w:val="16"/>
          <w:szCs w:val="16"/>
          <w:color w:val="auto"/>
        </w:rPr>
        <w:t>” means the respective periods of three (3) consecutive calendar months ending on March 31, June 30, September 30</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December 31 of each calendar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first Calendar Quarter of the Term shall begin on the Effective Date and end on the first to occur of March 31, June 30, September 30 or December 31 thereafter and the last Calendar Quarter of the Term shall end on the last day of the Term and</w:t>
      </w:r>
    </w:p>
    <w:p>
      <w:pPr>
        <w:spacing w:after="0" w:line="2" w:lineRule="exact"/>
        <w:rPr>
          <w:sz w:val="20"/>
          <w:szCs w:val="20"/>
          <w:color w:val="auto"/>
        </w:rPr>
      </w:pPr>
    </w:p>
    <w:p>
      <w:pPr>
        <w:ind w:left="4" w:right="180" w:hanging="4"/>
        <w:spacing w:after="0" w:line="255" w:lineRule="auto"/>
        <w:tabs>
          <w:tab w:leader="none" w:pos="259"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first Calendar Quarter of a Royalty Term for a Licensed Product in a country shall begin on the First Commercial Sale of a Licensed Product in such country and end on the first to occur of March 31, June 30, September 30 or December 31 thereafter and the last Calendar Quarter of a Royalty Term shall end on the last day of such Royalty Term.</w:t>
      </w:r>
    </w:p>
    <w:p>
      <w:pPr>
        <w:spacing w:after="0" w:line="186"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6"/>
          <w:szCs w:val="16"/>
          <w:color w:val="auto"/>
        </w:rPr>
        <w:t>“</w:t>
      </w:r>
      <w:r>
        <w:rPr>
          <w:rFonts w:ascii="Arial" w:cs="Arial" w:eastAsia="Arial" w:hAnsi="Arial"/>
          <w:sz w:val="16"/>
          <w:szCs w:val="16"/>
          <w:b w:val="1"/>
          <w:bCs w:val="1"/>
          <w:color w:val="auto"/>
        </w:rPr>
        <w:t>Calendar Year</w:t>
      </w:r>
      <w:r>
        <w:rPr>
          <w:rFonts w:ascii="Arial" w:cs="Arial" w:eastAsia="Arial" w:hAnsi="Arial"/>
          <w:sz w:val="16"/>
          <w:szCs w:val="16"/>
          <w:color w:val="auto"/>
        </w:rPr>
        <w:t>” means each successive period of twelve (12) months commencing on January 1 and ending on December 31,</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w:t>
      </w:r>
    </w:p>
    <w:p>
      <w:pPr>
        <w:spacing w:after="0" w:line="50" w:lineRule="exact"/>
        <w:rPr>
          <w:sz w:val="20"/>
          <w:szCs w:val="20"/>
          <w:color w:val="auto"/>
        </w:rPr>
      </w:pPr>
    </w:p>
    <w:p>
      <w:pPr>
        <w:ind w:left="4" w:right="80" w:hanging="4"/>
        <w:spacing w:after="0" w:line="253" w:lineRule="auto"/>
        <w:tabs>
          <w:tab w:leader="none" w:pos="249"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first Calendar Year of the Term shall begin on the Effective Date and end on the first December 31 thereafter and the last Calendar Year of the Term shall end on the last day of the Term and (b) the first Calendar Year of a Royalty Term for a Licensed Product in a country shall begin on the First Commercial Sale of a Licensed Product in such country and end on the first December 31 thereafter and the last Calendar Year of the Term shall end on the last day of such Royalty Term.</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69" w:right="459" w:bottom="1440" w:gutter="0" w:footer="0" w:header="0"/>
        </w:sectPr>
      </w:pPr>
    </w:p>
    <w:bookmarkStart w:id="560" w:name="page561"/>
    <w:bookmarkEnd w:id="560"/>
    <w:p>
      <w:pPr>
        <w:ind w:right="320" w:firstLine="440"/>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1.13. </w:t>
      </w:r>
      <w:r>
        <w:rPr>
          <w:rFonts w:ascii="Arial" w:cs="Arial" w:eastAsia="Arial" w:hAnsi="Arial"/>
          <w:sz w:val="16"/>
          <w:szCs w:val="16"/>
          <w:color w:val="auto"/>
        </w:rPr>
        <w:t>“</w:t>
      </w:r>
      <w:r>
        <w:rPr>
          <w:rFonts w:ascii="Arial" w:cs="Arial" w:eastAsia="Arial" w:hAnsi="Arial"/>
          <w:sz w:val="16"/>
          <w:szCs w:val="16"/>
          <w:b w:val="1"/>
          <w:bCs w:val="1"/>
          <w:color w:val="auto"/>
        </w:rPr>
        <w:t>CDISC</w:t>
      </w:r>
      <w:r>
        <w:rPr>
          <w:rFonts w:ascii="Arial" w:cs="Arial" w:eastAsia="Arial" w:hAnsi="Arial"/>
          <w:sz w:val="16"/>
          <w:szCs w:val="16"/>
          <w:color w:val="auto"/>
        </w:rPr>
        <w:t>” means Clinical Data Interchange Standards Consortium which is an interdisciplinary nonprofit organization that establishes</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standards for data collection, interchange, application, and storage for the purpose of promoting interoperation of clinical research data.</w:t>
      </w:r>
    </w:p>
    <w:p>
      <w:pPr>
        <w:spacing w:after="0" w:line="116"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cGMP</w:t>
      </w:r>
      <w:r>
        <w:rPr>
          <w:rFonts w:ascii="Arial" w:cs="Arial" w:eastAsia="Arial" w:hAnsi="Arial"/>
          <w:sz w:val="18"/>
          <w:szCs w:val="18"/>
          <w:color w:val="auto"/>
        </w:rPr>
        <w:t>” or “</w:t>
      </w:r>
      <w:r>
        <w:rPr>
          <w:rFonts w:ascii="Arial" w:cs="Arial" w:eastAsia="Arial" w:hAnsi="Arial"/>
          <w:sz w:val="18"/>
          <w:szCs w:val="18"/>
          <w:b w:val="1"/>
          <w:bCs w:val="1"/>
          <w:color w:val="auto"/>
        </w:rPr>
        <w:t>current Good Manufacturing Practices</w:t>
      </w:r>
      <w:r>
        <w:rPr>
          <w:rFonts w:ascii="Arial" w:cs="Arial" w:eastAsia="Arial" w:hAnsi="Arial"/>
          <w:sz w:val="18"/>
          <w:szCs w:val="18"/>
          <w:color w:val="auto"/>
        </w:rPr>
        <w:t>” means all Laws and guidelines applicable to Manufacture of the Licensed Drug</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 or Licensed Product, including (a) the FD&amp;C Act (21 U.S.C. 321 et seq.); (b) relevant United States regulations in Title 21 of the United States Code of Federal Regulations (including Parts 11, 210, and 211); (c) European Community Directives 2001/83/EC and 2003/94/EC; (d) the EU Guidelines to Good Manufacturing Practice Medicinal Products for Human and Veterinary Use, as set out in Volume 4 of the European Commission’s Rules governing medicinal products in the EU; (e) those standards required by the MHLW; (f) ICH, Q7 Good Manufacturing Practice Guidance for Active Pharmaceutical Ingredients; (g) similar standards and Laws to those in (a) through (f), as are in effect at the time of Manufacture of the Licensed Drug Candidate or Licensed Product; and (h) all additional Regulatory Authority documents or regulations that replace, amend, modify, supplant or complement any of the foregoing.</w:t>
      </w:r>
    </w:p>
    <w:p>
      <w:pPr>
        <w:spacing w:after="0" w:line="192" w:lineRule="exact"/>
        <w:rPr>
          <w:sz w:val="20"/>
          <w:szCs w:val="20"/>
          <w:color w:val="auto"/>
        </w:rPr>
      </w:pPr>
    </w:p>
    <w:p>
      <w:pPr>
        <w:ind w:right="160" w:firstLine="440"/>
        <w:spacing w:after="0" w:line="261"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Challenge Action</w:t>
      </w:r>
      <w:r>
        <w:rPr>
          <w:rFonts w:ascii="Arial" w:cs="Arial" w:eastAsia="Arial" w:hAnsi="Arial"/>
          <w:sz w:val="18"/>
          <w:szCs w:val="18"/>
          <w:color w:val="auto"/>
        </w:rPr>
        <w:t>” means any action or proceeding (including a declaratory judgment action, opposition,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partes</w:t>
      </w:r>
      <w:r>
        <w:rPr>
          <w:rFonts w:ascii="Arial" w:cs="Arial" w:eastAsia="Arial" w:hAnsi="Arial"/>
          <w:sz w:val="18"/>
          <w:szCs w:val="18"/>
          <w:b w:val="1"/>
          <w:bCs w:val="1"/>
          <w:color w:val="auto"/>
        </w:rPr>
        <w:t xml:space="preserve"> </w:t>
      </w:r>
      <w:r>
        <w:rPr>
          <w:rFonts w:ascii="Arial" w:cs="Arial" w:eastAsia="Arial" w:hAnsi="Arial"/>
          <w:sz w:val="18"/>
          <w:szCs w:val="18"/>
          <w:color w:val="auto"/>
        </w:rPr>
        <w:t>review, or</w:t>
      </w:r>
      <w:r>
        <w:rPr>
          <w:rFonts w:ascii="Arial" w:cs="Arial" w:eastAsia="Arial" w:hAnsi="Arial"/>
          <w:sz w:val="18"/>
          <w:szCs w:val="18"/>
          <w:b w:val="1"/>
          <w:bCs w:val="1"/>
          <w:color w:val="auto"/>
        </w:rPr>
        <w:t xml:space="preserve"> </w:t>
      </w:r>
      <w:r>
        <w:rPr>
          <w:rFonts w:ascii="Arial" w:cs="Arial" w:eastAsia="Arial" w:hAnsi="Arial"/>
          <w:sz w:val="18"/>
          <w:szCs w:val="18"/>
          <w:color w:val="auto"/>
        </w:rPr>
        <w:t>nullification action) brought by a Third Party that challenges the patentability, validity or enforceability of any Ono Technology, Repare Technology or Joint Technology or that seeks a determination that any product does not infringe or misappropriate any Repare Technology, Ono Technology or Joint Technology.</w:t>
      </w:r>
    </w:p>
    <w:p>
      <w:pPr>
        <w:spacing w:after="0" w:line="18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with respect to a Party (a) the acquisition of beneficial ownership, directly or indirectly, by any Third Party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or other voting interest of such Party representing a majority or more of the combined voting power of such Party’s then outstanding securities or other voting interests, (b) any merger, reorganization, consolidation or business combination involving such Party with a Third Party that results in the holders of beneficial ownership (other than by virtue of obtaining irrevocable proxies) of the voting securities or other voting interests of such Party (or, if applicable, the ultimate parent of such Party) immediately prior to such merger, reorganization, consolidation or business combination ceasing to hold beneficial ownership of more than (50%) of the combined voting power of the surviving entity immediately after such merger, reorganization, consolidation or business combination, or (c) any sale, lease, exchange, contribution or other transfer (in one transaction or a series of related transactions) of all or substantially all of the assets of such Party to which this Agreement relates to a Third Party, other than a sale or disposition of such assets to an Affiliate of such Party.</w:t>
      </w:r>
    </w:p>
    <w:p>
      <w:pPr>
        <w:spacing w:after="0" w:line="188" w:lineRule="exact"/>
        <w:rPr>
          <w:sz w:val="20"/>
          <w:szCs w:val="20"/>
          <w:color w:val="auto"/>
        </w:rPr>
      </w:pPr>
    </w:p>
    <w:p>
      <w:pPr>
        <w:ind w:right="500" w:firstLine="440"/>
        <w:spacing w:after="0" w:line="312" w:lineRule="auto"/>
        <w:rPr>
          <w:sz w:val="20"/>
          <w:szCs w:val="20"/>
          <w:color w:val="auto"/>
        </w:rPr>
      </w:pPr>
      <w:r>
        <w:rPr>
          <w:rFonts w:ascii="Arial" w:cs="Arial" w:eastAsia="Arial" w:hAnsi="Arial"/>
          <w:sz w:val="17"/>
          <w:szCs w:val="17"/>
          <w:b w:val="1"/>
          <w:bCs w:val="1"/>
          <w:color w:val="auto"/>
        </w:rPr>
        <w:t xml:space="preserve">1.17. </w:t>
      </w:r>
      <w:r>
        <w:rPr>
          <w:rFonts w:ascii="Arial" w:cs="Arial" w:eastAsia="Arial" w:hAnsi="Arial"/>
          <w:sz w:val="17"/>
          <w:szCs w:val="17"/>
          <w:color w:val="auto"/>
        </w:rPr>
        <w:t>“</w:t>
      </w:r>
      <w:r>
        <w:rPr>
          <w:rFonts w:ascii="Arial" w:cs="Arial" w:eastAsia="Arial" w:hAnsi="Arial"/>
          <w:sz w:val="17"/>
          <w:szCs w:val="17"/>
          <w:b w:val="1"/>
          <w:bCs w:val="1"/>
          <w:color w:val="auto"/>
        </w:rPr>
        <w:t>Clinical Study</w:t>
      </w:r>
      <w:r>
        <w:rPr>
          <w:rFonts w:ascii="Arial" w:cs="Arial" w:eastAsia="Arial" w:hAnsi="Arial"/>
          <w:sz w:val="17"/>
          <w:szCs w:val="17"/>
          <w:color w:val="auto"/>
        </w:rPr>
        <w:t>” or “</w:t>
      </w:r>
      <w:r>
        <w:rPr>
          <w:rFonts w:ascii="Arial" w:cs="Arial" w:eastAsia="Arial" w:hAnsi="Arial"/>
          <w:sz w:val="17"/>
          <w:szCs w:val="17"/>
          <w:b w:val="1"/>
          <w:bCs w:val="1"/>
          <w:color w:val="auto"/>
        </w:rPr>
        <w:t>Clinical Studies</w:t>
      </w:r>
      <w:r>
        <w:rPr>
          <w:rFonts w:ascii="Arial" w:cs="Arial" w:eastAsia="Arial" w:hAnsi="Arial"/>
          <w:sz w:val="17"/>
          <w:szCs w:val="17"/>
          <w:color w:val="auto"/>
        </w:rPr>
        <w:t>” means any clinical trial in humans, including a Phase 1 Clinical Study, Phase 2 Clinical Study,</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Study, an Ono post- Regulatory Approval study, a Repare post-Regulatory Approval study or a Global Clinical Study.</w:t>
      </w:r>
    </w:p>
    <w:p>
      <w:pPr>
        <w:spacing w:after="0" w:line="140" w:lineRule="exact"/>
        <w:rPr>
          <w:sz w:val="20"/>
          <w:szCs w:val="20"/>
          <w:color w:val="auto"/>
        </w:rPr>
      </w:pPr>
    </w:p>
    <w:p>
      <w:pPr>
        <w:ind w:right="20" w:firstLine="440"/>
        <w:spacing w:after="0" w:line="303" w:lineRule="auto"/>
        <w:rPr>
          <w:sz w:val="20"/>
          <w:szCs w:val="20"/>
          <w:color w:val="auto"/>
        </w:rPr>
      </w:pPr>
      <w:r>
        <w:rPr>
          <w:rFonts w:ascii="Arial" w:cs="Arial" w:eastAsia="Arial" w:hAnsi="Arial"/>
          <w:sz w:val="16"/>
          <w:szCs w:val="16"/>
          <w:b w:val="1"/>
          <w:bCs w:val="1"/>
          <w:color w:val="auto"/>
        </w:rPr>
        <w:t xml:space="preserve">1.18. </w:t>
      </w:r>
      <w:r>
        <w:rPr>
          <w:rFonts w:ascii="Arial" w:cs="Arial" w:eastAsia="Arial" w:hAnsi="Arial"/>
          <w:sz w:val="16"/>
          <w:szCs w:val="16"/>
          <w:color w:val="auto"/>
        </w:rPr>
        <w:t>“</w:t>
      </w:r>
      <w:r>
        <w:rPr>
          <w:rFonts w:ascii="Arial" w:cs="Arial" w:eastAsia="Arial" w:hAnsi="Arial"/>
          <w:sz w:val="16"/>
          <w:szCs w:val="16"/>
          <w:b w:val="1"/>
          <w:bCs w:val="1"/>
          <w:color w:val="auto"/>
        </w:rPr>
        <w:t>CMC</w:t>
      </w:r>
      <w:r>
        <w:rPr>
          <w:rFonts w:ascii="Arial" w:cs="Arial" w:eastAsia="Arial" w:hAnsi="Arial"/>
          <w:sz w:val="16"/>
          <w:szCs w:val="16"/>
          <w:color w:val="auto"/>
        </w:rPr>
        <w:t>” means, with respect to Drug Candidates, Licensed Drug Candidates or Licensed Products, the Development activities related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composition, manufacture and specification of the drug substance and the drug product intended to assure the proper identification, quality, purity and strength of the drug, including test method development, stability testing, process development, drug substance development, process validation, process scale-up, manufacturing scale-up, formulation development, delivery system development, quality assurance and quality control development.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69" w:right="439" w:bottom="1440" w:gutter="0" w:footer="0" w:header="0"/>
        </w:sectPr>
      </w:pPr>
    </w:p>
    <w:bookmarkStart w:id="561" w:name="page562"/>
    <w:bookmarkEnd w:id="561"/>
    <w:p>
      <w:pPr>
        <w:ind w:left="4" w:right="6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1.19. </w:t>
      </w:r>
      <w:r>
        <w:rPr>
          <w:rFonts w:ascii="Arial" w:cs="Arial" w:eastAsia="Arial" w:hAnsi="Arial"/>
          <w:sz w:val="18"/>
          <w:szCs w:val="18"/>
          <w:color w:val="auto"/>
        </w:rPr>
        <w:t>“</w:t>
      </w:r>
      <w:r>
        <w:rPr>
          <w:rFonts w:ascii="Arial" w:cs="Arial" w:eastAsia="Arial" w:hAnsi="Arial"/>
          <w:sz w:val="18"/>
          <w:szCs w:val="18"/>
          <w:b w:val="1"/>
          <w:bCs w:val="1"/>
          <w:color w:val="auto"/>
        </w:rPr>
        <w:t>Collaboration</w:t>
      </w:r>
      <w:r>
        <w:rPr>
          <w:rFonts w:ascii="Arial" w:cs="Arial" w:eastAsia="Arial" w:hAnsi="Arial"/>
          <w:sz w:val="18"/>
          <w:szCs w:val="18"/>
          <w:color w:val="auto"/>
        </w:rPr>
        <w:t>” means the collaboration of the Parties under this Agreement, including the research, Development, and Commercialization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for the Polq Program, Drug Candidates, Licensed Drug Candidates and Licensed Products to be conducted by the Parties pursuant to this Agreement.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1.20. “Combination Product”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1.87</w:t>
      </w:r>
      <w:r>
        <w:rPr>
          <w:rFonts w:ascii="Arial" w:cs="Arial" w:eastAsia="Arial" w:hAnsi="Arial"/>
          <w:sz w:val="18"/>
          <w:szCs w:val="18"/>
          <w:b w:val="1"/>
          <w:bCs w:val="1"/>
          <w:color w:val="auto"/>
        </w:rPr>
        <w:t xml:space="preserve"> </w:t>
      </w:r>
      <w:r>
        <w:rPr>
          <w:rFonts w:ascii="Arial" w:cs="Arial" w:eastAsia="Arial" w:hAnsi="Arial"/>
          <w:sz w:val="18"/>
          <w:szCs w:val="18"/>
          <w:color w:val="auto"/>
        </w:rPr>
        <w:t>(Net Sales).</w:t>
      </w:r>
    </w:p>
    <w:p>
      <w:pPr>
        <w:spacing w:after="0" w:line="225"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b w:val="1"/>
          <w:bCs w:val="1"/>
          <w:color w:val="auto"/>
        </w:rPr>
        <w:t xml:space="preserve">1.21. </w:t>
      </w:r>
      <w:r>
        <w:rPr>
          <w:rFonts w:ascii="Arial" w:cs="Arial" w:eastAsia="Arial" w:hAnsi="Arial"/>
          <w:sz w:val="16"/>
          <w:szCs w:val="16"/>
          <w:color w:val="auto"/>
        </w:rPr>
        <w:t>“</w:t>
      </w:r>
      <w:r>
        <w:rPr>
          <w:rFonts w:ascii="Arial" w:cs="Arial" w:eastAsia="Arial" w:hAnsi="Arial"/>
          <w:sz w:val="16"/>
          <w:szCs w:val="16"/>
          <w:b w:val="1"/>
          <w:bCs w:val="1"/>
          <w:color w:val="auto"/>
        </w:rPr>
        <w:t>Commercialization</w:t>
      </w:r>
      <w:r>
        <w:rPr>
          <w:rFonts w:ascii="Arial" w:cs="Arial" w:eastAsia="Arial" w:hAnsi="Arial"/>
          <w:sz w:val="16"/>
          <w:szCs w:val="16"/>
          <w:color w:val="auto"/>
        </w:rPr>
        <w:t>” or “</w:t>
      </w:r>
      <w:r>
        <w:rPr>
          <w:rFonts w:ascii="Arial" w:cs="Arial" w:eastAsia="Arial" w:hAnsi="Arial"/>
          <w:sz w:val="16"/>
          <w:szCs w:val="16"/>
          <w:b w:val="1"/>
          <w:bCs w:val="1"/>
          <w:color w:val="auto"/>
        </w:rPr>
        <w:t>Commercialize</w:t>
      </w:r>
      <w:r>
        <w:rPr>
          <w:rFonts w:ascii="Arial" w:cs="Arial" w:eastAsia="Arial" w:hAnsi="Arial"/>
          <w:sz w:val="16"/>
          <w:szCs w:val="16"/>
          <w:color w:val="auto"/>
        </w:rPr>
        <w:t>” means any and all activities directed to marketing, promoting, distributing, importing,</w:t>
      </w:r>
      <w:r>
        <w:rPr>
          <w:rFonts w:ascii="Arial" w:cs="Arial" w:eastAsia="Arial" w:hAnsi="Arial"/>
          <w:sz w:val="16"/>
          <w:szCs w:val="16"/>
          <w:b w:val="1"/>
          <w:bCs w:val="1"/>
          <w:color w:val="auto"/>
        </w:rPr>
        <w:t xml:space="preserve"> </w:t>
      </w:r>
      <w:r>
        <w:rPr>
          <w:rFonts w:ascii="Arial" w:cs="Arial" w:eastAsia="Arial" w:hAnsi="Arial"/>
          <w:sz w:val="16"/>
          <w:szCs w:val="16"/>
          <w:color w:val="auto"/>
        </w:rPr>
        <w:t>exporting, using, offering to sell, selling or having sold a Licensed Product, including by way of example: (a) detailing and other promotional activities;</w:t>
      </w:r>
    </w:p>
    <w:p>
      <w:pPr>
        <w:spacing w:after="0" w:line="1" w:lineRule="exact"/>
        <w:rPr>
          <w:sz w:val="20"/>
          <w:szCs w:val="20"/>
          <w:color w:val="auto"/>
        </w:rPr>
      </w:pPr>
    </w:p>
    <w:p>
      <w:pPr>
        <w:ind w:left="4" w:hanging="4"/>
        <w:spacing w:after="0" w:line="281" w:lineRule="auto"/>
        <w:tabs>
          <w:tab w:leader="none" w:pos="259" w:val="left"/>
        </w:tabs>
        <w:numPr>
          <w:ilvl w:val="0"/>
          <w:numId w:val="366"/>
        </w:numPr>
        <w:rPr>
          <w:rFonts w:ascii="Arial" w:cs="Arial" w:eastAsia="Arial" w:hAnsi="Arial"/>
          <w:sz w:val="16"/>
          <w:szCs w:val="16"/>
          <w:color w:val="auto"/>
        </w:rPr>
      </w:pPr>
      <w:r>
        <w:rPr>
          <w:rFonts w:ascii="Arial" w:cs="Arial" w:eastAsia="Arial" w:hAnsi="Arial"/>
          <w:sz w:val="16"/>
          <w:szCs w:val="16"/>
          <w:color w:val="auto"/>
        </w:rPr>
        <w:t>advertising and public relations in support of a product, including market research, development and distribution of selling, advertising and promotional materials, field literature, direct-to-consumer advertising campaigns, media/journal advertising, and exhibiting at seminars and conventions;</w:t>
      </w:r>
    </w:p>
    <w:p>
      <w:pPr>
        <w:spacing w:after="0" w:line="1" w:lineRule="exact"/>
        <w:rPr>
          <w:rFonts w:ascii="Arial" w:cs="Arial" w:eastAsia="Arial" w:hAnsi="Arial"/>
          <w:sz w:val="16"/>
          <w:szCs w:val="16"/>
          <w:color w:val="auto"/>
        </w:rPr>
      </w:pPr>
    </w:p>
    <w:p>
      <w:pPr>
        <w:ind w:left="4" w:right="320" w:hanging="4"/>
        <w:spacing w:after="0" w:line="260" w:lineRule="auto"/>
        <w:tabs>
          <w:tab w:leader="none" w:pos="249" w:val="left"/>
        </w:tabs>
        <w:numPr>
          <w:ilvl w:val="0"/>
          <w:numId w:val="366"/>
        </w:numPr>
        <w:rPr>
          <w:rFonts w:ascii="Arial" w:cs="Arial" w:eastAsia="Arial" w:hAnsi="Arial"/>
          <w:sz w:val="18"/>
          <w:szCs w:val="18"/>
          <w:color w:val="auto"/>
        </w:rPr>
      </w:pPr>
      <w:r>
        <w:rPr>
          <w:rFonts w:ascii="Arial" w:cs="Arial" w:eastAsia="Arial" w:hAnsi="Arial"/>
          <w:sz w:val="18"/>
          <w:szCs w:val="18"/>
          <w:color w:val="auto"/>
        </w:rPr>
        <w:t>conducting medical education activities and journal advertising; (d) importing or exporting Licensed Drug Candidate or Licensed Product or raw materials for the Manufacturing of commercial supply of Licensed Drug Candidate and Licensed Product.</w:t>
      </w:r>
    </w:p>
    <w:p>
      <w:pPr>
        <w:spacing w:after="0" w:line="181" w:lineRule="exact"/>
        <w:rPr>
          <w:sz w:val="20"/>
          <w:szCs w:val="20"/>
          <w:color w:val="auto"/>
        </w:rPr>
      </w:pPr>
    </w:p>
    <w:p>
      <w:pPr>
        <w:ind w:left="4" w:right="120" w:firstLine="440"/>
        <w:spacing w:after="0" w:line="281" w:lineRule="auto"/>
        <w:rPr>
          <w:sz w:val="20"/>
          <w:szCs w:val="20"/>
          <w:color w:val="auto"/>
        </w:rPr>
      </w:pPr>
      <w:r>
        <w:rPr>
          <w:rFonts w:ascii="Arial" w:cs="Arial" w:eastAsia="Arial" w:hAnsi="Arial"/>
          <w:sz w:val="17"/>
          <w:szCs w:val="17"/>
          <w:b w:val="1"/>
          <w:bCs w:val="1"/>
          <w:color w:val="auto"/>
        </w:rPr>
        <w:t xml:space="preserve">1.22. </w:t>
      </w:r>
      <w:r>
        <w:rPr>
          <w:rFonts w:ascii="Arial" w:cs="Arial" w:eastAsia="Arial" w:hAnsi="Arial"/>
          <w:sz w:val="17"/>
          <w:szCs w:val="17"/>
          <w:color w:val="auto"/>
        </w:rPr>
        <w:t>“</w:t>
      </w:r>
      <w:r>
        <w:rPr>
          <w:rFonts w:ascii="Arial" w:cs="Arial" w:eastAsia="Arial" w:hAnsi="Arial"/>
          <w:sz w:val="17"/>
          <w:szCs w:val="17"/>
          <w:b w:val="1"/>
          <w:bCs w:val="1"/>
          <w:color w:val="auto"/>
        </w:rPr>
        <w:t>Commercially Reasonable Efforts</w:t>
      </w:r>
      <w:r>
        <w:rPr>
          <w:rFonts w:ascii="Arial" w:cs="Arial" w:eastAsia="Arial" w:hAnsi="Arial"/>
          <w:sz w:val="17"/>
          <w:szCs w:val="17"/>
          <w:color w:val="auto"/>
        </w:rPr>
        <w:t>” means, with respect to a Party’s obligations that relate to the achievement of an objective related to a</w:t>
      </w:r>
      <w:r>
        <w:rPr>
          <w:rFonts w:ascii="Arial" w:cs="Arial" w:eastAsia="Arial" w:hAnsi="Arial"/>
          <w:sz w:val="17"/>
          <w:szCs w:val="17"/>
          <w:b w:val="1"/>
          <w:bCs w:val="1"/>
          <w:color w:val="auto"/>
        </w:rPr>
        <w:t xml:space="preserve"> </w:t>
      </w:r>
      <w:r>
        <w:rPr>
          <w:rFonts w:ascii="Arial" w:cs="Arial" w:eastAsia="Arial" w:hAnsi="Arial"/>
          <w:sz w:val="17"/>
          <w:szCs w:val="17"/>
          <w:color w:val="auto"/>
        </w:rPr>
        <w:t>Drug Candidate, Licensed Drug Candidate or Licensed Product, at any given time as the case may be, efforts reasonably used by a Party, which are in line with [***], for a product (including [***]) of a similar modality with similar commercial potential at a similar stage in their lifecycle (assuming continuing development of such product), taking into consideration all Relevant Factors.</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w:t>
      </w:r>
      <w:r>
        <w:rPr>
          <w:rFonts w:ascii="Arial" w:cs="Arial" w:eastAsia="Arial" w:hAnsi="Arial"/>
          <w:sz w:val="18"/>
          <w:szCs w:val="18"/>
          <w:b w:val="1"/>
          <w:bCs w:val="1"/>
          <w:color w:val="auto"/>
        </w:rPr>
        <w:t>Competing Infringement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14.3.1</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Infringement).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b w:val="1"/>
          <w:bCs w:val="1"/>
          <w:color w:val="auto"/>
        </w:rPr>
        <w:t>Common Brand Name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14.9.1</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w:t>
      </w:r>
      <w:r>
        <w:rPr>
          <w:rFonts w:ascii="Arial" w:cs="Arial" w:eastAsia="Arial" w:hAnsi="Arial"/>
          <w:sz w:val="18"/>
          <w:szCs w:val="18"/>
          <w:b w:val="1"/>
          <w:bCs w:val="1"/>
          <w:color w:val="auto"/>
        </w:rPr>
        <w:t>Competing Program</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16.15.2.1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color w:val="auto"/>
        </w:rPr>
        <w:t>Compound</w:t>
      </w:r>
      <w:r>
        <w:rPr>
          <w:rFonts w:ascii="Arial" w:cs="Arial" w:eastAsia="Arial" w:hAnsi="Arial"/>
          <w:sz w:val="18"/>
          <w:szCs w:val="18"/>
          <w:color w:val="auto"/>
        </w:rPr>
        <w:t>” means any chemical compound, matter, structure or composition.</w:t>
      </w:r>
    </w:p>
    <w:p>
      <w:pPr>
        <w:spacing w:after="0" w:line="225" w:lineRule="exact"/>
        <w:rPr>
          <w:sz w:val="20"/>
          <w:szCs w:val="20"/>
          <w:color w:val="auto"/>
        </w:rPr>
      </w:pPr>
    </w:p>
    <w:p>
      <w:pPr>
        <w:ind w:left="4" w:right="60" w:firstLine="440"/>
        <w:spacing w:after="0" w:line="258" w:lineRule="auto"/>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any and all confidential or proprietary information and data, including Repare Technology, Ono</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and Joint Technology, and all other scientific, pre-clinical, clinical, regulatory, manufacturing, marketing, financial and commercial information or data, whether communicated in writing or orally or by any other method, which is provided by one Party to the other Party in connection with this Agreement. Repare Technology is the Confidential Information of Repare. Ono Technology is the Confidential Information of Ono. Joint Technology and the terms of this Agreement are the Confidential Information of both Parties.</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69" w:right="459" w:bottom="1440" w:gutter="0" w:footer="0" w:header="0"/>
        </w:sectPr>
      </w:pPr>
    </w:p>
    <w:bookmarkStart w:id="562" w:name="page563"/>
    <w:bookmarkEnd w:id="562"/>
    <w:p>
      <w:pPr>
        <w:ind w:firstLine="440"/>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1.28. </w:t>
      </w: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w:t>
      </w:r>
      <w:r>
        <w:rPr>
          <w:rFonts w:ascii="Arial" w:cs="Arial" w:eastAsia="Arial" w:hAnsi="Arial"/>
          <w:sz w:val="17"/>
          <w:szCs w:val="17"/>
          <w:b w:val="1"/>
          <w:bCs w:val="1"/>
          <w:color w:val="auto"/>
        </w:rPr>
        <w:t>Controls</w:t>
      </w:r>
      <w:r>
        <w:rPr>
          <w:rFonts w:ascii="Arial" w:cs="Arial" w:eastAsia="Arial" w:hAnsi="Arial"/>
          <w:sz w:val="17"/>
          <w:szCs w:val="17"/>
          <w:color w:val="auto"/>
        </w:rPr>
        <w:t>” or “</w:t>
      </w:r>
      <w:r>
        <w:rPr>
          <w:rFonts w:ascii="Arial" w:cs="Arial" w:eastAsia="Arial" w:hAnsi="Arial"/>
          <w:sz w:val="17"/>
          <w:szCs w:val="17"/>
          <w:b w:val="1"/>
          <w:bCs w:val="1"/>
          <w:color w:val="auto"/>
        </w:rPr>
        <w:t>Controlled by</w:t>
      </w:r>
      <w:r>
        <w:rPr>
          <w:rFonts w:ascii="Arial" w:cs="Arial" w:eastAsia="Arial" w:hAnsi="Arial"/>
          <w:sz w:val="17"/>
          <w:szCs w:val="17"/>
          <w:color w:val="auto"/>
        </w:rPr>
        <w:t>” means, with respect to any intellectual property right (including any Patent Right or</w:t>
      </w:r>
      <w:r>
        <w:rPr>
          <w:rFonts w:ascii="Arial" w:cs="Arial" w:eastAsia="Arial" w:hAnsi="Arial"/>
          <w:sz w:val="17"/>
          <w:szCs w:val="17"/>
          <w:b w:val="1"/>
          <w:bCs w:val="1"/>
          <w:color w:val="auto"/>
        </w:rPr>
        <w:t xml:space="preserve"> </w:t>
      </w:r>
      <w:r>
        <w:rPr>
          <w:rFonts w:ascii="Arial" w:cs="Arial" w:eastAsia="Arial" w:hAnsi="Arial"/>
          <w:sz w:val="17"/>
          <w:szCs w:val="17"/>
          <w:color w:val="auto"/>
        </w:rPr>
        <w:t>Know-How), the possession of (whether by ownership or license, other than pursuant to this Agreement) the ability of a Party or its Affiliates to assign, transfer, or grant access to, or to grant a license or sublicense of, such right as provided for herein without violating the terms of any agreement or other arrangement with any Third Party existing at the time such Party or its Affiliate would be required hereunder to assign, transfer or grant another Person such access or license or sublicense. Each Party further agrees that, notwithstanding any provisions of this Agreement to the contrary, no Patent Rights, Know-How or other intellectual property or other proprietary rights not Controlled by a Party prior to a Change of Control with respect to such Party or by any of its Affiliates who were its Affiliates prior to such Change of Control (such Party’s “</w:t>
      </w:r>
      <w:r>
        <w:rPr>
          <w:rFonts w:ascii="Arial" w:cs="Arial" w:eastAsia="Arial" w:hAnsi="Arial"/>
          <w:sz w:val="17"/>
          <w:szCs w:val="17"/>
          <w:b w:val="1"/>
          <w:bCs w:val="1"/>
          <w:color w:val="auto"/>
        </w:rPr>
        <w:t>Pre-Existing Affiliates</w:t>
      </w:r>
      <w:r>
        <w:rPr>
          <w:rFonts w:ascii="Arial" w:cs="Arial" w:eastAsia="Arial" w:hAnsi="Arial"/>
          <w:sz w:val="17"/>
          <w:szCs w:val="17"/>
          <w:color w:val="auto"/>
        </w:rPr>
        <w:t>”), or which first becomes Controlled by such Party or such Party’s Pre-Existing Affiliates following such Party’s Change of Control, will be deemed Controlled by such Party or its Affiliates for purposes of this Agreement after such Change of Control, other than any Patent Right that claims priority, directly or indirectly, to any other Patent Right first Controlled by such Party or its Pre-Existing Affiliates before such Change of Control and that is licensed to the other Party hereunder as of such Change of Control, which will be deemed Controlled by such Party or its Pre-Existing Affiliates thereafter no matter when such Patent Right is filed or issued.</w:t>
      </w:r>
    </w:p>
    <w:p>
      <w:pPr>
        <w:spacing w:after="0" w:line="179"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b w:val="1"/>
          <w:bCs w:val="1"/>
          <w:color w:val="auto"/>
        </w:rPr>
        <w:t xml:space="preserve">1.29. </w:t>
      </w:r>
      <w:r>
        <w:rPr>
          <w:rFonts w:ascii="Arial" w:cs="Arial" w:eastAsia="Arial" w:hAnsi="Arial"/>
          <w:sz w:val="17"/>
          <w:szCs w:val="17"/>
          <w:color w:val="auto"/>
        </w:rPr>
        <w:t>“</w:t>
      </w:r>
      <w:r>
        <w:rPr>
          <w:rFonts w:ascii="Arial" w:cs="Arial" w:eastAsia="Arial" w:hAnsi="Arial"/>
          <w:sz w:val="17"/>
          <w:szCs w:val="17"/>
          <w:b w:val="1"/>
          <w:bCs w:val="1"/>
          <w:color w:val="auto"/>
        </w:rPr>
        <w:t>Cost of Goods</w:t>
      </w:r>
      <w:r>
        <w:rPr>
          <w:rFonts w:ascii="Arial" w:cs="Arial" w:eastAsia="Arial" w:hAnsi="Arial"/>
          <w:sz w:val="17"/>
          <w:szCs w:val="17"/>
          <w:color w:val="auto"/>
        </w:rPr>
        <w:t>” means, with respect to the supply of Licensed Drug Candidate or Licensed Product: (a) where Repare or its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Manufacture such Licensed Drug Candidate or Licensed Product, the reasonable internal and external costs incurred by Repare and its Affiliates in Manufacturing such Licensed Drug Candidate or Licensed Product, including the fully allocated cost of Manufacture of such Licensed Drug Candidate or Licensed Product, consisting of direct material and direct labor costs (including direct material and labor costs incurred for facility start-up), plus overhead directly attributable to the Manufacture of such Licensed Drug Candidate or Licensed Product (including all directly incurred Manufacturing variances, inventory write-offs and a reasonable allocation of related Manufacturing administrative, freight, distribution, facilities operations and facilities depreciation costs for such Licensed Drug Candidate or Licensed Product, but in all cases excluding corporate administrative overhead or [***]), all calculated strictly in accordance with GAAP, and (b) where such Licensed Drug Candidate or Licensed Product is Manufactured by a Third Party manufacturer, the actual fees paid by Repare to the Third Party for the Manufacture and supply of such Licensed Drug Candidate or Licensed Product and vendor management costs.</w:t>
      </w:r>
    </w:p>
    <w:p>
      <w:pPr>
        <w:spacing w:after="0" w:line="177"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w:t>
      </w:r>
      <w:r>
        <w:rPr>
          <w:rFonts w:ascii="Arial" w:cs="Arial" w:eastAsia="Arial" w:hAnsi="Arial"/>
          <w:sz w:val="18"/>
          <w:szCs w:val="18"/>
          <w:b w:val="1"/>
          <w:bCs w:val="1"/>
          <w:color w:val="auto"/>
        </w:rPr>
        <w:t>DC Criteria</w:t>
      </w:r>
      <w:r>
        <w:rPr>
          <w:rFonts w:ascii="Arial" w:cs="Arial" w:eastAsia="Arial" w:hAnsi="Arial"/>
          <w:sz w:val="18"/>
          <w:szCs w:val="18"/>
          <w:color w:val="auto"/>
        </w:rPr>
        <w:t>” means the pharmacological, toxicological and biological criteria for DC Selection as set forth in the Research Plan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heading “Target Compound Profile (DC Selection)”.</w:t>
      </w:r>
    </w:p>
    <w:p>
      <w:pPr>
        <w:spacing w:after="0" w:line="162"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w:t>
      </w:r>
      <w:r>
        <w:rPr>
          <w:rFonts w:ascii="Arial" w:cs="Arial" w:eastAsia="Arial" w:hAnsi="Arial"/>
          <w:sz w:val="18"/>
          <w:szCs w:val="18"/>
          <w:b w:val="1"/>
          <w:bCs w:val="1"/>
          <w:color w:val="auto"/>
        </w:rPr>
        <w:t>DC Selection</w:t>
      </w:r>
      <w:r>
        <w:rPr>
          <w:rFonts w:ascii="Arial" w:cs="Arial" w:eastAsia="Arial" w:hAnsi="Arial"/>
          <w:sz w:val="18"/>
          <w:szCs w:val="18"/>
          <w:color w:val="auto"/>
        </w:rPr>
        <w:t>” means the selection and determination of one (1) or more Drug Candidates which meet the DC Criteria that both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agree to further Develop and Commercialize after the DC Selection Meeting as a Licensed Drug Candidate.</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DC Selection Date</w:t>
      </w:r>
      <w:r>
        <w:rPr>
          <w:rFonts w:ascii="Arial" w:cs="Arial" w:eastAsia="Arial" w:hAnsi="Arial"/>
          <w:sz w:val="18"/>
          <w:szCs w:val="18"/>
          <w:color w:val="auto"/>
        </w:rPr>
        <w:t>” means the date of written notice from Ono to Repare that Ono selects a Licensed Drug Candidate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b w:val="1"/>
          <w:bCs w:val="1"/>
          <w:color w:val="auto"/>
        </w:rPr>
        <w:t>DC Selection Meeting</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w:t>
      </w:r>
      <w:r>
        <w:rPr>
          <w:rFonts w:ascii="Arial" w:cs="Arial" w:eastAsia="Arial" w:hAnsi="Arial"/>
          <w:sz w:val="18"/>
          <w:szCs w:val="18"/>
          <w:b w:val="1"/>
          <w:bCs w:val="1"/>
          <w:color w:val="auto"/>
        </w:rPr>
        <w:t>DC Selection Notice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6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69" w:right="539" w:bottom="1440" w:gutter="0" w:footer="0" w:header="0"/>
        </w:sectPr>
      </w:pPr>
    </w:p>
    <w:bookmarkStart w:id="563" w:name="page564"/>
    <w:bookmarkEnd w:id="563"/>
    <w:p>
      <w:pPr>
        <w:ind w:firstLine="440"/>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1.35. </w:t>
      </w:r>
      <w:r>
        <w:rPr>
          <w:rFonts w:ascii="Arial" w:cs="Arial" w:eastAsia="Arial" w:hAnsi="Arial"/>
          <w:sz w:val="17"/>
          <w:szCs w:val="17"/>
          <w:color w:val="auto"/>
        </w:rPr>
        <w:t>“</w:t>
      </w:r>
      <w:r>
        <w:rPr>
          <w:rFonts w:ascii="Arial" w:cs="Arial" w:eastAsia="Arial" w:hAnsi="Arial"/>
          <w:sz w:val="17"/>
          <w:szCs w:val="17"/>
          <w:b w:val="1"/>
          <w:bCs w:val="1"/>
          <w:color w:val="auto"/>
        </w:rPr>
        <w:t>Development,</w:t>
      </w:r>
      <w:r>
        <w:rPr>
          <w:rFonts w:ascii="Arial" w:cs="Arial" w:eastAsia="Arial" w:hAnsi="Arial"/>
          <w:sz w:val="17"/>
          <w:szCs w:val="17"/>
          <w:color w:val="auto"/>
        </w:rPr>
        <w:t>” “</w:t>
      </w:r>
      <w:r>
        <w:rPr>
          <w:rFonts w:ascii="Arial" w:cs="Arial" w:eastAsia="Arial" w:hAnsi="Arial"/>
          <w:sz w:val="17"/>
          <w:szCs w:val="17"/>
          <w:b w:val="1"/>
          <w:bCs w:val="1"/>
          <w:color w:val="auto"/>
        </w:rPr>
        <w:t>Developing</w:t>
      </w:r>
      <w:r>
        <w:rPr>
          <w:rFonts w:ascii="Arial" w:cs="Arial" w:eastAsia="Arial" w:hAnsi="Arial"/>
          <w:sz w:val="17"/>
          <w:szCs w:val="17"/>
          <w:color w:val="auto"/>
        </w:rPr>
        <w:t>” or “</w:t>
      </w:r>
      <w:r>
        <w:rPr>
          <w:rFonts w:ascii="Arial" w:cs="Arial" w:eastAsia="Arial" w:hAnsi="Arial"/>
          <w:sz w:val="17"/>
          <w:szCs w:val="17"/>
          <w:b w:val="1"/>
          <w:bCs w:val="1"/>
          <w:color w:val="auto"/>
        </w:rPr>
        <w:t>Develop</w:t>
      </w:r>
      <w:r>
        <w:rPr>
          <w:rFonts w:ascii="Arial" w:cs="Arial" w:eastAsia="Arial" w:hAnsi="Arial"/>
          <w:sz w:val="17"/>
          <w:szCs w:val="17"/>
          <w:color w:val="auto"/>
        </w:rPr>
        <w:t>” means under this Agreement, with respect to Drug Candidates, Licensed Drug Candidates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Products, the research and development activities related to the generation, characterization, optimization, construction, use and production of Drug Candidates, Licensed Drug Candidates and Licensed Products, any other non-clinical, pre-clinical or clinical research and development activities related to the testing and qualification of Drug Candidates, Licensed Drug Candidates and Licensed Products, as applicable, including toxicology studies, pharmacology studies, statistical analysis and report writing, pre-clinical testing, Clinical Studies, regulatory affairs and registration activities, and all other activities necessary to prepare and file applications for Regulatory Approval and to seek, obtain and maintain Regulatory Approval. For the sake of clarity, Development includes activities conducted as or post-Regulatory Approval study.</w:t>
      </w:r>
    </w:p>
    <w:p>
      <w:pPr>
        <w:spacing w:after="0" w:line="172"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color w:val="auto"/>
        </w:rPr>
        <w:t>“</w:t>
      </w:r>
      <w:r>
        <w:rPr>
          <w:rFonts w:ascii="Arial" w:cs="Arial" w:eastAsia="Arial" w:hAnsi="Arial"/>
          <w:sz w:val="18"/>
          <w:szCs w:val="18"/>
          <w:b w:val="1"/>
          <w:bCs w:val="1"/>
          <w:color w:val="auto"/>
        </w:rPr>
        <w:t>Drug Candidate</w:t>
      </w:r>
      <w:r>
        <w:rPr>
          <w:rFonts w:ascii="Arial" w:cs="Arial" w:eastAsia="Arial" w:hAnsi="Arial"/>
          <w:sz w:val="18"/>
          <w:szCs w:val="18"/>
          <w:color w:val="auto"/>
        </w:rPr>
        <w:t>” means any Compound that inhibits or modulates Polq, and any derivatives, analogs, metabolites, salts, esters, free acid</w:t>
      </w:r>
      <w:r>
        <w:rPr>
          <w:rFonts w:ascii="Arial" w:cs="Arial" w:eastAsia="Arial" w:hAnsi="Arial"/>
          <w:sz w:val="18"/>
          <w:szCs w:val="18"/>
          <w:b w:val="1"/>
          <w:bCs w:val="1"/>
          <w:color w:val="auto"/>
        </w:rPr>
        <w:t xml:space="preserve"> </w:t>
      </w:r>
      <w:r>
        <w:rPr>
          <w:rFonts w:ascii="Arial" w:cs="Arial" w:eastAsia="Arial" w:hAnsi="Arial"/>
          <w:sz w:val="18"/>
          <w:szCs w:val="18"/>
          <w:color w:val="auto"/>
        </w:rPr>
        <w:t>forms, free base forms, pro- drug forms, racemates, solvates or optically active forms of such Compound that is generated, developed, discovered, identified or modified in the course of performance of the Research Plan.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w:t>
      </w:r>
      <w:r>
        <w:rPr>
          <w:rFonts w:ascii="Arial" w:cs="Arial" w:eastAsia="Arial" w:hAnsi="Arial"/>
          <w:sz w:val="18"/>
          <w:szCs w:val="18"/>
          <w:b w:val="1"/>
          <w:bCs w:val="1"/>
          <w:color w:val="auto"/>
        </w:rPr>
        <w:t>Drug Candidate Selection Period</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 or any successor entity thereto performing similar functions.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1.40. </w:t>
      </w:r>
      <w:r>
        <w:rPr>
          <w:rFonts w:ascii="Arial" w:cs="Arial" w:eastAsia="Arial" w:hAnsi="Arial"/>
          <w:sz w:val="18"/>
          <w:szCs w:val="18"/>
          <w:color w:val="auto"/>
        </w:rPr>
        <w:t>“</w:t>
      </w:r>
      <w:r>
        <w:rPr>
          <w:rFonts w:ascii="Arial" w:cs="Arial" w:eastAsia="Arial" w:hAnsi="Arial"/>
          <w:sz w:val="18"/>
          <w:szCs w:val="18"/>
          <w:b w:val="1"/>
          <w:bCs w:val="1"/>
          <w:color w:val="auto"/>
        </w:rPr>
        <w:t>FD&amp;C Act</w:t>
      </w:r>
      <w:r>
        <w:rPr>
          <w:rFonts w:ascii="Arial" w:cs="Arial" w:eastAsia="Arial" w:hAnsi="Arial"/>
          <w:sz w:val="18"/>
          <w:szCs w:val="18"/>
          <w:color w:val="auto"/>
        </w:rPr>
        <w:t>” means the United States Federal Food, Drug and Cosmetic Act, as amended.</w:t>
      </w:r>
    </w:p>
    <w:p>
      <w:pPr>
        <w:spacing w:after="0" w:line="225"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and any successor Governmental Authority having substantially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any and all uses.</w:t>
      </w:r>
    </w:p>
    <w:p>
      <w:pPr>
        <w:spacing w:after="0" w:line="225" w:lineRule="exact"/>
        <w:rPr>
          <w:sz w:val="20"/>
          <w:szCs w:val="20"/>
          <w:color w:val="auto"/>
        </w:rPr>
      </w:pPr>
    </w:p>
    <w:p>
      <w:pPr>
        <w:ind w:right="100" w:firstLine="440"/>
        <w:spacing w:after="0" w:line="312" w:lineRule="auto"/>
        <w:rPr>
          <w:sz w:val="20"/>
          <w:szCs w:val="20"/>
          <w:color w:val="auto"/>
        </w:rPr>
      </w:pPr>
      <w:r>
        <w:rPr>
          <w:rFonts w:ascii="Arial" w:cs="Arial" w:eastAsia="Arial" w:hAnsi="Arial"/>
          <w:sz w:val="17"/>
          <w:szCs w:val="17"/>
          <w:b w:val="1"/>
          <w:bCs w:val="1"/>
          <w:color w:val="auto"/>
        </w:rPr>
        <w:t xml:space="preserve">1.43. </w:t>
      </w:r>
      <w:r>
        <w:rPr>
          <w:rFonts w:ascii="Arial" w:cs="Arial" w:eastAsia="Arial" w:hAnsi="Arial"/>
          <w:sz w:val="17"/>
          <w:szCs w:val="17"/>
          <w:color w:val="auto"/>
        </w:rPr>
        <w:t>“</w:t>
      </w:r>
      <w:r>
        <w:rPr>
          <w:rFonts w:ascii="Arial" w:cs="Arial" w:eastAsia="Arial" w:hAnsi="Arial"/>
          <w:sz w:val="17"/>
          <w:szCs w:val="17"/>
          <w:b w:val="1"/>
          <w:bCs w:val="1"/>
          <w:color w:val="auto"/>
        </w:rPr>
        <w:t>First Commercial Sale</w:t>
      </w:r>
      <w:r>
        <w:rPr>
          <w:rFonts w:ascii="Arial" w:cs="Arial" w:eastAsia="Arial" w:hAnsi="Arial"/>
          <w:sz w:val="17"/>
          <w:szCs w:val="17"/>
          <w:color w:val="auto"/>
        </w:rPr>
        <w:t>” means, with respect to a country, the first sale for end use or consumption of a Licensed Product in such country,</w:t>
      </w:r>
      <w:r>
        <w:rPr>
          <w:rFonts w:ascii="Arial" w:cs="Arial" w:eastAsia="Arial" w:hAnsi="Arial"/>
          <w:sz w:val="17"/>
          <w:szCs w:val="17"/>
          <w:b w:val="1"/>
          <w:bCs w:val="1"/>
          <w:color w:val="auto"/>
        </w:rPr>
        <w:t xml:space="preserve"> </w:t>
      </w:r>
      <w:r>
        <w:rPr>
          <w:rFonts w:ascii="Arial" w:cs="Arial" w:eastAsia="Arial" w:hAnsi="Arial"/>
          <w:sz w:val="17"/>
          <w:szCs w:val="17"/>
          <w:color w:val="auto"/>
        </w:rPr>
        <w:t>[***], after all Regulatory Approvals legally required for such sale have been granted by the Regulatory Authority of such country.</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color w:val="auto"/>
        </w:rPr>
        <w:t>“</w:t>
      </w:r>
      <w:r>
        <w:rPr>
          <w:rFonts w:ascii="Arial" w:cs="Arial" w:eastAsia="Arial" w:hAnsi="Arial"/>
          <w:sz w:val="18"/>
          <w:szCs w:val="18"/>
          <w:b w:val="1"/>
          <w:bCs w:val="1"/>
          <w:color w:val="auto"/>
        </w:rPr>
        <w:t>FTE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6.1.4</w:t>
      </w:r>
      <w:r>
        <w:rPr>
          <w:rFonts w:ascii="Arial" w:cs="Arial" w:eastAsia="Arial" w:hAnsi="Arial"/>
          <w:sz w:val="18"/>
          <w:szCs w:val="18"/>
          <w:color w:val="auto"/>
        </w:rPr>
        <w:t>.</w:t>
      </w:r>
    </w:p>
    <w:p>
      <w:pPr>
        <w:spacing w:after="0" w:line="225"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as practiced in the United States or International Financial Reporting Standards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in each case, consistently applied.</w:t>
      </w:r>
    </w:p>
    <w:p>
      <w:pPr>
        <w:spacing w:after="0" w:line="162"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color w:val="auto"/>
        </w:rPr>
        <w:t>“</w:t>
      </w:r>
      <w:r>
        <w:rPr>
          <w:rFonts w:ascii="Arial" w:cs="Arial" w:eastAsia="Arial" w:hAnsi="Arial"/>
          <w:sz w:val="18"/>
          <w:szCs w:val="18"/>
          <w:b w:val="1"/>
          <w:bCs w:val="1"/>
          <w:color w:val="auto"/>
        </w:rPr>
        <w:t>GCP</w:t>
      </w:r>
      <w:r>
        <w:rPr>
          <w:rFonts w:ascii="Arial" w:cs="Arial" w:eastAsia="Arial" w:hAnsi="Arial"/>
          <w:sz w:val="18"/>
          <w:szCs w:val="18"/>
          <w:color w:val="auto"/>
        </w:rPr>
        <w:t>” or “</w:t>
      </w:r>
      <w:r>
        <w:rPr>
          <w:rFonts w:ascii="Arial" w:cs="Arial" w:eastAsia="Arial" w:hAnsi="Arial"/>
          <w:sz w:val="18"/>
          <w:szCs w:val="18"/>
          <w:b w:val="1"/>
          <w:bCs w:val="1"/>
          <w:color w:val="auto"/>
        </w:rPr>
        <w:t>Good Clinical Practices</w:t>
      </w:r>
      <w:r>
        <w:rPr>
          <w:rFonts w:ascii="Arial" w:cs="Arial" w:eastAsia="Arial" w:hAnsi="Arial"/>
          <w:sz w:val="18"/>
          <w:szCs w:val="18"/>
          <w:color w:val="auto"/>
        </w:rPr>
        <w:t>” means, with respect to any applicable jurisdiction, the then-current standards, practices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procedures for clinical trials for pharmaceuticals promulgated or endorsed by the applicable Regulatory Authority in such jurisdiction (including, with respect to the United States, the FDA) as set forth in the applicable Laws of such jurisdiction, including, with respect to the United States, the guidelines titled “Guidance for Industry E6 Good Clinical Practice: Consolidated Guidance” and related regulatory requirements imposed by the FDA, and with respect to jurisdictions outside the United States, comparable regulatory standards, practices and procedures promulgated by the EMA or other Regulatory Authority, as applicable, including any applicable quality guidelines promulgated under the International Conference on Harmonization (“</w:t>
      </w:r>
      <w:r>
        <w:rPr>
          <w:rFonts w:ascii="Arial" w:cs="Arial" w:eastAsia="Arial" w:hAnsi="Arial"/>
          <w:sz w:val="18"/>
          <w:szCs w:val="18"/>
          <w:b w:val="1"/>
          <w:bCs w:val="1"/>
          <w:color w:val="auto"/>
        </w:rPr>
        <w:t>ICH</w:t>
      </w:r>
      <w:r>
        <w:rPr>
          <w:rFonts w:ascii="Arial" w:cs="Arial" w:eastAsia="Arial" w:hAnsi="Arial"/>
          <w:sz w:val="18"/>
          <w:szCs w:val="18"/>
          <w:color w:val="auto"/>
        </w:rPr>
        <w:t>”), in each case as they may be updated from time to time.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69" w:right="479" w:bottom="1440" w:gutter="0" w:footer="0" w:header="0"/>
        </w:sectPr>
      </w:pPr>
    </w:p>
    <w:bookmarkStart w:id="564" w:name="page565"/>
    <w:bookmarkEnd w:id="564"/>
    <w:p>
      <w:pPr>
        <w:ind w:firstLine="44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1.47. </w:t>
      </w:r>
      <w:r>
        <w:rPr>
          <w:rFonts w:ascii="Arial" w:cs="Arial" w:eastAsia="Arial" w:hAnsi="Arial"/>
          <w:sz w:val="18"/>
          <w:szCs w:val="18"/>
          <w:color w:val="auto"/>
        </w:rPr>
        <w:t>“</w:t>
      </w:r>
      <w:r>
        <w:rPr>
          <w:rFonts w:ascii="Arial" w:cs="Arial" w:eastAsia="Arial" w:hAnsi="Arial"/>
          <w:sz w:val="18"/>
          <w:szCs w:val="18"/>
          <w:b w:val="1"/>
          <w:bCs w:val="1"/>
          <w:color w:val="auto"/>
        </w:rPr>
        <w:t>Generic Product</w:t>
      </w:r>
      <w:r>
        <w:rPr>
          <w:rFonts w:ascii="Arial" w:cs="Arial" w:eastAsia="Arial" w:hAnsi="Arial"/>
          <w:sz w:val="18"/>
          <w:szCs w:val="18"/>
          <w:color w:val="auto"/>
        </w:rPr>
        <w:t>” means, with respect to a particular Licensed Product in a country, a pharmaceutical product that: (a) contains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active ingredient(s) as the Licensed Product; and (b) is approved for use in such country by a Regulatory Authority, whether for use as monotherapy or for use in combination with any other vaccine, biologic or Compound through a regulatory pathway referencing or relying on clinical data, or any findings of safety or efficacy therein, first submitted by a Party or its Related Parties for obtaining Regulatory Approval for such Licensed Product, in each case other than any Licensed Product that has been Developed under this Agreement by a Party or its Related Parties or Commercialized by Ono or any of its Related Parties in such country.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color w:val="auto"/>
        </w:rPr>
        <w:t>“</w:t>
      </w:r>
      <w:r>
        <w:rPr>
          <w:rFonts w:ascii="Arial" w:cs="Arial" w:eastAsia="Arial" w:hAnsi="Arial"/>
          <w:sz w:val="18"/>
          <w:szCs w:val="18"/>
          <w:b w:val="1"/>
          <w:bCs w:val="1"/>
          <w:color w:val="auto"/>
        </w:rPr>
        <w:t>Global Branding Strategy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6.1.5.1</w:t>
      </w:r>
      <w:r>
        <w:rPr>
          <w:rFonts w:ascii="Arial" w:cs="Arial" w:eastAsia="Arial" w:hAnsi="Arial"/>
          <w:sz w:val="18"/>
          <w:szCs w:val="18"/>
          <w:b w:val="1"/>
          <w:bCs w:val="1"/>
          <w:color w:val="auto"/>
        </w:rPr>
        <w:t xml:space="preserve"> </w:t>
      </w:r>
      <w:r>
        <w:rPr>
          <w:rFonts w:ascii="Arial" w:cs="Arial" w:eastAsia="Arial" w:hAnsi="Arial"/>
          <w:sz w:val="18"/>
          <w:szCs w:val="18"/>
          <w:color w:val="auto"/>
        </w:rPr>
        <w:t>(Global Branding).</w:t>
      </w:r>
    </w:p>
    <w:p>
      <w:pPr>
        <w:spacing w:after="0" w:line="22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color w:val="auto"/>
        </w:rPr>
        <w:t>“</w:t>
      </w:r>
      <w:r>
        <w:rPr>
          <w:rFonts w:ascii="Arial" w:cs="Arial" w:eastAsia="Arial" w:hAnsi="Arial"/>
          <w:sz w:val="18"/>
          <w:szCs w:val="18"/>
          <w:b w:val="1"/>
          <w:bCs w:val="1"/>
          <w:color w:val="auto"/>
        </w:rPr>
        <w:t>Global Clinical Study</w:t>
      </w:r>
      <w:r>
        <w:rPr>
          <w:rFonts w:ascii="Arial" w:cs="Arial" w:eastAsia="Arial" w:hAnsi="Arial"/>
          <w:sz w:val="18"/>
          <w:szCs w:val="18"/>
          <w:color w:val="auto"/>
        </w:rPr>
        <w:t>” means, with respect to any Licensed Drug Candidate or Licensed Product, a Clinical Study included in the Global</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Activities for such Licensed Drug Candidate or Licensed Product.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1.50. </w:t>
      </w:r>
      <w:r>
        <w:rPr>
          <w:rFonts w:ascii="Arial" w:cs="Arial" w:eastAsia="Arial" w:hAnsi="Arial"/>
          <w:sz w:val="18"/>
          <w:szCs w:val="18"/>
          <w:color w:val="auto"/>
        </w:rPr>
        <w:t>“</w:t>
      </w:r>
      <w:r>
        <w:rPr>
          <w:rFonts w:ascii="Arial" w:cs="Arial" w:eastAsia="Arial" w:hAnsi="Arial"/>
          <w:sz w:val="18"/>
          <w:szCs w:val="18"/>
          <w:b w:val="1"/>
          <w:bCs w:val="1"/>
          <w:color w:val="auto"/>
        </w:rPr>
        <w:t>Global Clinical Study Proposal</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4.1.3.1</w:t>
      </w:r>
      <w:r>
        <w:rPr>
          <w:rFonts w:ascii="Arial" w:cs="Arial" w:eastAsia="Arial" w:hAnsi="Arial"/>
          <w:sz w:val="18"/>
          <w:szCs w:val="18"/>
          <w:b w:val="1"/>
          <w:bCs w:val="1"/>
          <w:color w:val="auto"/>
        </w:rPr>
        <w:t xml:space="preserve"> </w:t>
      </w:r>
      <w:r>
        <w:rPr>
          <w:rFonts w:ascii="Arial" w:cs="Arial" w:eastAsia="Arial" w:hAnsi="Arial"/>
          <w:sz w:val="18"/>
          <w:szCs w:val="18"/>
          <w:color w:val="auto"/>
        </w:rPr>
        <w:t>(Global Clinical Study Proposals).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w:t>
      </w:r>
      <w:r>
        <w:rPr>
          <w:rFonts w:ascii="Arial" w:cs="Arial" w:eastAsia="Arial" w:hAnsi="Arial"/>
          <w:sz w:val="18"/>
          <w:szCs w:val="18"/>
          <w:b w:val="1"/>
          <w:bCs w:val="1"/>
          <w:color w:val="auto"/>
        </w:rPr>
        <w:t>Global Commercialization Strategy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6.1.2</w:t>
      </w:r>
      <w:r>
        <w:rPr>
          <w:rFonts w:ascii="Arial" w:cs="Arial" w:eastAsia="Arial" w:hAnsi="Arial"/>
          <w:sz w:val="18"/>
          <w:szCs w:val="18"/>
          <w:color w:val="auto"/>
        </w:rPr>
        <w:t>(Global Commercialization Strategy).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color w:val="auto"/>
        </w:rPr>
        <w:t>“</w:t>
      </w:r>
      <w:r>
        <w:rPr>
          <w:rFonts w:ascii="Arial" w:cs="Arial" w:eastAsia="Arial" w:hAnsi="Arial"/>
          <w:sz w:val="18"/>
          <w:szCs w:val="18"/>
          <w:b w:val="1"/>
          <w:bCs w:val="1"/>
          <w:color w:val="auto"/>
        </w:rPr>
        <w:t>Global Common Activity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4.1.4</w:t>
      </w:r>
      <w:r>
        <w:rPr>
          <w:rFonts w:ascii="Arial" w:cs="Arial" w:eastAsia="Arial" w:hAnsi="Arial"/>
          <w:sz w:val="18"/>
          <w:szCs w:val="18"/>
          <w:b w:val="1"/>
          <w:bCs w:val="1"/>
          <w:color w:val="auto"/>
        </w:rPr>
        <w:t xml:space="preserve"> </w:t>
      </w:r>
      <w:r>
        <w:rPr>
          <w:rFonts w:ascii="Arial" w:cs="Arial" w:eastAsia="Arial" w:hAnsi="Arial"/>
          <w:sz w:val="18"/>
          <w:szCs w:val="18"/>
          <w:color w:val="auto"/>
        </w:rPr>
        <w:t>(Global Development Costs).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color w:val="auto"/>
        </w:rPr>
        <w:t>“</w:t>
      </w:r>
      <w:r>
        <w:rPr>
          <w:rFonts w:ascii="Arial" w:cs="Arial" w:eastAsia="Arial" w:hAnsi="Arial"/>
          <w:sz w:val="18"/>
          <w:szCs w:val="18"/>
          <w:b w:val="1"/>
          <w:bCs w:val="1"/>
          <w:color w:val="auto"/>
        </w:rPr>
        <w:t xml:space="preserve">Global Common Costs”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4.1.4</w:t>
      </w:r>
      <w:r>
        <w:rPr>
          <w:rFonts w:ascii="Arial" w:cs="Arial" w:eastAsia="Arial" w:hAnsi="Arial"/>
          <w:sz w:val="18"/>
          <w:szCs w:val="18"/>
          <w:b w:val="1"/>
          <w:bCs w:val="1"/>
          <w:color w:val="auto"/>
        </w:rPr>
        <w:t xml:space="preserve"> </w:t>
      </w:r>
      <w:r>
        <w:rPr>
          <w:rFonts w:ascii="Arial" w:cs="Arial" w:eastAsia="Arial" w:hAnsi="Arial"/>
          <w:sz w:val="18"/>
          <w:szCs w:val="18"/>
          <w:color w:val="auto"/>
        </w:rPr>
        <w:t>(Global Development Costs).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1.54. </w:t>
      </w:r>
      <w:r>
        <w:rPr>
          <w:rFonts w:ascii="Arial" w:cs="Arial" w:eastAsia="Arial" w:hAnsi="Arial"/>
          <w:sz w:val="18"/>
          <w:szCs w:val="18"/>
          <w:color w:val="auto"/>
        </w:rPr>
        <w:t>“</w:t>
      </w:r>
      <w:r>
        <w:rPr>
          <w:rFonts w:ascii="Arial" w:cs="Arial" w:eastAsia="Arial" w:hAnsi="Arial"/>
          <w:sz w:val="18"/>
          <w:szCs w:val="18"/>
          <w:b w:val="1"/>
          <w:bCs w:val="1"/>
          <w:color w:val="auto"/>
        </w:rPr>
        <w:t>Global Development Activity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4.1.2</w:t>
      </w:r>
      <w:r>
        <w:rPr>
          <w:rFonts w:ascii="Arial" w:cs="Arial" w:eastAsia="Arial" w:hAnsi="Arial"/>
          <w:sz w:val="18"/>
          <w:szCs w:val="18"/>
          <w:b w:val="1"/>
          <w:bCs w:val="1"/>
          <w:color w:val="auto"/>
        </w:rPr>
        <w:t xml:space="preserve"> </w:t>
      </w:r>
      <w:r>
        <w:rPr>
          <w:rFonts w:ascii="Arial" w:cs="Arial" w:eastAsia="Arial" w:hAnsi="Arial"/>
          <w:sz w:val="18"/>
          <w:szCs w:val="18"/>
          <w:color w:val="auto"/>
        </w:rPr>
        <w:t>(Global Development Plans).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1.55. </w:t>
      </w:r>
      <w:r>
        <w:rPr>
          <w:rFonts w:ascii="Arial" w:cs="Arial" w:eastAsia="Arial" w:hAnsi="Arial"/>
          <w:sz w:val="18"/>
          <w:szCs w:val="18"/>
          <w:color w:val="auto"/>
        </w:rPr>
        <w:t>“</w:t>
      </w:r>
      <w:r>
        <w:rPr>
          <w:rFonts w:ascii="Arial" w:cs="Arial" w:eastAsia="Arial" w:hAnsi="Arial"/>
          <w:sz w:val="18"/>
          <w:szCs w:val="18"/>
          <w:b w:val="1"/>
          <w:bCs w:val="1"/>
          <w:color w:val="auto"/>
        </w:rPr>
        <w:t>Global Development Plan</w:t>
      </w:r>
      <w:r>
        <w:rPr>
          <w:rFonts w:ascii="Arial" w:cs="Arial" w:eastAsia="Arial" w:hAnsi="Arial"/>
          <w:sz w:val="18"/>
          <w:szCs w:val="18"/>
          <w:color w:val="auto"/>
        </w:rPr>
        <w:t>” has the definition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4.1.2</w:t>
      </w:r>
      <w:r>
        <w:rPr>
          <w:rFonts w:ascii="Arial" w:cs="Arial" w:eastAsia="Arial" w:hAnsi="Arial"/>
          <w:sz w:val="18"/>
          <w:szCs w:val="18"/>
          <w:b w:val="1"/>
          <w:bCs w:val="1"/>
          <w:color w:val="auto"/>
        </w:rPr>
        <w:t xml:space="preserve"> </w:t>
      </w:r>
      <w:r>
        <w:rPr>
          <w:rFonts w:ascii="Arial" w:cs="Arial" w:eastAsia="Arial" w:hAnsi="Arial"/>
          <w:sz w:val="18"/>
          <w:szCs w:val="18"/>
          <w:color w:val="auto"/>
        </w:rPr>
        <w:t>(Global Development Plans).</w:t>
      </w:r>
    </w:p>
    <w:p>
      <w:pPr>
        <w:spacing w:after="0" w:line="225" w:lineRule="exact"/>
        <w:rPr>
          <w:sz w:val="20"/>
          <w:szCs w:val="20"/>
          <w:color w:val="auto"/>
        </w:rPr>
      </w:pPr>
    </w:p>
    <w:p>
      <w:pPr>
        <w:ind w:right="220" w:firstLine="440"/>
        <w:spacing w:after="0" w:line="292" w:lineRule="auto"/>
        <w:rPr>
          <w:sz w:val="20"/>
          <w:szCs w:val="20"/>
          <w:color w:val="auto"/>
        </w:rPr>
      </w:pPr>
      <w:r>
        <w:rPr>
          <w:rFonts w:ascii="Arial" w:cs="Arial" w:eastAsia="Arial" w:hAnsi="Arial"/>
          <w:sz w:val="16"/>
          <w:szCs w:val="16"/>
          <w:b w:val="1"/>
          <w:bCs w:val="1"/>
          <w:color w:val="auto"/>
        </w:rPr>
        <w:t xml:space="preserve">1.56. </w:t>
      </w:r>
      <w:r>
        <w:rPr>
          <w:rFonts w:ascii="Arial" w:cs="Arial" w:eastAsia="Arial" w:hAnsi="Arial"/>
          <w:sz w:val="16"/>
          <w:szCs w:val="16"/>
          <w:color w:val="auto"/>
        </w:rPr>
        <w:t>“</w:t>
      </w:r>
      <w:r>
        <w:rPr>
          <w:rFonts w:ascii="Arial" w:cs="Arial" w:eastAsia="Arial" w:hAnsi="Arial"/>
          <w:sz w:val="16"/>
          <w:szCs w:val="16"/>
          <w:b w:val="1"/>
          <w:bCs w:val="1"/>
          <w:color w:val="auto"/>
        </w:rPr>
        <w:t>GLP</w:t>
      </w:r>
      <w:r>
        <w:rPr>
          <w:rFonts w:ascii="Arial" w:cs="Arial" w:eastAsia="Arial" w:hAnsi="Arial"/>
          <w:sz w:val="16"/>
          <w:szCs w:val="16"/>
          <w:color w:val="auto"/>
        </w:rPr>
        <w:t>” or “</w:t>
      </w:r>
      <w:r>
        <w:rPr>
          <w:rFonts w:ascii="Arial" w:cs="Arial" w:eastAsia="Arial" w:hAnsi="Arial"/>
          <w:sz w:val="16"/>
          <w:szCs w:val="16"/>
          <w:b w:val="1"/>
          <w:bCs w:val="1"/>
          <w:color w:val="auto"/>
        </w:rPr>
        <w:t>Good Laboratory Practices</w:t>
      </w:r>
      <w:r>
        <w:rPr>
          <w:rFonts w:ascii="Arial" w:cs="Arial" w:eastAsia="Arial" w:hAnsi="Arial"/>
          <w:sz w:val="16"/>
          <w:szCs w:val="16"/>
          <w:color w:val="auto"/>
        </w:rPr>
        <w:t>” means, with respect to a particular Development activity or non-clinical study conducted by a</w:t>
      </w:r>
      <w:r>
        <w:rPr>
          <w:rFonts w:ascii="Arial" w:cs="Arial" w:eastAsia="Arial" w:hAnsi="Arial"/>
          <w:sz w:val="16"/>
          <w:szCs w:val="16"/>
          <w:b w:val="1"/>
          <w:bCs w:val="1"/>
          <w:color w:val="auto"/>
        </w:rPr>
        <w:t xml:space="preserve"> </w:t>
      </w:r>
      <w:r>
        <w:rPr>
          <w:rFonts w:ascii="Arial" w:cs="Arial" w:eastAsia="Arial" w:hAnsi="Arial"/>
          <w:sz w:val="16"/>
          <w:szCs w:val="16"/>
          <w:color w:val="auto"/>
        </w:rPr>
        <w:t>Party, that such Development activity or non-clinical study (i) was conducted in accordance with “good laboratory practices” as set forth in 21 C.F.R. Part 58, the United States Animal Welfare Act, the ICH Guideline on Nonclinical Safety Studies for the Conduct of Human Clinical Trials for Pharmaceuticals or the ICH Guideline on Safety Pharmacology Studies for Human Pharmaceuticals or (ii) involved experimental research techniques that were performed for informational purposes only (whether or not included in a regulatory filing) or could not be performed by a GLP-compliant testing facility (with appropriate notice being given to the FDA in regulatory filings), and such Party employed the procedures and controls generally used by qualified experts in animal or preclinical studies of products comparable to those being developed by such Party.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69" w:right="479" w:bottom="1440" w:gutter="0" w:footer="0" w:header="0"/>
        </w:sectPr>
      </w:pPr>
    </w:p>
    <w:bookmarkStart w:id="565" w:name="page566"/>
    <w:bookmarkEnd w:id="565"/>
    <w:p>
      <w:pPr>
        <w:jc w:val="both"/>
        <w:ind w:right="22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1.57. </w:t>
      </w: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applicable government authority, court, tribunal, arbitrator, agency, department, legislative body,</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taxing authority or other instrumentality of (a) any government of any country or territory, (b) any nation, state, province, county, city or other political subdivision thereof or (c) any supranational body.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1.58. </w:t>
      </w:r>
      <w:r>
        <w:rPr>
          <w:rFonts w:ascii="Arial" w:cs="Arial" w:eastAsia="Arial" w:hAnsi="Arial"/>
          <w:sz w:val="18"/>
          <w:szCs w:val="18"/>
          <w:color w:val="auto"/>
        </w:rPr>
        <w:t>“</w:t>
      </w:r>
      <w:r>
        <w:rPr>
          <w:rFonts w:ascii="Arial" w:cs="Arial" w:eastAsia="Arial" w:hAnsi="Arial"/>
          <w:sz w:val="18"/>
          <w:szCs w:val="18"/>
          <w:b w:val="1"/>
          <w:bCs w:val="1"/>
          <w:color w:val="auto"/>
        </w:rPr>
        <w:t>Granting Party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10.3</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In-Licenses).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1.59. </w:t>
      </w: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1.45</w:t>
      </w:r>
      <w:r>
        <w:rPr>
          <w:rFonts w:ascii="Arial" w:cs="Arial" w:eastAsia="Arial" w:hAnsi="Arial"/>
          <w:sz w:val="18"/>
          <w:szCs w:val="18"/>
          <w:b w:val="1"/>
          <w:bCs w:val="1"/>
          <w:color w:val="auto"/>
        </w:rPr>
        <w:t xml:space="preserve"> </w:t>
      </w:r>
      <w:r>
        <w:rPr>
          <w:rFonts w:ascii="Arial" w:cs="Arial" w:eastAsia="Arial" w:hAnsi="Arial"/>
          <w:sz w:val="18"/>
          <w:szCs w:val="18"/>
          <w:color w:val="auto"/>
        </w:rPr>
        <w:t>(GAAP).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1.60. </w:t>
      </w:r>
      <w:r>
        <w:rPr>
          <w:rFonts w:ascii="Arial" w:cs="Arial" w:eastAsia="Arial" w:hAnsi="Arial"/>
          <w:sz w:val="18"/>
          <w:szCs w:val="18"/>
          <w:color w:val="auto"/>
        </w:rPr>
        <w:t>“</w:t>
      </w:r>
      <w:r>
        <w:rPr>
          <w:rFonts w:ascii="Arial" w:cs="Arial" w:eastAsia="Arial" w:hAnsi="Arial"/>
          <w:sz w:val="18"/>
          <w:szCs w:val="18"/>
          <w:b w:val="1"/>
          <w:bCs w:val="1"/>
          <w:color w:val="auto"/>
        </w:rPr>
        <w:t>In-License</w:t>
      </w:r>
      <w:r>
        <w:rPr>
          <w:rFonts w:ascii="Arial" w:cs="Arial" w:eastAsia="Arial" w:hAnsi="Arial"/>
          <w:sz w:val="18"/>
          <w:szCs w:val="18"/>
          <w:color w:val="auto"/>
        </w:rPr>
        <w:t>” means (a) with respect to Repare, a Repare In-License and (b) with respect to Ono, an Ono In-License.</w:t>
      </w:r>
    </w:p>
    <w:p>
      <w:pPr>
        <w:spacing w:after="0" w:line="225" w:lineRule="exact"/>
        <w:rPr>
          <w:sz w:val="20"/>
          <w:szCs w:val="20"/>
          <w:color w:val="auto"/>
        </w:rPr>
      </w:pPr>
    </w:p>
    <w:p>
      <w:pPr>
        <w:ind w:right="300" w:firstLine="440"/>
        <w:spacing w:after="0" w:line="266" w:lineRule="auto"/>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means an investigational new drug application, as defined in the FD&amp;C Act, together with any rules and regulations promulgated</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or similar application or submission that is required to be filed with any Regulatory Authority anywhere in the world before beginning clinical testing of an investigational drug or biological product in human subjects.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13.4</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Procedure).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1.63. </w:t>
      </w:r>
      <w:r>
        <w:rPr>
          <w:rFonts w:ascii="Arial" w:cs="Arial" w:eastAsia="Arial" w:hAnsi="Arial"/>
          <w:sz w:val="18"/>
          <w:szCs w:val="18"/>
          <w:color w:val="auto"/>
        </w:rPr>
        <w:t>“</w:t>
      </w:r>
      <w:r>
        <w:rPr>
          <w:rFonts w:ascii="Arial" w:cs="Arial" w:eastAsia="Arial" w:hAnsi="Arial"/>
          <w:sz w:val="18"/>
          <w:szCs w:val="18"/>
          <w:b w:val="1"/>
          <w:bCs w:val="1"/>
          <w:color w:val="auto"/>
        </w:rPr>
        <w:t>Infringement Action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14.3.2.1</w:t>
      </w:r>
      <w:r>
        <w:rPr>
          <w:rFonts w:ascii="Arial" w:cs="Arial" w:eastAsia="Arial" w:hAnsi="Arial"/>
          <w:sz w:val="18"/>
          <w:szCs w:val="18"/>
          <w:b w:val="1"/>
          <w:bCs w:val="1"/>
          <w:color w:val="auto"/>
        </w:rPr>
        <w:t xml:space="preserve"> </w:t>
      </w:r>
      <w:r>
        <w:rPr>
          <w:rFonts w:ascii="Arial" w:cs="Arial" w:eastAsia="Arial" w:hAnsi="Arial"/>
          <w:sz w:val="18"/>
          <w:szCs w:val="18"/>
          <w:color w:val="auto"/>
        </w:rPr>
        <w:t>(Infringement Actions).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1.64. </w:t>
      </w:r>
      <w:r>
        <w:rPr>
          <w:rFonts w:ascii="Arial" w:cs="Arial" w:eastAsia="Arial" w:hAnsi="Arial"/>
          <w:sz w:val="18"/>
          <w:szCs w:val="18"/>
          <w:color w:val="auto"/>
        </w:rPr>
        <w:t>“</w:t>
      </w:r>
      <w:r>
        <w:rPr>
          <w:rFonts w:ascii="Arial" w:cs="Arial" w:eastAsia="Arial" w:hAnsi="Arial"/>
          <w:sz w:val="18"/>
          <w:szCs w:val="18"/>
          <w:b w:val="1"/>
          <w:bCs w:val="1"/>
          <w:color w:val="auto"/>
        </w:rPr>
        <w:t>Insolvency Officer</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10.5</w:t>
      </w:r>
      <w:r>
        <w:rPr>
          <w:rFonts w:ascii="Arial" w:cs="Arial" w:eastAsia="Arial" w:hAnsi="Arial"/>
          <w:sz w:val="18"/>
          <w:szCs w:val="18"/>
          <w:b w:val="1"/>
          <w:bCs w:val="1"/>
          <w:color w:val="auto"/>
        </w:rPr>
        <w:t xml:space="preserve"> </w:t>
      </w:r>
      <w:r>
        <w:rPr>
          <w:rFonts w:ascii="Arial" w:cs="Arial" w:eastAsia="Arial" w:hAnsi="Arial"/>
          <w:sz w:val="18"/>
          <w:szCs w:val="18"/>
          <w:color w:val="auto"/>
        </w:rPr>
        <w:t>(Bankruptcy and Bankruptcy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1.65. </w:t>
      </w:r>
      <w:r>
        <w:rPr>
          <w:rFonts w:ascii="Arial" w:cs="Arial" w:eastAsia="Arial" w:hAnsi="Arial"/>
          <w:sz w:val="18"/>
          <w:szCs w:val="18"/>
          <w:color w:val="auto"/>
        </w:rPr>
        <w:t>“</w:t>
      </w:r>
      <w:r>
        <w:rPr>
          <w:rFonts w:ascii="Arial" w:cs="Arial" w:eastAsia="Arial" w:hAnsi="Arial"/>
          <w:sz w:val="18"/>
          <w:szCs w:val="18"/>
          <w:b w:val="1"/>
          <w:bCs w:val="1"/>
          <w:color w:val="auto"/>
        </w:rPr>
        <w:t>Invented</w:t>
      </w:r>
      <w:r>
        <w:rPr>
          <w:rFonts w:ascii="Arial" w:cs="Arial" w:eastAsia="Arial" w:hAnsi="Arial"/>
          <w:sz w:val="18"/>
          <w:szCs w:val="18"/>
          <w:color w:val="auto"/>
        </w:rPr>
        <w:t>” means the act of invention by inventors, as determined in accordance with the patent laws of the United States.</w:t>
      </w:r>
    </w:p>
    <w:p>
      <w:pPr>
        <w:spacing w:after="0" w:line="225"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1.66. “Investigator Sponsored Clinical Study</w:t>
      </w:r>
      <w:r>
        <w:rPr>
          <w:rFonts w:ascii="Arial" w:cs="Arial" w:eastAsia="Arial" w:hAnsi="Arial"/>
          <w:sz w:val="18"/>
          <w:szCs w:val="18"/>
          <w:color w:val="auto"/>
        </w:rPr>
        <w:t>” means a Clinical Study of a Licensed Drug Candidate or Licensed Product in the Field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sponsored and conducted by a physician, physician group or other Third Party not acting on behalf of a Party or its Related Party and who does not have a license from a Party or its Related Party to Commercialize such Licensed Drug Candidate or Licensed Product, pursuant to an IND owned by such Third Party, and with respect to which a Party or its Related Party provides clinical supplies of the Licensed Drug Candidate and Licensed Product, funding or other support for such Clinical Study.</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1.67. “JNDA</w:t>
      </w:r>
      <w:r>
        <w:rPr>
          <w:rFonts w:ascii="Arial" w:cs="Arial" w:eastAsia="Arial" w:hAnsi="Arial"/>
          <w:sz w:val="18"/>
          <w:szCs w:val="18"/>
          <w:color w:val="auto"/>
        </w:rPr>
        <w:t>” means an NDA submitted to Regulatory Authority in Japan.</w:t>
      </w:r>
    </w:p>
    <w:p>
      <w:pPr>
        <w:spacing w:after="0" w:line="225" w:lineRule="exact"/>
        <w:rPr>
          <w:sz w:val="20"/>
          <w:szCs w:val="20"/>
          <w:color w:val="auto"/>
        </w:rPr>
      </w:pPr>
    </w:p>
    <w:p>
      <w:pPr>
        <w:ind w:right="300" w:firstLine="440"/>
        <w:spacing w:after="0" w:line="266" w:lineRule="auto"/>
        <w:rPr>
          <w:sz w:val="20"/>
          <w:szCs w:val="20"/>
          <w:color w:val="auto"/>
        </w:rPr>
      </w:pPr>
      <w:r>
        <w:rPr>
          <w:rFonts w:ascii="Arial" w:cs="Arial" w:eastAsia="Arial" w:hAnsi="Arial"/>
          <w:sz w:val="18"/>
          <w:szCs w:val="18"/>
          <w:b w:val="1"/>
          <w:bCs w:val="1"/>
          <w:color w:val="auto"/>
        </w:rPr>
        <w:t xml:space="preserve">1.68. </w:t>
      </w:r>
      <w:r>
        <w:rPr>
          <w:rFonts w:ascii="Arial" w:cs="Arial" w:eastAsia="Arial" w:hAnsi="Arial"/>
          <w:sz w:val="18"/>
          <w:szCs w:val="18"/>
          <w:color w:val="auto"/>
        </w:rPr>
        <w:t>“</w:t>
      </w:r>
      <w:r>
        <w:rPr>
          <w:rFonts w:ascii="Arial" w:cs="Arial" w:eastAsia="Arial" w:hAnsi="Arial"/>
          <w:sz w:val="18"/>
          <w:szCs w:val="18"/>
          <w:b w:val="1"/>
          <w:bCs w:val="1"/>
          <w:color w:val="auto"/>
        </w:rPr>
        <w:t>Joint Know-How</w:t>
      </w:r>
      <w:r>
        <w:rPr>
          <w:rFonts w:ascii="Arial" w:cs="Arial" w:eastAsia="Arial" w:hAnsi="Arial"/>
          <w:sz w:val="18"/>
          <w:szCs w:val="18"/>
          <w:color w:val="auto"/>
        </w:rPr>
        <w:t>” means any Know-How (other than Repare Know-How or Ono Know-How) that is discovered, made or developed</w:t>
      </w:r>
      <w:r>
        <w:rPr>
          <w:rFonts w:ascii="Arial" w:cs="Arial" w:eastAsia="Arial" w:hAnsi="Arial"/>
          <w:sz w:val="18"/>
          <w:szCs w:val="18"/>
          <w:b w:val="1"/>
          <w:bCs w:val="1"/>
          <w:color w:val="auto"/>
        </w:rPr>
        <w:t xml:space="preserve"> </w:t>
      </w:r>
      <w:r>
        <w:rPr>
          <w:rFonts w:ascii="Arial" w:cs="Arial" w:eastAsia="Arial" w:hAnsi="Arial"/>
          <w:sz w:val="18"/>
          <w:szCs w:val="18"/>
          <w:color w:val="auto"/>
        </w:rPr>
        <w:t>jointly by one or more employees of Repare or its Affiliates (or a Third Party acting on any of their behalf) and one or more employees of Ono or its Affiliates (or a Third Party acting on any of their behalf).</w:t>
      </w:r>
    </w:p>
    <w:p>
      <w:pPr>
        <w:spacing w:after="0" w:line="176" w:lineRule="exact"/>
        <w:rPr>
          <w:sz w:val="20"/>
          <w:szCs w:val="20"/>
          <w:color w:val="auto"/>
        </w:rPr>
      </w:pPr>
    </w:p>
    <w:p>
      <w:pPr>
        <w:ind w:firstLine="440"/>
        <w:spacing w:after="0" w:line="312" w:lineRule="auto"/>
        <w:rPr>
          <w:sz w:val="20"/>
          <w:szCs w:val="20"/>
          <w:color w:val="auto"/>
        </w:rPr>
      </w:pPr>
      <w:r>
        <w:rPr>
          <w:rFonts w:ascii="Arial" w:cs="Arial" w:eastAsia="Arial" w:hAnsi="Arial"/>
          <w:sz w:val="17"/>
          <w:szCs w:val="17"/>
          <w:b w:val="1"/>
          <w:bCs w:val="1"/>
          <w:color w:val="auto"/>
        </w:rPr>
        <w:t xml:space="preserve">1.69. </w:t>
      </w:r>
      <w:r>
        <w:rPr>
          <w:rFonts w:ascii="Arial" w:cs="Arial" w:eastAsia="Arial" w:hAnsi="Arial"/>
          <w:sz w:val="17"/>
          <w:szCs w:val="17"/>
          <w:color w:val="auto"/>
        </w:rPr>
        <w:t>“</w:t>
      </w:r>
      <w:r>
        <w:rPr>
          <w:rFonts w:ascii="Arial" w:cs="Arial" w:eastAsia="Arial" w:hAnsi="Arial"/>
          <w:sz w:val="17"/>
          <w:szCs w:val="17"/>
          <w:b w:val="1"/>
          <w:bCs w:val="1"/>
          <w:color w:val="auto"/>
        </w:rPr>
        <w:t>Joint Patent Rights</w:t>
      </w:r>
      <w:r>
        <w:rPr>
          <w:rFonts w:ascii="Arial" w:cs="Arial" w:eastAsia="Arial" w:hAnsi="Arial"/>
          <w:sz w:val="17"/>
          <w:szCs w:val="17"/>
          <w:color w:val="auto"/>
        </w:rPr>
        <w:t>” means any Patent Right that is Invented jointly by one or more employees of Repare or its Affiliates (or a Third Party</w:t>
      </w:r>
      <w:r>
        <w:rPr>
          <w:rFonts w:ascii="Arial" w:cs="Arial" w:eastAsia="Arial" w:hAnsi="Arial"/>
          <w:sz w:val="17"/>
          <w:szCs w:val="17"/>
          <w:b w:val="1"/>
          <w:bCs w:val="1"/>
          <w:color w:val="auto"/>
        </w:rPr>
        <w:t xml:space="preserve"> </w:t>
      </w:r>
      <w:r>
        <w:rPr>
          <w:rFonts w:ascii="Arial" w:cs="Arial" w:eastAsia="Arial" w:hAnsi="Arial"/>
          <w:sz w:val="17"/>
          <w:szCs w:val="17"/>
          <w:color w:val="auto"/>
        </w:rPr>
        <w:t>acting on any of their behalf) together with one or more employees of Ono or its Affiliates (or a Third Party acting on any of their behalf).</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69" w:right="479" w:bottom="1440" w:gutter="0" w:footer="0" w:header="0"/>
        </w:sectPr>
      </w:pPr>
    </w:p>
    <w:bookmarkStart w:id="566" w:name="page567"/>
    <w:bookmarkEnd w:id="56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1.70. </w:t>
      </w:r>
      <w:r>
        <w:rPr>
          <w:rFonts w:ascii="Arial" w:cs="Arial" w:eastAsia="Arial" w:hAnsi="Arial"/>
          <w:sz w:val="18"/>
          <w:szCs w:val="18"/>
          <w:color w:val="auto"/>
        </w:rPr>
        <w:t>“</w:t>
      </w:r>
      <w:r>
        <w:rPr>
          <w:rFonts w:ascii="Arial" w:cs="Arial" w:eastAsia="Arial" w:hAnsi="Arial"/>
          <w:sz w:val="18"/>
          <w:szCs w:val="18"/>
          <w:b w:val="1"/>
          <w:bCs w:val="1"/>
          <w:color w:val="auto"/>
        </w:rPr>
        <w:t>Joint Technology</w:t>
      </w:r>
      <w:r>
        <w:rPr>
          <w:rFonts w:ascii="Arial" w:cs="Arial" w:eastAsia="Arial" w:hAnsi="Arial"/>
          <w:sz w:val="18"/>
          <w:szCs w:val="18"/>
          <w:color w:val="auto"/>
        </w:rPr>
        <w:t>” means Joint Know-How and Joint Patent Rights.</w:t>
      </w:r>
    </w:p>
    <w:p>
      <w:pPr>
        <w:spacing w:after="0" w:line="225" w:lineRule="exact"/>
        <w:rPr>
          <w:sz w:val="20"/>
          <w:szCs w:val="20"/>
          <w:color w:val="auto"/>
        </w:rPr>
      </w:pPr>
    </w:p>
    <w:p>
      <w:pPr>
        <w:ind w:right="800" w:firstLine="440"/>
        <w:spacing w:after="0" w:line="282" w:lineRule="auto"/>
        <w:rPr>
          <w:sz w:val="20"/>
          <w:szCs w:val="20"/>
          <w:color w:val="auto"/>
        </w:rPr>
      </w:pPr>
      <w:r>
        <w:rPr>
          <w:rFonts w:ascii="Arial" w:cs="Arial" w:eastAsia="Arial" w:hAnsi="Arial"/>
          <w:sz w:val="18"/>
          <w:szCs w:val="18"/>
          <w:b w:val="1"/>
          <w:bCs w:val="1"/>
          <w:color w:val="auto"/>
        </w:rPr>
        <w:t xml:space="preserve">1.71. </w:t>
      </w:r>
      <w:r>
        <w:rPr>
          <w:rFonts w:ascii="Arial" w:cs="Arial" w:eastAsia="Arial" w:hAnsi="Arial"/>
          <w:sz w:val="18"/>
          <w:szCs w:val="18"/>
          <w:color w:val="auto"/>
        </w:rPr>
        <w:t>“</w:t>
      </w:r>
      <w:r>
        <w:rPr>
          <w:rFonts w:ascii="Arial" w:cs="Arial" w:eastAsia="Arial" w:hAnsi="Arial"/>
          <w:sz w:val="18"/>
          <w:szCs w:val="18"/>
          <w:b w:val="1"/>
          <w:bCs w:val="1"/>
          <w:color w:val="auto"/>
        </w:rPr>
        <w:t>Joint Steering Committee</w:t>
      </w:r>
      <w:r>
        <w:rPr>
          <w:rFonts w:ascii="Arial" w:cs="Arial" w:eastAsia="Arial" w:hAnsi="Arial"/>
          <w:sz w:val="18"/>
          <w:szCs w:val="18"/>
          <w:color w:val="auto"/>
        </w:rPr>
        <w:t>” or “</w:t>
      </w:r>
      <w:r>
        <w:rPr>
          <w:rFonts w:ascii="Arial" w:cs="Arial" w:eastAsia="Arial" w:hAnsi="Arial"/>
          <w:sz w:val="18"/>
          <w:szCs w:val="18"/>
          <w:b w:val="1"/>
          <w:bCs w:val="1"/>
          <w:color w:val="auto"/>
        </w:rPr>
        <w:t>JSC</w:t>
      </w:r>
      <w:r>
        <w:rPr>
          <w:rFonts w:ascii="Arial" w:cs="Arial" w:eastAsia="Arial" w:hAnsi="Arial"/>
          <w:sz w:val="18"/>
          <w:szCs w:val="18"/>
          <w:color w:val="auto"/>
        </w:rPr>
        <w:t>” means the Joint Steering Committee as more fully described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8.1</w:t>
      </w:r>
      <w:r>
        <w:rPr>
          <w:rFonts w:ascii="Arial" w:cs="Arial" w:eastAsia="Arial" w:hAnsi="Arial"/>
          <w:sz w:val="18"/>
          <w:szCs w:val="18"/>
          <w:b w:val="1"/>
          <w:bCs w:val="1"/>
          <w:color w:val="auto"/>
        </w:rPr>
        <w:t xml:space="preserve"> </w:t>
      </w:r>
      <w:r>
        <w:rPr>
          <w:rFonts w:ascii="Arial" w:cs="Arial" w:eastAsia="Arial" w:hAnsi="Arial"/>
          <w:sz w:val="18"/>
          <w:szCs w:val="18"/>
          <w:color w:val="auto"/>
        </w:rPr>
        <w:t>(Joint Steering</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1.72. “Joint Research Committee</w:t>
      </w:r>
      <w:r>
        <w:rPr>
          <w:rFonts w:ascii="Arial" w:cs="Arial" w:eastAsia="Arial" w:hAnsi="Arial"/>
          <w:sz w:val="18"/>
          <w:szCs w:val="18"/>
          <w:color w:val="auto"/>
        </w:rPr>
        <w:t>” or “</w:t>
      </w:r>
      <w:r>
        <w:rPr>
          <w:rFonts w:ascii="Arial" w:cs="Arial" w:eastAsia="Arial" w:hAnsi="Arial"/>
          <w:sz w:val="18"/>
          <w:szCs w:val="18"/>
          <w:b w:val="1"/>
          <w:bCs w:val="1"/>
          <w:color w:val="auto"/>
        </w:rPr>
        <w:t>JRC</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8.2</w:t>
      </w:r>
      <w:r>
        <w:rPr>
          <w:rFonts w:ascii="Arial" w:cs="Arial" w:eastAsia="Arial" w:hAnsi="Arial"/>
          <w:sz w:val="18"/>
          <w:szCs w:val="18"/>
          <w:b w:val="1"/>
          <w:bCs w:val="1"/>
          <w:color w:val="auto"/>
        </w:rPr>
        <w:t xml:space="preserve"> </w:t>
      </w:r>
      <w:r>
        <w:rPr>
          <w:rFonts w:ascii="Arial" w:cs="Arial" w:eastAsia="Arial" w:hAnsi="Arial"/>
          <w:sz w:val="18"/>
          <w:szCs w:val="18"/>
          <w:color w:val="auto"/>
        </w:rPr>
        <w:t>(Joint Research Committee).</w:t>
      </w:r>
    </w:p>
    <w:p>
      <w:pPr>
        <w:spacing w:after="0" w:line="225" w:lineRule="exact"/>
        <w:rPr>
          <w:sz w:val="20"/>
          <w:szCs w:val="20"/>
          <w:color w:val="auto"/>
        </w:rPr>
      </w:pPr>
    </w:p>
    <w:p>
      <w:pPr>
        <w:ind w:right="80" w:firstLine="440"/>
        <w:spacing w:after="0" w:line="274" w:lineRule="auto"/>
        <w:rPr>
          <w:sz w:val="20"/>
          <w:szCs w:val="20"/>
          <w:color w:val="auto"/>
        </w:rPr>
      </w:pPr>
      <w:r>
        <w:rPr>
          <w:rFonts w:ascii="Arial" w:cs="Arial" w:eastAsia="Arial" w:hAnsi="Arial"/>
          <w:sz w:val="17"/>
          <w:szCs w:val="17"/>
          <w:b w:val="1"/>
          <w:bCs w:val="1"/>
          <w:color w:val="auto"/>
        </w:rPr>
        <w:t xml:space="preserve">1.73. </w:t>
      </w:r>
      <w:r>
        <w:rPr>
          <w:rFonts w:ascii="Arial" w:cs="Arial" w:eastAsia="Arial" w:hAnsi="Arial"/>
          <w:sz w:val="17"/>
          <w:szCs w:val="17"/>
          <w:color w:val="auto"/>
        </w:rPr>
        <w:t>“</w:t>
      </w:r>
      <w:r>
        <w:rPr>
          <w:rFonts w:ascii="Arial" w:cs="Arial" w:eastAsia="Arial" w:hAnsi="Arial"/>
          <w:sz w:val="17"/>
          <w:szCs w:val="17"/>
          <w:b w:val="1"/>
          <w:bCs w:val="1"/>
          <w:color w:val="auto"/>
        </w:rPr>
        <w:t>Know-How</w:t>
      </w:r>
      <w:r>
        <w:rPr>
          <w:rFonts w:ascii="Arial" w:cs="Arial" w:eastAsia="Arial" w:hAnsi="Arial"/>
          <w:sz w:val="17"/>
          <w:szCs w:val="17"/>
          <w:color w:val="auto"/>
        </w:rPr>
        <w:t>” means all chemical or biological materials and other tangible materials, inventions, improvements, practices, discoveries,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developments, data, information, technology, methods, protocols, formulas, knowledge, know-how, trade secrets, processes, assays, skills, experience, techniques and results of experimentation and testing, including pharmacological, toxicological and pre-clinical and clinical data and analytical and quality control data, IND, NDA, Regulatory Approval, promotional material and educational material, in all cases, whether or not confidential, proprietary or patentable, in written, electronic or any other form now known or hereafter developed, including any physical embodiments of any of the foregoing; but excluding in any event any Patent Right and Trademarks.</w:t>
      </w:r>
    </w:p>
    <w:p>
      <w:pPr>
        <w:spacing w:after="0" w:line="173" w:lineRule="exact"/>
        <w:rPr>
          <w:sz w:val="20"/>
          <w:szCs w:val="20"/>
          <w:color w:val="auto"/>
        </w:rPr>
      </w:pPr>
    </w:p>
    <w:p>
      <w:pPr>
        <w:jc w:val="both"/>
        <w:ind w:right="160" w:firstLine="440"/>
        <w:spacing w:after="0" w:line="314" w:lineRule="auto"/>
        <w:rPr>
          <w:sz w:val="20"/>
          <w:szCs w:val="20"/>
          <w:color w:val="auto"/>
        </w:rPr>
      </w:pPr>
      <w:r>
        <w:rPr>
          <w:rFonts w:ascii="Arial" w:cs="Arial" w:eastAsia="Arial" w:hAnsi="Arial"/>
          <w:sz w:val="16"/>
          <w:szCs w:val="16"/>
          <w:b w:val="1"/>
          <w:bCs w:val="1"/>
          <w:color w:val="auto"/>
        </w:rPr>
        <w:t xml:space="preserve">1.74. </w:t>
      </w:r>
      <w:r>
        <w:rPr>
          <w:rFonts w:ascii="Arial" w:cs="Arial" w:eastAsia="Arial" w:hAnsi="Arial"/>
          <w:sz w:val="16"/>
          <w:szCs w:val="16"/>
          <w:color w:val="auto"/>
        </w:rPr>
        <w:t>“</w:t>
      </w:r>
      <w:r>
        <w:rPr>
          <w:rFonts w:ascii="Arial" w:cs="Arial" w:eastAsia="Arial" w:hAnsi="Arial"/>
          <w:sz w:val="16"/>
          <w:szCs w:val="16"/>
          <w:b w:val="1"/>
          <w:bCs w:val="1"/>
          <w:color w:val="auto"/>
        </w:rPr>
        <w:t>Laws</w:t>
      </w:r>
      <w:r>
        <w:rPr>
          <w:rFonts w:ascii="Arial" w:cs="Arial" w:eastAsia="Arial" w:hAnsi="Arial"/>
          <w:sz w:val="16"/>
          <w:szCs w:val="16"/>
          <w:color w:val="auto"/>
        </w:rPr>
        <w:t>” means all applicable laws, statutes, rules, regulations, orders, judgments, injunctions, ordinances or other pronouncements having</w:t>
      </w:r>
      <w:r>
        <w:rPr>
          <w:rFonts w:ascii="Arial" w:cs="Arial" w:eastAsia="Arial" w:hAnsi="Arial"/>
          <w:sz w:val="16"/>
          <w:szCs w:val="16"/>
          <w:b w:val="1"/>
          <w:bCs w:val="1"/>
          <w:color w:val="auto"/>
        </w:rPr>
        <w:t xml:space="preserve"> </w:t>
      </w:r>
      <w:r>
        <w:rPr>
          <w:rFonts w:ascii="Arial" w:cs="Arial" w:eastAsia="Arial" w:hAnsi="Arial"/>
          <w:sz w:val="16"/>
          <w:szCs w:val="16"/>
          <w:color w:val="auto"/>
        </w:rPr>
        <w:t>the binding effect of law of any Governmental Authority, including if either Party is or becomes subject to a legal obligation to a Regulatory Authority or other Governmental Authority (such as a corporate integrity agreement or settlement agreement with a Governmental Authority).</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1.75. </w:t>
      </w:r>
      <w:r>
        <w:rPr>
          <w:rFonts w:ascii="Arial" w:cs="Arial" w:eastAsia="Arial" w:hAnsi="Arial"/>
          <w:sz w:val="18"/>
          <w:szCs w:val="18"/>
          <w:color w:val="auto"/>
        </w:rPr>
        <w:t>“</w:t>
      </w:r>
      <w:r>
        <w:rPr>
          <w:rFonts w:ascii="Arial" w:cs="Arial" w:eastAsia="Arial" w:hAnsi="Arial"/>
          <w:sz w:val="18"/>
          <w:szCs w:val="18"/>
          <w:b w:val="1"/>
          <w:bCs w:val="1"/>
          <w:color w:val="auto"/>
        </w:rPr>
        <w:t>Liaison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8.1.4.1</w:t>
      </w:r>
      <w:r>
        <w:rPr>
          <w:rFonts w:ascii="Arial" w:cs="Arial" w:eastAsia="Arial" w:hAnsi="Arial"/>
          <w:sz w:val="18"/>
          <w:szCs w:val="18"/>
          <w:b w:val="1"/>
          <w:bCs w:val="1"/>
          <w:color w:val="auto"/>
        </w:rPr>
        <w:t xml:space="preserve"> </w:t>
      </w:r>
      <w:r>
        <w:rPr>
          <w:rFonts w:ascii="Arial" w:cs="Arial" w:eastAsia="Arial" w:hAnsi="Arial"/>
          <w:sz w:val="18"/>
          <w:szCs w:val="18"/>
          <w:color w:val="auto"/>
        </w:rPr>
        <w:t>(Liaison).</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1.76. </w:t>
      </w:r>
      <w:r>
        <w:rPr>
          <w:rFonts w:ascii="Arial" w:cs="Arial" w:eastAsia="Arial" w:hAnsi="Arial"/>
          <w:sz w:val="18"/>
          <w:szCs w:val="18"/>
          <w:color w:val="auto"/>
        </w:rPr>
        <w:t>“</w:t>
      </w:r>
      <w:r>
        <w:rPr>
          <w:rFonts w:ascii="Arial" w:cs="Arial" w:eastAsia="Arial" w:hAnsi="Arial"/>
          <w:sz w:val="18"/>
          <w:szCs w:val="18"/>
          <w:b w:val="1"/>
          <w:bCs w:val="1"/>
          <w:color w:val="auto"/>
        </w:rPr>
        <w:t>Licensed Drug Candidate</w:t>
      </w:r>
      <w:r>
        <w:rPr>
          <w:rFonts w:ascii="Arial" w:cs="Arial" w:eastAsia="Arial" w:hAnsi="Arial"/>
          <w:sz w:val="18"/>
          <w:szCs w:val="18"/>
          <w:color w:val="auto"/>
        </w:rPr>
        <w:t>” means any Drug Candidate selected by Ono for further Development or Commercialization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(Licensed Drug Candidate).</w:t>
      </w:r>
    </w:p>
    <w:p>
      <w:pPr>
        <w:spacing w:after="0" w:line="162" w:lineRule="exact"/>
        <w:rPr>
          <w:sz w:val="20"/>
          <w:szCs w:val="20"/>
          <w:color w:val="auto"/>
        </w:rPr>
      </w:pPr>
    </w:p>
    <w:p>
      <w:pPr>
        <w:ind w:right="20" w:firstLine="440"/>
        <w:spacing w:after="0" w:line="277" w:lineRule="auto"/>
        <w:rPr>
          <w:sz w:val="20"/>
          <w:szCs w:val="20"/>
          <w:color w:val="auto"/>
        </w:rPr>
      </w:pPr>
      <w:r>
        <w:rPr>
          <w:rFonts w:ascii="Arial" w:cs="Arial" w:eastAsia="Arial" w:hAnsi="Arial"/>
          <w:sz w:val="17"/>
          <w:szCs w:val="17"/>
          <w:b w:val="1"/>
          <w:bCs w:val="1"/>
          <w:color w:val="auto"/>
        </w:rPr>
        <w:t xml:space="preserve">1.77. </w:t>
      </w:r>
      <w:r>
        <w:rPr>
          <w:rFonts w:ascii="Arial" w:cs="Arial" w:eastAsia="Arial" w:hAnsi="Arial"/>
          <w:sz w:val="17"/>
          <w:szCs w:val="17"/>
          <w:color w:val="auto"/>
        </w:rPr>
        <w:t>“</w:t>
      </w:r>
      <w:r>
        <w:rPr>
          <w:rFonts w:ascii="Arial" w:cs="Arial" w:eastAsia="Arial" w:hAnsi="Arial"/>
          <w:sz w:val="17"/>
          <w:szCs w:val="17"/>
          <w:b w:val="1"/>
          <w:bCs w:val="1"/>
          <w:color w:val="auto"/>
        </w:rPr>
        <w:t>Licensed Product</w:t>
      </w:r>
      <w:r>
        <w:rPr>
          <w:rFonts w:ascii="Arial" w:cs="Arial" w:eastAsia="Arial" w:hAnsi="Arial"/>
          <w:sz w:val="17"/>
          <w:szCs w:val="17"/>
          <w:color w:val="auto"/>
        </w:rPr>
        <w:t>” means any pharmaceutical product containing a Licensed Drug Candidate (or any back-up or follow-on Drug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Candidate) in any dosage form or formulation (i) for sale by prescription, over-the-counter, or any other method; or (ii) for administration to human patients in a Clinical Study, for any and all uses, including any Combination Product. In calculation of the Royalty Term pursuant to </w:t>
      </w:r>
      <w:r>
        <w:rPr>
          <w:rFonts w:ascii="Arial" w:cs="Arial" w:eastAsia="Arial" w:hAnsi="Arial"/>
          <w:sz w:val="17"/>
          <w:szCs w:val="17"/>
          <w:u w:val="single" w:color="auto"/>
          <w:color w:val="auto"/>
        </w:rPr>
        <w:t>Section 11.4.2</w:t>
      </w:r>
      <w:r>
        <w:rPr>
          <w:rFonts w:ascii="Arial" w:cs="Arial" w:eastAsia="Arial" w:hAnsi="Arial"/>
          <w:sz w:val="17"/>
          <w:szCs w:val="17"/>
          <w:color w:val="auto"/>
        </w:rPr>
        <w:t xml:space="preserve"> (Royalty Term), to the extent that a Licensed Drug Candidate is contained as a sole active ingredient, [***]. Further, it is understood by the Parties that a Combination Product containing a Licensed Drug Candidate as one of the active ingredients shall [***].</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1.78. </w:t>
      </w:r>
      <w:r>
        <w:rPr>
          <w:rFonts w:ascii="Arial" w:cs="Arial" w:eastAsia="Arial" w:hAnsi="Arial"/>
          <w:sz w:val="18"/>
          <w:szCs w:val="18"/>
          <w:color w:val="auto"/>
        </w:rPr>
        <w:t>“</w:t>
      </w:r>
      <w:r>
        <w:rPr>
          <w:rFonts w:ascii="Arial" w:cs="Arial" w:eastAsia="Arial" w:hAnsi="Arial"/>
          <w:sz w:val="18"/>
          <w:szCs w:val="18"/>
          <w:b w:val="1"/>
          <w:bCs w:val="1"/>
          <w:color w:val="auto"/>
        </w:rPr>
        <w:t>Local Law</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14.1.1</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(Inventorship).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1.79. </w:t>
      </w: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13.1</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Indemnification by Ono).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1.80. </w:t>
      </w:r>
      <w:r>
        <w:rPr>
          <w:rFonts w:ascii="Arial" w:cs="Arial" w:eastAsia="Arial" w:hAnsi="Arial"/>
          <w:sz w:val="18"/>
          <w:szCs w:val="18"/>
          <w:color w:val="auto"/>
        </w:rPr>
        <w:t>“</w:t>
      </w:r>
      <w:r>
        <w:rPr>
          <w:rFonts w:ascii="Arial" w:cs="Arial" w:eastAsia="Arial" w:hAnsi="Arial"/>
          <w:sz w:val="18"/>
          <w:szCs w:val="18"/>
          <w:b w:val="1"/>
          <w:bCs w:val="1"/>
          <w:color w:val="auto"/>
        </w:rPr>
        <w:t>Major Market Countries</w:t>
      </w:r>
      <w:r>
        <w:rPr>
          <w:rFonts w:ascii="Arial" w:cs="Arial" w:eastAsia="Arial" w:hAnsi="Arial"/>
          <w:sz w:val="18"/>
          <w:szCs w:val="18"/>
          <w:color w:val="auto"/>
        </w:rPr>
        <w:t>” means [***].</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69" w:right="459" w:bottom="1440" w:gutter="0" w:footer="0" w:header="0"/>
        </w:sectPr>
      </w:pPr>
    </w:p>
    <w:bookmarkStart w:id="567" w:name="page568"/>
    <w:bookmarkEnd w:id="567"/>
    <w:p>
      <w:pPr>
        <w:ind w:right="100" w:firstLine="440"/>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1.81. </w:t>
      </w:r>
      <w:r>
        <w:rPr>
          <w:rFonts w:ascii="Arial" w:cs="Arial" w:eastAsia="Arial" w:hAnsi="Arial"/>
          <w:sz w:val="16"/>
          <w:szCs w:val="16"/>
          <w:color w:val="auto"/>
        </w:rPr>
        <w:t>“</w:t>
      </w:r>
      <w:r>
        <w:rPr>
          <w:rFonts w:ascii="Arial" w:cs="Arial" w:eastAsia="Arial" w:hAnsi="Arial"/>
          <w:sz w:val="16"/>
          <w:szCs w:val="16"/>
          <w:b w:val="1"/>
          <w:bCs w:val="1"/>
          <w:color w:val="auto"/>
        </w:rPr>
        <w:t>Manufacturing</w:t>
      </w:r>
      <w:r>
        <w:rPr>
          <w:rFonts w:ascii="Arial" w:cs="Arial" w:eastAsia="Arial" w:hAnsi="Arial"/>
          <w:sz w:val="16"/>
          <w:szCs w:val="16"/>
          <w:color w:val="auto"/>
        </w:rPr>
        <w:t>” or “</w:t>
      </w:r>
      <w:r>
        <w:rPr>
          <w:rFonts w:ascii="Arial" w:cs="Arial" w:eastAsia="Arial" w:hAnsi="Arial"/>
          <w:sz w:val="16"/>
          <w:szCs w:val="16"/>
          <w:b w:val="1"/>
          <w:bCs w:val="1"/>
          <w:color w:val="auto"/>
        </w:rPr>
        <w:t>Manufacture</w:t>
      </w:r>
      <w:r>
        <w:rPr>
          <w:rFonts w:ascii="Arial" w:cs="Arial" w:eastAsia="Arial" w:hAnsi="Arial"/>
          <w:sz w:val="16"/>
          <w:szCs w:val="16"/>
          <w:color w:val="auto"/>
        </w:rPr>
        <w:t>” means, as applicable, all activities associated with the production, manufacture, process of</w:t>
      </w:r>
      <w:r>
        <w:rPr>
          <w:rFonts w:ascii="Arial" w:cs="Arial" w:eastAsia="Arial" w:hAnsi="Arial"/>
          <w:sz w:val="16"/>
          <w:szCs w:val="16"/>
          <w:b w:val="1"/>
          <w:bCs w:val="1"/>
          <w:color w:val="auto"/>
        </w:rPr>
        <w:t xml:space="preserve"> </w:t>
      </w:r>
      <w:r>
        <w:rPr>
          <w:rFonts w:ascii="Arial" w:cs="Arial" w:eastAsia="Arial" w:hAnsi="Arial"/>
          <w:sz w:val="16"/>
          <w:szCs w:val="16"/>
          <w:color w:val="auto"/>
        </w:rPr>
        <w:t>formulating, processing, purifying, filling, finishing, packaging, labeling, shipping, importing and storage of Drug Candidates, Licensed Drug Candidates or Licensed Products, and other products (and related devices) including process development, process validation, stability testing, manufacturing scale-up, pre-clinical, clinical and commercial manufacture and analytical development, product characterization, quality assurance and quality control development, testing and release; provided, however, that Manufacturing shall not include Development and Commercialization. When used as a verb, “to Manufacture” and “Manufacturing” mean to engage in Manufacture, and “Manufactured” has a corresponding meaning.</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w:t>
      </w:r>
      <w:r>
        <w:rPr>
          <w:rFonts w:ascii="Arial" w:cs="Arial" w:eastAsia="Arial" w:hAnsi="Arial"/>
          <w:sz w:val="18"/>
          <w:szCs w:val="18"/>
          <w:b w:val="1"/>
          <w:bCs w:val="1"/>
          <w:color w:val="auto"/>
        </w:rPr>
        <w:t>Manufacturing Subcontract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7.1.2</w:t>
      </w:r>
      <w:r>
        <w:rPr>
          <w:rFonts w:ascii="Arial" w:cs="Arial" w:eastAsia="Arial" w:hAnsi="Arial"/>
          <w:sz w:val="18"/>
          <w:szCs w:val="18"/>
          <w:b w:val="1"/>
          <w:bCs w:val="1"/>
          <w:color w:val="auto"/>
        </w:rPr>
        <w:t xml:space="preserve"> </w:t>
      </w:r>
      <w:r>
        <w:rPr>
          <w:rFonts w:ascii="Arial" w:cs="Arial" w:eastAsia="Arial" w:hAnsi="Arial"/>
          <w:sz w:val="18"/>
          <w:szCs w:val="18"/>
          <w:color w:val="auto"/>
        </w:rPr>
        <w:t>(Subcontracting).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1.83. </w:t>
      </w:r>
      <w:r>
        <w:rPr>
          <w:rFonts w:ascii="Arial" w:cs="Arial" w:eastAsia="Arial" w:hAnsi="Arial"/>
          <w:sz w:val="18"/>
          <w:szCs w:val="18"/>
          <w:color w:val="auto"/>
        </w:rPr>
        <w:t>“</w:t>
      </w:r>
      <w:r>
        <w:rPr>
          <w:rFonts w:ascii="Arial" w:cs="Arial" w:eastAsia="Arial" w:hAnsi="Arial"/>
          <w:sz w:val="18"/>
          <w:szCs w:val="18"/>
          <w:b w:val="1"/>
          <w:bCs w:val="1"/>
          <w:color w:val="auto"/>
        </w:rPr>
        <w:t>Manufacturing Technology Transfer Plan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7.3</w:t>
      </w:r>
      <w:r>
        <w:rPr>
          <w:rFonts w:ascii="Arial" w:cs="Arial" w:eastAsia="Arial" w:hAnsi="Arial"/>
          <w:sz w:val="18"/>
          <w:szCs w:val="18"/>
          <w:b w:val="1"/>
          <w:bCs w:val="1"/>
          <w:color w:val="auto"/>
        </w:rPr>
        <w:t xml:space="preserve"> </w:t>
      </w:r>
      <w:r>
        <w:rPr>
          <w:rFonts w:ascii="Arial" w:cs="Arial" w:eastAsia="Arial" w:hAnsi="Arial"/>
          <w:sz w:val="18"/>
          <w:szCs w:val="18"/>
          <w:color w:val="auto"/>
        </w:rPr>
        <w:t>(Ono’s Right to Manufacture).</w:t>
      </w:r>
    </w:p>
    <w:p>
      <w:pPr>
        <w:spacing w:after="0" w:line="225" w:lineRule="exact"/>
        <w:rPr>
          <w:sz w:val="20"/>
          <w:szCs w:val="20"/>
          <w:color w:val="auto"/>
        </w:rPr>
      </w:pPr>
    </w:p>
    <w:p>
      <w:pPr>
        <w:ind w:right="160" w:firstLine="440"/>
        <w:spacing w:after="0" w:line="281" w:lineRule="auto"/>
        <w:rPr>
          <w:sz w:val="20"/>
          <w:szCs w:val="20"/>
          <w:color w:val="auto"/>
        </w:rPr>
      </w:pPr>
      <w:r>
        <w:rPr>
          <w:rFonts w:ascii="Arial" w:cs="Arial" w:eastAsia="Arial" w:hAnsi="Arial"/>
          <w:sz w:val="17"/>
          <w:szCs w:val="17"/>
          <w:b w:val="1"/>
          <w:bCs w:val="1"/>
          <w:color w:val="auto"/>
        </w:rPr>
        <w:t xml:space="preserve">1.84. </w:t>
      </w:r>
      <w:r>
        <w:rPr>
          <w:rFonts w:ascii="Arial" w:cs="Arial" w:eastAsia="Arial" w:hAnsi="Arial"/>
          <w:sz w:val="17"/>
          <w:szCs w:val="17"/>
          <w:color w:val="auto"/>
        </w:rPr>
        <w:t>“</w:t>
      </w:r>
      <w:r>
        <w:rPr>
          <w:rFonts w:ascii="Arial" w:cs="Arial" w:eastAsia="Arial" w:hAnsi="Arial"/>
          <w:sz w:val="17"/>
          <w:szCs w:val="17"/>
          <w:b w:val="1"/>
          <w:bCs w:val="1"/>
          <w:color w:val="auto"/>
        </w:rPr>
        <w:t>Material Communications</w:t>
      </w:r>
      <w:r>
        <w:rPr>
          <w:rFonts w:ascii="Arial" w:cs="Arial" w:eastAsia="Arial" w:hAnsi="Arial"/>
          <w:sz w:val="17"/>
          <w:szCs w:val="17"/>
          <w:color w:val="auto"/>
        </w:rPr>
        <w:t>” means written, telephonic or in-person communications from or with any Regulatory Authority concerning</w:t>
      </w:r>
      <w:r>
        <w:rPr>
          <w:rFonts w:ascii="Arial" w:cs="Arial" w:eastAsia="Arial" w:hAnsi="Arial"/>
          <w:sz w:val="17"/>
          <w:szCs w:val="17"/>
          <w:b w:val="1"/>
          <w:bCs w:val="1"/>
          <w:color w:val="auto"/>
        </w:rPr>
        <w:t xml:space="preserve"> </w:t>
      </w:r>
      <w:r>
        <w:rPr>
          <w:rFonts w:ascii="Arial" w:cs="Arial" w:eastAsia="Arial" w:hAnsi="Arial"/>
          <w:sz w:val="17"/>
          <w:szCs w:val="17"/>
          <w:color w:val="auto"/>
        </w:rPr>
        <w:t>any of the following: key product quality attributes (e.g., purity), safety findings affecting the platform (e.g., Serious Adverse Events, emerging safety signals), clinical or non-clinical findings affecting patient safety, lack of efficacy, receipt or denial of Regulatory Approval, the design of Clinical Studies or the need for additional non-clinical studies (e.g., additional toxicology or carcinogenicity studies).</w:t>
      </w:r>
    </w:p>
    <w:p>
      <w:pPr>
        <w:spacing w:after="0" w:line="16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1.85. </w:t>
      </w:r>
      <w:r>
        <w:rPr>
          <w:rFonts w:ascii="Arial" w:cs="Arial" w:eastAsia="Arial" w:hAnsi="Arial"/>
          <w:sz w:val="18"/>
          <w:szCs w:val="18"/>
          <w:color w:val="auto"/>
        </w:rPr>
        <w:t>“</w:t>
      </w:r>
      <w:r>
        <w:rPr>
          <w:rFonts w:ascii="Arial" w:cs="Arial" w:eastAsia="Arial" w:hAnsi="Arial"/>
          <w:sz w:val="18"/>
          <w:szCs w:val="18"/>
          <w:b w:val="1"/>
          <w:bCs w:val="1"/>
          <w:color w:val="auto"/>
        </w:rPr>
        <w:t>MHLW</w:t>
      </w:r>
      <w:r>
        <w:rPr>
          <w:rFonts w:ascii="Arial" w:cs="Arial" w:eastAsia="Arial" w:hAnsi="Arial"/>
          <w:sz w:val="18"/>
          <w:szCs w:val="18"/>
          <w:color w:val="auto"/>
        </w:rPr>
        <w:t>” means the Japanese Ministry of Health, Labour and Welfare and any successor Governmental Authority having substantially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function.</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1.86. </w:t>
      </w:r>
      <w:r>
        <w:rPr>
          <w:rFonts w:ascii="Arial" w:cs="Arial" w:eastAsia="Arial" w:hAnsi="Arial"/>
          <w:sz w:val="18"/>
          <w:szCs w:val="18"/>
          <w:color w:val="auto"/>
        </w:rPr>
        <w:t>“</w:t>
      </w:r>
      <w:r>
        <w:rPr>
          <w:rFonts w:ascii="Arial" w:cs="Arial" w:eastAsia="Arial" w:hAnsi="Arial"/>
          <w:sz w:val="18"/>
          <w:szCs w:val="18"/>
          <w:b w:val="1"/>
          <w:bCs w:val="1"/>
          <w:color w:val="auto"/>
        </w:rPr>
        <w:t>NDA</w:t>
      </w:r>
      <w:r>
        <w:rPr>
          <w:rFonts w:ascii="Arial" w:cs="Arial" w:eastAsia="Arial" w:hAnsi="Arial"/>
          <w:sz w:val="18"/>
          <w:szCs w:val="18"/>
          <w:color w:val="auto"/>
        </w:rPr>
        <w:t>” means a New Drug Application, as defined in the FD&amp;C Act and applicable regulations promulgated thereunder by the FDA,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analogous application or submission with any Regulatory Authority outside of the United States.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1.87. </w:t>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69" w:right="499" w:bottom="1440" w:gutter="0" w:footer="0" w:header="0"/>
        </w:sectPr>
      </w:pPr>
    </w:p>
    <w:bookmarkStart w:id="568" w:name="page569"/>
    <w:bookmarkEnd w:id="5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1.88. </w:t>
      </w:r>
      <w:r>
        <w:rPr>
          <w:rFonts w:ascii="Arial" w:cs="Arial" w:eastAsia="Arial" w:hAnsi="Arial"/>
          <w:sz w:val="18"/>
          <w:szCs w:val="18"/>
          <w:color w:val="auto"/>
        </w:rPr>
        <w:t>“</w:t>
      </w:r>
      <w:r>
        <w:rPr>
          <w:rFonts w:ascii="Arial" w:cs="Arial" w:eastAsia="Arial" w:hAnsi="Arial"/>
          <w:sz w:val="18"/>
          <w:szCs w:val="18"/>
          <w:b w:val="1"/>
          <w:bCs w:val="1"/>
          <w:color w:val="auto"/>
        </w:rPr>
        <w:t>New Competing Program</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16.15.2.1(b)</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1.89. </w:t>
      </w:r>
      <w:r>
        <w:rPr>
          <w:rFonts w:ascii="Arial" w:cs="Arial" w:eastAsia="Arial" w:hAnsi="Arial"/>
          <w:sz w:val="16"/>
          <w:szCs w:val="16"/>
          <w:color w:val="auto"/>
        </w:rPr>
        <w:t>“</w:t>
      </w:r>
      <w:r>
        <w:rPr>
          <w:rFonts w:ascii="Arial" w:cs="Arial" w:eastAsia="Arial" w:hAnsi="Arial"/>
          <w:sz w:val="16"/>
          <w:szCs w:val="16"/>
          <w:b w:val="1"/>
          <w:bCs w:val="1"/>
          <w:color w:val="auto"/>
        </w:rPr>
        <w:t>Non-Bankrupt Party</w:t>
      </w:r>
      <w:r>
        <w:rPr>
          <w:rFonts w:ascii="Arial" w:cs="Arial" w:eastAsia="Arial" w:hAnsi="Arial"/>
          <w:sz w:val="16"/>
          <w:szCs w:val="16"/>
          <w:color w:val="auto"/>
        </w:rPr>
        <w:t>” has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10.5</w:t>
      </w:r>
      <w:r>
        <w:rPr>
          <w:rFonts w:ascii="Arial" w:cs="Arial" w:eastAsia="Arial" w:hAnsi="Arial"/>
          <w:sz w:val="16"/>
          <w:szCs w:val="16"/>
          <w:b w:val="1"/>
          <w:bCs w:val="1"/>
          <w:color w:val="auto"/>
        </w:rPr>
        <w:t xml:space="preserve"> </w:t>
      </w:r>
      <w:r>
        <w:rPr>
          <w:rFonts w:ascii="Arial" w:cs="Arial" w:eastAsia="Arial" w:hAnsi="Arial"/>
          <w:sz w:val="16"/>
          <w:szCs w:val="16"/>
          <w:color w:val="auto"/>
        </w:rPr>
        <w:t>(Bankruptcy and Bankruptcy Code).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1.90. </w:t>
      </w:r>
      <w:r>
        <w:rPr>
          <w:rFonts w:ascii="Arial" w:cs="Arial" w:eastAsia="Arial" w:hAnsi="Arial"/>
          <w:sz w:val="17"/>
          <w:szCs w:val="17"/>
          <w:color w:val="auto"/>
        </w:rPr>
        <w:t>“</w:t>
      </w:r>
      <w:r>
        <w:rPr>
          <w:rFonts w:ascii="Arial" w:cs="Arial" w:eastAsia="Arial" w:hAnsi="Arial"/>
          <w:sz w:val="17"/>
          <w:szCs w:val="17"/>
          <w:b w:val="1"/>
          <w:bCs w:val="1"/>
          <w:color w:val="auto"/>
        </w:rPr>
        <w:t>Non-Granting Party</w:t>
      </w:r>
      <w:r>
        <w:rPr>
          <w:rFonts w:ascii="Arial" w:cs="Arial" w:eastAsia="Arial" w:hAnsi="Arial"/>
          <w:sz w:val="17"/>
          <w:szCs w:val="17"/>
          <w:color w:val="auto"/>
        </w:rPr>
        <w:t>” has the meaning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10.3</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with In-Licenses).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1.91. “Noticed Party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5.1.3.1</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1.92. “Noticing Party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5.1.3.1</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Communications).</w:t>
      </w:r>
    </w:p>
    <w:p>
      <w:pPr>
        <w:spacing w:after="0" w:line="16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579"/>
          </w:cols>
          <w:pgMar w:left="880" w:top="269" w:right="1440" w:bottom="1440" w:gutter="0" w:footer="0" w:header="0"/>
        </w:sectPr>
      </w:pPr>
    </w:p>
    <w:bookmarkStart w:id="569" w:name="page570"/>
    <w:bookmarkEnd w:id="569"/>
    <w:p>
      <w:pPr>
        <w:ind w:left="4" w:right="5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1.93. </w:t>
      </w:r>
      <w:r>
        <w:rPr>
          <w:rFonts w:ascii="Arial" w:cs="Arial" w:eastAsia="Arial" w:hAnsi="Arial"/>
          <w:sz w:val="18"/>
          <w:szCs w:val="18"/>
          <w:color w:val="auto"/>
        </w:rPr>
        <w:t>“</w:t>
      </w:r>
      <w:r>
        <w:rPr>
          <w:rFonts w:ascii="Arial" w:cs="Arial" w:eastAsia="Arial" w:hAnsi="Arial"/>
          <w:sz w:val="18"/>
          <w:szCs w:val="18"/>
          <w:b w:val="1"/>
          <w:bCs w:val="1"/>
          <w:color w:val="auto"/>
        </w:rPr>
        <w:t>NYU Agreement</w:t>
      </w:r>
      <w:r>
        <w:rPr>
          <w:rFonts w:ascii="Arial" w:cs="Arial" w:eastAsia="Arial" w:hAnsi="Arial"/>
          <w:sz w:val="18"/>
          <w:szCs w:val="18"/>
          <w:color w:val="auto"/>
        </w:rPr>
        <w:t>” means that certain Amended and Restated License Agreement by and between New York University and Repare</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Therapeutics, Inc. dated July 9, 2018 as such agreement may be amended or restated from time to time.</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1.94. </w:t>
      </w:r>
      <w:r>
        <w:rPr>
          <w:rFonts w:ascii="Arial" w:cs="Arial" w:eastAsia="Arial" w:hAnsi="Arial"/>
          <w:sz w:val="18"/>
          <w:szCs w:val="18"/>
          <w:color w:val="auto"/>
        </w:rPr>
        <w:t>“</w:t>
      </w:r>
      <w:r>
        <w:rPr>
          <w:rFonts w:ascii="Arial" w:cs="Arial" w:eastAsia="Arial" w:hAnsi="Arial"/>
          <w:sz w:val="18"/>
          <w:szCs w:val="18"/>
          <w:b w:val="1"/>
          <w:bCs w:val="1"/>
          <w:color w:val="auto"/>
        </w:rPr>
        <w:t>Ono</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b w:val="1"/>
          <w:bCs w:val="1"/>
          <w:color w:val="auto"/>
        </w:rPr>
        <w:t xml:space="preserve">1.95. </w:t>
      </w:r>
      <w:r>
        <w:rPr>
          <w:rFonts w:ascii="Arial" w:cs="Arial" w:eastAsia="Arial" w:hAnsi="Arial"/>
          <w:sz w:val="18"/>
          <w:szCs w:val="18"/>
          <w:color w:val="auto"/>
        </w:rPr>
        <w:t>“</w:t>
      </w:r>
      <w:r>
        <w:rPr>
          <w:rFonts w:ascii="Arial" w:cs="Arial" w:eastAsia="Arial" w:hAnsi="Arial"/>
          <w:sz w:val="18"/>
          <w:szCs w:val="18"/>
          <w:b w:val="1"/>
          <w:bCs w:val="1"/>
          <w:color w:val="auto"/>
        </w:rPr>
        <w:t>Ono Fiscal Year</w:t>
      </w:r>
      <w:r>
        <w:rPr>
          <w:rFonts w:ascii="Arial" w:cs="Arial" w:eastAsia="Arial" w:hAnsi="Arial"/>
          <w:sz w:val="18"/>
          <w:szCs w:val="18"/>
          <w:color w:val="auto"/>
        </w:rPr>
        <w:t>” means each successive period of twelve (12) calendar months commencing on April 1 of a particular Calendar Year and</w:t>
      </w:r>
      <w:r>
        <w:rPr>
          <w:rFonts w:ascii="Arial" w:cs="Arial" w:eastAsia="Arial" w:hAnsi="Arial"/>
          <w:sz w:val="18"/>
          <w:szCs w:val="18"/>
          <w:b w:val="1"/>
          <w:bCs w:val="1"/>
          <w:color w:val="auto"/>
        </w:rPr>
        <w:t xml:space="preserve"> </w:t>
      </w:r>
      <w:r>
        <w:rPr>
          <w:rFonts w:ascii="Arial" w:cs="Arial" w:eastAsia="Arial" w:hAnsi="Arial"/>
          <w:sz w:val="18"/>
          <w:szCs w:val="18"/>
          <w:color w:val="auto"/>
        </w:rPr>
        <w:t>ending on March 31 of the immediately following Calendar Year.</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1.96. </w:t>
      </w:r>
      <w:r>
        <w:rPr>
          <w:rFonts w:ascii="Arial" w:cs="Arial" w:eastAsia="Arial" w:hAnsi="Arial"/>
          <w:sz w:val="18"/>
          <w:szCs w:val="18"/>
          <w:color w:val="auto"/>
        </w:rPr>
        <w:t>“</w:t>
      </w:r>
      <w:r>
        <w:rPr>
          <w:rFonts w:ascii="Arial" w:cs="Arial" w:eastAsia="Arial" w:hAnsi="Arial"/>
          <w:sz w:val="18"/>
          <w:szCs w:val="18"/>
          <w:b w:val="1"/>
          <w:bCs w:val="1"/>
          <w:color w:val="auto"/>
        </w:rPr>
        <w:t>Ono Indemnitees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13.2</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Indemnification by Repare).</w:t>
      </w:r>
    </w:p>
    <w:p>
      <w:pPr>
        <w:spacing w:after="0" w:line="225"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b w:val="1"/>
          <w:bCs w:val="1"/>
          <w:color w:val="auto"/>
        </w:rPr>
        <w:t xml:space="preserve">1.97. </w:t>
      </w:r>
      <w:r>
        <w:rPr>
          <w:rFonts w:ascii="Arial" w:cs="Arial" w:eastAsia="Arial" w:hAnsi="Arial"/>
          <w:sz w:val="18"/>
          <w:szCs w:val="18"/>
          <w:color w:val="auto"/>
        </w:rPr>
        <w:t>“</w:t>
      </w:r>
      <w:r>
        <w:rPr>
          <w:rFonts w:ascii="Arial" w:cs="Arial" w:eastAsia="Arial" w:hAnsi="Arial"/>
          <w:sz w:val="18"/>
          <w:szCs w:val="18"/>
          <w:b w:val="1"/>
          <w:bCs w:val="1"/>
          <w:color w:val="auto"/>
        </w:rPr>
        <w:t>Ono In-License</w:t>
      </w:r>
      <w:r>
        <w:rPr>
          <w:rFonts w:ascii="Arial" w:cs="Arial" w:eastAsia="Arial" w:hAnsi="Arial"/>
          <w:sz w:val="18"/>
          <w:szCs w:val="18"/>
          <w:color w:val="auto"/>
        </w:rPr>
        <w:t>” means, with respect to any Licensed Drug Candidate or Licensed Product, any agreement between Ono and a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which Ono Controls Know-How or Patent Rights that are reasonably necessary or useful to Develop, Manufacture, have Manufactured or Commercialize such Licensed Drug Candidate or Licensed Product in the Field.</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1.98. </w:t>
      </w:r>
      <w:r>
        <w:rPr>
          <w:rFonts w:ascii="Arial" w:cs="Arial" w:eastAsia="Arial" w:hAnsi="Arial"/>
          <w:sz w:val="17"/>
          <w:szCs w:val="17"/>
          <w:color w:val="auto"/>
        </w:rPr>
        <w:t>“</w:t>
      </w:r>
      <w:r>
        <w:rPr>
          <w:rFonts w:ascii="Arial" w:cs="Arial" w:eastAsia="Arial" w:hAnsi="Arial"/>
          <w:sz w:val="17"/>
          <w:szCs w:val="17"/>
          <w:b w:val="1"/>
          <w:bCs w:val="1"/>
          <w:color w:val="auto"/>
        </w:rPr>
        <w:t>Ono Know-How</w:t>
      </w:r>
      <w:r>
        <w:rPr>
          <w:rFonts w:ascii="Arial" w:cs="Arial" w:eastAsia="Arial" w:hAnsi="Arial"/>
          <w:sz w:val="17"/>
          <w:szCs w:val="17"/>
          <w:color w:val="auto"/>
        </w:rPr>
        <w:t>” means Know-How which, during the Term: (a) is Controlled by Ono or its Affiliates; (b) is not generally known;</w:t>
      </w:r>
    </w:p>
    <w:p>
      <w:pPr>
        <w:spacing w:after="0" w:line="39" w:lineRule="exact"/>
        <w:rPr>
          <w:sz w:val="20"/>
          <w:szCs w:val="20"/>
          <w:color w:val="auto"/>
        </w:rPr>
      </w:pPr>
    </w:p>
    <w:p>
      <w:pPr>
        <w:ind w:left="4" w:right="120" w:hanging="4"/>
        <w:spacing w:after="0" w:line="253" w:lineRule="auto"/>
        <w:tabs>
          <w:tab w:leader="none" w:pos="249"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xml:space="preserve">relates to Drug Candidates, Licensed Drug Candidates or Licensed Product; and (d) are necessary to Repare in connection with the research, Development, Manufacture, having Manufactured, Commercialize, import, marketing, use, sale or offer for sale of Drug Candidates, Licensed Drug Candidates or Licensed Product in the Repare Territory; provided, however, that, except otherwise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 for avoidance of doubt the Parties acknowledge that Ono shall be under no obligation to provide Know-How of Ono that does not relate to Drug Candidates, Licensed Drug Candidates or Licensed Products.</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1.99. “Ono Licensed Back Improvements”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10.1.3(b)</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7"/>
          <w:szCs w:val="17"/>
          <w:b w:val="1"/>
          <w:bCs w:val="1"/>
          <w:color w:val="auto"/>
        </w:rPr>
        <w:t xml:space="preserve">1.100. </w:t>
      </w:r>
      <w:r>
        <w:rPr>
          <w:rFonts w:ascii="Arial" w:cs="Arial" w:eastAsia="Arial" w:hAnsi="Arial"/>
          <w:sz w:val="17"/>
          <w:szCs w:val="17"/>
          <w:color w:val="auto"/>
        </w:rPr>
        <w:t>“</w:t>
      </w:r>
      <w:r>
        <w:rPr>
          <w:rFonts w:ascii="Arial" w:cs="Arial" w:eastAsia="Arial" w:hAnsi="Arial"/>
          <w:sz w:val="17"/>
          <w:szCs w:val="17"/>
          <w:b w:val="1"/>
          <w:bCs w:val="1"/>
          <w:color w:val="auto"/>
        </w:rPr>
        <w:t>Ono Patent Right</w:t>
      </w:r>
      <w:r>
        <w:rPr>
          <w:rFonts w:ascii="Arial" w:cs="Arial" w:eastAsia="Arial" w:hAnsi="Arial"/>
          <w:sz w:val="17"/>
          <w:szCs w:val="17"/>
          <w:color w:val="auto"/>
        </w:rPr>
        <w:t>” means any and all Patent Rights which during the Term (a) are Controlled by Ono or its Affiliates and (b) claim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cover, or would be practiced by the research, Development, Manufacture, having Manufactured, Commercialize, use, sale, marketing, offer for sale or importation of Drug Candidates, Licensed Drug Candidates or Licensed Product in the Repare Territory; provided, however, that, except otherwise set forth in </w:t>
      </w:r>
      <w:r>
        <w:rPr>
          <w:rFonts w:ascii="Arial" w:cs="Arial" w:eastAsia="Arial" w:hAnsi="Arial"/>
          <w:sz w:val="17"/>
          <w:szCs w:val="17"/>
          <w:u w:val="single" w:color="auto"/>
          <w:color w:val="auto"/>
        </w:rPr>
        <w:t>Section 10.4</w:t>
      </w:r>
      <w:r>
        <w:rPr>
          <w:rFonts w:ascii="Arial" w:cs="Arial" w:eastAsia="Arial" w:hAnsi="Arial"/>
          <w:sz w:val="17"/>
          <w:szCs w:val="17"/>
          <w:color w:val="auto"/>
        </w:rPr>
        <w:t>, for avoidance of doubt the Parties acknowledge that Ono shall be under no obligation to provide Patent Right of Ono that does not relate to Drug Candidates, Licensed Drug Candidates or Licensed Products.</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1.101. </w:t>
      </w:r>
      <w:r>
        <w:rPr>
          <w:rFonts w:ascii="Arial" w:cs="Arial" w:eastAsia="Arial" w:hAnsi="Arial"/>
          <w:sz w:val="18"/>
          <w:szCs w:val="18"/>
          <w:color w:val="auto"/>
        </w:rPr>
        <w:t>“</w:t>
      </w:r>
      <w:r>
        <w:rPr>
          <w:rFonts w:ascii="Arial" w:cs="Arial" w:eastAsia="Arial" w:hAnsi="Arial"/>
          <w:sz w:val="18"/>
          <w:szCs w:val="18"/>
          <w:b w:val="1"/>
          <w:bCs w:val="1"/>
          <w:color w:val="auto"/>
        </w:rPr>
        <w:t>Ono Technology</w:t>
      </w:r>
      <w:r>
        <w:rPr>
          <w:rFonts w:ascii="Arial" w:cs="Arial" w:eastAsia="Arial" w:hAnsi="Arial"/>
          <w:sz w:val="18"/>
          <w:szCs w:val="18"/>
          <w:color w:val="auto"/>
        </w:rPr>
        <w:t>” means Ono Know-How and Ono Patent Rights.</w:t>
      </w:r>
    </w:p>
    <w:p>
      <w:pPr>
        <w:spacing w:after="0" w:line="225" w:lineRule="exact"/>
        <w:rPr>
          <w:sz w:val="20"/>
          <w:szCs w:val="20"/>
          <w:color w:val="auto"/>
        </w:rPr>
      </w:pPr>
    </w:p>
    <w:p>
      <w:pPr>
        <w:ind w:left="4" w:right="480" w:firstLine="440"/>
        <w:spacing w:after="0" w:line="282" w:lineRule="auto"/>
        <w:rPr>
          <w:sz w:val="20"/>
          <w:szCs w:val="20"/>
          <w:color w:val="auto"/>
        </w:rPr>
      </w:pPr>
      <w:r>
        <w:rPr>
          <w:rFonts w:ascii="Arial" w:cs="Arial" w:eastAsia="Arial" w:hAnsi="Arial"/>
          <w:sz w:val="18"/>
          <w:szCs w:val="18"/>
          <w:b w:val="1"/>
          <w:bCs w:val="1"/>
          <w:color w:val="auto"/>
        </w:rPr>
        <w:t xml:space="preserve">1.102. </w:t>
      </w:r>
      <w:r>
        <w:rPr>
          <w:rFonts w:ascii="Arial" w:cs="Arial" w:eastAsia="Arial" w:hAnsi="Arial"/>
          <w:sz w:val="18"/>
          <w:szCs w:val="18"/>
          <w:color w:val="auto"/>
        </w:rPr>
        <w:t>“</w:t>
      </w:r>
      <w:r>
        <w:rPr>
          <w:rFonts w:ascii="Arial" w:cs="Arial" w:eastAsia="Arial" w:hAnsi="Arial"/>
          <w:sz w:val="18"/>
          <w:szCs w:val="18"/>
          <w:b w:val="1"/>
          <w:bCs w:val="1"/>
          <w:color w:val="auto"/>
        </w:rPr>
        <w:t>Ono Territory</w:t>
      </w:r>
      <w:r>
        <w:rPr>
          <w:rFonts w:ascii="Arial" w:cs="Arial" w:eastAsia="Arial" w:hAnsi="Arial"/>
          <w:sz w:val="18"/>
          <w:szCs w:val="18"/>
          <w:color w:val="auto"/>
        </w:rPr>
        <w:t>” means Japan, South Korea, Taiwan, Hong Kong, Macau, Brunei, Cambodia, Indonesia, Laos, Malaysia, Myanmar,</w:t>
      </w:r>
      <w:r>
        <w:rPr>
          <w:rFonts w:ascii="Arial" w:cs="Arial" w:eastAsia="Arial" w:hAnsi="Arial"/>
          <w:sz w:val="18"/>
          <w:szCs w:val="18"/>
          <w:b w:val="1"/>
          <w:bCs w:val="1"/>
          <w:color w:val="auto"/>
        </w:rPr>
        <w:t xml:space="preserve"> </w:t>
      </w:r>
      <w:r>
        <w:rPr>
          <w:rFonts w:ascii="Arial" w:cs="Arial" w:eastAsia="Arial" w:hAnsi="Arial"/>
          <w:sz w:val="18"/>
          <w:szCs w:val="18"/>
          <w:color w:val="auto"/>
        </w:rPr>
        <w:t>Philippines, Singapore, Thailand, and Vietnam.</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1.103. </w:t>
      </w:r>
      <w:r>
        <w:rPr>
          <w:rFonts w:ascii="Arial" w:cs="Arial" w:eastAsia="Arial" w:hAnsi="Arial"/>
          <w:sz w:val="18"/>
          <w:szCs w:val="18"/>
          <w:color w:val="auto"/>
        </w:rPr>
        <w:t>“</w:t>
      </w:r>
      <w:r>
        <w:rPr>
          <w:rFonts w:ascii="Arial" w:cs="Arial" w:eastAsia="Arial" w:hAnsi="Arial"/>
          <w:sz w:val="18"/>
          <w:szCs w:val="18"/>
          <w:b w:val="1"/>
          <w:bCs w:val="1"/>
          <w:color w:val="auto"/>
        </w:rPr>
        <w:t>Ono Territory Educational Materials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6.1.5.3</w:t>
      </w:r>
      <w:r>
        <w:rPr>
          <w:rFonts w:ascii="Arial" w:cs="Arial" w:eastAsia="Arial" w:hAnsi="Arial"/>
          <w:sz w:val="18"/>
          <w:szCs w:val="18"/>
          <w:b w:val="1"/>
          <w:bCs w:val="1"/>
          <w:color w:val="auto"/>
        </w:rPr>
        <w:t xml:space="preserve"> </w:t>
      </w:r>
      <w:r>
        <w:rPr>
          <w:rFonts w:ascii="Arial" w:cs="Arial" w:eastAsia="Arial" w:hAnsi="Arial"/>
          <w:sz w:val="18"/>
          <w:szCs w:val="18"/>
          <w:color w:val="auto"/>
        </w:rPr>
        <w:t>(Ono A&amp;P).</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1.104. </w:t>
      </w:r>
      <w:r>
        <w:rPr>
          <w:rFonts w:ascii="Arial" w:cs="Arial" w:eastAsia="Arial" w:hAnsi="Arial"/>
          <w:sz w:val="18"/>
          <w:szCs w:val="18"/>
          <w:color w:val="auto"/>
        </w:rPr>
        <w:t>“</w:t>
      </w:r>
      <w:r>
        <w:rPr>
          <w:rFonts w:ascii="Arial" w:cs="Arial" w:eastAsia="Arial" w:hAnsi="Arial"/>
          <w:sz w:val="18"/>
          <w:szCs w:val="18"/>
          <w:b w:val="1"/>
          <w:bCs w:val="1"/>
          <w:color w:val="auto"/>
        </w:rPr>
        <w:t>Ono Territory Promotional Materials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6.1.5.3</w:t>
      </w:r>
      <w:r>
        <w:rPr>
          <w:rFonts w:ascii="Arial" w:cs="Arial" w:eastAsia="Arial" w:hAnsi="Arial"/>
          <w:sz w:val="18"/>
          <w:szCs w:val="18"/>
          <w:b w:val="1"/>
          <w:bCs w:val="1"/>
          <w:color w:val="auto"/>
        </w:rPr>
        <w:t xml:space="preserve"> </w:t>
      </w:r>
      <w:r>
        <w:rPr>
          <w:rFonts w:ascii="Arial" w:cs="Arial" w:eastAsia="Arial" w:hAnsi="Arial"/>
          <w:sz w:val="18"/>
          <w:szCs w:val="18"/>
          <w:color w:val="auto"/>
        </w:rPr>
        <w:t>(Ono A&amp;P).</w:t>
      </w:r>
    </w:p>
    <w:p>
      <w:pPr>
        <w:spacing w:after="0" w:line="162"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269" w:right="499" w:bottom="1440" w:gutter="0" w:footer="0" w:header="0"/>
        </w:sectPr>
      </w:pPr>
    </w:p>
    <w:bookmarkStart w:id="570" w:name="page571"/>
    <w:bookmarkEnd w:id="57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1.105. </w:t>
      </w:r>
      <w:r>
        <w:rPr>
          <w:rFonts w:ascii="Arial" w:cs="Arial" w:eastAsia="Arial" w:hAnsi="Arial"/>
          <w:sz w:val="18"/>
          <w:szCs w:val="18"/>
          <w:color w:val="auto"/>
        </w:rPr>
        <w:t>“</w:t>
      </w:r>
      <w:r>
        <w:rPr>
          <w:rFonts w:ascii="Arial" w:cs="Arial" w:eastAsia="Arial" w:hAnsi="Arial"/>
          <w:sz w:val="18"/>
          <w:szCs w:val="18"/>
          <w:b w:val="1"/>
          <w:bCs w:val="1"/>
          <w:color w:val="auto"/>
        </w:rPr>
        <w:t>Ono Territory Commercialization Plan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6.1.3</w:t>
      </w:r>
      <w:r>
        <w:rPr>
          <w:rFonts w:ascii="Arial" w:cs="Arial" w:eastAsia="Arial" w:hAnsi="Arial"/>
          <w:sz w:val="18"/>
          <w:szCs w:val="18"/>
          <w:b w:val="1"/>
          <w:bCs w:val="1"/>
          <w:color w:val="auto"/>
        </w:rPr>
        <w:t xml:space="preserve"> </w:t>
      </w:r>
      <w:r>
        <w:rPr>
          <w:rFonts w:ascii="Arial" w:cs="Arial" w:eastAsia="Arial" w:hAnsi="Arial"/>
          <w:sz w:val="18"/>
          <w:szCs w:val="18"/>
          <w:color w:val="auto"/>
        </w:rPr>
        <w:t>(Ono Territory Commercialization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1.106. </w:t>
      </w:r>
      <w:r>
        <w:rPr>
          <w:rFonts w:ascii="Arial" w:cs="Arial" w:eastAsia="Arial" w:hAnsi="Arial"/>
          <w:sz w:val="18"/>
          <w:szCs w:val="18"/>
          <w:color w:val="auto"/>
        </w:rPr>
        <w:t>“</w:t>
      </w:r>
      <w:r>
        <w:rPr>
          <w:rFonts w:ascii="Arial" w:cs="Arial" w:eastAsia="Arial" w:hAnsi="Arial"/>
          <w:sz w:val="18"/>
          <w:szCs w:val="18"/>
          <w:b w:val="1"/>
          <w:bCs w:val="1"/>
          <w:color w:val="auto"/>
        </w:rPr>
        <w:t>Ono Territory Development Plan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4.1.8</w:t>
      </w:r>
      <w:r>
        <w:rPr>
          <w:rFonts w:ascii="Arial" w:cs="Arial" w:eastAsia="Arial" w:hAnsi="Arial"/>
          <w:sz w:val="18"/>
          <w:szCs w:val="18"/>
          <w:b w:val="1"/>
          <w:bCs w:val="1"/>
          <w:color w:val="auto"/>
        </w:rPr>
        <w:t xml:space="preserve"> </w:t>
      </w:r>
      <w:r>
        <w:rPr>
          <w:rFonts w:ascii="Arial" w:cs="Arial" w:eastAsia="Arial" w:hAnsi="Arial"/>
          <w:sz w:val="18"/>
          <w:szCs w:val="18"/>
          <w:color w:val="auto"/>
        </w:rPr>
        <w:t>(Ono Territory Development Plan).</w:t>
      </w:r>
    </w:p>
    <w:p>
      <w:pPr>
        <w:spacing w:after="0" w:line="117"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b w:val="1"/>
          <w:bCs w:val="1"/>
          <w:color w:val="auto"/>
        </w:rPr>
        <w:t xml:space="preserve">1.107. </w:t>
      </w:r>
      <w:r>
        <w:rPr>
          <w:rFonts w:ascii="Arial" w:cs="Arial" w:eastAsia="Arial" w:hAnsi="Arial"/>
          <w:sz w:val="18"/>
          <w:szCs w:val="18"/>
          <w:color w:val="auto"/>
        </w:rPr>
        <w:t>“</w:t>
      </w:r>
      <w:r>
        <w:rPr>
          <w:rFonts w:ascii="Arial" w:cs="Arial" w:eastAsia="Arial" w:hAnsi="Arial"/>
          <w:sz w:val="18"/>
          <w:szCs w:val="18"/>
          <w:b w:val="1"/>
          <w:bCs w:val="1"/>
          <w:color w:val="auto"/>
        </w:rPr>
        <w:t>Out-of-Pocket Costs</w:t>
      </w:r>
      <w:r>
        <w:rPr>
          <w:rFonts w:ascii="Arial" w:cs="Arial" w:eastAsia="Arial" w:hAnsi="Arial"/>
          <w:sz w:val="18"/>
          <w:szCs w:val="18"/>
          <w:color w:val="auto"/>
        </w:rPr>
        <w:t>” means, with respect to certain activities hereunder, direct expenses paid or payable by either Party or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Third Parties and specifically identifiable and incurred (and invoiced) to conduct such activities for a Licensed Drug Candidate or Licensed Product, as applicable, including payments to contract personnel;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amounts paid to contract sales and marketing personnel will not be considered Out-of-Pocket Costs.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1.108. </w:t>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Ono or Repare.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1.109. </w:t>
      </w:r>
      <w:r>
        <w:rPr>
          <w:rFonts w:ascii="Arial" w:cs="Arial" w:eastAsia="Arial" w:hAnsi="Arial"/>
          <w:sz w:val="18"/>
          <w:szCs w:val="18"/>
          <w:color w:val="auto"/>
        </w:rPr>
        <w:t>“</w:t>
      </w:r>
      <w:r>
        <w:rPr>
          <w:rFonts w:ascii="Arial" w:cs="Arial" w:eastAsia="Arial" w:hAnsi="Arial"/>
          <w:sz w:val="18"/>
          <w:szCs w:val="18"/>
          <w:b w:val="1"/>
          <w:bCs w:val="1"/>
          <w:color w:val="auto"/>
        </w:rPr>
        <w:t>Patent Challenge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15.2.4</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for Patent Challenge).</w:t>
      </w:r>
    </w:p>
    <w:p>
      <w:pPr>
        <w:spacing w:after="0" w:line="225"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1.110. </w:t>
      </w: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 all issued patents (including any extensions, restorations by any existing or future extension or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mechanism (including patent term adjustments, patent term extensions, supplemental protection certificates or the equivalent thereof), substitutions, confirmations, re-registrations, re-examinations, reissues, patents and patent claims maintained after post grant examination (including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 grant review or opposition proceeding) and patents of addition); (b) patent applications (including all provisional applications, substitutions, requests for continuation, continuations, continuations-in-part, divisionals and renewals); (c) inventor’s certificates; and (d) all equivalents of the foregoing in any country of the world.</w:t>
      </w:r>
    </w:p>
    <w:p>
      <w:pPr>
        <w:spacing w:after="0" w:line="187" w:lineRule="exact"/>
        <w:rPr>
          <w:sz w:val="20"/>
          <w:szCs w:val="20"/>
          <w:color w:val="auto"/>
        </w:rPr>
      </w:pPr>
    </w:p>
    <w:p>
      <w:pPr>
        <w:ind w:right="400" w:firstLine="440"/>
        <w:spacing w:after="0" w:line="312" w:lineRule="auto"/>
        <w:rPr>
          <w:sz w:val="20"/>
          <w:szCs w:val="20"/>
          <w:color w:val="auto"/>
        </w:rPr>
      </w:pPr>
      <w:r>
        <w:rPr>
          <w:rFonts w:ascii="Arial" w:cs="Arial" w:eastAsia="Arial" w:hAnsi="Arial"/>
          <w:sz w:val="17"/>
          <w:szCs w:val="17"/>
          <w:b w:val="1"/>
          <w:bCs w:val="1"/>
          <w:color w:val="auto"/>
        </w:rPr>
        <w:t xml:space="preserve">1.111. </w:t>
      </w: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natural person, corporation, unincorporated organization, partnership, association, sole proprietorship, joint stock</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joint venture, limited liability company, trust or government, or Governmental Authority, or any other similar entity.</w:t>
      </w:r>
    </w:p>
    <w:p>
      <w:pPr>
        <w:spacing w:after="0" w:line="140"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1.112. </w:t>
      </w:r>
      <w:r>
        <w:rPr>
          <w:rFonts w:ascii="Arial" w:cs="Arial" w:eastAsia="Arial" w:hAnsi="Arial"/>
          <w:sz w:val="18"/>
          <w:szCs w:val="18"/>
          <w:color w:val="auto"/>
        </w:rPr>
        <w:t>“</w:t>
      </w:r>
      <w:r>
        <w:rPr>
          <w:rFonts w:ascii="Arial" w:cs="Arial" w:eastAsia="Arial" w:hAnsi="Arial"/>
          <w:sz w:val="18"/>
          <w:szCs w:val="18"/>
          <w:b w:val="1"/>
          <w:bCs w:val="1"/>
          <w:color w:val="auto"/>
        </w:rPr>
        <w:t>Phase 1 Clinical Study</w:t>
      </w:r>
      <w:r>
        <w:rPr>
          <w:rFonts w:ascii="Arial" w:cs="Arial" w:eastAsia="Arial" w:hAnsi="Arial"/>
          <w:sz w:val="18"/>
          <w:szCs w:val="18"/>
          <w:color w:val="auto"/>
        </w:rPr>
        <w:t>” means a study in humans which provides for the introduction into humans of a pharmaceutical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conducted in healthy volunteers or patients, to obtain initial information on product safety, tolerability, pharmacological activity or pharmacokinetics, as more fully defined in 21 C.F.R. § 312.21(a) (or the equivalent thereof outside the United States).</w:t>
      </w:r>
    </w:p>
    <w:p>
      <w:pPr>
        <w:spacing w:after="0" w:line="176"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1.113. </w:t>
      </w:r>
      <w:r>
        <w:rPr>
          <w:rFonts w:ascii="Arial" w:cs="Arial" w:eastAsia="Arial" w:hAnsi="Arial"/>
          <w:sz w:val="18"/>
          <w:szCs w:val="18"/>
          <w:color w:val="auto"/>
        </w:rPr>
        <w:t>“</w:t>
      </w:r>
      <w:r>
        <w:rPr>
          <w:rFonts w:ascii="Arial" w:cs="Arial" w:eastAsia="Arial" w:hAnsi="Arial"/>
          <w:sz w:val="18"/>
          <w:szCs w:val="18"/>
          <w:b w:val="1"/>
          <w:bCs w:val="1"/>
          <w:color w:val="auto"/>
        </w:rPr>
        <w:t>Phase 2 Clinical Study</w:t>
      </w:r>
      <w:r>
        <w:rPr>
          <w:rFonts w:ascii="Arial" w:cs="Arial" w:eastAsia="Arial" w:hAnsi="Arial"/>
          <w:sz w:val="18"/>
          <w:szCs w:val="18"/>
          <w:color w:val="auto"/>
        </w:rPr>
        <w:t>” means a study in humans of the safety, dose ranging or efficacy of a pharmaceutical product, as further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in 21 C.F.R. § 312.21(b) (or the equivalent thereof outside the United States).</w:t>
      </w:r>
    </w:p>
    <w:p>
      <w:pPr>
        <w:spacing w:after="0" w:line="162" w:lineRule="exact"/>
        <w:rPr>
          <w:sz w:val="20"/>
          <w:szCs w:val="20"/>
          <w:color w:val="auto"/>
        </w:rPr>
      </w:pPr>
    </w:p>
    <w:p>
      <w:pPr>
        <w:ind w:right="880" w:firstLine="440"/>
        <w:spacing w:after="0" w:line="282" w:lineRule="auto"/>
        <w:rPr>
          <w:sz w:val="20"/>
          <w:szCs w:val="20"/>
          <w:color w:val="auto"/>
        </w:rPr>
      </w:pPr>
      <w:r>
        <w:rPr>
          <w:rFonts w:ascii="Arial" w:cs="Arial" w:eastAsia="Arial" w:hAnsi="Arial"/>
          <w:sz w:val="18"/>
          <w:szCs w:val="18"/>
          <w:b w:val="1"/>
          <w:bCs w:val="1"/>
          <w:color w:val="auto"/>
        </w:rPr>
        <w:t xml:space="preserve">1.114. </w:t>
      </w:r>
      <w:r>
        <w:rPr>
          <w:rFonts w:ascii="Arial" w:cs="Arial" w:eastAsia="Arial" w:hAnsi="Arial"/>
          <w:sz w:val="18"/>
          <w:szCs w:val="18"/>
          <w:color w:val="auto"/>
        </w:rPr>
        <w:t>“</w:t>
      </w:r>
      <w:r>
        <w:rPr>
          <w:rFonts w:ascii="Arial" w:cs="Arial" w:eastAsia="Arial" w:hAnsi="Arial"/>
          <w:sz w:val="18"/>
          <w:szCs w:val="18"/>
          <w:b w:val="1"/>
          <w:bCs w:val="1"/>
          <w:color w:val="auto"/>
        </w:rPr>
        <w:t>PMDA</w:t>
      </w:r>
      <w:r>
        <w:rPr>
          <w:rFonts w:ascii="Arial" w:cs="Arial" w:eastAsia="Arial" w:hAnsi="Arial"/>
          <w:sz w:val="18"/>
          <w:szCs w:val="18"/>
          <w:color w:val="auto"/>
        </w:rPr>
        <w:t>” means the Pharmaceuticals and Medical Devices Agency in Japan and any successor Governmental Authority having</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the same function.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1.115. </w:t>
      </w:r>
      <w:r>
        <w:rPr>
          <w:rFonts w:ascii="Arial" w:cs="Arial" w:eastAsia="Arial" w:hAnsi="Arial"/>
          <w:sz w:val="18"/>
          <w:szCs w:val="18"/>
          <w:color w:val="auto"/>
        </w:rPr>
        <w:t>“</w:t>
      </w:r>
      <w:r>
        <w:rPr>
          <w:rFonts w:ascii="Arial" w:cs="Arial" w:eastAsia="Arial" w:hAnsi="Arial"/>
          <w:sz w:val="18"/>
          <w:szCs w:val="18"/>
          <w:b w:val="1"/>
          <w:bCs w:val="1"/>
          <w:color w:val="auto"/>
        </w:rPr>
        <w:t>Pol</w:t>
      </w:r>
      <w:r>
        <w:rPr>
          <w:rFonts w:ascii="Arial" w:cs="Arial" w:eastAsia="Arial" w:hAnsi="Arial"/>
          <w:sz w:val="18"/>
          <w:szCs w:val="18"/>
          <w:color w:val="auto"/>
        </w:rPr>
        <w:t>q”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1.116. </w:t>
      </w:r>
      <w:r>
        <w:rPr>
          <w:rFonts w:ascii="Arial" w:cs="Arial" w:eastAsia="Arial" w:hAnsi="Arial"/>
          <w:sz w:val="18"/>
          <w:szCs w:val="18"/>
          <w:color w:val="auto"/>
        </w:rPr>
        <w:t>“</w:t>
      </w:r>
      <w:r>
        <w:rPr>
          <w:rFonts w:ascii="Arial" w:cs="Arial" w:eastAsia="Arial" w:hAnsi="Arial"/>
          <w:sz w:val="18"/>
          <w:szCs w:val="18"/>
          <w:b w:val="1"/>
          <w:bCs w:val="1"/>
          <w:color w:val="auto"/>
        </w:rPr>
        <w:t>Pol</w:t>
      </w:r>
      <w:r>
        <w:rPr>
          <w:rFonts w:ascii="Arial" w:cs="Arial" w:eastAsia="Arial" w:hAnsi="Arial"/>
          <w:sz w:val="18"/>
          <w:szCs w:val="18"/>
          <w:color w:val="auto"/>
        </w:rPr>
        <w:t>q</w:t>
      </w:r>
      <w:r>
        <w:rPr>
          <w:rFonts w:ascii="Arial" w:cs="Arial" w:eastAsia="Arial" w:hAnsi="Arial"/>
          <w:sz w:val="18"/>
          <w:szCs w:val="18"/>
          <w:b w:val="1"/>
          <w:bCs w:val="1"/>
          <w:color w:val="auto"/>
        </w:rPr>
        <w:t xml:space="preserve"> Non-Specific IP</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10.4.1</w:t>
      </w:r>
      <w:r>
        <w:rPr>
          <w:rFonts w:ascii="Arial" w:cs="Arial" w:eastAsia="Arial" w:hAnsi="Arial"/>
          <w:sz w:val="18"/>
          <w:szCs w:val="18"/>
          <w:b w:val="1"/>
          <w:bCs w:val="1"/>
          <w:color w:val="auto"/>
        </w:rPr>
        <w:t xml:space="preserve"> </w:t>
      </w:r>
      <w:r>
        <w:rPr>
          <w:rFonts w:ascii="Arial" w:cs="Arial" w:eastAsia="Arial" w:hAnsi="Arial"/>
          <w:sz w:val="18"/>
          <w:szCs w:val="18"/>
          <w:color w:val="auto"/>
        </w:rPr>
        <w:t>(Polq Non-Specific IP).</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69" w:right="459" w:bottom="1440" w:gutter="0" w:footer="0" w:header="0"/>
        </w:sectPr>
      </w:pPr>
    </w:p>
    <w:bookmarkStart w:id="571" w:name="page572"/>
    <w:bookmarkEnd w:id="571"/>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1.117. </w:t>
      </w:r>
      <w:r>
        <w:rPr>
          <w:rFonts w:ascii="Arial" w:cs="Arial" w:eastAsia="Arial" w:hAnsi="Arial"/>
          <w:sz w:val="18"/>
          <w:szCs w:val="18"/>
          <w:color w:val="auto"/>
        </w:rPr>
        <w:t>“</w:t>
      </w:r>
      <w:r>
        <w:rPr>
          <w:rFonts w:ascii="Arial" w:cs="Arial" w:eastAsia="Arial" w:hAnsi="Arial"/>
          <w:sz w:val="18"/>
          <w:szCs w:val="18"/>
          <w:b w:val="1"/>
          <w:bCs w:val="1"/>
          <w:color w:val="auto"/>
        </w:rPr>
        <w:t>Pol</w:t>
      </w:r>
      <w:r>
        <w:rPr>
          <w:rFonts w:ascii="Arial" w:cs="Arial" w:eastAsia="Arial" w:hAnsi="Arial"/>
          <w:sz w:val="18"/>
          <w:szCs w:val="18"/>
          <w:color w:val="auto"/>
        </w:rPr>
        <w:t>q</w:t>
      </w:r>
      <w:r>
        <w:rPr>
          <w:rFonts w:ascii="Arial" w:cs="Arial" w:eastAsia="Arial" w:hAnsi="Arial"/>
          <w:sz w:val="18"/>
          <w:szCs w:val="18"/>
          <w:b w:val="1"/>
          <w:bCs w:val="1"/>
          <w:color w:val="auto"/>
        </w:rPr>
        <w:t>¸ Program</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Overview).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1.118. </w:t>
      </w:r>
      <w:r>
        <w:rPr>
          <w:rFonts w:ascii="Arial" w:cs="Arial" w:eastAsia="Arial" w:hAnsi="Arial"/>
          <w:sz w:val="18"/>
          <w:szCs w:val="18"/>
          <w:color w:val="auto"/>
        </w:rPr>
        <w:t>“</w:t>
      </w:r>
      <w:r>
        <w:rPr>
          <w:rFonts w:ascii="Arial" w:cs="Arial" w:eastAsia="Arial" w:hAnsi="Arial"/>
          <w:sz w:val="18"/>
          <w:szCs w:val="18"/>
          <w:b w:val="1"/>
          <w:bCs w:val="1"/>
          <w:color w:val="auto"/>
        </w:rPr>
        <w:t>Pre-Existing Affiliates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1.28</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“Controls” or “Controlled by”).</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 xml:space="preserve">1.119. </w:t>
      </w:r>
      <w:r>
        <w:rPr>
          <w:rFonts w:ascii="Arial" w:cs="Arial" w:eastAsia="Arial" w:hAnsi="Arial"/>
          <w:sz w:val="18"/>
          <w:szCs w:val="18"/>
          <w:color w:val="auto"/>
        </w:rPr>
        <w:t>“</w:t>
      </w:r>
      <w:r>
        <w:rPr>
          <w:rFonts w:ascii="Arial" w:cs="Arial" w:eastAsia="Arial" w:hAnsi="Arial"/>
          <w:sz w:val="18"/>
          <w:szCs w:val="18"/>
          <w:b w:val="1"/>
          <w:bCs w:val="1"/>
          <w:color w:val="auto"/>
        </w:rPr>
        <w:t>Registration Study</w:t>
      </w:r>
      <w:r>
        <w:rPr>
          <w:rFonts w:ascii="Arial" w:cs="Arial" w:eastAsia="Arial" w:hAnsi="Arial"/>
          <w:sz w:val="18"/>
          <w:szCs w:val="18"/>
          <w:color w:val="auto"/>
        </w:rPr>
        <w:t>” means a Clinical Study in humans that is intended to obtain the data sufficient to support the filing of an NDA for a</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with any applicable Regulatory Authority. Registration Studies include any Clinical Studies designed as a pivotal study to confirm with statistical significance the efficacy and safety of a product with respect to a given indication (whether structured as a superiority, equivalence or non-inferiority study), which study is performed for purposes of filing an NDA to obtain Regulatory Approval for such product or such indication from the applicable Regulatory Authority (regardless of whether such Clinical Study is identified as a Phase 3 Clinical Study on ClinicalTrials.gov), including a Clinical Study as described under 21 C.F.R. §312.21(c) with respect to the United States (or, with respect to a jurisdiction other than the United States, a similar Clinical Study).</w:t>
      </w:r>
    </w:p>
    <w:p>
      <w:pPr>
        <w:spacing w:after="0" w:line="189" w:lineRule="exact"/>
        <w:rPr>
          <w:sz w:val="20"/>
          <w:szCs w:val="20"/>
          <w:color w:val="auto"/>
        </w:rPr>
      </w:pPr>
    </w:p>
    <w:p>
      <w:pPr>
        <w:ind w:right="620" w:firstLine="440"/>
        <w:spacing w:after="0" w:line="347" w:lineRule="auto"/>
        <w:rPr>
          <w:sz w:val="20"/>
          <w:szCs w:val="20"/>
          <w:color w:val="auto"/>
        </w:rPr>
      </w:pPr>
      <w:r>
        <w:rPr>
          <w:rFonts w:ascii="Arial" w:cs="Arial" w:eastAsia="Arial" w:hAnsi="Arial"/>
          <w:sz w:val="16"/>
          <w:szCs w:val="16"/>
          <w:b w:val="1"/>
          <w:bCs w:val="1"/>
          <w:color w:val="auto"/>
        </w:rPr>
        <w:t xml:space="preserve">1.120. </w:t>
      </w:r>
      <w:r>
        <w:rPr>
          <w:rFonts w:ascii="Arial" w:cs="Arial" w:eastAsia="Arial" w:hAnsi="Arial"/>
          <w:sz w:val="16"/>
          <w:szCs w:val="16"/>
          <w:color w:val="auto"/>
        </w:rPr>
        <w:t>“</w:t>
      </w:r>
      <w:r>
        <w:rPr>
          <w:rFonts w:ascii="Arial" w:cs="Arial" w:eastAsia="Arial" w:hAnsi="Arial"/>
          <w:sz w:val="16"/>
          <w:szCs w:val="16"/>
          <w:b w:val="1"/>
          <w:bCs w:val="1"/>
          <w:color w:val="auto"/>
        </w:rPr>
        <w:t>Regulatory Approval</w:t>
      </w:r>
      <w:r>
        <w:rPr>
          <w:rFonts w:ascii="Arial" w:cs="Arial" w:eastAsia="Arial" w:hAnsi="Arial"/>
          <w:sz w:val="16"/>
          <w:szCs w:val="16"/>
          <w:color w:val="auto"/>
        </w:rPr>
        <w:t>” means any and all approvals, licenses, registrations or authorizations of any Regulatory Authority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for the marketing and sale of a product in a country or group of countries, including NDAs and orphan drug designations.</w:t>
      </w:r>
    </w:p>
    <w:p>
      <w:pPr>
        <w:spacing w:after="0" w:line="116"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b w:val="1"/>
          <w:bCs w:val="1"/>
          <w:color w:val="auto"/>
        </w:rPr>
        <w:t xml:space="preserve">1.121. </w:t>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Governmental Authority involved in granting approvals for the Development,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reimbursement or pricing of Licensed Drug Candidates and Licensed Products, including but not limited to the FDA, the MHLW and the PMDA.</w:t>
      </w:r>
    </w:p>
    <w:p>
      <w:pPr>
        <w:spacing w:after="0" w:line="176" w:lineRule="exact"/>
        <w:rPr>
          <w:sz w:val="20"/>
          <w:szCs w:val="20"/>
          <w:color w:val="auto"/>
        </w:rPr>
      </w:pPr>
    </w:p>
    <w:p>
      <w:pPr>
        <w:ind w:right="240" w:firstLine="440"/>
        <w:spacing w:after="0" w:line="258" w:lineRule="auto"/>
        <w:rPr>
          <w:sz w:val="20"/>
          <w:szCs w:val="20"/>
          <w:color w:val="auto"/>
        </w:rPr>
      </w:pPr>
      <w:r>
        <w:rPr>
          <w:rFonts w:ascii="Arial" w:cs="Arial" w:eastAsia="Arial" w:hAnsi="Arial"/>
          <w:sz w:val="18"/>
          <w:szCs w:val="18"/>
          <w:b w:val="1"/>
          <w:bCs w:val="1"/>
          <w:color w:val="auto"/>
        </w:rPr>
        <w:t xml:space="preserve">1.122. </w:t>
      </w:r>
      <w:r>
        <w:rPr>
          <w:rFonts w:ascii="Arial" w:cs="Arial" w:eastAsia="Arial" w:hAnsi="Arial"/>
          <w:sz w:val="18"/>
          <w:szCs w:val="18"/>
          <w:color w:val="auto"/>
        </w:rPr>
        <w:t>“</w:t>
      </w:r>
      <w:r>
        <w:rPr>
          <w:rFonts w:ascii="Arial" w:cs="Arial" w:eastAsia="Arial" w:hAnsi="Arial"/>
          <w:sz w:val="18"/>
          <w:szCs w:val="18"/>
          <w:b w:val="1"/>
          <w:bCs w:val="1"/>
          <w:color w:val="auto"/>
        </w:rPr>
        <w:t>Regulatory Materials</w:t>
      </w:r>
      <w:r>
        <w:rPr>
          <w:rFonts w:ascii="Arial" w:cs="Arial" w:eastAsia="Arial" w:hAnsi="Arial"/>
          <w:sz w:val="18"/>
          <w:szCs w:val="18"/>
          <w:color w:val="auto"/>
        </w:rPr>
        <w:t>” means materials developed or compiled in preparation for or in connection with (a) Regulatory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(b) regulatory applications, submissions, dossiers, notifications, registrations, IND, NDA, Regulatory Approvals or other approvals granted by, a Regulatory Authority with respect to the Licensed Drug Candidate or the Licensed Product in a particular regulatory jurisdiction, and (c) other filings made to or with a Regulatory Authority with respect to the Licensed Drug Candidate or the Licensed Product in a particular regulatory jurisdiction.</w:t>
      </w:r>
    </w:p>
    <w:p>
      <w:pPr>
        <w:spacing w:after="0" w:line="183" w:lineRule="exact"/>
        <w:rPr>
          <w:sz w:val="20"/>
          <w:szCs w:val="20"/>
          <w:color w:val="auto"/>
        </w:rPr>
      </w:pPr>
    </w:p>
    <w:p>
      <w:pPr>
        <w:ind w:right="260" w:firstLine="440"/>
        <w:spacing w:after="0" w:line="314" w:lineRule="auto"/>
        <w:rPr>
          <w:sz w:val="20"/>
          <w:szCs w:val="20"/>
          <w:color w:val="auto"/>
        </w:rPr>
      </w:pPr>
      <w:r>
        <w:rPr>
          <w:rFonts w:ascii="Arial" w:cs="Arial" w:eastAsia="Arial" w:hAnsi="Arial"/>
          <w:sz w:val="16"/>
          <w:szCs w:val="16"/>
          <w:b w:val="1"/>
          <w:bCs w:val="1"/>
          <w:color w:val="auto"/>
        </w:rPr>
        <w:t xml:space="preserve">1.123. </w:t>
      </w:r>
      <w:r>
        <w:rPr>
          <w:rFonts w:ascii="Arial" w:cs="Arial" w:eastAsia="Arial" w:hAnsi="Arial"/>
          <w:sz w:val="16"/>
          <w:szCs w:val="16"/>
          <w:color w:val="auto"/>
        </w:rPr>
        <w:t>“</w:t>
      </w:r>
      <w:r>
        <w:rPr>
          <w:rFonts w:ascii="Arial" w:cs="Arial" w:eastAsia="Arial" w:hAnsi="Arial"/>
          <w:sz w:val="16"/>
          <w:szCs w:val="16"/>
          <w:b w:val="1"/>
          <w:bCs w:val="1"/>
          <w:color w:val="auto"/>
        </w:rPr>
        <w:t>Reimbursement Approval</w:t>
      </w:r>
      <w:r>
        <w:rPr>
          <w:rFonts w:ascii="Arial" w:cs="Arial" w:eastAsia="Arial" w:hAnsi="Arial"/>
          <w:sz w:val="16"/>
          <w:szCs w:val="16"/>
          <w:color w:val="auto"/>
        </w:rPr>
        <w:t>” means, with respect to a Licensed Product, the receipt by a Party or its Related Party of authorization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reimbursement of or funding of such Licensed Product in the national health service or insurance from the national-level Governmental Authority responsible for authorizing reimbursement for or determining pricing for, pharmaceutical products in such country or national regulatory jurisdiction.</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1.124. </w:t>
      </w:r>
      <w:r>
        <w:rPr>
          <w:rFonts w:ascii="Arial" w:cs="Arial" w:eastAsia="Arial" w:hAnsi="Arial"/>
          <w:sz w:val="18"/>
          <w:szCs w:val="18"/>
          <w:color w:val="auto"/>
        </w:rPr>
        <w:t>“</w:t>
      </w:r>
      <w:r>
        <w:rPr>
          <w:rFonts w:ascii="Arial" w:cs="Arial" w:eastAsia="Arial" w:hAnsi="Arial"/>
          <w:sz w:val="18"/>
          <w:szCs w:val="18"/>
          <w:b w:val="1"/>
          <w:bCs w:val="1"/>
          <w:color w:val="auto"/>
        </w:rPr>
        <w:t>Related Party</w:t>
      </w:r>
      <w:r>
        <w:rPr>
          <w:rFonts w:ascii="Arial" w:cs="Arial" w:eastAsia="Arial" w:hAnsi="Arial"/>
          <w:sz w:val="18"/>
          <w:szCs w:val="18"/>
          <w:color w:val="auto"/>
        </w:rPr>
        <w:t>” means a Party’s Affiliates and permitted Sublicensees.</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7"/>
          <w:szCs w:val="17"/>
          <w:b w:val="1"/>
          <w:bCs w:val="1"/>
          <w:color w:val="auto"/>
        </w:rPr>
        <w:t xml:space="preserve">1.125. </w:t>
      </w:r>
      <w:r>
        <w:rPr>
          <w:rFonts w:ascii="Arial" w:cs="Arial" w:eastAsia="Arial" w:hAnsi="Arial"/>
          <w:sz w:val="17"/>
          <w:szCs w:val="17"/>
          <w:color w:val="auto"/>
        </w:rPr>
        <w:t>“</w:t>
      </w:r>
      <w:r>
        <w:rPr>
          <w:rFonts w:ascii="Arial" w:cs="Arial" w:eastAsia="Arial" w:hAnsi="Arial"/>
          <w:sz w:val="17"/>
          <w:szCs w:val="17"/>
          <w:b w:val="1"/>
          <w:bCs w:val="1"/>
          <w:color w:val="auto"/>
        </w:rPr>
        <w:t>Relevant Factors</w:t>
      </w:r>
      <w:r>
        <w:rPr>
          <w:rFonts w:ascii="Arial" w:cs="Arial" w:eastAsia="Arial" w:hAnsi="Arial"/>
          <w:sz w:val="17"/>
          <w:szCs w:val="17"/>
          <w:color w:val="auto"/>
        </w:rPr>
        <w:t>” means all relevant factors that may affect the Development or Commercialization of a Licensed Drug Candidate or</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Product, including (as applicable), safety, tolerability, stability and efficacy; the product profile; the stage of development or life cycle status; the likelihood and timing of obtaining Regulatory Approvals and Reimbursement Approvals; the current guidance and requirements for Regulatory Approval for the Licensed Drug Candidate or Licensed Product and similar products and the current and projected regulatory status; any issues regarding the ability to Manufacture or have Manufactured the Licensed Drug Candidate or Licensed Product;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69" w:right="459" w:bottom="1440" w:gutter="0" w:footer="0" w:header="0"/>
        </w:sectPr>
      </w:pPr>
    </w:p>
    <w:bookmarkStart w:id="572" w:name="page573"/>
    <w:bookmarkEnd w:id="572"/>
    <w:p>
      <w:pPr>
        <w:ind w:left="4"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existing or projected pricing, sales, reimbursement and profitability; the then-current competitive environment and the likely competitive environment at the time of projected entry into the market; past performance of the Licensed Drug Candidate or Licensed Product or similar products; present and future market potential; pricing or reimbursement changes in relevant countries; proprietary position, strength and duration of patent protection and anticipated market exclusivity, actual and projected Development, Manufacturing, having Manufactured and Commercialization costs; promotable claims and health economic claims, and any other relevant scientific, technical, operational and commercial factors.</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1.126. </w:t>
      </w:r>
      <w:r>
        <w:rPr>
          <w:rFonts w:ascii="Arial" w:cs="Arial" w:eastAsia="Arial" w:hAnsi="Arial"/>
          <w:sz w:val="18"/>
          <w:szCs w:val="18"/>
          <w:color w:val="auto"/>
        </w:rPr>
        <w:t>“</w:t>
      </w:r>
      <w:r>
        <w:rPr>
          <w:rFonts w:ascii="Arial" w:cs="Arial" w:eastAsia="Arial" w:hAnsi="Arial"/>
          <w:sz w:val="18"/>
          <w:szCs w:val="18"/>
          <w:b w:val="1"/>
          <w:bCs w:val="1"/>
          <w:color w:val="auto"/>
        </w:rPr>
        <w:t>Repare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1.127. </w:t>
      </w:r>
      <w:r>
        <w:rPr>
          <w:rFonts w:ascii="Arial" w:cs="Arial" w:eastAsia="Arial" w:hAnsi="Arial"/>
          <w:sz w:val="18"/>
          <w:szCs w:val="18"/>
          <w:color w:val="auto"/>
        </w:rPr>
        <w:t>“</w:t>
      </w:r>
      <w:r>
        <w:rPr>
          <w:rFonts w:ascii="Arial" w:cs="Arial" w:eastAsia="Arial" w:hAnsi="Arial"/>
          <w:sz w:val="18"/>
          <w:szCs w:val="18"/>
          <w:b w:val="1"/>
          <w:bCs w:val="1"/>
          <w:color w:val="auto"/>
        </w:rPr>
        <w:t>Repare Indemnitees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13.1</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Indemnification by Ono).</w:t>
      </w:r>
    </w:p>
    <w:p>
      <w:pPr>
        <w:spacing w:after="0" w:line="225"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b w:val="1"/>
          <w:bCs w:val="1"/>
          <w:color w:val="auto"/>
        </w:rPr>
        <w:t xml:space="preserve">1.128. </w:t>
      </w:r>
      <w:r>
        <w:rPr>
          <w:rFonts w:ascii="Arial" w:cs="Arial" w:eastAsia="Arial" w:hAnsi="Arial"/>
          <w:sz w:val="18"/>
          <w:szCs w:val="18"/>
          <w:color w:val="auto"/>
        </w:rPr>
        <w:t>“</w:t>
      </w:r>
      <w:r>
        <w:rPr>
          <w:rFonts w:ascii="Arial" w:cs="Arial" w:eastAsia="Arial" w:hAnsi="Arial"/>
          <w:sz w:val="18"/>
          <w:szCs w:val="18"/>
          <w:b w:val="1"/>
          <w:bCs w:val="1"/>
          <w:color w:val="auto"/>
        </w:rPr>
        <w:t>Repare In-License</w:t>
      </w:r>
      <w:r>
        <w:rPr>
          <w:rFonts w:ascii="Arial" w:cs="Arial" w:eastAsia="Arial" w:hAnsi="Arial"/>
          <w:sz w:val="18"/>
          <w:szCs w:val="18"/>
          <w:color w:val="auto"/>
        </w:rPr>
        <w:t>” means any agreement between Repare and a Third Party pursuant to which Repare Controls Know-How or Patent</w:t>
      </w:r>
      <w:r>
        <w:rPr>
          <w:rFonts w:ascii="Arial" w:cs="Arial" w:eastAsia="Arial" w:hAnsi="Arial"/>
          <w:sz w:val="18"/>
          <w:szCs w:val="18"/>
          <w:b w:val="1"/>
          <w:bCs w:val="1"/>
          <w:color w:val="auto"/>
        </w:rPr>
        <w:t xml:space="preserve"> </w:t>
      </w:r>
      <w:r>
        <w:rPr>
          <w:rFonts w:ascii="Arial" w:cs="Arial" w:eastAsia="Arial" w:hAnsi="Arial"/>
          <w:sz w:val="18"/>
          <w:szCs w:val="18"/>
          <w:color w:val="auto"/>
        </w:rPr>
        <w:t>Rights reasonably necessary or useful to Develop the Polq¸ Program and to Develop, Manufacture, have Manufactured or Commercialize Licensed Drug Candidates or Licensed Products, including the NYU Agreement.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1.129. </w:t>
      </w:r>
      <w:r>
        <w:rPr>
          <w:rFonts w:ascii="Arial" w:cs="Arial" w:eastAsia="Arial" w:hAnsi="Arial"/>
          <w:sz w:val="16"/>
          <w:szCs w:val="16"/>
          <w:color w:val="auto"/>
        </w:rPr>
        <w:t>“</w:t>
      </w:r>
      <w:r>
        <w:rPr>
          <w:rFonts w:ascii="Arial" w:cs="Arial" w:eastAsia="Arial" w:hAnsi="Arial"/>
          <w:sz w:val="16"/>
          <w:szCs w:val="16"/>
          <w:b w:val="1"/>
          <w:bCs w:val="1"/>
          <w:color w:val="auto"/>
        </w:rPr>
        <w:t>Repare Know-How</w:t>
      </w:r>
      <w:r>
        <w:rPr>
          <w:rFonts w:ascii="Arial" w:cs="Arial" w:eastAsia="Arial" w:hAnsi="Arial"/>
          <w:sz w:val="16"/>
          <w:szCs w:val="16"/>
          <w:color w:val="auto"/>
        </w:rPr>
        <w:t>” means Know-How which, as of the Effective Date or during the Term: (a) is Controlled by Repare or its Affiliates;</w:t>
      </w:r>
    </w:p>
    <w:p>
      <w:pPr>
        <w:spacing w:after="0" w:line="50" w:lineRule="exact"/>
        <w:rPr>
          <w:sz w:val="20"/>
          <w:szCs w:val="20"/>
          <w:color w:val="auto"/>
        </w:rPr>
      </w:pPr>
    </w:p>
    <w:p>
      <w:pPr>
        <w:ind w:left="4" w:right="60" w:hanging="4"/>
        <w:spacing w:after="0" w:line="252" w:lineRule="auto"/>
        <w:tabs>
          <w:tab w:leader="none" w:pos="259" w:val="left"/>
        </w:tabs>
        <w:numPr>
          <w:ilvl w:val="0"/>
          <w:numId w:val="368"/>
        </w:numPr>
        <w:rPr>
          <w:rFonts w:ascii="Arial" w:cs="Arial" w:eastAsia="Arial" w:hAnsi="Arial"/>
          <w:sz w:val="18"/>
          <w:szCs w:val="18"/>
          <w:color w:val="auto"/>
        </w:rPr>
      </w:pPr>
      <w:r>
        <w:rPr>
          <w:rFonts w:ascii="Arial" w:cs="Arial" w:eastAsia="Arial" w:hAnsi="Arial"/>
          <w:sz w:val="18"/>
          <w:szCs w:val="18"/>
          <w:color w:val="auto"/>
        </w:rPr>
        <w:t xml:space="preserve">is not generally known; (c) relates to Drug Candidates, Licensed Drug Candidates or Licensed Product; and (d) is necessary to enable Ono to exploit its rights under this Agreement in or for the Ono Territory, including, without limitation, in connection with the Manufacture, have Manufactured, Commercialize, import, use, research, sale, offer for sale and Development of Drug Candidates, Licensed Drug Candidates or Licensed Product, Commercialization, use or sale of Licensed Product; provided, however, that, except otherwise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 for avoidance of doubt the Parties acknowledge that Repare shall be under no obligation to provide Know-How of Repare that does not relate to Drug Candidates, Licensed Drug Candidates or Licensed Products.</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1.130. “Repare Licensed Back Improvements”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10.2.3(b)</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7"/>
          <w:szCs w:val="17"/>
          <w:b w:val="1"/>
          <w:bCs w:val="1"/>
          <w:color w:val="auto"/>
        </w:rPr>
        <w:t xml:space="preserve">1.131. </w:t>
      </w:r>
      <w:r>
        <w:rPr>
          <w:rFonts w:ascii="Arial" w:cs="Arial" w:eastAsia="Arial" w:hAnsi="Arial"/>
          <w:sz w:val="17"/>
          <w:szCs w:val="17"/>
          <w:color w:val="auto"/>
        </w:rPr>
        <w:t>“</w:t>
      </w:r>
      <w:r>
        <w:rPr>
          <w:rFonts w:ascii="Arial" w:cs="Arial" w:eastAsia="Arial" w:hAnsi="Arial"/>
          <w:sz w:val="17"/>
          <w:szCs w:val="17"/>
          <w:b w:val="1"/>
          <w:bCs w:val="1"/>
          <w:color w:val="auto"/>
        </w:rPr>
        <w:t>Repare Patent Rights</w:t>
      </w:r>
      <w:r>
        <w:rPr>
          <w:rFonts w:ascii="Arial" w:cs="Arial" w:eastAsia="Arial" w:hAnsi="Arial"/>
          <w:sz w:val="17"/>
          <w:szCs w:val="17"/>
          <w:color w:val="auto"/>
        </w:rPr>
        <w:t>” means any and all Patent Rights which, as of the Effective Date or during the Term, (a) are Controlled by Repare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its Affiliates and (b) claim or cover, or would be practiced by the research, Development, Manufacture, having Manufactured, Commercialize, use, sale, offer for sale or importation of Drug Candidates, Licensed Drug Candidates or Licensed Product; provided, however, that, except otherwise set forth in </w:t>
      </w:r>
      <w:r>
        <w:rPr>
          <w:rFonts w:ascii="Arial" w:cs="Arial" w:eastAsia="Arial" w:hAnsi="Arial"/>
          <w:sz w:val="17"/>
          <w:szCs w:val="17"/>
          <w:u w:val="single" w:color="auto"/>
          <w:color w:val="auto"/>
        </w:rPr>
        <w:t>Section 10.4</w:t>
      </w:r>
      <w:r>
        <w:rPr>
          <w:rFonts w:ascii="Arial" w:cs="Arial" w:eastAsia="Arial" w:hAnsi="Arial"/>
          <w:sz w:val="17"/>
          <w:szCs w:val="17"/>
          <w:color w:val="auto"/>
        </w:rPr>
        <w:t>, for avoidance of doubt the Parties acknowledge that Repare shall be under no obligation to provide any Patent Right of Repare that does not relate to Drug Candidates, Licensed Drug Candidates or Licensed Products.</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1.132. </w:t>
      </w:r>
      <w:r>
        <w:rPr>
          <w:rFonts w:ascii="Arial" w:cs="Arial" w:eastAsia="Arial" w:hAnsi="Arial"/>
          <w:sz w:val="18"/>
          <w:szCs w:val="18"/>
          <w:color w:val="auto"/>
        </w:rPr>
        <w:t>“</w:t>
      </w:r>
      <w:r>
        <w:rPr>
          <w:rFonts w:ascii="Arial" w:cs="Arial" w:eastAsia="Arial" w:hAnsi="Arial"/>
          <w:sz w:val="18"/>
          <w:szCs w:val="18"/>
          <w:b w:val="1"/>
          <w:bCs w:val="1"/>
          <w:color w:val="auto"/>
        </w:rPr>
        <w:t>Repare Technology</w:t>
      </w:r>
      <w:r>
        <w:rPr>
          <w:rFonts w:ascii="Arial" w:cs="Arial" w:eastAsia="Arial" w:hAnsi="Arial"/>
          <w:sz w:val="18"/>
          <w:szCs w:val="18"/>
          <w:color w:val="auto"/>
        </w:rPr>
        <w:t>” means Repare Know-How and Repare Patent Rights.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1.133. </w:t>
      </w:r>
      <w:r>
        <w:rPr>
          <w:rFonts w:ascii="Arial" w:cs="Arial" w:eastAsia="Arial" w:hAnsi="Arial"/>
          <w:sz w:val="18"/>
          <w:szCs w:val="18"/>
          <w:color w:val="auto"/>
        </w:rPr>
        <w:t>“</w:t>
      </w:r>
      <w:r>
        <w:rPr>
          <w:rFonts w:ascii="Arial" w:cs="Arial" w:eastAsia="Arial" w:hAnsi="Arial"/>
          <w:sz w:val="18"/>
          <w:szCs w:val="18"/>
          <w:b w:val="1"/>
          <w:bCs w:val="1"/>
          <w:color w:val="auto"/>
        </w:rPr>
        <w:t>Repare Territory</w:t>
      </w:r>
      <w:r>
        <w:rPr>
          <w:rFonts w:ascii="Arial" w:cs="Arial" w:eastAsia="Arial" w:hAnsi="Arial"/>
          <w:sz w:val="18"/>
          <w:szCs w:val="18"/>
          <w:color w:val="auto"/>
        </w:rPr>
        <w:t>” means worldwide, excluding the Ono Territory.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1.134. </w:t>
      </w:r>
      <w:r>
        <w:rPr>
          <w:rFonts w:ascii="Arial" w:cs="Arial" w:eastAsia="Arial" w:hAnsi="Arial"/>
          <w:sz w:val="18"/>
          <w:szCs w:val="18"/>
          <w:color w:val="auto"/>
        </w:rPr>
        <w:t>“</w:t>
      </w:r>
      <w:r>
        <w:rPr>
          <w:rFonts w:ascii="Arial" w:cs="Arial" w:eastAsia="Arial" w:hAnsi="Arial"/>
          <w:sz w:val="18"/>
          <w:szCs w:val="18"/>
          <w:b w:val="1"/>
          <w:bCs w:val="1"/>
          <w:color w:val="auto"/>
        </w:rPr>
        <w:t>Repare Territory Development Plan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4.1.5</w:t>
      </w:r>
      <w:r>
        <w:rPr>
          <w:rFonts w:ascii="Arial" w:cs="Arial" w:eastAsia="Arial" w:hAnsi="Arial"/>
          <w:sz w:val="18"/>
          <w:szCs w:val="18"/>
          <w:b w:val="1"/>
          <w:bCs w:val="1"/>
          <w:color w:val="auto"/>
        </w:rPr>
        <w:t xml:space="preserve"> </w:t>
      </w:r>
      <w:r>
        <w:rPr>
          <w:rFonts w:ascii="Arial" w:cs="Arial" w:eastAsia="Arial" w:hAnsi="Arial"/>
          <w:sz w:val="18"/>
          <w:szCs w:val="18"/>
          <w:color w:val="auto"/>
        </w:rPr>
        <w:t>(Repare Territory Development Plan).</w:t>
      </w:r>
    </w:p>
    <w:p>
      <w:pPr>
        <w:spacing w:after="0" w:line="162"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3" w:right="459" w:bottom="1440" w:gutter="0" w:footer="0" w:header="0"/>
        </w:sectPr>
      </w:pPr>
    </w:p>
    <w:bookmarkStart w:id="573" w:name="page574"/>
    <w:bookmarkEnd w:id="573"/>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1.135. “Repare Territory Educational Materials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6.1.5.2</w:t>
      </w:r>
      <w:r>
        <w:rPr>
          <w:rFonts w:ascii="Arial" w:cs="Arial" w:eastAsia="Arial" w:hAnsi="Arial"/>
          <w:sz w:val="18"/>
          <w:szCs w:val="18"/>
          <w:b w:val="1"/>
          <w:bCs w:val="1"/>
          <w:color w:val="auto"/>
        </w:rPr>
        <w:t xml:space="preserve"> </w:t>
      </w:r>
      <w:r>
        <w:rPr>
          <w:rFonts w:ascii="Arial" w:cs="Arial" w:eastAsia="Arial" w:hAnsi="Arial"/>
          <w:sz w:val="18"/>
          <w:szCs w:val="18"/>
          <w:color w:val="auto"/>
        </w:rPr>
        <w:t>(Repare A&amp;P).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1.136. “Repare Territory Promotional Materials”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6.1.5.2</w:t>
      </w:r>
      <w:r>
        <w:rPr>
          <w:rFonts w:ascii="Arial" w:cs="Arial" w:eastAsia="Arial" w:hAnsi="Arial"/>
          <w:sz w:val="18"/>
          <w:szCs w:val="18"/>
          <w:b w:val="1"/>
          <w:bCs w:val="1"/>
          <w:color w:val="auto"/>
        </w:rPr>
        <w:t xml:space="preserve"> </w:t>
      </w:r>
      <w:r>
        <w:rPr>
          <w:rFonts w:ascii="Arial" w:cs="Arial" w:eastAsia="Arial" w:hAnsi="Arial"/>
          <w:sz w:val="18"/>
          <w:szCs w:val="18"/>
          <w:color w:val="auto"/>
        </w:rPr>
        <w:t>(Repare A&amp;P).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1.137. </w:t>
      </w:r>
      <w:r>
        <w:rPr>
          <w:rFonts w:ascii="Arial" w:cs="Arial" w:eastAsia="Arial" w:hAnsi="Arial"/>
          <w:sz w:val="18"/>
          <w:szCs w:val="18"/>
          <w:color w:val="auto"/>
        </w:rPr>
        <w:t>“</w:t>
      </w:r>
      <w:r>
        <w:rPr>
          <w:rFonts w:ascii="Arial" w:cs="Arial" w:eastAsia="Arial" w:hAnsi="Arial"/>
          <w:sz w:val="18"/>
          <w:szCs w:val="18"/>
          <w:b w:val="1"/>
          <w:bCs w:val="1"/>
          <w:color w:val="auto"/>
        </w:rPr>
        <w:t>Research Activities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2.4.2</w:t>
      </w:r>
      <w:r>
        <w:rPr>
          <w:rFonts w:ascii="Arial" w:cs="Arial" w:eastAsia="Arial" w:hAnsi="Arial"/>
          <w:sz w:val="18"/>
          <w:szCs w:val="18"/>
          <w:b w:val="1"/>
          <w:bCs w:val="1"/>
          <w:color w:val="auto"/>
        </w:rPr>
        <w:t xml:space="preserve"> </w:t>
      </w:r>
      <w:r>
        <w:rPr>
          <w:rFonts w:ascii="Arial" w:cs="Arial" w:eastAsia="Arial" w:hAnsi="Arial"/>
          <w:sz w:val="18"/>
          <w:szCs w:val="18"/>
          <w:color w:val="auto"/>
        </w:rPr>
        <w:t>(Contents of Research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1.138. </w:t>
      </w:r>
      <w:r>
        <w:rPr>
          <w:rFonts w:ascii="Arial" w:cs="Arial" w:eastAsia="Arial" w:hAnsi="Arial"/>
          <w:sz w:val="18"/>
          <w:szCs w:val="18"/>
          <w:color w:val="auto"/>
        </w:rPr>
        <w:t>“</w:t>
      </w:r>
      <w:r>
        <w:rPr>
          <w:rFonts w:ascii="Arial" w:cs="Arial" w:eastAsia="Arial" w:hAnsi="Arial"/>
          <w:sz w:val="18"/>
          <w:szCs w:val="18"/>
          <w:b w:val="1"/>
          <w:bCs w:val="1"/>
          <w:color w:val="auto"/>
        </w:rPr>
        <w:t>Research Plan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2.4.1</w:t>
      </w:r>
      <w:r>
        <w:rPr>
          <w:rFonts w:ascii="Arial" w:cs="Arial" w:eastAsia="Arial" w:hAnsi="Arial"/>
          <w:sz w:val="18"/>
          <w:szCs w:val="18"/>
          <w:b w:val="1"/>
          <w:bCs w:val="1"/>
          <w:color w:val="auto"/>
        </w:rPr>
        <w:t xml:space="preserve"> </w:t>
      </w:r>
      <w:r>
        <w:rPr>
          <w:rFonts w:ascii="Arial" w:cs="Arial" w:eastAsia="Arial" w:hAnsi="Arial"/>
          <w:sz w:val="18"/>
          <w:szCs w:val="18"/>
          <w:color w:val="auto"/>
        </w:rPr>
        <w:t>(Overview).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1.139. </w:t>
      </w:r>
      <w:r>
        <w:rPr>
          <w:rFonts w:ascii="Arial" w:cs="Arial" w:eastAsia="Arial" w:hAnsi="Arial"/>
          <w:sz w:val="18"/>
          <w:szCs w:val="18"/>
          <w:color w:val="auto"/>
        </w:rPr>
        <w:t>“</w:t>
      </w:r>
      <w:r>
        <w:rPr>
          <w:rFonts w:ascii="Arial" w:cs="Arial" w:eastAsia="Arial" w:hAnsi="Arial"/>
          <w:sz w:val="18"/>
          <w:szCs w:val="18"/>
          <w:b w:val="1"/>
          <w:bCs w:val="1"/>
          <w:color w:val="auto"/>
        </w:rPr>
        <w:t>Research Services</w:t>
      </w:r>
      <w:r>
        <w:rPr>
          <w:rFonts w:ascii="Arial" w:cs="Arial" w:eastAsia="Arial" w:hAnsi="Arial"/>
          <w:sz w:val="18"/>
          <w:szCs w:val="18"/>
          <w:color w:val="auto"/>
        </w:rPr>
        <w:t>” means the services to be performed by Repare as detailed in the Research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1.140. </w:t>
      </w:r>
      <w:r>
        <w:rPr>
          <w:rFonts w:ascii="Arial" w:cs="Arial" w:eastAsia="Arial" w:hAnsi="Arial"/>
          <w:sz w:val="18"/>
          <w:szCs w:val="18"/>
          <w:color w:val="auto"/>
        </w:rPr>
        <w:t>“</w:t>
      </w:r>
      <w:r>
        <w:rPr>
          <w:rFonts w:ascii="Arial" w:cs="Arial" w:eastAsia="Arial" w:hAnsi="Arial"/>
          <w:sz w:val="18"/>
          <w:szCs w:val="18"/>
          <w:b w:val="1"/>
          <w:bCs w:val="1"/>
          <w:color w:val="auto"/>
        </w:rPr>
        <w:t>Research Services Payments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2.5</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Services Payments).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1.141. </w:t>
      </w:r>
      <w:r>
        <w:rPr>
          <w:rFonts w:ascii="Arial" w:cs="Arial" w:eastAsia="Arial" w:hAnsi="Arial"/>
          <w:sz w:val="18"/>
          <w:szCs w:val="18"/>
          <w:color w:val="auto"/>
        </w:rPr>
        <w:t>“</w:t>
      </w:r>
      <w:r>
        <w:rPr>
          <w:rFonts w:ascii="Arial" w:cs="Arial" w:eastAsia="Arial" w:hAnsi="Arial"/>
          <w:sz w:val="18"/>
          <w:szCs w:val="18"/>
          <w:b w:val="1"/>
          <w:bCs w:val="1"/>
          <w:color w:val="auto"/>
        </w:rPr>
        <w:t>Research Services Payment Trigger</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2.5.1</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Services Payment Triggers).</w:t>
      </w:r>
    </w:p>
    <w:p>
      <w:pPr>
        <w:spacing w:after="0" w:line="225"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1.142. </w:t>
      </w:r>
      <w:r>
        <w:rPr>
          <w:rFonts w:ascii="Arial" w:cs="Arial" w:eastAsia="Arial" w:hAnsi="Arial"/>
          <w:sz w:val="18"/>
          <w:szCs w:val="18"/>
          <w:color w:val="auto"/>
        </w:rPr>
        <w:t>“</w:t>
      </w:r>
      <w:r>
        <w:rPr>
          <w:rFonts w:ascii="Arial" w:cs="Arial" w:eastAsia="Arial" w:hAnsi="Arial"/>
          <w:sz w:val="18"/>
          <w:szCs w:val="18"/>
          <w:b w:val="1"/>
          <w:bCs w:val="1"/>
          <w:color w:val="auto"/>
        </w:rPr>
        <w:t>Research Term</w:t>
      </w:r>
      <w:r>
        <w:rPr>
          <w:rFonts w:ascii="Arial" w:cs="Arial" w:eastAsia="Arial" w:hAnsi="Arial"/>
          <w:sz w:val="18"/>
          <w:szCs w:val="18"/>
          <w:color w:val="auto"/>
        </w:rPr>
        <w:t>” means the period commencing on the Effective Date and ending upon the earlier of (a) the third (3rd) anniversary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or (b) the date of submission of the first IND in the United States or in Japan. Any extensions of the Research Term will require the mutual written agreement of both Parties.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1.143. </w:t>
      </w:r>
      <w:r>
        <w:rPr>
          <w:rFonts w:ascii="Arial" w:cs="Arial" w:eastAsia="Arial" w:hAnsi="Arial"/>
          <w:sz w:val="18"/>
          <w:szCs w:val="18"/>
          <w:color w:val="auto"/>
        </w:rPr>
        <w:t>“</w:t>
      </w:r>
      <w:r>
        <w:rPr>
          <w:rFonts w:ascii="Arial" w:cs="Arial" w:eastAsia="Arial" w:hAnsi="Arial"/>
          <w:sz w:val="18"/>
          <w:szCs w:val="18"/>
          <w:b w:val="1"/>
          <w:bCs w:val="1"/>
          <w:color w:val="auto"/>
        </w:rPr>
        <w:t>Responsible Party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14.3.4</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Cooperation).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1.144. </w:t>
      </w:r>
      <w:r>
        <w:rPr>
          <w:rFonts w:ascii="Arial" w:cs="Arial" w:eastAsia="Arial" w:hAnsi="Arial"/>
          <w:sz w:val="18"/>
          <w:szCs w:val="18"/>
          <w:color w:val="auto"/>
        </w:rPr>
        <w:t>“</w:t>
      </w:r>
      <w:r>
        <w:rPr>
          <w:rFonts w:ascii="Arial" w:cs="Arial" w:eastAsia="Arial" w:hAnsi="Arial"/>
          <w:sz w:val="18"/>
          <w:szCs w:val="18"/>
          <w:b w:val="1"/>
          <w:bCs w:val="1"/>
          <w:color w:val="auto"/>
        </w:rPr>
        <w:t>Royalty Report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11.5</w:t>
      </w:r>
      <w:r>
        <w:rPr>
          <w:rFonts w:ascii="Arial" w:cs="Arial" w:eastAsia="Arial" w:hAnsi="Arial"/>
          <w:sz w:val="18"/>
          <w:szCs w:val="18"/>
          <w:b w:val="1"/>
          <w:bCs w:val="1"/>
          <w:color w:val="auto"/>
        </w:rPr>
        <w:t xml:space="preserve"> </w:t>
      </w:r>
      <w:r>
        <w:rPr>
          <w:rFonts w:ascii="Arial" w:cs="Arial" w:eastAsia="Arial" w:hAnsi="Arial"/>
          <w:sz w:val="18"/>
          <w:szCs w:val="18"/>
          <w:color w:val="auto"/>
        </w:rPr>
        <w:t>(Reports; Payment of Royalty).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1.145. </w:t>
      </w: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11.4.2</w:t>
      </w:r>
      <w:r>
        <w:rPr>
          <w:rFonts w:ascii="Arial" w:cs="Arial" w:eastAsia="Arial" w:hAnsi="Arial"/>
          <w:sz w:val="18"/>
          <w:szCs w:val="18"/>
          <w:b w:val="1"/>
          <w:bCs w:val="1"/>
          <w:color w:val="auto"/>
        </w:rPr>
        <w:t xml:space="preserve"> </w:t>
      </w:r>
      <w:r>
        <w:rPr>
          <w:rFonts w:ascii="Arial" w:cs="Arial" w:eastAsia="Arial" w:hAnsi="Arial"/>
          <w:sz w:val="18"/>
          <w:szCs w:val="18"/>
          <w:color w:val="auto"/>
        </w:rPr>
        <w:t>(Royalty Term).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1.146. </w:t>
      </w:r>
      <w:r>
        <w:rPr>
          <w:rFonts w:ascii="Arial" w:cs="Arial" w:eastAsia="Arial" w:hAnsi="Arial"/>
          <w:sz w:val="18"/>
          <w:szCs w:val="18"/>
          <w:color w:val="auto"/>
        </w:rPr>
        <w:t>“</w:t>
      </w:r>
      <w:r>
        <w:rPr>
          <w:rFonts w:ascii="Arial" w:cs="Arial" w:eastAsia="Arial" w:hAnsi="Arial"/>
          <w:sz w:val="18"/>
          <w:szCs w:val="18"/>
          <w:b w:val="1"/>
          <w:bCs w:val="1"/>
          <w:color w:val="auto"/>
        </w:rPr>
        <w:t>SDEA</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5.2</w:t>
      </w:r>
      <w:r>
        <w:rPr>
          <w:rFonts w:ascii="Arial" w:cs="Arial" w:eastAsia="Arial" w:hAnsi="Arial"/>
          <w:sz w:val="18"/>
          <w:szCs w:val="18"/>
          <w:b w:val="1"/>
          <w:bCs w:val="1"/>
          <w:color w:val="auto"/>
        </w:rPr>
        <w:t xml:space="preserve"> </w:t>
      </w:r>
      <w:r>
        <w:rPr>
          <w:rFonts w:ascii="Arial" w:cs="Arial" w:eastAsia="Arial" w:hAnsi="Arial"/>
          <w:sz w:val="18"/>
          <w:szCs w:val="18"/>
          <w:color w:val="auto"/>
        </w:rPr>
        <w:t>(Pharmacovigilance).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1.147. </w:t>
      </w:r>
      <w:r>
        <w:rPr>
          <w:rFonts w:ascii="Arial" w:cs="Arial" w:eastAsia="Arial" w:hAnsi="Arial"/>
          <w:sz w:val="18"/>
          <w:szCs w:val="18"/>
          <w:color w:val="auto"/>
        </w:rPr>
        <w:t>“</w:t>
      </w:r>
      <w:r>
        <w:rPr>
          <w:rFonts w:ascii="Arial" w:cs="Arial" w:eastAsia="Arial" w:hAnsi="Arial"/>
          <w:sz w:val="18"/>
          <w:szCs w:val="18"/>
          <w:b w:val="1"/>
          <w:bCs w:val="1"/>
          <w:color w:val="auto"/>
        </w:rPr>
        <w:t>Sen-yo Jisshiken Tohroku</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10.1.4</w:t>
      </w:r>
      <w:r>
        <w:rPr>
          <w:rFonts w:ascii="Arial" w:cs="Arial" w:eastAsia="Arial" w:hAnsi="Arial"/>
          <w:sz w:val="18"/>
          <w:szCs w:val="18"/>
          <w:b w:val="1"/>
          <w:bCs w:val="1"/>
          <w:color w:val="auto"/>
        </w:rPr>
        <w:t xml:space="preserve"> </w:t>
      </w:r>
      <w:r>
        <w:rPr>
          <w:rFonts w:ascii="Arial" w:cs="Arial" w:eastAsia="Arial" w:hAnsi="Arial"/>
          <w:sz w:val="18"/>
          <w:szCs w:val="18"/>
          <w:color w:val="auto"/>
        </w:rPr>
        <w:t>(Sen-yo Jisshiken Tohroku).</w:t>
      </w:r>
    </w:p>
    <w:p>
      <w:pPr>
        <w:spacing w:after="0" w:line="225"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1.148. </w:t>
      </w:r>
      <w:r>
        <w:rPr>
          <w:rFonts w:ascii="Arial" w:cs="Arial" w:eastAsia="Arial" w:hAnsi="Arial"/>
          <w:sz w:val="18"/>
          <w:szCs w:val="18"/>
          <w:color w:val="auto"/>
        </w:rPr>
        <w:t>“</w:t>
      </w:r>
      <w:r>
        <w:rPr>
          <w:rFonts w:ascii="Arial" w:cs="Arial" w:eastAsia="Arial" w:hAnsi="Arial"/>
          <w:sz w:val="18"/>
          <w:szCs w:val="18"/>
          <w:b w:val="1"/>
          <w:bCs w:val="1"/>
          <w:color w:val="auto"/>
        </w:rPr>
        <w:t>Serious Adverse Event</w:t>
      </w:r>
      <w:r>
        <w:rPr>
          <w:rFonts w:ascii="Arial" w:cs="Arial" w:eastAsia="Arial" w:hAnsi="Arial"/>
          <w:sz w:val="18"/>
          <w:szCs w:val="18"/>
          <w:color w:val="auto"/>
        </w:rPr>
        <w:t>” means an adverse drug experience or circumstance that results in any of the following outcomes (a) death, (b)</w:t>
      </w:r>
      <w:r>
        <w:rPr>
          <w:rFonts w:ascii="Arial" w:cs="Arial" w:eastAsia="Arial" w:hAnsi="Arial"/>
          <w:sz w:val="18"/>
          <w:szCs w:val="18"/>
          <w:b w:val="1"/>
          <w:bCs w:val="1"/>
          <w:color w:val="auto"/>
        </w:rPr>
        <w:t xml:space="preserve"> </w:t>
      </w:r>
      <w:r>
        <w:rPr>
          <w:rFonts w:ascii="Arial" w:cs="Arial" w:eastAsia="Arial" w:hAnsi="Arial"/>
          <w:sz w:val="18"/>
          <w:szCs w:val="18"/>
          <w:color w:val="auto"/>
        </w:rPr>
        <w:t>life-threatening event, (c) inpatient hospitalization or prolongation of existing hospitalization, (d) persistent or significant disability or incapacity or substantial disruption of the ability to conduct normal life functions, (e) a congenital anomaly/birth defect, (f) significant intervention required to prevent permanent impairment or damage or (g) a medical event that may not result in death, be life-threatening or require hospitalization but, based on appropriate medical judgment, that may jeopardize the patient or subject and may require medical or surgical intervention to prevent one of the outcomes described in clauses (a) through (e).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69" w:right="459" w:bottom="1440" w:gutter="0" w:footer="0" w:header="0"/>
        </w:sectPr>
      </w:pPr>
    </w:p>
    <w:bookmarkStart w:id="574" w:name="page575"/>
    <w:bookmarkEnd w:id="574"/>
    <w:p>
      <w:pPr>
        <w:ind w:right="20" w:firstLine="440"/>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1.149. </w:t>
      </w:r>
      <w:r>
        <w:rPr>
          <w:rFonts w:ascii="Arial" w:cs="Arial" w:eastAsia="Arial" w:hAnsi="Arial"/>
          <w:sz w:val="17"/>
          <w:szCs w:val="17"/>
          <w:color w:val="auto"/>
        </w:rPr>
        <w:t>“</w:t>
      </w:r>
      <w:r>
        <w:rPr>
          <w:rFonts w:ascii="Arial" w:cs="Arial" w:eastAsia="Arial" w:hAnsi="Arial"/>
          <w:sz w:val="17"/>
          <w:szCs w:val="17"/>
          <w:b w:val="1"/>
          <w:bCs w:val="1"/>
          <w:color w:val="auto"/>
        </w:rPr>
        <w:t>Sublicensee</w:t>
      </w:r>
      <w:r>
        <w:rPr>
          <w:rFonts w:ascii="Arial" w:cs="Arial" w:eastAsia="Arial" w:hAnsi="Arial"/>
          <w:sz w:val="17"/>
          <w:szCs w:val="17"/>
          <w:color w:val="auto"/>
        </w:rPr>
        <w:t>” means a Third Party to whom a Party grants a direct or indirect license or sublicense under any Repare Technology, Ono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Technology or Joint Technology, as the case may be, to Develop, Manufacture, have Manufactured or Commercialize a Drug Candidate, Licensed Drug Candidate or Licensed Product in the Field pursuant to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(Ono Sublicense Rights) or </w:t>
      </w:r>
      <w:r>
        <w:rPr>
          <w:rFonts w:ascii="Arial" w:cs="Arial" w:eastAsia="Arial" w:hAnsi="Arial"/>
          <w:sz w:val="17"/>
          <w:szCs w:val="17"/>
          <w:u w:val="single" w:color="auto"/>
          <w:color w:val="auto"/>
        </w:rPr>
        <w:t>Section 10.2.3</w:t>
      </w:r>
      <w:r>
        <w:rPr>
          <w:rFonts w:ascii="Arial" w:cs="Arial" w:eastAsia="Arial" w:hAnsi="Arial"/>
          <w:sz w:val="17"/>
          <w:szCs w:val="17"/>
          <w:color w:val="auto"/>
        </w:rPr>
        <w:t xml:space="preserve"> (Repare Sublicense Rights). For avoidance of doubt, Third Parties that are acting on behalf of, or for the benefit of, a Party in connection with such Parties’ efforts to Develop, Manufacture, have Manufactured or Commercialize a Drug Candidate, Licensed Drug Candidate or Licensed Product in accordance with the terms of this Agreement, including for example, academic institutions, clinical trial sites, investigators, CROs, Third Party Manufacturers or any similar independent contractors, are not “Sublicensees” for purposes of the obligations set forth in </w:t>
      </w:r>
      <w:r>
        <w:rPr>
          <w:rFonts w:ascii="Arial" w:cs="Arial" w:eastAsia="Arial" w:hAnsi="Arial"/>
          <w:sz w:val="17"/>
          <w:szCs w:val="17"/>
          <w:u w:val="single" w:color="auto"/>
          <w:color w:val="auto"/>
        </w:rPr>
        <w:t>Sections 10.1.3(a)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10.2.3(a)</w:t>
      </w:r>
      <w:r>
        <w:rPr>
          <w:rFonts w:ascii="Arial" w:cs="Arial" w:eastAsia="Arial" w:hAnsi="Arial"/>
          <w:sz w:val="17"/>
          <w:szCs w:val="17"/>
          <w:color w:val="auto"/>
        </w:rPr>
        <w:t>; provided that this exclusion does not apply to Third Parties that are granted the right to Commercialize a Drug Candidate, Licensed Drug Candidate or Licensed Product subject to a royalty, or similar payment obligation, to a Party.</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1.150. </w:t>
      </w:r>
      <w:r>
        <w:rPr>
          <w:rFonts w:ascii="Arial" w:cs="Arial" w:eastAsia="Arial" w:hAnsi="Arial"/>
          <w:sz w:val="18"/>
          <w:szCs w:val="18"/>
          <w:color w:val="auto"/>
        </w:rPr>
        <w:t>“</w:t>
      </w:r>
      <w:r>
        <w:rPr>
          <w:rFonts w:ascii="Arial" w:cs="Arial" w:eastAsia="Arial" w:hAnsi="Arial"/>
          <w:sz w:val="18"/>
          <w:szCs w:val="18"/>
          <w:b w:val="1"/>
          <w:bCs w:val="1"/>
          <w:color w:val="auto"/>
        </w:rPr>
        <w:t>Sued Party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14.5</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Party Claims).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1.151. </w:t>
      </w:r>
      <w:r>
        <w:rPr>
          <w:rFonts w:ascii="Arial" w:cs="Arial" w:eastAsia="Arial" w:hAnsi="Arial"/>
          <w:sz w:val="18"/>
          <w:szCs w:val="18"/>
          <w:color w:val="auto"/>
        </w:rPr>
        <w:t>“</w:t>
      </w:r>
      <w:r>
        <w:rPr>
          <w:rFonts w:ascii="Arial" w:cs="Arial" w:eastAsia="Arial" w:hAnsi="Arial"/>
          <w:sz w:val="18"/>
          <w:szCs w:val="18"/>
          <w:b w:val="1"/>
          <w:bCs w:val="1"/>
          <w:color w:val="auto"/>
        </w:rPr>
        <w:t>Supply Agreements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b w:val="1"/>
          <w:bCs w:val="1"/>
          <w:color w:val="auto"/>
        </w:rPr>
        <w:t xml:space="preserve"> </w:t>
      </w:r>
      <w:r>
        <w:rPr>
          <w:rFonts w:ascii="Arial" w:cs="Arial" w:eastAsia="Arial" w:hAnsi="Arial"/>
          <w:sz w:val="18"/>
          <w:szCs w:val="18"/>
          <w:color w:val="auto"/>
        </w:rPr>
        <w:t>(Supply Agreements).</w:t>
      </w:r>
    </w:p>
    <w:p>
      <w:pPr>
        <w:spacing w:after="0" w:line="225"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1.152. “Taxation Documents” </w:t>
      </w:r>
      <w:r>
        <w:rPr>
          <w:rFonts w:ascii="Arial" w:cs="Arial" w:eastAsia="Arial" w:hAnsi="Arial"/>
          <w:sz w:val="18"/>
          <w:szCs w:val="18"/>
          <w:color w:val="auto"/>
        </w:rPr>
        <w:t>means the tax documents necessary from time to time in order for Ono (a) not to withhold tax or (b) to withhold</w:t>
      </w:r>
      <w:r>
        <w:rPr>
          <w:rFonts w:ascii="Arial" w:cs="Arial" w:eastAsia="Arial" w:hAnsi="Arial"/>
          <w:sz w:val="18"/>
          <w:szCs w:val="18"/>
          <w:b w:val="1"/>
          <w:bCs w:val="1"/>
          <w:color w:val="auto"/>
        </w:rPr>
        <w:t xml:space="preserve"> </w:t>
      </w:r>
      <w:r>
        <w:rPr>
          <w:rFonts w:ascii="Arial" w:cs="Arial" w:eastAsia="Arial" w:hAnsi="Arial"/>
          <w:sz w:val="18"/>
          <w:szCs w:val="18"/>
          <w:color w:val="auto"/>
        </w:rPr>
        <w:t>tax at a reduced rate under an applicable bilateral income tax treaty.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1.153. </w:t>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15.1</w:t>
      </w:r>
      <w:r>
        <w:rPr>
          <w:rFonts w:ascii="Arial" w:cs="Arial" w:eastAsia="Arial" w:hAnsi="Arial"/>
          <w:sz w:val="18"/>
          <w:szCs w:val="18"/>
          <w:b w:val="1"/>
          <w:bCs w:val="1"/>
          <w:color w:val="auto"/>
        </w:rPr>
        <w:t xml:space="preserve"> </w:t>
      </w:r>
      <w:r>
        <w:rPr>
          <w:rFonts w:ascii="Arial" w:cs="Arial" w:eastAsia="Arial" w:hAnsi="Arial"/>
          <w:sz w:val="18"/>
          <w:szCs w:val="18"/>
          <w:color w:val="auto"/>
        </w:rPr>
        <w:t>(Term).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1.154. </w:t>
      </w: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(a) with respect to Repare, the Repare Territory and (b) with respect to Ono, the Ono Territory.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1.155. </w:t>
      </w:r>
      <w:r>
        <w:rPr>
          <w:rFonts w:ascii="Arial" w:cs="Arial" w:eastAsia="Arial" w:hAnsi="Arial"/>
          <w:sz w:val="18"/>
          <w:szCs w:val="18"/>
          <w:color w:val="auto"/>
        </w:rPr>
        <w:t>“</w:t>
      </w:r>
      <w:r>
        <w:rPr>
          <w:rFonts w:ascii="Arial" w:cs="Arial" w:eastAsia="Arial" w:hAnsi="Arial"/>
          <w:sz w:val="18"/>
          <w:szCs w:val="18"/>
          <w:b w:val="1"/>
          <w:bCs w:val="1"/>
          <w:color w:val="auto"/>
        </w:rPr>
        <w:t>Third-Country Currency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11.7.3</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 of Net Sales).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1.156.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 Person other than a Party and its Affiliates.</w:t>
      </w:r>
    </w:p>
    <w:p>
      <w:pPr>
        <w:spacing w:after="0" w:line="225" w:lineRule="exact"/>
        <w:rPr>
          <w:sz w:val="20"/>
          <w:szCs w:val="20"/>
          <w:color w:val="auto"/>
        </w:rPr>
      </w:pPr>
    </w:p>
    <w:p>
      <w:pPr>
        <w:ind w:right="180" w:firstLine="440"/>
        <w:spacing w:after="0" w:line="347" w:lineRule="auto"/>
        <w:rPr>
          <w:sz w:val="20"/>
          <w:szCs w:val="20"/>
          <w:color w:val="auto"/>
        </w:rPr>
      </w:pPr>
      <w:r>
        <w:rPr>
          <w:rFonts w:ascii="Arial" w:cs="Arial" w:eastAsia="Arial" w:hAnsi="Arial"/>
          <w:sz w:val="16"/>
          <w:szCs w:val="16"/>
          <w:b w:val="1"/>
          <w:bCs w:val="1"/>
          <w:color w:val="auto"/>
        </w:rPr>
        <w:t xml:space="preserve">1.157. </w:t>
      </w:r>
      <w:r>
        <w:rPr>
          <w:rFonts w:ascii="Arial" w:cs="Arial" w:eastAsia="Arial" w:hAnsi="Arial"/>
          <w:sz w:val="16"/>
          <w:szCs w:val="16"/>
          <w:color w:val="auto"/>
        </w:rPr>
        <w:t>“</w:t>
      </w:r>
      <w:r>
        <w:rPr>
          <w:rFonts w:ascii="Arial" w:cs="Arial" w:eastAsia="Arial" w:hAnsi="Arial"/>
          <w:sz w:val="16"/>
          <w:szCs w:val="16"/>
          <w:b w:val="1"/>
          <w:bCs w:val="1"/>
          <w:color w:val="auto"/>
        </w:rPr>
        <w:t>Third Party License Payment</w:t>
      </w:r>
      <w:r>
        <w:rPr>
          <w:rFonts w:ascii="Arial" w:cs="Arial" w:eastAsia="Arial" w:hAnsi="Arial"/>
          <w:sz w:val="16"/>
          <w:szCs w:val="16"/>
          <w:color w:val="auto"/>
        </w:rPr>
        <w:t>” means royalties, upfront fees, milestones or other amounts payable under an Ono In-License or Repare</w:t>
      </w:r>
      <w:r>
        <w:rPr>
          <w:rFonts w:ascii="Arial" w:cs="Arial" w:eastAsia="Arial" w:hAnsi="Arial"/>
          <w:sz w:val="16"/>
          <w:szCs w:val="16"/>
          <w:b w:val="1"/>
          <w:bCs w:val="1"/>
          <w:color w:val="auto"/>
        </w:rPr>
        <w:t xml:space="preserve"> </w:t>
      </w:r>
      <w:r>
        <w:rPr>
          <w:rFonts w:ascii="Arial" w:cs="Arial" w:eastAsia="Arial" w:hAnsi="Arial"/>
          <w:sz w:val="16"/>
          <w:szCs w:val="16"/>
          <w:color w:val="auto"/>
        </w:rPr>
        <w:t>In-License in consideration for the rights granted under such Ono In-License or Repare In-License with respect to any Patent Right or Know-How.</w:t>
      </w:r>
    </w:p>
    <w:p>
      <w:pPr>
        <w:spacing w:after="0" w:line="116"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b w:val="1"/>
          <w:bCs w:val="1"/>
          <w:color w:val="auto"/>
        </w:rPr>
        <w:t xml:space="preserve">1.158. </w:t>
      </w:r>
      <w:r>
        <w:rPr>
          <w:rFonts w:ascii="Arial" w:cs="Arial" w:eastAsia="Arial" w:hAnsi="Arial"/>
          <w:sz w:val="18"/>
          <w:szCs w:val="18"/>
          <w:color w:val="auto"/>
        </w:rPr>
        <w:t>“</w:t>
      </w:r>
      <w:r>
        <w:rPr>
          <w:rFonts w:ascii="Arial" w:cs="Arial" w:eastAsia="Arial" w:hAnsi="Arial"/>
          <w:sz w:val="18"/>
          <w:szCs w:val="18"/>
          <w:b w:val="1"/>
          <w:bCs w:val="1"/>
          <w:color w:val="auto"/>
        </w:rPr>
        <w:t>Trademark</w:t>
      </w:r>
      <w:r>
        <w:rPr>
          <w:rFonts w:ascii="Arial" w:cs="Arial" w:eastAsia="Arial" w:hAnsi="Arial"/>
          <w:sz w:val="18"/>
          <w:szCs w:val="18"/>
          <w:color w:val="auto"/>
        </w:rPr>
        <w:t>” means any trademark, trade name, service mark, service name, brand, domain name, trade dress, logo, slogan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indicia of origin or ownership, including the goodwill and activities associated with each of the foregoing.</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1.159. </w:t>
      </w: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means the United States of America and its territories, possessions and commonwealths.</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1.160. </w:t>
      </w:r>
      <w:r>
        <w:rPr>
          <w:rFonts w:ascii="Arial" w:cs="Arial" w:eastAsia="Arial" w:hAnsi="Arial"/>
          <w:sz w:val="18"/>
          <w:szCs w:val="18"/>
          <w:color w:val="auto"/>
        </w:rPr>
        <w:t>“</w:t>
      </w:r>
      <w:r>
        <w:rPr>
          <w:rFonts w:ascii="Arial" w:cs="Arial" w:eastAsia="Arial" w:hAnsi="Arial"/>
          <w:sz w:val="18"/>
          <w:szCs w:val="18"/>
          <w:b w:val="1"/>
          <w:bCs w:val="1"/>
          <w:color w:val="auto"/>
        </w:rPr>
        <w:t>Valid Claim</w:t>
      </w:r>
      <w:r>
        <w:rPr>
          <w:rFonts w:ascii="Arial" w:cs="Arial" w:eastAsia="Arial" w:hAnsi="Arial"/>
          <w:sz w:val="18"/>
          <w:szCs w:val="18"/>
          <w:color w:val="auto"/>
        </w:rPr>
        <w:t>” means a claim of an issued or granted and unexpired patent included within the Repare Technology that claims the active</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ingredient of a Licensed Product as a composition of matter, which has not been revoked or held unenforceable or invalid by a decision of a court or other Governmental Authority of competent jurisdiction (which decision is not appealable or has not been appealed within the time allowed for appeal), and which claim has not been disclaimed, denied or admitted to be invalid or unenforceable through reissue, re-examination or disclaimer or otherwise.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1.161. </w:t>
      </w:r>
      <w:r>
        <w:rPr>
          <w:rFonts w:ascii="Arial" w:cs="Arial" w:eastAsia="Arial" w:hAnsi="Arial"/>
          <w:sz w:val="18"/>
          <w:szCs w:val="18"/>
          <w:color w:val="auto"/>
        </w:rPr>
        <w:t>“</w:t>
      </w:r>
      <w:r>
        <w:rPr>
          <w:rFonts w:ascii="Arial" w:cs="Arial" w:eastAsia="Arial" w:hAnsi="Arial"/>
          <w:sz w:val="18"/>
          <w:szCs w:val="18"/>
          <w:b w:val="1"/>
          <w:bCs w:val="1"/>
          <w:color w:val="auto"/>
        </w:rPr>
        <w:t>Working Group</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8.3</w:t>
      </w:r>
      <w:r>
        <w:rPr>
          <w:rFonts w:ascii="Arial" w:cs="Arial" w:eastAsia="Arial" w:hAnsi="Arial"/>
          <w:sz w:val="18"/>
          <w:szCs w:val="18"/>
          <w:b w:val="1"/>
          <w:bCs w:val="1"/>
          <w:color w:val="auto"/>
        </w:rPr>
        <w:t xml:space="preserve"> </w:t>
      </w:r>
      <w:r>
        <w:rPr>
          <w:rFonts w:ascii="Arial" w:cs="Arial" w:eastAsia="Arial" w:hAnsi="Arial"/>
          <w:sz w:val="18"/>
          <w:szCs w:val="18"/>
          <w:color w:val="auto"/>
        </w:rPr>
        <w:t>(Working Group).</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69" w:right="479" w:bottom="1440" w:gutter="0" w:footer="0" w:header="0"/>
        </w:sectPr>
      </w:pPr>
    </w:p>
    <w:bookmarkStart w:id="575" w:name="page576"/>
    <w:bookmarkEnd w:id="57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1.162. </w:t>
      </w:r>
      <w:r>
        <w:rPr>
          <w:rFonts w:ascii="Arial" w:cs="Arial" w:eastAsia="Arial" w:hAnsi="Arial"/>
          <w:sz w:val="18"/>
          <w:szCs w:val="18"/>
          <w:color w:val="auto"/>
        </w:rPr>
        <w:t>“</w:t>
      </w:r>
      <w:r>
        <w:rPr>
          <w:rFonts w:ascii="Arial" w:cs="Arial" w:eastAsia="Arial" w:hAnsi="Arial"/>
          <w:sz w:val="18"/>
          <w:szCs w:val="18"/>
          <w:b w:val="1"/>
          <w:bCs w:val="1"/>
          <w:color w:val="auto"/>
        </w:rPr>
        <w:t>1974 Convention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16.2</w:t>
      </w:r>
      <w:r>
        <w:rPr>
          <w:rFonts w:ascii="Arial" w:cs="Arial" w:eastAsia="Arial" w:hAnsi="Arial"/>
          <w:sz w:val="18"/>
          <w:szCs w:val="18"/>
          <w:b w:val="1"/>
          <w:bCs w:val="1"/>
          <w:color w:val="auto"/>
        </w:rPr>
        <w:t xml:space="preserve"> </w:t>
      </w:r>
      <w:r>
        <w:rPr>
          <w:rFonts w:ascii="Arial" w:cs="Arial" w:eastAsia="Arial" w:hAnsi="Arial"/>
          <w:sz w:val="18"/>
          <w:szCs w:val="18"/>
          <w:color w:val="auto"/>
        </w:rPr>
        <w:t>(Governing Law).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RESEARCH PROGRAM</w:t>
      </w:r>
    </w:p>
    <w:p>
      <w:pPr>
        <w:spacing w:after="0" w:line="117" w:lineRule="exact"/>
        <w:rPr>
          <w:sz w:val="20"/>
          <w:szCs w:val="20"/>
          <w:color w:val="auto"/>
        </w:rPr>
      </w:pPr>
    </w:p>
    <w:p>
      <w:pPr>
        <w:ind w:right="100" w:firstLine="440"/>
        <w:spacing w:after="0" w:line="274"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b w:val="1"/>
          <w:bCs w:val="1"/>
          <w:u w:val="single" w:color="auto"/>
          <w:color w:val="auto"/>
        </w:rPr>
        <w:t>Collaboration Overview</w:t>
      </w:r>
      <w:r>
        <w:rPr>
          <w:rFonts w:ascii="Arial" w:cs="Arial" w:eastAsia="Arial" w:hAnsi="Arial"/>
          <w:sz w:val="17"/>
          <w:szCs w:val="17"/>
          <w:color w:val="auto"/>
        </w:rPr>
        <w:t>. During the Research Term, the Parties shall collaborate in the research of Drug Candidates and Licensed Drug</w:t>
      </w:r>
      <w:r>
        <w:rPr>
          <w:rFonts w:ascii="Arial" w:cs="Arial" w:eastAsia="Arial" w:hAnsi="Arial"/>
          <w:sz w:val="17"/>
          <w:szCs w:val="17"/>
          <w:b w:val="1"/>
          <w:bCs w:val="1"/>
          <w:color w:val="auto"/>
        </w:rPr>
        <w:t xml:space="preserve"> </w:t>
      </w:r>
      <w:r>
        <w:rPr>
          <w:rFonts w:ascii="Arial" w:cs="Arial" w:eastAsia="Arial" w:hAnsi="Arial"/>
          <w:sz w:val="17"/>
          <w:szCs w:val="17"/>
          <w:color w:val="auto"/>
        </w:rPr>
        <w:t>Candidates targeting Polq (the “</w:t>
      </w:r>
      <w:r>
        <w:rPr>
          <w:rFonts w:ascii="Arial" w:cs="Arial" w:eastAsia="Arial" w:hAnsi="Arial"/>
          <w:sz w:val="17"/>
          <w:szCs w:val="17"/>
          <w:b w:val="1"/>
          <w:bCs w:val="1"/>
          <w:color w:val="auto"/>
        </w:rPr>
        <w:t>Pol</w:t>
      </w:r>
      <w:r>
        <w:rPr>
          <w:rFonts w:ascii="Arial" w:cs="Arial" w:eastAsia="Arial" w:hAnsi="Arial"/>
          <w:sz w:val="17"/>
          <w:szCs w:val="17"/>
          <w:color w:val="auto"/>
        </w:rPr>
        <w:t xml:space="preserve">q </w:t>
      </w:r>
      <w:r>
        <w:rPr>
          <w:rFonts w:ascii="Arial" w:cs="Arial" w:eastAsia="Arial" w:hAnsi="Arial"/>
          <w:sz w:val="17"/>
          <w:szCs w:val="17"/>
          <w:b w:val="1"/>
          <w:bCs w:val="1"/>
          <w:color w:val="auto"/>
        </w:rPr>
        <w:t>Program</w:t>
      </w:r>
      <w:r>
        <w:rPr>
          <w:rFonts w:ascii="Arial" w:cs="Arial" w:eastAsia="Arial" w:hAnsi="Arial"/>
          <w:sz w:val="17"/>
          <w:szCs w:val="17"/>
          <w:color w:val="auto"/>
        </w:rPr>
        <w:t xml:space="preserve">”)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the Research Plan for the Polq Program. Repare shall have primary responsibility for carrying out the Research Plan for the Polq Program until the submission of the first IND for the Polq Program in the United States or Japan. The JRC shall have primary oversight responsibilities for the conduct of the Polq Program in accordance with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(Joint Research Committee). During the Research Term, Ono will provide advice on the research of Drug Candidates and Licensed Drug Candidates through the JRC, which such advice shall not be unreasonably rejected by Repare.</w:t>
      </w:r>
    </w:p>
    <w:p>
      <w:pPr>
        <w:spacing w:after="0" w:line="173"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u w:val="single" w:color="auto"/>
          <w:color w:val="auto"/>
        </w:rPr>
        <w:t>Pol</w:t>
      </w:r>
      <w:r>
        <w:rPr>
          <w:rFonts w:ascii="Arial" w:cs="Arial" w:eastAsia="Arial" w:hAnsi="Arial"/>
          <w:sz w:val="17"/>
          <w:szCs w:val="17"/>
          <w:color w:val="auto"/>
        </w:rPr>
        <w:t>q</w:t>
      </w:r>
      <w:r>
        <w:rPr>
          <w:rFonts w:ascii="Arial" w:cs="Arial" w:eastAsia="Arial" w:hAnsi="Arial"/>
          <w:sz w:val="17"/>
          <w:szCs w:val="17"/>
          <w:b w:val="1"/>
          <w:bCs w:val="1"/>
          <w:color w:val="auto"/>
        </w:rPr>
        <w:t xml:space="preserve"> Program Discontinuation</w:t>
      </w:r>
      <w:r>
        <w:rPr>
          <w:rFonts w:ascii="Arial" w:cs="Arial" w:eastAsia="Arial" w:hAnsi="Arial"/>
          <w:sz w:val="17"/>
          <w:szCs w:val="17"/>
          <w:color w:val="auto"/>
        </w:rPr>
        <w:t>. The Polq Program may only be discontinued by mutual agreement of the Parties during the period</w:t>
      </w:r>
      <w:r>
        <w:rPr>
          <w:rFonts w:ascii="Arial" w:cs="Arial" w:eastAsia="Arial" w:hAnsi="Arial"/>
          <w:sz w:val="17"/>
          <w:szCs w:val="17"/>
          <w:b w:val="1"/>
          <w:bCs w:val="1"/>
          <w:color w:val="auto"/>
        </w:rPr>
        <w:t xml:space="preserve"> </w:t>
      </w:r>
      <w:r>
        <w:rPr>
          <w:rFonts w:ascii="Arial" w:cs="Arial" w:eastAsia="Arial" w:hAnsi="Arial"/>
          <w:sz w:val="17"/>
          <w:szCs w:val="17"/>
          <w:color w:val="auto"/>
        </w:rPr>
        <w:t>commencing on the Effective Date and ending [***] after the Effective Date. During the period after the expiration of the foregoing [***] period and prior to the end of the Research Term, if Repare believes that the Polq Program should be discontinued, Repare shall notify Ono and, if Ono disagrees, the Parties will work together to promptly develop a focused and efficient plan, that can be executed through the application of Commercially Reasonable Efforts within [***] but in any event prior to the end of the Research Term, to address or avoid the issues raised by Repare with respect to the Polq Program. If the Parties devise such a plan, the Parties will use Commercially Reasonable Efforts to execute such plan. For avoidance of doubt, after expiration of the Research Term, Repare shall be permitted to discontinue the Polq Program to the extent such discontinuation would not constitute a breach of Repare’s obligation to use Commercially Reasonable Efforts to perform the Research Activities in accordance with the Research Plan and to Develop each Licensed Drug Candidate and Licensed Product as set forth herein.</w:t>
      </w:r>
    </w:p>
    <w:p>
      <w:pPr>
        <w:spacing w:after="0" w:line="173"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Diligence</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Research Term, each Party shall use Commercially Reasonable Efforts to perform the Research Activities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Research Plan.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u w:val="single" w:color="auto"/>
          <w:color w:val="auto"/>
        </w:rPr>
        <w:t>Research Plan</w:t>
      </w:r>
      <w:r>
        <w:rPr>
          <w:rFonts w:ascii="Arial" w:cs="Arial" w:eastAsia="Arial" w:hAnsi="Arial"/>
          <w:sz w:val="18"/>
          <w:szCs w:val="18"/>
          <w:b w:val="1"/>
          <w:bCs w:val="1"/>
          <w:color w:val="auto"/>
        </w:rPr>
        <w:t>.</w:t>
      </w:r>
    </w:p>
    <w:p>
      <w:pPr>
        <w:spacing w:after="0" w:line="117" w:lineRule="exact"/>
        <w:rPr>
          <w:sz w:val="20"/>
          <w:szCs w:val="20"/>
          <w:color w:val="auto"/>
        </w:rPr>
      </w:pPr>
    </w:p>
    <w:p>
      <w:pPr>
        <w:ind w:left="440" w:right="220" w:firstLine="423"/>
        <w:spacing w:after="0" w:line="261" w:lineRule="auto"/>
        <w:rPr>
          <w:sz w:val="20"/>
          <w:szCs w:val="20"/>
          <w:color w:val="auto"/>
        </w:rPr>
      </w:pPr>
      <w:r>
        <w:rPr>
          <w:rFonts w:ascii="Arial" w:cs="Arial" w:eastAsia="Arial" w:hAnsi="Arial"/>
          <w:sz w:val="18"/>
          <w:szCs w:val="18"/>
          <w:b w:val="1"/>
          <w:bCs w:val="1"/>
          <w:color w:val="auto"/>
        </w:rPr>
        <w:t xml:space="preserve">2.4.1. Overview. </w:t>
      </w:r>
      <w:r>
        <w:rPr>
          <w:rFonts w:ascii="Arial" w:cs="Arial" w:eastAsia="Arial" w:hAnsi="Arial"/>
          <w:sz w:val="18"/>
          <w:szCs w:val="18"/>
          <w:color w:val="auto"/>
        </w:rPr>
        <w:t>The research activities to be undertaken by the Parties with respect to the Polq Program, Drug Candidates, and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Drug Candidates will be performed in accordance with the terms of a written research plan (the “</w:t>
      </w:r>
      <w:r>
        <w:rPr>
          <w:rFonts w:ascii="Arial" w:cs="Arial" w:eastAsia="Arial" w:hAnsi="Arial"/>
          <w:sz w:val="18"/>
          <w:szCs w:val="18"/>
          <w:b w:val="1"/>
          <w:bCs w:val="1"/>
          <w:color w:val="auto"/>
        </w:rPr>
        <w:t>Research Plan</w:t>
      </w:r>
      <w:r>
        <w:rPr>
          <w:rFonts w:ascii="Arial" w:cs="Arial" w:eastAsia="Arial" w:hAnsi="Arial"/>
          <w:sz w:val="18"/>
          <w:szCs w:val="18"/>
          <w:color w:val="auto"/>
        </w:rPr>
        <w:t>”), the initial Research Plan is attached as Schedule 2.4.1. In the event of any inconsistency between the Research Plan and this Agreement, the terms of this Agreement will prevail.</w:t>
      </w:r>
    </w:p>
    <w:p>
      <w:pPr>
        <w:spacing w:after="0" w:line="72" w:lineRule="exact"/>
        <w:rPr>
          <w:sz w:val="20"/>
          <w:szCs w:val="20"/>
          <w:color w:val="auto"/>
        </w:rPr>
      </w:pPr>
    </w:p>
    <w:p>
      <w:pPr>
        <w:ind w:left="440" w:right="260" w:firstLine="423"/>
        <w:spacing w:after="0" w:line="298" w:lineRule="auto"/>
        <w:rPr>
          <w:sz w:val="20"/>
          <w:szCs w:val="20"/>
          <w:color w:val="auto"/>
        </w:rPr>
      </w:pPr>
      <w:r>
        <w:rPr>
          <w:rFonts w:ascii="Arial" w:cs="Arial" w:eastAsia="Arial" w:hAnsi="Arial"/>
          <w:sz w:val="16"/>
          <w:szCs w:val="16"/>
          <w:b w:val="1"/>
          <w:bCs w:val="1"/>
          <w:color w:val="auto"/>
        </w:rPr>
        <w:t xml:space="preserve">2.4.2. Contents of Research Plan. </w:t>
      </w:r>
      <w:r>
        <w:rPr>
          <w:rFonts w:ascii="Arial" w:cs="Arial" w:eastAsia="Arial" w:hAnsi="Arial"/>
          <w:sz w:val="16"/>
          <w:szCs w:val="16"/>
          <w:color w:val="auto"/>
        </w:rPr>
        <w:t>The Research Plan shall include (a) a description of the Research Services to be conducted by Repare</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timetable for conducting such Research Services; (b) a description of the research activities to be undertaken by the Parties that are reasonably necessary to obtain Acceptance of the IND for the Drug Candidates or Licensed Drug Candidates to be Developed under the Polq Program ((a) and (b) collectively, the “</w:t>
      </w:r>
      <w:r>
        <w:rPr>
          <w:rFonts w:ascii="Arial" w:cs="Arial" w:eastAsia="Arial" w:hAnsi="Arial"/>
          <w:sz w:val="16"/>
          <w:szCs w:val="16"/>
          <w:b w:val="1"/>
          <w:bCs w:val="1"/>
          <w:color w:val="auto"/>
        </w:rPr>
        <w:t>Research Activities</w:t>
      </w:r>
      <w:r>
        <w:rPr>
          <w:rFonts w:ascii="Arial" w:cs="Arial" w:eastAsia="Arial" w:hAnsi="Arial"/>
          <w:sz w:val="16"/>
          <w:szCs w:val="16"/>
          <w:color w:val="auto"/>
        </w:rPr>
        <w:t>”) and a timetable for conducting such Research Activities other than Research Services; (c) the estimated costs and expenses for the Research Activities (including overhead attributable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69" w:right="459" w:bottom="1440" w:gutter="0" w:footer="0" w:header="0"/>
        </w:sectPr>
      </w:pPr>
    </w:p>
    <w:bookmarkStart w:id="576" w:name="page577"/>
    <w:bookmarkEnd w:id="576"/>
    <w:p>
      <w:pPr>
        <w:ind w:left="440" w:right="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Research Activities); (d) an allocation of responsibilities for performing the Research Activities (other than the Research Services) between the Parties; and (e) the identification of one or more indications for Licensed Drug Candidates or Licensed Products to be Developed and Commercialized. The terms of the Research Plan, and the Research Activities set forth therein, shall at all times be designed to be in compliance with all applicable Laws and in accordance with professional and ethical standards customary in the pharmaceutical industry.</w:t>
      </w:r>
    </w:p>
    <w:p>
      <w:pPr>
        <w:spacing w:after="0" w:line="45" w:lineRule="exact"/>
        <w:rPr>
          <w:sz w:val="20"/>
          <w:szCs w:val="20"/>
          <w:color w:val="auto"/>
        </w:rPr>
      </w:pPr>
    </w:p>
    <w:p>
      <w:pPr>
        <w:ind w:left="440" w:firstLine="423"/>
        <w:spacing w:after="0" w:line="274" w:lineRule="auto"/>
        <w:rPr>
          <w:sz w:val="20"/>
          <w:szCs w:val="20"/>
          <w:color w:val="auto"/>
        </w:rPr>
      </w:pPr>
      <w:r>
        <w:rPr>
          <w:rFonts w:ascii="Arial" w:cs="Arial" w:eastAsia="Arial" w:hAnsi="Arial"/>
          <w:sz w:val="17"/>
          <w:szCs w:val="17"/>
          <w:b w:val="1"/>
          <w:bCs w:val="1"/>
          <w:color w:val="auto"/>
        </w:rPr>
        <w:t xml:space="preserve">2.4.3. Updates and Amendments to Research Plan. </w:t>
      </w:r>
      <w:r>
        <w:rPr>
          <w:rFonts w:ascii="Arial" w:cs="Arial" w:eastAsia="Arial" w:hAnsi="Arial"/>
          <w:sz w:val="17"/>
          <w:szCs w:val="17"/>
          <w:color w:val="auto"/>
        </w:rPr>
        <w:t>The JRC shall review the Research Plan annually and shall develop detailed and</w:t>
      </w:r>
      <w:r>
        <w:rPr>
          <w:rFonts w:ascii="Arial" w:cs="Arial" w:eastAsia="Arial" w:hAnsi="Arial"/>
          <w:sz w:val="17"/>
          <w:szCs w:val="17"/>
          <w:b w:val="1"/>
          <w:bCs w:val="1"/>
          <w:color w:val="auto"/>
        </w:rPr>
        <w:t xml:space="preserve"> </w:t>
      </w:r>
      <w:r>
        <w:rPr>
          <w:rFonts w:ascii="Arial" w:cs="Arial" w:eastAsia="Arial" w:hAnsi="Arial"/>
          <w:sz w:val="17"/>
          <w:szCs w:val="17"/>
          <w:color w:val="auto"/>
        </w:rPr>
        <w:t>specific Research Plan updates, which updates shall be finalized and included in the Research Plan no later than November 15 of each Calendar Year for the next Calendar Year. Either Party or the JRC may also develop and propose from time to time other proposed substantive amendments to the Research Plan. The JRC shall review and discuss such proposed amendments and the inclusion of such proposed amendments into the Research Plan; provided however that any amendment to the Research Plan must be mutually agreed upon by the Parties and neither the JRC nor the JSC will have decision-making authority over any such amendment.</w:t>
      </w:r>
    </w:p>
    <w:p>
      <w:pPr>
        <w:spacing w:after="0" w:line="173"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 xml:space="preserve">2.5. </w:t>
      </w:r>
      <w:r>
        <w:rPr>
          <w:rFonts w:ascii="Arial" w:cs="Arial" w:eastAsia="Arial" w:hAnsi="Arial"/>
          <w:sz w:val="16"/>
          <w:szCs w:val="16"/>
          <w:b w:val="1"/>
          <w:bCs w:val="1"/>
          <w:u w:val="single" w:color="auto"/>
          <w:color w:val="auto"/>
        </w:rPr>
        <w:t>Research Services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In consideration of Repare performing the Research Services as described in the Research Plan, Ono shall pay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Repare the fees and payments described in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(the </w:t>
      </w:r>
      <w:r>
        <w:rPr>
          <w:rFonts w:ascii="Arial" w:cs="Arial" w:eastAsia="Arial" w:hAnsi="Arial"/>
          <w:sz w:val="16"/>
          <w:szCs w:val="16"/>
          <w:b w:val="1"/>
          <w:bCs w:val="1"/>
          <w:color w:val="auto"/>
        </w:rPr>
        <w:t>“Research Services Payments”).</w:t>
      </w:r>
      <w:r>
        <w:rPr>
          <w:rFonts w:ascii="Arial" w:cs="Arial" w:eastAsia="Arial" w:hAnsi="Arial"/>
          <w:sz w:val="16"/>
          <w:szCs w:val="16"/>
          <w:color w:val="auto"/>
        </w:rPr>
        <w:t xml:space="preserve"> For clarity, all payments made by Ono to Repare under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are payments for the provision of services performed by Repare, and such payments are not made in consideration for the use or right to use Repare Technology or any other intangible assets owned by Repare. Repare shall use all Research Services Payments in connection with Repare’s Research Services performed under the Research Plan or otherwise to advance the research of Drug Candidates and Licensed Products.</w:t>
      </w:r>
    </w:p>
    <w:p>
      <w:pPr>
        <w:spacing w:after="0" w:line="46" w:lineRule="exact"/>
        <w:rPr>
          <w:sz w:val="20"/>
          <w:szCs w:val="20"/>
          <w:color w:val="auto"/>
        </w:rPr>
      </w:pPr>
    </w:p>
    <w:p>
      <w:pPr>
        <w:ind w:left="440" w:right="120" w:firstLine="423"/>
        <w:spacing w:after="0" w:line="282" w:lineRule="auto"/>
        <w:rPr>
          <w:sz w:val="20"/>
          <w:szCs w:val="20"/>
          <w:color w:val="auto"/>
        </w:rPr>
      </w:pPr>
      <w:r>
        <w:rPr>
          <w:rFonts w:ascii="Arial" w:cs="Arial" w:eastAsia="Arial" w:hAnsi="Arial"/>
          <w:sz w:val="18"/>
          <w:szCs w:val="18"/>
          <w:b w:val="1"/>
          <w:bCs w:val="1"/>
          <w:color w:val="auto"/>
        </w:rPr>
        <w:t xml:space="preserve">2.5.1. Research Services Payment Triggers. </w:t>
      </w:r>
      <w:r>
        <w:rPr>
          <w:rFonts w:ascii="Arial" w:cs="Arial" w:eastAsia="Arial" w:hAnsi="Arial"/>
          <w:sz w:val="18"/>
          <w:szCs w:val="18"/>
          <w:color w:val="auto"/>
        </w:rPr>
        <w:t>Ono shall make the following payments to Repare in accordance with the payment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172"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2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Research Services Payment Trigger</w:t>
            </w:r>
          </w:p>
        </w:tc>
        <w:tc>
          <w:tcPr>
            <w:tcW w:w="1040" w:type="dxa"/>
            <w:vAlign w:val="bottom"/>
            <w:vMerge w:val="restart"/>
          </w:tcPr>
          <w:p>
            <w:pPr>
              <w:spacing w:after="0"/>
              <w:rPr>
                <w:sz w:val="14"/>
                <w:szCs w:val="14"/>
                <w:color w:val="auto"/>
              </w:rPr>
            </w:pPr>
          </w:p>
        </w:tc>
        <w:tc>
          <w:tcPr>
            <w:tcW w:w="3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2"/>
              </w:rPr>
              <w:t>Research Service</w:t>
            </w:r>
          </w:p>
        </w:tc>
        <w:tc>
          <w:tcPr>
            <w:tcW w:w="0" w:type="dxa"/>
            <w:vAlign w:val="bottom"/>
          </w:tcPr>
          <w:p>
            <w:pPr>
              <w:spacing w:after="0"/>
              <w:rPr>
                <w:sz w:val="1"/>
                <w:szCs w:val="1"/>
                <w:color w:val="auto"/>
              </w:rPr>
            </w:pPr>
          </w:p>
        </w:tc>
      </w:tr>
      <w:tr>
        <w:trPr>
          <w:trHeight w:val="178"/>
        </w:trPr>
        <w:tc>
          <w:tcPr>
            <w:tcW w:w="2200" w:type="dxa"/>
            <w:vAlign w:val="bottom"/>
            <w:tcBorders>
              <w:bottom w:val="single" w:sz="8" w:color="auto"/>
            </w:tcBorders>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203"/>
        </w:trPr>
        <w:tc>
          <w:tcPr>
            <w:tcW w:w="2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w:t>
            </w:r>
          </w:p>
        </w:tc>
        <w:tc>
          <w:tcPr>
            <w:tcW w:w="3000" w:type="dxa"/>
            <w:vAlign w:val="bottom"/>
            <w:tcBorders>
              <w:top w:val="single" w:sz="8" w:color="CCEEFF"/>
            </w:tcBorders>
            <w:gridSpan w:val="2"/>
            <w:shd w:val="clear" w:color="auto" w:fill="CCEEFF"/>
          </w:tcPr>
          <w:p>
            <w:pPr>
              <w:ind w:left="120"/>
              <w:spacing w:after="0" w:line="203" w:lineRule="exact"/>
              <w:rPr>
                <w:sz w:val="20"/>
                <w:szCs w:val="20"/>
                <w:color w:val="auto"/>
              </w:rPr>
            </w:pPr>
            <w:r>
              <w:rPr>
                <w:rFonts w:ascii="Arial" w:cs="Arial" w:eastAsia="Arial" w:hAnsi="Arial"/>
                <w:sz w:val="18"/>
                <w:szCs w:val="18"/>
                <w:color w:val="auto"/>
              </w:rPr>
              <w:t>Upon execution of this Agreement.</w:t>
            </w:r>
          </w:p>
        </w:tc>
        <w:tc>
          <w:tcPr>
            <w:tcW w:w="3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790,000,000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2.</w:t>
            </w:r>
          </w:p>
        </w:tc>
        <w:tc>
          <w:tcPr>
            <w:tcW w:w="3000" w:type="dxa"/>
            <w:vAlign w:val="bottom"/>
            <w:gridSpan w:val="2"/>
          </w:tcPr>
          <w:p>
            <w:pPr>
              <w:ind w:left="120"/>
              <w:spacing w:after="0"/>
              <w:rPr>
                <w:sz w:val="20"/>
                <w:szCs w:val="20"/>
                <w:color w:val="auto"/>
              </w:rPr>
            </w:pPr>
            <w:r>
              <w:rPr>
                <w:rFonts w:ascii="Arial" w:cs="Arial" w:eastAsia="Arial" w:hAnsi="Arial"/>
                <w:sz w:val="18"/>
                <w:szCs w:val="18"/>
                <w:color w:val="auto"/>
              </w:rPr>
              <w:t>Upon [***].</w:t>
            </w:r>
          </w:p>
        </w:tc>
        <w:tc>
          <w:tcPr>
            <w:tcW w:w="3260" w:type="dxa"/>
            <w:vAlign w:val="bottom"/>
            <w:gridSpan w:val="2"/>
          </w:tcPr>
          <w:p>
            <w:pPr>
              <w:ind w:left="314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Upon [***].</w:t>
            </w:r>
          </w:p>
        </w:tc>
        <w:tc>
          <w:tcPr>
            <w:tcW w:w="3260" w:type="dxa"/>
            <w:vAlign w:val="bottom"/>
            <w:gridSpan w:val="2"/>
            <w:shd w:val="clear" w:color="auto" w:fill="CCEEFF"/>
          </w:tcPr>
          <w:p>
            <w:pPr>
              <w:ind w:left="314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r>
              <w:rPr>
                <w:rFonts w:ascii="Arial" w:cs="Arial" w:eastAsia="Arial" w:hAnsi="Arial"/>
                <w:sz w:val="18"/>
                <w:szCs w:val="18"/>
                <w:color w:val="auto"/>
              </w:rPr>
              <w:t>4.</w:t>
            </w:r>
          </w:p>
        </w:tc>
        <w:tc>
          <w:tcPr>
            <w:tcW w:w="3000" w:type="dxa"/>
            <w:vAlign w:val="bottom"/>
            <w:gridSpan w:val="2"/>
          </w:tcPr>
          <w:p>
            <w:pPr>
              <w:ind w:left="120"/>
              <w:spacing w:after="0"/>
              <w:rPr>
                <w:sz w:val="20"/>
                <w:szCs w:val="20"/>
                <w:color w:val="auto"/>
              </w:rPr>
            </w:pPr>
            <w:r>
              <w:rPr>
                <w:rFonts w:ascii="Arial" w:cs="Arial" w:eastAsia="Arial" w:hAnsi="Arial"/>
                <w:sz w:val="18"/>
                <w:szCs w:val="18"/>
                <w:color w:val="auto"/>
              </w:rPr>
              <w:t>Upon [***].</w:t>
            </w:r>
          </w:p>
        </w:tc>
        <w:tc>
          <w:tcPr>
            <w:tcW w:w="3260" w:type="dxa"/>
            <w:vAlign w:val="bottom"/>
            <w:gridSpan w:val="2"/>
          </w:tcPr>
          <w:p>
            <w:pPr>
              <w:ind w:left="314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6"/>
        </w:trPr>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40" w:type="dxa"/>
            <w:vAlign w:val="bottom"/>
          </w:tcPr>
          <w:p>
            <w:pPr>
              <w:jc w:val="right"/>
              <w:ind w:right="239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273" w:right="519" w:bottom="1440" w:gutter="0" w:footer="0" w:header="0"/>
        </w:sectPr>
      </w:pPr>
    </w:p>
    <w:bookmarkStart w:id="577" w:name="page578"/>
    <w:bookmarkEnd w:id="577"/>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total amount of the Research Services Payments to be paid by Ono to Repare under this </w:t>
      </w:r>
      <w:r>
        <w:rPr>
          <w:rFonts w:ascii="Arial" w:cs="Arial" w:eastAsia="Arial" w:hAnsi="Arial"/>
          <w:sz w:val="18"/>
          <w:szCs w:val="18"/>
          <w:u w:val="single" w:color="auto"/>
          <w:color w:val="auto"/>
        </w:rPr>
        <w:t>Section 2.5.1</w:t>
      </w:r>
      <w:r>
        <w:rPr>
          <w:rFonts w:ascii="Arial" w:cs="Arial" w:eastAsia="Arial" w:hAnsi="Arial"/>
          <w:sz w:val="18"/>
          <w:szCs w:val="18"/>
          <w:color w:val="auto"/>
        </w:rPr>
        <w:t xml:space="preserve"> shall not exceed One Billion and Five Hundred Forty Million Japanese Yen (JPY 1,540,000,000).</w:t>
      </w:r>
    </w:p>
    <w:p>
      <w:pPr>
        <w:spacing w:after="0" w:line="58" w:lineRule="exact"/>
        <w:rPr>
          <w:sz w:val="20"/>
          <w:szCs w:val="20"/>
          <w:color w:val="auto"/>
        </w:rPr>
      </w:pPr>
    </w:p>
    <w:p>
      <w:pPr>
        <w:ind w:left="540" w:firstLine="401"/>
        <w:spacing w:after="0" w:line="289" w:lineRule="auto"/>
        <w:rPr>
          <w:sz w:val="20"/>
          <w:szCs w:val="20"/>
          <w:color w:val="auto"/>
        </w:rPr>
      </w:pPr>
      <w:r>
        <w:rPr>
          <w:rFonts w:ascii="Arial" w:cs="Arial" w:eastAsia="Arial" w:hAnsi="Arial"/>
          <w:sz w:val="16"/>
          <w:szCs w:val="16"/>
          <w:b w:val="1"/>
          <w:bCs w:val="1"/>
          <w:color w:val="auto"/>
        </w:rPr>
        <w:t xml:space="preserve">2.5.1.1. </w:t>
      </w:r>
      <w:r>
        <w:rPr>
          <w:rFonts w:ascii="Arial" w:cs="Arial" w:eastAsia="Arial" w:hAnsi="Arial"/>
          <w:sz w:val="16"/>
          <w:szCs w:val="16"/>
          <w:u w:val="single" w:color="auto"/>
          <w:color w:val="auto"/>
        </w:rPr>
        <w:t>Invoicing</w:t>
      </w:r>
      <w:r>
        <w:rPr>
          <w:rFonts w:ascii="Arial" w:cs="Arial" w:eastAsia="Arial" w:hAnsi="Arial"/>
          <w:sz w:val="16"/>
          <w:szCs w:val="16"/>
          <w:color w:val="auto"/>
        </w:rPr>
        <w:t>. Within [***] of the receipt of an invoice for Research Services Payment Trigger 1, Ono shall pay Repare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associated Research Services Payment as a prepayment for Research Services to be performed by Repare during the Research Term. Repare shall provide Ono with written notice of the achievement of each subsequent Research Services Payment Trigger [***] (other than Research Services Payment Trigger [***]) with the respective data package (including raw data) to prove such achievement promptly after such event has occurred. Ono will be deemed to accept such achievement unless Ono notifies Repare of its objection within [***] of Ono’s receipt of such notice from Repare. With respect to payment from Ono to Repare achieving Research Services Payment Trigger [***], Repare shall invoice Ono promptly after receiving Ono’s DC Selection Notice, and Ono shall pay the corresponding Research Services Payment within [***] of the receipt of such invoice. Repare shall invoice Ono promptly (a) after Ono’s acceptance of the Research Services Payment Trigger [***] or (b) in the event of any dispute under </w:t>
      </w:r>
      <w:r>
        <w:rPr>
          <w:rFonts w:ascii="Arial" w:cs="Arial" w:eastAsia="Arial" w:hAnsi="Arial"/>
          <w:sz w:val="16"/>
          <w:szCs w:val="16"/>
          <w:u w:val="single" w:color="auto"/>
          <w:color w:val="auto"/>
        </w:rPr>
        <w:t>Section 2.5.1.2</w:t>
      </w:r>
      <w:r>
        <w:rPr>
          <w:rFonts w:ascii="Arial" w:cs="Arial" w:eastAsia="Arial" w:hAnsi="Arial"/>
          <w:sz w:val="16"/>
          <w:szCs w:val="16"/>
          <w:color w:val="auto"/>
        </w:rPr>
        <w:t>, after such dispute is resolved, and Ono shall pay the associated Research Services Payment within [***] of the receipt of such invoice.</w:t>
      </w:r>
    </w:p>
    <w:p>
      <w:pPr>
        <w:spacing w:after="0" w:line="53" w:lineRule="exact"/>
        <w:rPr>
          <w:sz w:val="20"/>
          <w:szCs w:val="20"/>
          <w:color w:val="auto"/>
        </w:rPr>
      </w:pPr>
    </w:p>
    <w:p>
      <w:pPr>
        <w:ind w:left="540" w:right="40" w:firstLine="401"/>
        <w:spacing w:after="0" w:line="270" w:lineRule="auto"/>
        <w:rPr>
          <w:sz w:val="20"/>
          <w:szCs w:val="20"/>
          <w:color w:val="auto"/>
        </w:rPr>
      </w:pPr>
      <w:r>
        <w:rPr>
          <w:rFonts w:ascii="Arial" w:cs="Arial" w:eastAsia="Arial" w:hAnsi="Arial"/>
          <w:sz w:val="17"/>
          <w:szCs w:val="17"/>
          <w:b w:val="1"/>
          <w:bCs w:val="1"/>
          <w:color w:val="auto"/>
        </w:rPr>
        <w:t xml:space="preserve">2.5.1.2. </w:t>
      </w:r>
      <w:r>
        <w:rPr>
          <w:rFonts w:ascii="Arial" w:cs="Arial" w:eastAsia="Arial" w:hAnsi="Arial"/>
          <w:sz w:val="17"/>
          <w:szCs w:val="17"/>
          <w:u w:val="single" w:color="auto"/>
          <w:color w:val="auto"/>
        </w:rPr>
        <w:t>Disputes</w:t>
      </w:r>
      <w:r>
        <w:rPr>
          <w:rFonts w:ascii="Arial" w:cs="Arial" w:eastAsia="Arial" w:hAnsi="Arial"/>
          <w:sz w:val="17"/>
          <w:szCs w:val="17"/>
          <w:color w:val="auto"/>
        </w:rPr>
        <w:t>. If Ono reasonably requests other data or documentation to evidence the achievement of a Research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Trigger 2 and 3, Repare shall promptly provide any such data or documentation in Repare’s possession and control. In the event that Ono disputes whether a Research Services Payment Trigger has been achieved, Ono shall notify Repare of such dispute, and Ono and Repare shall attempt in good faith to resolve such dispute. If Ono and Repare are unable to resolve such dispute, either Party may request an independent, qualified third party expert, reasonably acceptable to both Parties, to determine whether the Research Services Payment Trigger has been achieved, and the determination of such expert shall be binding and conclusive on Ono and Repare. Each Party shall cooperate with such expert and respond promptly to the expert’s reasonable requests for data or documentation. If the expert determines that the Research Payment Services Trigger has been met, Ono will pay the corresponding Research Service Payment and the fees charged by the expert and if the expert determines that the Research Payment Services Trigger has not been met, Repare will pay the fees charged by the expert.</w:t>
      </w:r>
    </w:p>
    <w:p>
      <w:pPr>
        <w:spacing w:after="0" w:line="69" w:lineRule="exact"/>
        <w:rPr>
          <w:sz w:val="20"/>
          <w:szCs w:val="20"/>
          <w:color w:val="auto"/>
        </w:rPr>
      </w:pPr>
    </w:p>
    <w:p>
      <w:pPr>
        <w:ind w:right="40" w:firstLine="423"/>
        <w:spacing w:after="0" w:line="274" w:lineRule="auto"/>
        <w:rPr>
          <w:sz w:val="20"/>
          <w:szCs w:val="20"/>
          <w:color w:val="auto"/>
        </w:rPr>
      </w:pPr>
      <w:r>
        <w:rPr>
          <w:rFonts w:ascii="Arial" w:cs="Arial" w:eastAsia="Arial" w:hAnsi="Arial"/>
          <w:sz w:val="17"/>
          <w:szCs w:val="17"/>
          <w:b w:val="1"/>
          <w:bCs w:val="1"/>
          <w:color w:val="auto"/>
        </w:rPr>
        <w:t>2.5.2. Post-DC Selection Research and Development Cost Share</w:t>
      </w:r>
      <w:r>
        <w:rPr>
          <w:rFonts w:ascii="Arial" w:cs="Arial" w:eastAsia="Arial" w:hAnsi="Arial"/>
          <w:sz w:val="17"/>
          <w:szCs w:val="17"/>
          <w:color w:val="auto"/>
        </w:rPr>
        <w:t>. Ono shall pay [***] of research and Development costs and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 reasonable allocation of overhead costs) related to all PolQ Program IND-enabling studies (including GLP toxicity studies) following DC Selection; provided, however that Ono’s obligation to reimburse a reasonable allocation of overhead costs shall be capped at total [***]. Repare shall invoice Ono for such percentage of research and Development costs and expenses within [***] following the end of each Calendar Quarter during which such costs and expenses were incurred, and, if requested, shall provide reasonable supporting documentation to Ono. Ono shall pay to Repare the invoiced amounts within [***] of the receipt of such invoice.</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0"/>
          </w:cols>
          <w:pgMar w:left="880" w:top="273" w:right="459" w:bottom="1440" w:gutter="0" w:footer="0" w:header="0"/>
        </w:sectPr>
      </w:pPr>
    </w:p>
    <w:bookmarkStart w:id="578" w:name="page579"/>
    <w:bookmarkEnd w:id="578"/>
    <w:p>
      <w:pPr>
        <w:ind w:left="440" w:right="120" w:firstLine="423"/>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2.5.3. Other Research Costs</w:t>
      </w:r>
      <w:r>
        <w:rPr>
          <w:rFonts w:ascii="Arial" w:cs="Arial" w:eastAsia="Arial" w:hAnsi="Arial"/>
          <w:sz w:val="18"/>
          <w:szCs w:val="18"/>
          <w:color w:val="auto"/>
        </w:rPr>
        <w:t>. Except as stated otherwise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2.5</w:t>
      </w:r>
      <w:r>
        <w:rPr>
          <w:rFonts w:ascii="Arial" w:cs="Arial" w:eastAsia="Arial" w:hAnsi="Arial"/>
          <w:sz w:val="18"/>
          <w:szCs w:val="18"/>
          <w:color w:val="auto"/>
        </w:rPr>
        <w:t>, Repare will be responsible for one hundred percent (100%) of all</w:t>
      </w:r>
      <w:r>
        <w:rPr>
          <w:rFonts w:ascii="Arial" w:cs="Arial" w:eastAsia="Arial" w:hAnsi="Arial"/>
          <w:sz w:val="18"/>
          <w:szCs w:val="18"/>
          <w:b w:val="1"/>
          <w:bCs w:val="1"/>
          <w:color w:val="auto"/>
        </w:rPr>
        <w:t xml:space="preserve"> </w:t>
      </w:r>
      <w:r>
        <w:rPr>
          <w:rFonts w:ascii="Arial" w:cs="Arial" w:eastAsia="Arial" w:hAnsi="Arial"/>
          <w:sz w:val="18"/>
          <w:szCs w:val="18"/>
          <w:color w:val="auto"/>
        </w:rPr>
        <w:t>costs and expenses incurred by or on behalf of Repare in connection with its Research Activities under the Research Plan (including overhead costs attributable to such Research Activities), and Ono will be responsible for one hundred percent (100%) of all costs and expenses incurred by or on behalf of Ono in connection with its Research Activities under the Research Plan (including overhead costs attributable to such Research Activities).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u w:val="single" w:color="auto"/>
          <w:color w:val="auto"/>
        </w:rPr>
        <w:t>Records; Reports; Information Sharing</w:t>
      </w:r>
      <w:r>
        <w:rPr>
          <w:rFonts w:ascii="Arial" w:cs="Arial" w:eastAsia="Arial" w:hAnsi="Arial"/>
          <w:sz w:val="18"/>
          <w:szCs w:val="18"/>
          <w:color w:val="auto"/>
        </w:rPr>
        <w:t>.</w:t>
      </w:r>
    </w:p>
    <w:p>
      <w:pPr>
        <w:spacing w:after="0" w:line="117" w:lineRule="exact"/>
        <w:rPr>
          <w:sz w:val="20"/>
          <w:szCs w:val="20"/>
          <w:color w:val="auto"/>
        </w:rPr>
      </w:pPr>
    </w:p>
    <w:p>
      <w:pPr>
        <w:jc w:val="both"/>
        <w:ind w:left="440" w:firstLine="423"/>
        <w:spacing w:after="0" w:line="298" w:lineRule="auto"/>
        <w:rPr>
          <w:sz w:val="20"/>
          <w:szCs w:val="20"/>
          <w:color w:val="auto"/>
        </w:rPr>
      </w:pPr>
      <w:r>
        <w:rPr>
          <w:rFonts w:ascii="Arial" w:cs="Arial" w:eastAsia="Arial" w:hAnsi="Arial"/>
          <w:sz w:val="16"/>
          <w:szCs w:val="16"/>
          <w:b w:val="1"/>
          <w:bCs w:val="1"/>
          <w:color w:val="auto"/>
        </w:rPr>
        <w:t>2.6.1. Research Activities Reports</w:t>
      </w:r>
      <w:r>
        <w:rPr>
          <w:rFonts w:ascii="Arial" w:cs="Arial" w:eastAsia="Arial" w:hAnsi="Arial"/>
          <w:sz w:val="16"/>
          <w:szCs w:val="16"/>
          <w:color w:val="auto"/>
        </w:rPr>
        <w:t>. During the Research Term, Repare shall provide to the JRC, at each regularly scheduled meeting and ad</w:t>
      </w:r>
      <w:r>
        <w:rPr>
          <w:rFonts w:ascii="Arial" w:cs="Arial" w:eastAsia="Arial" w:hAnsi="Arial"/>
          <w:sz w:val="16"/>
          <w:szCs w:val="16"/>
          <w:b w:val="1"/>
          <w:bCs w:val="1"/>
          <w:color w:val="auto"/>
        </w:rPr>
        <w:t xml:space="preserve"> </w:t>
      </w:r>
      <w:r>
        <w:rPr>
          <w:rFonts w:ascii="Arial" w:cs="Arial" w:eastAsia="Arial" w:hAnsi="Arial"/>
          <w:sz w:val="16"/>
          <w:szCs w:val="16"/>
          <w:color w:val="auto"/>
        </w:rPr>
        <w:t>hoc meeting thereof, a summary report regarding significant Research Activities conducted by or on behalf of Repare or planned to be undertaken with respect to the Polq Program. If so requested by Ono or the JRC, Repare shall provide additional reports as required regarding material results achieved in the performance of the Research Activities. Ono shall have the right to reasonably request clarifications and answers to questions with respect to such reports and Repare shall provide such clarifications and answers to Ono in a timely manner.</w:t>
      </w:r>
    </w:p>
    <w:p>
      <w:pPr>
        <w:spacing w:after="0" w:line="46" w:lineRule="exact"/>
        <w:rPr>
          <w:sz w:val="20"/>
          <w:szCs w:val="20"/>
          <w:color w:val="auto"/>
        </w:rPr>
      </w:pPr>
    </w:p>
    <w:p>
      <w:pPr>
        <w:ind w:left="440" w:right="140" w:firstLine="423"/>
        <w:spacing w:after="0" w:line="261" w:lineRule="auto"/>
        <w:rPr>
          <w:sz w:val="20"/>
          <w:szCs w:val="20"/>
          <w:color w:val="auto"/>
        </w:rPr>
      </w:pPr>
      <w:r>
        <w:rPr>
          <w:rFonts w:ascii="Arial" w:cs="Arial" w:eastAsia="Arial" w:hAnsi="Arial"/>
          <w:sz w:val="18"/>
          <w:szCs w:val="18"/>
          <w:b w:val="1"/>
          <w:bCs w:val="1"/>
          <w:color w:val="auto"/>
        </w:rPr>
        <w:t>2.6.2. Scientific Records</w:t>
      </w:r>
      <w:r>
        <w:rPr>
          <w:rFonts w:ascii="Arial" w:cs="Arial" w:eastAsia="Arial" w:hAnsi="Arial"/>
          <w:sz w:val="18"/>
          <w:szCs w:val="18"/>
          <w:color w:val="auto"/>
        </w:rPr>
        <w:t>. Repare shall maintain and shall cause its Related Parties to maintain scientific records, in sufficient detail and in</w:t>
      </w:r>
      <w:r>
        <w:rPr>
          <w:rFonts w:ascii="Arial" w:cs="Arial" w:eastAsia="Arial" w:hAnsi="Arial"/>
          <w:sz w:val="18"/>
          <w:szCs w:val="18"/>
          <w:b w:val="1"/>
          <w:bCs w:val="1"/>
          <w:color w:val="auto"/>
        </w:rPr>
        <w:t xml:space="preserve"> </w:t>
      </w:r>
      <w:r>
        <w:rPr>
          <w:rFonts w:ascii="Arial" w:cs="Arial" w:eastAsia="Arial" w:hAnsi="Arial"/>
          <w:sz w:val="18"/>
          <w:szCs w:val="18"/>
          <w:color w:val="auto"/>
        </w:rPr>
        <w:t>sound scientific manner appropriate for patent and regulatory purposes, which shall fully and properly reflect all work done and results achieved in the performance of the Research Activities with respect to the Polq Program and any Licensed Drug Candidates and Licensed Product generated thereby.</w:t>
      </w:r>
    </w:p>
    <w:p>
      <w:pPr>
        <w:spacing w:after="0" w:line="72" w:lineRule="exact"/>
        <w:rPr>
          <w:sz w:val="20"/>
          <w:szCs w:val="20"/>
          <w:color w:val="auto"/>
        </w:rPr>
      </w:pPr>
    </w:p>
    <w:p>
      <w:pPr>
        <w:ind w:left="440" w:right="120" w:firstLine="423"/>
        <w:spacing w:after="0" w:line="298" w:lineRule="auto"/>
        <w:rPr>
          <w:sz w:val="20"/>
          <w:szCs w:val="20"/>
          <w:color w:val="auto"/>
        </w:rPr>
      </w:pPr>
      <w:r>
        <w:rPr>
          <w:rFonts w:ascii="Arial" w:cs="Arial" w:eastAsia="Arial" w:hAnsi="Arial"/>
          <w:sz w:val="16"/>
          <w:szCs w:val="16"/>
          <w:b w:val="1"/>
          <w:bCs w:val="1"/>
          <w:color w:val="auto"/>
        </w:rPr>
        <w:t>2.6.3. Personnel</w:t>
      </w:r>
      <w:r>
        <w:rPr>
          <w:rFonts w:ascii="Arial" w:cs="Arial" w:eastAsia="Arial" w:hAnsi="Arial"/>
          <w:sz w:val="16"/>
          <w:szCs w:val="16"/>
          <w:color w:val="auto"/>
        </w:rPr>
        <w:t>. Ono may request, through the JRC, that Repare reasonably make available for consultation regarding the research of any</w:t>
      </w:r>
      <w:r>
        <w:rPr>
          <w:rFonts w:ascii="Arial" w:cs="Arial" w:eastAsia="Arial" w:hAnsi="Arial"/>
          <w:sz w:val="16"/>
          <w:szCs w:val="16"/>
          <w:b w:val="1"/>
          <w:bCs w:val="1"/>
          <w:color w:val="auto"/>
        </w:rPr>
        <w:t xml:space="preserve"> </w:t>
      </w:r>
      <w:r>
        <w:rPr>
          <w:rFonts w:ascii="Arial" w:cs="Arial" w:eastAsia="Arial" w:hAnsi="Arial"/>
          <w:sz w:val="16"/>
          <w:szCs w:val="16"/>
          <w:color w:val="auto"/>
        </w:rPr>
        <w:t>Drug Candidates or Licensed Drug Candidates its employees or contractors engaged in Research Activities with respect to such Drug Candidates or Licensed Drug Candidates by means of teleconference, videoconference or similar communications equipment. The JRC shall reasonably coordinate, upon reasonable notice during normal business hours and at their respective places of employment, consultation between Ono and Repare on the progress of the research for such Drug Candidates or Licensed Drug Candidates.</w:t>
      </w:r>
    </w:p>
    <w:p>
      <w:pPr>
        <w:spacing w:after="0" w:line="46" w:lineRule="exact"/>
        <w:rPr>
          <w:sz w:val="20"/>
          <w:szCs w:val="20"/>
          <w:color w:val="auto"/>
        </w:rPr>
      </w:pPr>
    </w:p>
    <w:p>
      <w:pPr>
        <w:ind w:left="440" w:right="160" w:firstLine="423"/>
        <w:spacing w:after="0" w:line="266" w:lineRule="auto"/>
        <w:rPr>
          <w:sz w:val="20"/>
          <w:szCs w:val="20"/>
          <w:color w:val="auto"/>
        </w:rPr>
      </w:pPr>
      <w:r>
        <w:rPr>
          <w:rFonts w:ascii="Arial" w:cs="Arial" w:eastAsia="Arial" w:hAnsi="Arial"/>
          <w:sz w:val="18"/>
          <w:szCs w:val="18"/>
          <w:b w:val="1"/>
          <w:bCs w:val="1"/>
          <w:color w:val="auto"/>
        </w:rPr>
        <w:t>2.6.4. Confidentiality</w:t>
      </w:r>
      <w:r>
        <w:rPr>
          <w:rFonts w:ascii="Arial" w:cs="Arial" w:eastAsia="Arial" w:hAnsi="Arial"/>
          <w:sz w:val="18"/>
          <w:szCs w:val="18"/>
          <w:color w:val="auto"/>
        </w:rPr>
        <w:t>. All information exchanged by the Parties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2.6</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to be Confidential Information of both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Parties and maintained in accordance with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(Confidentiality and Publication). For the sake of clarity, information disclosed under this </w:t>
      </w:r>
      <w:r>
        <w:rPr>
          <w:rFonts w:ascii="Arial" w:cs="Arial" w:eastAsia="Arial" w:hAnsi="Arial"/>
          <w:sz w:val="18"/>
          <w:szCs w:val="18"/>
          <w:u w:val="single" w:color="auto"/>
          <w:color w:val="auto"/>
        </w:rPr>
        <w:t>Section 2.6.4</w:t>
      </w:r>
      <w:r>
        <w:rPr>
          <w:rFonts w:ascii="Arial" w:cs="Arial" w:eastAsia="Arial" w:hAnsi="Arial"/>
          <w:sz w:val="18"/>
          <w:szCs w:val="18"/>
          <w:color w:val="auto"/>
        </w:rPr>
        <w:t xml:space="preserve"> may be shared with a Party’s Related Parties in accordance with </w:t>
      </w:r>
      <w:r>
        <w:rPr>
          <w:rFonts w:ascii="Arial" w:cs="Arial" w:eastAsia="Arial" w:hAnsi="Arial"/>
          <w:sz w:val="18"/>
          <w:szCs w:val="18"/>
          <w:u w:val="single" w:color="auto"/>
          <w:color w:val="auto"/>
        </w:rPr>
        <w:t>Section 9.1.2</w:t>
      </w:r>
      <w:r>
        <w:rPr>
          <w:rFonts w:ascii="Arial" w:cs="Arial" w:eastAsia="Arial" w:hAnsi="Arial"/>
          <w:sz w:val="18"/>
          <w:szCs w:val="18"/>
          <w:color w:val="auto"/>
        </w:rPr>
        <w:t>.</w:t>
      </w:r>
    </w:p>
    <w:p>
      <w:pPr>
        <w:spacing w:after="0" w:line="176"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b w:val="1"/>
          <w:bCs w:val="1"/>
          <w:color w:val="auto"/>
        </w:rPr>
        <w:t xml:space="preserve">2.7. </w:t>
      </w:r>
      <w:r>
        <w:rPr>
          <w:rFonts w:ascii="Arial" w:cs="Arial" w:eastAsia="Arial" w:hAnsi="Arial"/>
          <w:sz w:val="17"/>
          <w:szCs w:val="17"/>
          <w:b w:val="1"/>
          <w:bCs w:val="1"/>
          <w:u w:val="single" w:color="auto"/>
          <w:color w:val="auto"/>
        </w:rPr>
        <w:t>Third Parties</w:t>
      </w:r>
      <w:r>
        <w:rPr>
          <w:rFonts w:ascii="Arial" w:cs="Arial" w:eastAsia="Arial" w:hAnsi="Arial"/>
          <w:sz w:val="17"/>
          <w:szCs w:val="17"/>
          <w:color w:val="auto"/>
        </w:rPr>
        <w:t>. Each Party may utilize the services of Third Parties to perform such Party’s Research Activities under the Polq Program,</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each Party shall require that such Third Party operates in a manner consistent with this Agreement, (b) each Party shall remain at all times fully liable for its respective responsibilities and for the acts and omissions of such Third Parties under this Agreement, and (c) with respect to any research related to any Drug Candidates or Licensed Drug Candidates, Repare and Ono shall make reasonable efforts to share, through the JRC, information regarding any prior experience with specific contract research organizations that are anticipated to be engaged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69" w:right="459" w:bottom="1440" w:gutter="0" w:footer="0" w:header="0"/>
        </w:sectPr>
      </w:pPr>
    </w:p>
    <w:bookmarkStart w:id="579" w:name="page580"/>
    <w:bookmarkEnd w:id="579"/>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perform work under a Research Plan. Each Party shall require that any Third Party agreements entered into pursuant to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(Third Parties) include confidentiality and non-use provisions that are, in the aggregate, not materially less stringent than those set forth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(Confidentiality and Publication) of this Agreement; provided that with respect to any academic institution, clinical trial sites, investigators or CROs, the duration for the obligation of confidentiality and non-use provided in an agreement with such academic institution, clinical trial sites, investigators or CROs may be less than the duration for the obligation of confidentiality and non-use in this Agreement so long as such agreement specifies a duration for the obligation of confidentiality and non-use of at least [***] from the expiration or termination date of such agreement. Each Party shall use Commercially Reasonable Efforts to obtain ownership of, but, if unable to obtain ownership, the relevant Party shall at least obtain a perpetual, irrevocable, fully-paid, worldwide, fully sublicensable (through multiple tiers) license under and to, any Know-How and Patent Rights that are developed by such Third Party in the performance of such agreement and are reasonably necessary or useful to research, Develop, Manufacture, have Manufactured or Commercialize Licensed Drug Candidates or Licensed Products (which license shall be exclusive (even as to such Third Party) with respect to any Licensed Drug Candidate or Licensed Product but not with respect to such Third Party’s background technology and improvements thereof). For the sake of clarity,</w:t>
      </w:r>
    </w:p>
    <w:p>
      <w:pPr>
        <w:spacing w:after="0" w:line="4" w:lineRule="exact"/>
        <w:rPr>
          <w:sz w:val="20"/>
          <w:szCs w:val="20"/>
          <w:color w:val="auto"/>
        </w:rPr>
      </w:pPr>
    </w:p>
    <w:p>
      <w:pPr>
        <w:ind w:left="4" w:right="240" w:hanging="4"/>
        <w:spacing w:after="0" w:line="253" w:lineRule="auto"/>
        <w:tabs>
          <w:tab w:leader="none" w:pos="249"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in the event a Related Party of a Party is performing Research Activities hereunder, such Related Party will not be considered a Third Party for purposes of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and (b) academic institutions, clinical trial sites, investigators, CROs, Third Party manufacturers or any other contractors engaged by a Party or disclosed in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(Third Parties) are hereby deemed not to be Related Parties of such Party for purposes of this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9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 DRUG CANDIDATE SELECTION.</w:t>
      </w:r>
    </w:p>
    <w:p>
      <w:pPr>
        <w:spacing w:after="0" w:line="225" w:lineRule="exact"/>
        <w:rPr>
          <w:sz w:val="20"/>
          <w:szCs w:val="20"/>
          <w:color w:val="auto"/>
        </w:rPr>
      </w:pPr>
    </w:p>
    <w:p>
      <w:pPr>
        <w:ind w:left="4" w:right="320" w:firstLine="440"/>
        <w:spacing w:after="0" w:line="266"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Overview</w:t>
      </w:r>
      <w:r>
        <w:rPr>
          <w:rFonts w:ascii="Arial" w:cs="Arial" w:eastAsia="Arial" w:hAnsi="Arial"/>
          <w:sz w:val="18"/>
          <w:szCs w:val="18"/>
          <w:color w:val="auto"/>
        </w:rPr>
        <w:t>. Repare shall be solely responsible for any and all drug discovery activities towards selection of Licensed Drug Candidates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satisfying DC Criteria in accordance with the Research Plan until the DC Selection Date. Ono and Repare shall select a Licensed Drug Candidate in accordance with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76" w:lineRule="exact"/>
        <w:rPr>
          <w:sz w:val="20"/>
          <w:szCs w:val="20"/>
          <w:color w:val="auto"/>
        </w:rPr>
      </w:pPr>
    </w:p>
    <w:p>
      <w:pPr>
        <w:ind w:left="4" w:right="40" w:firstLine="440"/>
        <w:spacing w:after="0" w:line="261"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Data Package Submission</w:t>
      </w:r>
      <w:r>
        <w:rPr>
          <w:rFonts w:ascii="Arial" w:cs="Arial" w:eastAsia="Arial" w:hAnsi="Arial"/>
          <w:sz w:val="18"/>
          <w:szCs w:val="18"/>
          <w:color w:val="auto"/>
        </w:rPr>
        <w:t>. Repare shall submit to Ono a data package for the Polq Program, including but not limited to a list of proposed</w:t>
      </w:r>
      <w:r>
        <w:rPr>
          <w:rFonts w:ascii="Arial" w:cs="Arial" w:eastAsia="Arial" w:hAnsi="Arial"/>
          <w:sz w:val="18"/>
          <w:szCs w:val="18"/>
          <w:b w:val="1"/>
          <w:bCs w:val="1"/>
          <w:color w:val="auto"/>
        </w:rPr>
        <w:t xml:space="preserve"> </w:t>
      </w:r>
      <w:r>
        <w:rPr>
          <w:rFonts w:ascii="Arial" w:cs="Arial" w:eastAsia="Arial" w:hAnsi="Arial"/>
          <w:sz w:val="18"/>
          <w:szCs w:val="18"/>
          <w:color w:val="auto"/>
        </w:rPr>
        <w:t>Drug Candidates and non- proposed Drug Candidates, periodically at scheduled meetings of the JRC or at any time upon Ono’s reasonable request until the earlier of (i) Repare identifies the number of proposed Drug Candidates agreed upon by the Parties or (ii) the termination of the Polq Program (whether upon expiration of the Research Term or otherwise).</w:t>
      </w:r>
    </w:p>
    <w:p>
      <w:pPr>
        <w:spacing w:after="0" w:line="180" w:lineRule="exact"/>
        <w:rPr>
          <w:sz w:val="20"/>
          <w:szCs w:val="20"/>
          <w:color w:val="auto"/>
        </w:rPr>
      </w:pPr>
    </w:p>
    <w:p>
      <w:pPr>
        <w:ind w:left="4" w:right="140" w:firstLine="440"/>
        <w:spacing w:after="0" w:line="261"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DC Selection Meeting</w:t>
      </w:r>
      <w:r>
        <w:rPr>
          <w:rFonts w:ascii="Arial" w:cs="Arial" w:eastAsia="Arial" w:hAnsi="Arial"/>
          <w:sz w:val="18"/>
          <w:szCs w:val="18"/>
          <w:color w:val="auto"/>
        </w:rPr>
        <w:t>. The Parties shall hold a meeting at the date and time agreed upon by the Parties, but no later than within [***] after</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by Ono of such data package with the relevant evidence that such parameters have been met, in order to discuss the selection of one potential Licensed Drug Candidate among the Drug Candidates to move toward further Development and Commercialization by the Parties (the “</w:t>
      </w:r>
      <w:r>
        <w:rPr>
          <w:rFonts w:ascii="Arial" w:cs="Arial" w:eastAsia="Arial" w:hAnsi="Arial"/>
          <w:sz w:val="18"/>
          <w:szCs w:val="18"/>
          <w:b w:val="1"/>
          <w:bCs w:val="1"/>
          <w:color w:val="auto"/>
        </w:rPr>
        <w:t>DC Selection</w:t>
      </w:r>
      <w:r>
        <w:rPr>
          <w:rFonts w:ascii="Arial" w:cs="Arial" w:eastAsia="Arial" w:hAnsi="Arial"/>
          <w:sz w:val="18"/>
          <w:szCs w:val="18"/>
          <w:color w:val="auto"/>
        </w:rPr>
        <w:t xml:space="preserve"> </w:t>
      </w:r>
      <w:r>
        <w:rPr>
          <w:rFonts w:ascii="Arial" w:cs="Arial" w:eastAsia="Arial" w:hAnsi="Arial"/>
          <w:sz w:val="18"/>
          <w:szCs w:val="18"/>
          <w:b w:val="1"/>
          <w:bCs w:val="1"/>
          <w:color w:val="auto"/>
        </w:rPr>
        <w:t>Meeting</w:t>
      </w:r>
      <w:r>
        <w:rPr>
          <w:rFonts w:ascii="Arial" w:cs="Arial" w:eastAsia="Arial" w:hAnsi="Arial"/>
          <w:sz w:val="18"/>
          <w:szCs w:val="18"/>
          <w:color w:val="auto"/>
        </w:rPr>
        <w:t>”).</w:t>
      </w:r>
    </w:p>
    <w:p>
      <w:pPr>
        <w:spacing w:after="0" w:line="180"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Licensed Drug Candidate</w:t>
      </w:r>
      <w:r>
        <w:rPr>
          <w:rFonts w:ascii="Arial" w:cs="Arial" w:eastAsia="Arial" w:hAnsi="Arial"/>
          <w:sz w:val="18"/>
          <w:szCs w:val="18"/>
          <w:b w:val="1"/>
          <w:bCs w:val="1"/>
          <w:color w:val="auto"/>
        </w:rPr>
        <w:t xml:space="preserve">. </w:t>
      </w:r>
      <w:r>
        <w:rPr>
          <w:rFonts w:ascii="Arial" w:cs="Arial" w:eastAsia="Arial" w:hAnsi="Arial"/>
          <w:sz w:val="18"/>
          <w:szCs w:val="18"/>
          <w:color w:val="auto"/>
        </w:rPr>
        <w:t>Within [***] after the DC Selection Meeting (the “</w:t>
      </w:r>
      <w:r>
        <w:rPr>
          <w:rFonts w:ascii="Arial" w:cs="Arial" w:eastAsia="Arial" w:hAnsi="Arial"/>
          <w:sz w:val="18"/>
          <w:szCs w:val="18"/>
          <w:b w:val="1"/>
          <w:bCs w:val="1"/>
          <w:color w:val="auto"/>
        </w:rPr>
        <w:t>Drug Candidate Selection Period</w:t>
      </w:r>
      <w:r>
        <w:rPr>
          <w:rFonts w:ascii="Arial" w:cs="Arial" w:eastAsia="Arial" w:hAnsi="Arial"/>
          <w:sz w:val="18"/>
          <w:szCs w:val="18"/>
          <w:color w:val="auto"/>
        </w:rPr>
        <w:t>”), Ono may notify Repare</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it selects such proposed Drug Candidates (such selection shall also include any back-ups thereto identified by Repare) as a Licensed Drug Candidate (such notice by Ono, the “</w:t>
      </w:r>
      <w:r>
        <w:rPr>
          <w:rFonts w:ascii="Arial" w:cs="Arial" w:eastAsia="Arial" w:hAnsi="Arial"/>
          <w:sz w:val="18"/>
          <w:szCs w:val="18"/>
          <w:b w:val="1"/>
          <w:bCs w:val="1"/>
          <w:color w:val="auto"/>
        </w:rPr>
        <w:t>DC Selection Notice</w:t>
      </w:r>
      <w:r>
        <w:rPr>
          <w:rFonts w:ascii="Arial" w:cs="Arial" w:eastAsia="Arial" w:hAnsi="Arial"/>
          <w:sz w:val="18"/>
          <w:szCs w:val="18"/>
          <w:color w:val="auto"/>
        </w:rPr>
        <w:t>”).</w:t>
      </w:r>
    </w:p>
    <w:p>
      <w:pPr>
        <w:spacing w:after="0" w:line="11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4"/>
          </w:cols>
          <w:pgMar w:left="436" w:top="273" w:right="499" w:bottom="1440" w:gutter="0" w:footer="0" w:header="0"/>
        </w:sectPr>
      </w:pPr>
    </w:p>
    <w:bookmarkStart w:id="580" w:name="page581"/>
    <w:bookmarkEnd w:id="5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 DEVELOPMENT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Licensed Drug Candidates; Licensed Products</w:t>
      </w:r>
      <w:r>
        <w:rPr>
          <w:rFonts w:ascii="Arial" w:cs="Arial" w:eastAsia="Arial" w:hAnsi="Arial"/>
          <w:sz w:val="18"/>
          <w:szCs w:val="18"/>
          <w:color w:val="auto"/>
        </w:rPr>
        <w:t>.</w:t>
      </w:r>
    </w:p>
    <w:p>
      <w:pPr>
        <w:spacing w:after="0" w:line="117" w:lineRule="exact"/>
        <w:rPr>
          <w:sz w:val="20"/>
          <w:szCs w:val="20"/>
          <w:color w:val="auto"/>
        </w:rPr>
      </w:pPr>
    </w:p>
    <w:p>
      <w:pPr>
        <w:ind w:left="440" w:right="80" w:firstLine="423"/>
        <w:spacing w:after="0" w:line="287" w:lineRule="auto"/>
        <w:rPr>
          <w:sz w:val="20"/>
          <w:szCs w:val="20"/>
          <w:color w:val="auto"/>
        </w:rPr>
      </w:pPr>
      <w:r>
        <w:rPr>
          <w:rFonts w:ascii="Arial" w:cs="Arial" w:eastAsia="Arial" w:hAnsi="Arial"/>
          <w:sz w:val="16"/>
          <w:szCs w:val="16"/>
          <w:b w:val="1"/>
          <w:bCs w:val="1"/>
          <w:color w:val="auto"/>
        </w:rPr>
        <w:t>4.1.1. Overview</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acknowledge and agree that the Development of the Licensed Drug Candidates and/or Licensed Products on a</w:t>
      </w:r>
      <w:r>
        <w:rPr>
          <w:rFonts w:ascii="Arial" w:cs="Arial" w:eastAsia="Arial" w:hAnsi="Arial"/>
          <w:sz w:val="16"/>
          <w:szCs w:val="16"/>
          <w:b w:val="1"/>
          <w:bCs w:val="1"/>
          <w:color w:val="auto"/>
        </w:rPr>
        <w:t xml:space="preserve"> </w:t>
      </w:r>
      <w:r>
        <w:rPr>
          <w:rFonts w:ascii="Arial" w:cs="Arial" w:eastAsia="Arial" w:hAnsi="Arial"/>
          <w:sz w:val="16"/>
          <w:szCs w:val="16"/>
          <w:color w:val="auto"/>
        </w:rPr>
        <w:t>global basis is desirable for maximizing such Licensed Products’ value, and therefore that exchange of each Party’s and/or its Related Party’s Development strategy will be made in a transparent manner as provided in this Agreement. The Parties shall collaborate on the Development of each Licensed Drug Candidate and each Licensed Product pursuant to the Global Development Plan. Subject to the terms of this Agreement and the oversight of the JSC, and consistent with the Global Development Plan, Ono will lead and be responsible for, at its cost, Development of the Licensed Drug Candidates or Licensed Products in the Ono Territory, and Repare will lead and be responsible for, at its cost, Development of the same Licensed Drug Candidate or Licensed Product in the Repare Territory and the Global Common Activities. Repare acknowledges and agrees that Ono may participate in one or more Global Clinical Studies in order for Ono to obtain Regulatory Approval of the Licensed Drug Candidate or Licensed Product in the Field in the Ono Territory, subject to the terms and conditions of this Agreement. In case Ono participates in a Global Clinical Study, Ono shall have the sole right to decide the number of subjects enrolled in such Global Clinical Study at sites within the Ono Territory as required to obtain Regulatory Approval for the Licensed Drug Candidate or Licensed Product in a country in the Ono Territory, and Ono shall be responsible for the cost and expense incurred for Global Clinical Study sites within Ono Territory.</w:t>
      </w:r>
    </w:p>
    <w:p>
      <w:pPr>
        <w:spacing w:after="0" w:line="60"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 xml:space="preserve">4.1.2. </w:t>
      </w:r>
      <w:r>
        <w:rPr>
          <w:rFonts w:ascii="Arial" w:cs="Arial" w:eastAsia="Arial" w:hAnsi="Arial"/>
          <w:sz w:val="18"/>
          <w:szCs w:val="18"/>
          <w:b w:val="1"/>
          <w:bCs w:val="1"/>
          <w:color w:val="auto"/>
        </w:rPr>
        <w:t>Global Development Plans</w:t>
      </w:r>
      <w:r>
        <w:rPr>
          <w:rFonts w:ascii="Arial" w:cs="Arial" w:eastAsia="Arial" w:hAnsi="Arial"/>
          <w:sz w:val="18"/>
          <w:szCs w:val="18"/>
          <w:color w:val="auto"/>
        </w:rPr>
        <w:t>.</w:t>
      </w:r>
    </w:p>
    <w:p>
      <w:pPr>
        <w:spacing w:after="0" w:line="117" w:lineRule="exact"/>
        <w:rPr>
          <w:sz w:val="20"/>
          <w:szCs w:val="20"/>
          <w:color w:val="auto"/>
        </w:rPr>
      </w:pPr>
    </w:p>
    <w:p>
      <w:pPr>
        <w:ind w:left="980" w:firstLine="401"/>
        <w:spacing w:after="0" w:line="286" w:lineRule="auto"/>
        <w:rPr>
          <w:sz w:val="20"/>
          <w:szCs w:val="20"/>
          <w:color w:val="auto"/>
        </w:rPr>
      </w:pPr>
      <w:r>
        <w:rPr>
          <w:rFonts w:ascii="Arial" w:cs="Arial" w:eastAsia="Arial" w:hAnsi="Arial"/>
          <w:sz w:val="16"/>
          <w:szCs w:val="16"/>
          <w:b w:val="1"/>
          <w:bCs w:val="1"/>
          <w:color w:val="auto"/>
        </w:rPr>
        <w:t xml:space="preserve">4.1.2.1. Overview. </w:t>
      </w:r>
      <w:r>
        <w:rPr>
          <w:rFonts w:ascii="Arial" w:cs="Arial" w:eastAsia="Arial" w:hAnsi="Arial"/>
          <w:sz w:val="16"/>
          <w:szCs w:val="16"/>
          <w:color w:val="auto"/>
        </w:rPr>
        <w:t>For each Licensed Drug Candidate and each Licensed Product, the Development activities that are necessary or</w:t>
      </w:r>
      <w:r>
        <w:rPr>
          <w:rFonts w:ascii="Arial" w:cs="Arial" w:eastAsia="Arial" w:hAnsi="Arial"/>
          <w:sz w:val="16"/>
          <w:szCs w:val="16"/>
          <w:b w:val="1"/>
          <w:bCs w:val="1"/>
          <w:color w:val="auto"/>
        </w:rPr>
        <w:t xml:space="preserve"> </w:t>
      </w:r>
      <w:r>
        <w:rPr>
          <w:rFonts w:ascii="Arial" w:cs="Arial" w:eastAsia="Arial" w:hAnsi="Arial"/>
          <w:sz w:val="16"/>
          <w:szCs w:val="16"/>
          <w:color w:val="auto"/>
        </w:rPr>
        <w:t>useful to conduct and complete one or more Registration Studies for such Licensed Drug Candidate and Licensed Product as required to achieve initial Regulatory Approval in the Major Market Countries (each, a “</w:t>
      </w:r>
      <w:r>
        <w:rPr>
          <w:rFonts w:ascii="Arial" w:cs="Arial" w:eastAsia="Arial" w:hAnsi="Arial"/>
          <w:sz w:val="16"/>
          <w:szCs w:val="16"/>
          <w:b w:val="1"/>
          <w:bCs w:val="1"/>
          <w:color w:val="auto"/>
        </w:rPr>
        <w:t>Global Development Activity</w:t>
      </w:r>
      <w:r>
        <w:rPr>
          <w:rFonts w:ascii="Arial" w:cs="Arial" w:eastAsia="Arial" w:hAnsi="Arial"/>
          <w:sz w:val="16"/>
          <w:szCs w:val="16"/>
          <w:color w:val="auto"/>
        </w:rPr>
        <w:t xml:space="preserve">”) shall be set forth in reasonable detail in a written work plan and time table that is approved by the JSC (each, an </w:t>
      </w:r>
      <w:r>
        <w:rPr>
          <w:rFonts w:ascii="Arial" w:cs="Arial" w:eastAsia="Arial" w:hAnsi="Arial"/>
          <w:sz w:val="16"/>
          <w:szCs w:val="16"/>
          <w:b w:val="1"/>
          <w:bCs w:val="1"/>
          <w:color w:val="auto"/>
        </w:rPr>
        <w:t>“Global Development Plan”</w:t>
      </w:r>
      <w:r>
        <w:rPr>
          <w:rFonts w:ascii="Arial" w:cs="Arial" w:eastAsia="Arial" w:hAnsi="Arial"/>
          <w:sz w:val="16"/>
          <w:szCs w:val="16"/>
          <w:color w:val="auto"/>
        </w:rPr>
        <w:t>). The initial Global Development Plan for each Licensed Drug Candidate and Licensed Product shall be prepared and promptly submitted by Repare to the JSC for review, discussion and approval by JSC within [***] after the applicable DC Selection Date. After the expiration of the Research Term, the Parties will agree on each subsequent update or change to the Global Development Plan, which shall be approved by the JSC. Each Global Development Plan shall allocate responsibility for the performance of each Global Development Activity to one of the Parties. The terms of, and Global Development Activities set forth in, each Global Development Plan shall at all times be designed to be in compliance with all applicable Laws and in accordance with professional and ethical standards customary in the pharmaceutical industry. The Parties shall discuss in good faith the applicable Global Development Plan through the JSC or the Working Group designated by the JSC. In the event that after such good faith discussion between the Parties, the Parties have different opinions or comments on such Global Development Plan, Repare shall consider in good faith Ono’s opinions or comments to such Global Development Plan before finalizing such Global Development Plan. Repare shall provide such Global Development Plan to the JSC for review and approval.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69" w:right="459" w:bottom="1440" w:gutter="0" w:footer="0" w:header="0"/>
        </w:sectPr>
      </w:pPr>
    </w:p>
    <w:bookmarkStart w:id="581" w:name="page582"/>
    <w:bookmarkEnd w:id="581"/>
    <w:p>
      <w:pPr>
        <w:ind w:left="120" w:right="40" w:firstLine="401"/>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4.1.2.2. Updates and Amendments to the Global Development Plans. </w:t>
      </w:r>
      <w:r>
        <w:rPr>
          <w:rFonts w:ascii="Arial" w:cs="Arial" w:eastAsia="Arial" w:hAnsi="Arial"/>
          <w:sz w:val="16"/>
          <w:szCs w:val="16"/>
          <w:color w:val="auto"/>
        </w:rPr>
        <w:t>Either Party or the JSC may also develop and propose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other substantive amendments to the Global Development Plans. The JSC shall review proposed amendments presented by either Party and may approve such proposed amendments or any other proposed amendments that the JSC may consider from time to time in its discretion and, upon such approval by the JSC, the applicable Global Development Plan shall be amended accordingly. Amendments and updates to the Global Development Plan shall not be effective without the approval of the JSC.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4.1.3. Global Clinical Studies.</w:t>
      </w:r>
    </w:p>
    <w:p>
      <w:pPr>
        <w:spacing w:after="0" w:line="117" w:lineRule="exact"/>
        <w:rPr>
          <w:sz w:val="20"/>
          <w:szCs w:val="20"/>
          <w:color w:val="auto"/>
        </w:rPr>
      </w:pPr>
    </w:p>
    <w:p>
      <w:pPr>
        <w:ind w:left="120" w:right="20" w:firstLine="401"/>
        <w:spacing w:after="0" w:line="273" w:lineRule="auto"/>
        <w:rPr>
          <w:sz w:val="20"/>
          <w:szCs w:val="20"/>
          <w:color w:val="auto"/>
        </w:rPr>
      </w:pPr>
      <w:r>
        <w:rPr>
          <w:rFonts w:ascii="Arial" w:cs="Arial" w:eastAsia="Arial" w:hAnsi="Arial"/>
          <w:sz w:val="17"/>
          <w:szCs w:val="17"/>
          <w:b w:val="1"/>
          <w:bCs w:val="1"/>
          <w:color w:val="auto"/>
        </w:rPr>
        <w:t xml:space="preserve">4.1.3.1. Global Clinical Study Proposals. </w:t>
      </w:r>
      <w:r>
        <w:rPr>
          <w:rFonts w:ascii="Arial" w:cs="Arial" w:eastAsia="Arial" w:hAnsi="Arial"/>
          <w:sz w:val="17"/>
          <w:szCs w:val="17"/>
          <w:color w:val="auto"/>
        </w:rPr>
        <w:t>From time to time during the Term after the DC Selection Date, either Repare (or its</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Party) or Ono (or its Related Party) may submit to the JSC a proposal for a Global Clinical Study that would support the filing of an NDA for the Licensed Drug Candidate and Licensed Product with Regulatory Authorities in the Major Market Countries of both the Repare Territory and the Ono Territory (a “</w:t>
      </w:r>
      <w:r>
        <w:rPr>
          <w:rFonts w:ascii="Arial" w:cs="Arial" w:eastAsia="Arial" w:hAnsi="Arial"/>
          <w:sz w:val="17"/>
          <w:szCs w:val="17"/>
          <w:b w:val="1"/>
          <w:bCs w:val="1"/>
          <w:color w:val="auto"/>
        </w:rPr>
        <w:t>Global Clinical Study Proposal</w:t>
      </w:r>
      <w:r>
        <w:rPr>
          <w:rFonts w:ascii="Arial" w:cs="Arial" w:eastAsia="Arial" w:hAnsi="Arial"/>
          <w:sz w:val="17"/>
          <w:szCs w:val="17"/>
          <w:color w:val="auto"/>
        </w:rPr>
        <w:t>”). Each such Global Clinical Study Proposal shall include a draft synopsis and proposed timelines for the conduct of the applicable Global Clinical Study. The JSC shall review and approve each such Global Clinical Study Proposal. If the JSC approves a Global Clinical Study Proposal, then within [***] after the date of such approval, Repare shall prepare a Global Development Plan based on such Global Clinical Study Proposal.</w:t>
      </w:r>
    </w:p>
    <w:p>
      <w:pPr>
        <w:spacing w:after="0" w:line="64" w:lineRule="exact"/>
        <w:rPr>
          <w:sz w:val="20"/>
          <w:szCs w:val="20"/>
          <w:color w:val="auto"/>
        </w:rPr>
      </w:pPr>
    </w:p>
    <w:p>
      <w:pPr>
        <w:ind w:left="120" w:firstLine="401"/>
        <w:spacing w:after="0" w:line="287" w:lineRule="auto"/>
        <w:rPr>
          <w:sz w:val="20"/>
          <w:szCs w:val="20"/>
          <w:color w:val="auto"/>
        </w:rPr>
      </w:pPr>
      <w:r>
        <w:rPr>
          <w:rFonts w:ascii="Arial" w:cs="Arial" w:eastAsia="Arial" w:hAnsi="Arial"/>
          <w:sz w:val="16"/>
          <w:szCs w:val="16"/>
          <w:b w:val="1"/>
          <w:bCs w:val="1"/>
          <w:color w:val="auto"/>
        </w:rPr>
        <w:t xml:space="preserve">4.1.3.2. Independent Clinical Studies. </w:t>
      </w:r>
      <w:r>
        <w:rPr>
          <w:rFonts w:ascii="Arial" w:cs="Arial" w:eastAsia="Arial" w:hAnsi="Arial"/>
          <w:sz w:val="16"/>
          <w:szCs w:val="16"/>
          <w:color w:val="auto"/>
        </w:rPr>
        <w:t>If the JSC does not approve a Global Clinical Study Proposal (or a substantially similar</w:t>
      </w:r>
      <w:r>
        <w:rPr>
          <w:rFonts w:ascii="Arial" w:cs="Arial" w:eastAsia="Arial" w:hAnsi="Arial"/>
          <w:sz w:val="16"/>
          <w:szCs w:val="16"/>
          <w:b w:val="1"/>
          <w:bCs w:val="1"/>
          <w:color w:val="auto"/>
        </w:rPr>
        <w:t xml:space="preserve"> </w:t>
      </w:r>
      <w:r>
        <w:rPr>
          <w:rFonts w:ascii="Arial" w:cs="Arial" w:eastAsia="Arial" w:hAnsi="Arial"/>
          <w:sz w:val="16"/>
          <w:szCs w:val="16"/>
          <w:color w:val="auto"/>
        </w:rPr>
        <w:t>proposal) within a reasonable period of time after such Global Clinical Study Proposal has been submitted to the JSC, then each Party shall be permitted to carry out at its own expense the relevant Clinical Study(ies) described in such Global Clinical Study Proposal independently within its own Territory ( an “</w:t>
      </w:r>
      <w:r>
        <w:rPr>
          <w:rFonts w:ascii="Arial" w:cs="Arial" w:eastAsia="Arial" w:hAnsi="Arial"/>
          <w:sz w:val="16"/>
          <w:szCs w:val="16"/>
          <w:b w:val="1"/>
          <w:bCs w:val="1"/>
          <w:color w:val="auto"/>
        </w:rPr>
        <w:t>Independent Clinical Study</w:t>
      </w:r>
      <w:r>
        <w:rPr>
          <w:rFonts w:ascii="Arial" w:cs="Arial" w:eastAsia="Arial" w:hAnsi="Arial"/>
          <w:sz w:val="16"/>
          <w:szCs w:val="16"/>
          <w:color w:val="auto"/>
        </w:rPr>
        <w:t xml:space="preserve">”); provided however that Ono shall not be permitted to carry out any Independent Clinical Study or associated Development activities that are directed to an indication that is not included within the applicable Global Development Plan except solely as set forth in this </w:t>
      </w:r>
      <w:r>
        <w:rPr>
          <w:rFonts w:ascii="Arial" w:cs="Arial" w:eastAsia="Arial" w:hAnsi="Arial"/>
          <w:sz w:val="16"/>
          <w:szCs w:val="16"/>
          <w:u w:val="single" w:color="auto"/>
          <w:color w:val="auto"/>
        </w:rPr>
        <w:t>Section 4.1.3.2</w:t>
      </w:r>
      <w:r>
        <w:rPr>
          <w:rFonts w:ascii="Arial" w:cs="Arial" w:eastAsia="Arial" w:hAnsi="Arial"/>
          <w:sz w:val="16"/>
          <w:szCs w:val="16"/>
          <w:color w:val="auto"/>
        </w:rPr>
        <w:t xml:space="preserve"> (Independent Clinical Studies). If Ono wishes to conduct an Independent Clinical Study in an indication that is not included within the applicable Global Development Plan based on a Global Clinical Study Proposal following the rejection by the JSC of such Global Clinical Study Proposal, Repare shall be permitted to block the conduct of such Independent Clinical Study if either (i) Ono cannot provide reasonable, credible evidence that the conduct of such Independent Clinical Study in such indication would not adversely impact the Global Development Activities or the value of a Licensed Product in Repare’s Territory from a scientific, epidemiologic or business perspective or (ii) if Repare can provide reasonable, credible evidence that conduct of such Independent Clinical Study in such indication would create a reasonable possibility of an adverse impact on the Global Development Activities, or the value of a Licensed Product in Repare’s Territory.</w:t>
      </w:r>
    </w:p>
    <w:p>
      <w:pPr>
        <w:spacing w:after="0" w:line="10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140"/>
          </w:cols>
          <w:pgMar w:left="1300" w:top="269" w:right="459" w:bottom="1440" w:gutter="0" w:footer="0" w:header="0"/>
        </w:sectPr>
      </w:pPr>
    </w:p>
    <w:bookmarkStart w:id="582" w:name="page583"/>
    <w:bookmarkEnd w:id="582"/>
    <w:p>
      <w:pPr>
        <w:ind w:left="544" w:right="100" w:firstLine="401"/>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4.1.3.3. Global Clinical Studies for Combination Use</w:t>
      </w:r>
      <w:r>
        <w:rPr>
          <w:rFonts w:ascii="Arial" w:cs="Arial" w:eastAsia="Arial" w:hAnsi="Arial"/>
          <w:sz w:val="16"/>
          <w:szCs w:val="16"/>
          <w:color w:val="auto"/>
        </w:rPr>
        <w:t>. Repare shall use Commercially Reasonable Efforts to [***]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any Global Clinical Study of the use of the Licensed Drug Candidates or Licensed Products [***] in any Global Clinical Study.</w:t>
      </w:r>
    </w:p>
    <w:p>
      <w:pPr>
        <w:spacing w:after="0" w:line="8" w:lineRule="exact"/>
        <w:rPr>
          <w:sz w:val="20"/>
          <w:szCs w:val="20"/>
          <w:color w:val="auto"/>
        </w:rPr>
      </w:pPr>
    </w:p>
    <w:p>
      <w:pPr>
        <w:ind w:left="4" w:right="60" w:firstLine="423"/>
        <w:spacing w:after="0" w:line="289" w:lineRule="auto"/>
        <w:rPr>
          <w:sz w:val="20"/>
          <w:szCs w:val="20"/>
          <w:color w:val="auto"/>
        </w:rPr>
      </w:pPr>
      <w:r>
        <w:rPr>
          <w:rFonts w:ascii="Arial" w:cs="Arial" w:eastAsia="Arial" w:hAnsi="Arial"/>
          <w:sz w:val="16"/>
          <w:szCs w:val="16"/>
          <w:b w:val="1"/>
          <w:bCs w:val="1"/>
          <w:color w:val="auto"/>
        </w:rPr>
        <w:t xml:space="preserve">4.1.4. Global Development Costs. </w:t>
      </w:r>
      <w:r>
        <w:rPr>
          <w:rFonts w:ascii="Arial" w:cs="Arial" w:eastAsia="Arial" w:hAnsi="Arial"/>
          <w:sz w:val="16"/>
          <w:szCs w:val="16"/>
          <w:color w:val="auto"/>
        </w:rPr>
        <w:t>Repare shall be responsible for one hundred percent (100%) of all costs and expenses relating to Global</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Activities that are conducted by or on behalf of Repare, including Global Clinical Studies in the Repare Territory. In addition, Repare shall be responsible for all of its own costs and expenses relating to the preparation of initial Global Development Plan and all Global Common Costs. “</w:t>
      </w:r>
      <w:r>
        <w:rPr>
          <w:rFonts w:ascii="Arial" w:cs="Arial" w:eastAsia="Arial" w:hAnsi="Arial"/>
          <w:sz w:val="16"/>
          <w:szCs w:val="16"/>
          <w:b w:val="1"/>
          <w:bCs w:val="1"/>
          <w:color w:val="auto"/>
        </w:rPr>
        <w:t>Global Common Activity</w:t>
      </w:r>
      <w:r>
        <w:rPr>
          <w:rFonts w:ascii="Arial" w:cs="Arial" w:eastAsia="Arial" w:hAnsi="Arial"/>
          <w:sz w:val="16"/>
          <w:szCs w:val="16"/>
          <w:color w:val="auto"/>
        </w:rPr>
        <w:t>” means any Development activity with regard to any Global Clinical Study that is not specific to Development activities in the Ono Territory or the Repare Territory, which includes, but is not limited to, the project management, data management, statistical support and statistical analysis on a global basis (i.e. both of Repare Territory and Ono Territory). “</w:t>
      </w:r>
      <w:r>
        <w:rPr>
          <w:rFonts w:ascii="Arial" w:cs="Arial" w:eastAsia="Arial" w:hAnsi="Arial"/>
          <w:sz w:val="16"/>
          <w:szCs w:val="16"/>
          <w:b w:val="1"/>
          <w:bCs w:val="1"/>
          <w:color w:val="auto"/>
        </w:rPr>
        <w:t>Global Common</w:t>
      </w:r>
      <w:r>
        <w:rPr>
          <w:rFonts w:ascii="Arial" w:cs="Arial" w:eastAsia="Arial" w:hAnsi="Arial"/>
          <w:sz w:val="16"/>
          <w:szCs w:val="16"/>
          <w:color w:val="auto"/>
        </w:rPr>
        <w:t xml:space="preserve"> </w:t>
      </w:r>
      <w:r>
        <w:rPr>
          <w:rFonts w:ascii="Arial" w:cs="Arial" w:eastAsia="Arial" w:hAnsi="Arial"/>
          <w:sz w:val="16"/>
          <w:szCs w:val="16"/>
          <w:b w:val="1"/>
          <w:bCs w:val="1"/>
          <w:color w:val="auto"/>
        </w:rPr>
        <w:t>Costs</w:t>
      </w:r>
      <w:r>
        <w:rPr>
          <w:rFonts w:ascii="Arial" w:cs="Arial" w:eastAsia="Arial" w:hAnsi="Arial"/>
          <w:sz w:val="16"/>
          <w:szCs w:val="16"/>
          <w:color w:val="auto"/>
        </w:rPr>
        <w:t>” means the direct development costs that are incurred by a Party in connection with the Global Common Activity. Ono shall be responsible</w:t>
      </w:r>
      <w:r>
        <w:rPr>
          <w:rFonts w:ascii="Arial" w:cs="Arial" w:eastAsia="Arial" w:hAnsi="Arial"/>
          <w:sz w:val="16"/>
          <w:szCs w:val="16"/>
          <w:b w:val="1"/>
          <w:bCs w:val="1"/>
          <w:color w:val="auto"/>
        </w:rPr>
        <w:t xml:space="preserve"> </w:t>
      </w:r>
      <w:r>
        <w:rPr>
          <w:rFonts w:ascii="Arial" w:cs="Arial" w:eastAsia="Arial" w:hAnsi="Arial"/>
          <w:sz w:val="16"/>
          <w:szCs w:val="16"/>
          <w:color w:val="auto"/>
        </w:rPr>
        <w:t>for one hundred percent (100%) of all costs and expenses relating to Global Development Activities that are conducted by or on behalf of Ono, including Global Clinical Studies and any bridging studies conducted by Ono in the Ono Territory.</w:t>
      </w:r>
    </w:p>
    <w:p>
      <w:pPr>
        <w:spacing w:after="0" w:line="58" w:lineRule="exact"/>
        <w:rPr>
          <w:sz w:val="20"/>
          <w:szCs w:val="20"/>
          <w:color w:val="auto"/>
        </w:rPr>
      </w:pPr>
    </w:p>
    <w:p>
      <w:pPr>
        <w:ind w:left="4" w:firstLine="423"/>
        <w:spacing w:after="0" w:line="286" w:lineRule="auto"/>
        <w:rPr>
          <w:sz w:val="20"/>
          <w:szCs w:val="20"/>
          <w:color w:val="auto"/>
        </w:rPr>
      </w:pPr>
      <w:r>
        <w:rPr>
          <w:rFonts w:ascii="Arial" w:cs="Arial" w:eastAsia="Arial" w:hAnsi="Arial"/>
          <w:sz w:val="16"/>
          <w:szCs w:val="16"/>
          <w:b w:val="1"/>
          <w:bCs w:val="1"/>
          <w:color w:val="auto"/>
        </w:rPr>
        <w:t xml:space="preserve">4.1.5. Repare Territory Development Plan. </w:t>
      </w:r>
      <w:r>
        <w:rPr>
          <w:rFonts w:ascii="Arial" w:cs="Arial" w:eastAsia="Arial" w:hAnsi="Arial"/>
          <w:sz w:val="16"/>
          <w:szCs w:val="16"/>
          <w:color w:val="auto"/>
        </w:rPr>
        <w:t>Other than Global Development Activities, all Development activities to be undertaken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each Licensed Drug Candidate and Licensed Product by or on behalf of Repare with respect to the Repare Territory shall be set forth in a written work plan and time table (the “</w:t>
      </w:r>
      <w:r>
        <w:rPr>
          <w:rFonts w:ascii="Arial" w:cs="Arial" w:eastAsia="Arial" w:hAnsi="Arial"/>
          <w:sz w:val="16"/>
          <w:szCs w:val="16"/>
          <w:b w:val="1"/>
          <w:bCs w:val="1"/>
          <w:color w:val="auto"/>
        </w:rPr>
        <w:t>Repare Territory Development Plan</w:t>
      </w:r>
      <w:r>
        <w:rPr>
          <w:rFonts w:ascii="Arial" w:cs="Arial" w:eastAsia="Arial" w:hAnsi="Arial"/>
          <w:sz w:val="16"/>
          <w:szCs w:val="16"/>
          <w:color w:val="auto"/>
        </w:rPr>
        <w:t>”). The initial Repare Territory Development Plan shall be prepared by Repare and, following review and discussion by the JSC, shall then be attached to the JSC meeting minutes and deemed to be attached hereto as the applicable Schedule. Repare shall present the Repare Territory Development Plan and any proposed amendments thereto to the JSC at least</w:t>
      </w:r>
    </w:p>
    <w:p>
      <w:pPr>
        <w:spacing w:after="0" w:line="2" w:lineRule="exact"/>
        <w:rPr>
          <w:sz w:val="20"/>
          <w:szCs w:val="20"/>
          <w:color w:val="auto"/>
        </w:rPr>
      </w:pPr>
    </w:p>
    <w:p>
      <w:pPr>
        <w:ind w:left="4" w:right="140" w:hanging="4"/>
        <w:spacing w:after="0" w:line="290" w:lineRule="auto"/>
        <w:tabs>
          <w:tab w:leader="none" w:pos="438" w:val="left"/>
        </w:tabs>
        <w:numPr>
          <w:ilvl w:val="0"/>
          <w:numId w:val="370"/>
        </w:numPr>
        <w:rPr>
          <w:rFonts w:ascii="Arial" w:cs="Arial" w:eastAsia="Arial" w:hAnsi="Arial"/>
          <w:sz w:val="16"/>
          <w:szCs w:val="16"/>
          <w:color w:val="auto"/>
        </w:rPr>
      </w:pPr>
      <w:r>
        <w:rPr>
          <w:rFonts w:ascii="Arial" w:cs="Arial" w:eastAsia="Arial" w:hAnsi="Arial"/>
          <w:sz w:val="16"/>
          <w:szCs w:val="16"/>
          <w:color w:val="auto"/>
        </w:rPr>
        <w:t>in advance of implementation of the Repare Territory Development Plan, and following review and discussion by the JSC, it shall then be attached to the JSC meeting minutes and deemed to be attached hereto as the applicable Schedule. If Ono notifies Repare in writing that Ono reasonably believes that a Clinical Study of a Licensed Product in the Field which Repare and/or its Related Party intends or attempts to conduct in accordance with Repare Territory Development Plan should be expanded to be a Global Clinical Study, Repare shall expand such Clinical Study into a Global Clinical Study to include it in a Global Development Plan that Repare shall provide to Ono through the JSC and Working Group designated by the JSC for the JSC’s review and approval within [***] on or after the receipt of Ono’s written notification by Repare.</w:t>
      </w:r>
    </w:p>
    <w:p>
      <w:pPr>
        <w:spacing w:after="0" w:line="52" w:lineRule="exact"/>
        <w:rPr>
          <w:sz w:val="20"/>
          <w:szCs w:val="20"/>
          <w:color w:val="auto"/>
        </w:rPr>
      </w:pPr>
    </w:p>
    <w:p>
      <w:pPr>
        <w:ind w:left="4" w:right="600" w:firstLine="423"/>
        <w:spacing w:after="0" w:line="347" w:lineRule="auto"/>
        <w:rPr>
          <w:sz w:val="20"/>
          <w:szCs w:val="20"/>
          <w:color w:val="auto"/>
        </w:rPr>
      </w:pPr>
      <w:r>
        <w:rPr>
          <w:rFonts w:ascii="Arial" w:cs="Arial" w:eastAsia="Arial" w:hAnsi="Arial"/>
          <w:sz w:val="16"/>
          <w:szCs w:val="16"/>
          <w:b w:val="1"/>
          <w:bCs w:val="1"/>
          <w:color w:val="auto"/>
        </w:rPr>
        <w:t xml:space="preserve">4.1.6. Repare Territory Development Costs. </w:t>
      </w:r>
      <w:r>
        <w:rPr>
          <w:rFonts w:ascii="Arial" w:cs="Arial" w:eastAsia="Arial" w:hAnsi="Arial"/>
          <w:sz w:val="16"/>
          <w:szCs w:val="16"/>
          <w:color w:val="auto"/>
        </w:rPr>
        <w:t>Repare shall be responsible for one hundred percent (100%) of all costs and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incurred with respect to Development activities that are conducted by Repare pursuant to any Repare Territory Development Plan.</w:t>
      </w:r>
    </w:p>
    <w:p>
      <w:pPr>
        <w:spacing w:after="0" w:line="52"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44"/>
          </w:cols>
          <w:pgMar w:left="876" w:top="269" w:right="479" w:bottom="1440" w:gutter="0" w:footer="0" w:header="0"/>
        </w:sectPr>
      </w:pPr>
    </w:p>
    <w:bookmarkStart w:id="583" w:name="page584"/>
    <w:bookmarkEnd w:id="583"/>
    <w:p>
      <w:pPr>
        <w:ind w:firstLine="423"/>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4.1.7. Ono Global Development Activity</w:t>
      </w:r>
      <w:r>
        <w:rPr>
          <w:rFonts w:ascii="Arial" w:cs="Arial" w:eastAsia="Arial" w:hAnsi="Arial"/>
          <w:sz w:val="16"/>
          <w:szCs w:val="16"/>
          <w:color w:val="auto"/>
        </w:rPr>
        <w:t>. Ono shall be responsible for the Global Development Activities in the Field in the Ono Territory,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the conduct of any Clinical Studies in the Ono Territory, in accordance with the terms of this Agreement; provided, however that in case any new indication to be included in the initial Global Development Plan or any amendment of Global Development Plan is finally decided as the result of Repare’s exercise of its deciding vote pursuant to </w:t>
      </w:r>
      <w:r>
        <w:rPr>
          <w:rFonts w:ascii="Arial" w:cs="Arial" w:eastAsia="Arial" w:hAnsi="Arial"/>
          <w:sz w:val="16"/>
          <w:szCs w:val="16"/>
          <w:u w:val="single" w:color="auto"/>
          <w:color w:val="auto"/>
        </w:rPr>
        <w:t>Section 8.1.7.3(b)</w:t>
      </w:r>
      <w:r>
        <w:rPr>
          <w:rFonts w:ascii="Arial" w:cs="Arial" w:eastAsia="Arial" w:hAnsi="Arial"/>
          <w:sz w:val="16"/>
          <w:szCs w:val="16"/>
          <w:color w:val="auto"/>
        </w:rPr>
        <w:t xml:space="preserve">, Ono may change the status of its part therein from “Global Clinical Study” to “Development in the Ono Territory”, which will be subject to Ono’s final deciding vote pursuant to </w:t>
      </w:r>
      <w:r>
        <w:rPr>
          <w:rFonts w:ascii="Arial" w:cs="Arial" w:eastAsia="Arial" w:hAnsi="Arial"/>
          <w:sz w:val="16"/>
          <w:szCs w:val="16"/>
          <w:u w:val="single" w:color="auto"/>
          <w:color w:val="auto"/>
        </w:rPr>
        <w:t>Section 8.1.7.3(a)</w:t>
      </w:r>
      <w:r>
        <w:rPr>
          <w:rFonts w:ascii="Arial" w:cs="Arial" w:eastAsia="Arial" w:hAnsi="Arial"/>
          <w:sz w:val="16"/>
          <w:szCs w:val="16"/>
          <w:color w:val="auto"/>
        </w:rPr>
        <w:t>; provided that, notwithstanding anything to the contrary in this Agreement, if an Independent Clinical Study conducted by Repare in the Repare Territory is a Registration Study, wherein Ono is not required by a Regulatory Authority in the Ono Territory to conduct any bridging or other clinical study as a condition to the award of Regulatory Approval, then Ono agrees to reimburse Repare for [***] of the costs and expenses relating to such Independent Clinical Study. Ono will be responsible for all Development of the Licensed Drug Candidates and Licensed Products in the Field for the Ono Territory solely in accordance with the terms of this Agreement and the applicable Global Development Plan.</w:t>
      </w:r>
    </w:p>
    <w:p>
      <w:pPr>
        <w:spacing w:after="0" w:line="53" w:lineRule="exact"/>
        <w:rPr>
          <w:sz w:val="20"/>
          <w:szCs w:val="20"/>
          <w:color w:val="auto"/>
        </w:rPr>
      </w:pPr>
    </w:p>
    <w:p>
      <w:pPr>
        <w:ind w:firstLine="423"/>
        <w:spacing w:after="0" w:line="269" w:lineRule="auto"/>
        <w:rPr>
          <w:sz w:val="20"/>
          <w:szCs w:val="20"/>
          <w:color w:val="auto"/>
        </w:rPr>
      </w:pPr>
      <w:r>
        <w:rPr>
          <w:rFonts w:ascii="Arial" w:cs="Arial" w:eastAsia="Arial" w:hAnsi="Arial"/>
          <w:sz w:val="17"/>
          <w:szCs w:val="17"/>
          <w:b w:val="1"/>
          <w:bCs w:val="1"/>
          <w:color w:val="auto"/>
        </w:rPr>
        <w:t>4.1.8. Ono Territory Development Plan</w:t>
      </w:r>
      <w:r>
        <w:rPr>
          <w:rFonts w:ascii="Arial" w:cs="Arial" w:eastAsia="Arial" w:hAnsi="Arial"/>
          <w:sz w:val="17"/>
          <w:szCs w:val="17"/>
          <w:color w:val="auto"/>
        </w:rPr>
        <w:t>. Other than Global Development Activities, all Development activities to be undertaken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each Licensed Drug Candidate and Licensed Product by or on behalf of Ono with respect to the Ono Territory shall be set forth in a written work plan and time table (the “</w:t>
      </w:r>
      <w:r>
        <w:rPr>
          <w:rFonts w:ascii="Arial" w:cs="Arial" w:eastAsia="Arial" w:hAnsi="Arial"/>
          <w:sz w:val="17"/>
          <w:szCs w:val="17"/>
          <w:b w:val="1"/>
          <w:bCs w:val="1"/>
          <w:color w:val="auto"/>
        </w:rPr>
        <w:t>Ono Territory Development Plan</w:t>
      </w:r>
      <w:r>
        <w:rPr>
          <w:rFonts w:ascii="Arial" w:cs="Arial" w:eastAsia="Arial" w:hAnsi="Arial"/>
          <w:sz w:val="17"/>
          <w:szCs w:val="17"/>
          <w:color w:val="auto"/>
        </w:rPr>
        <w:t>”). The initial Ono Territory Development Plan shall be prepared by Ono and, following review and discussion by the JSC, shall then be attached to the JSC meeting minutes and deemed to be attached hereto as the applicable Schedule. Ono shall present the Ono Territory Development Plan and any proposed amendments thereto to the JSC at least [***] in advance of implementation of the Ono Territory Development Plan, and following review and discussion by the JSC, it shall then be attached to the JSC meeting minutes and deemed to be attached hereto as the applicable Schedule. If Ono wishes, pursuant to the Ono Territory Development Plan, to conduct a Clinical Study in an indication that is not included within the applicable Global Development Plan, Repare shall be permitted to block the conduct of such Clinical Study if either (i) Ono cannot provide reasonable, credible evidence that the conduct of such Clinical Study in such indication would not adversely impact the Global Development Activities or the value of a Licensed Product in Repare’s Territory from a scientific, epidemiologic or business perspective or (ii) if Repare can provide reasonable, credible evidence that conduct of such Clinical Study in such indication would create a reasonable possibility of an adverse impact on the Global Development Activities, or the value of a Licensed Product in Repare’s Territory</w:t>
      </w:r>
    </w:p>
    <w:p>
      <w:pPr>
        <w:spacing w:after="0" w:line="68" w:lineRule="exact"/>
        <w:rPr>
          <w:sz w:val="20"/>
          <w:szCs w:val="20"/>
          <w:color w:val="auto"/>
        </w:rPr>
      </w:pPr>
    </w:p>
    <w:p>
      <w:pPr>
        <w:ind w:right="40" w:firstLine="423"/>
        <w:spacing w:after="0" w:line="312" w:lineRule="auto"/>
        <w:rPr>
          <w:sz w:val="20"/>
          <w:szCs w:val="20"/>
          <w:color w:val="auto"/>
        </w:rPr>
      </w:pPr>
      <w:r>
        <w:rPr>
          <w:rFonts w:ascii="Arial" w:cs="Arial" w:eastAsia="Arial" w:hAnsi="Arial"/>
          <w:sz w:val="17"/>
          <w:szCs w:val="17"/>
          <w:b w:val="1"/>
          <w:bCs w:val="1"/>
          <w:color w:val="auto"/>
        </w:rPr>
        <w:t>4.1.9. Ono Territory Development Costs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Ono shall be responsible for one hundred percent (100%) of all costs and expenses incurred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Development activities that are conducted by Ono pursuant to any Ono Territory Development Plan.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Performance of Global Development Activities; Diligence</w:t>
      </w:r>
      <w:r>
        <w:rPr>
          <w:rFonts w:ascii="Arial" w:cs="Arial" w:eastAsia="Arial" w:hAnsi="Arial"/>
          <w:sz w:val="18"/>
          <w:szCs w:val="18"/>
          <w:color w:val="auto"/>
        </w:rPr>
        <w:t>.</w:t>
      </w:r>
    </w:p>
    <w:p>
      <w:pPr>
        <w:spacing w:after="0" w:line="117" w:lineRule="exact"/>
        <w:rPr>
          <w:sz w:val="20"/>
          <w:szCs w:val="20"/>
          <w:color w:val="auto"/>
        </w:rPr>
      </w:pPr>
    </w:p>
    <w:p>
      <w:pPr>
        <w:ind w:right="100" w:firstLine="423"/>
        <w:spacing w:after="0" w:line="289" w:lineRule="auto"/>
        <w:rPr>
          <w:sz w:val="20"/>
          <w:szCs w:val="20"/>
          <w:color w:val="auto"/>
        </w:rPr>
      </w:pPr>
      <w:r>
        <w:rPr>
          <w:rFonts w:ascii="Arial" w:cs="Arial" w:eastAsia="Arial" w:hAnsi="Arial"/>
          <w:sz w:val="17"/>
          <w:szCs w:val="17"/>
          <w:b w:val="1"/>
          <w:bCs w:val="1"/>
          <w:color w:val="auto"/>
        </w:rPr>
        <w:t>4.2.1. Performance</w:t>
      </w:r>
      <w:r>
        <w:rPr>
          <w:rFonts w:ascii="Arial" w:cs="Arial" w:eastAsia="Arial" w:hAnsi="Arial"/>
          <w:sz w:val="17"/>
          <w:szCs w:val="17"/>
          <w:color w:val="auto"/>
        </w:rPr>
        <w:t>. Each Party shall conduct and shall cause its Related Parties to conduct all Development activities allocated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Party in a Global Development Plan in a sound scientific manner and in compliance with applicable Law and the applicable Global Development Plan, as such Global Development Plan may be amended from time to time in accordance with this Agreement.</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60"/>
          </w:cols>
          <w:pgMar w:left="880" w:top="269" w:right="459" w:bottom="1440" w:gutter="0" w:footer="0" w:header="0"/>
        </w:sectPr>
      </w:pPr>
    </w:p>
    <w:bookmarkStart w:id="584" w:name="page585"/>
    <w:bookmarkEnd w:id="584"/>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anything to the contrary in this </w:t>
      </w:r>
      <w:r>
        <w:rPr>
          <w:rFonts w:ascii="Arial" w:cs="Arial" w:eastAsia="Arial" w:hAnsi="Arial"/>
          <w:sz w:val="17"/>
          <w:szCs w:val="17"/>
          <w:u w:val="single" w:color="auto"/>
          <w:color w:val="auto"/>
        </w:rPr>
        <w:t>Section 4.2.1</w:t>
      </w:r>
      <w:r>
        <w:rPr>
          <w:rFonts w:ascii="Arial" w:cs="Arial" w:eastAsia="Arial" w:hAnsi="Arial"/>
          <w:sz w:val="17"/>
          <w:szCs w:val="17"/>
          <w:color w:val="auto"/>
        </w:rPr>
        <w:t xml:space="preserve"> (Performance), neither Party shall be obligated to undertake or continue any activity under a Global Development Plan if (a) such Party reasonably determines that performance of activity would violate applicable Law; or (b) with respect to any Global Clinical Study, (i) a Regulatory Authority or independent safety data review board for such Global Clinical Study has required or recommended termination or suspension of such Global Clinical Study or (ii) such Party believes in good faith that termination or suspension of such Global Clinical Study is warranted because of safety or tolerability risks or the lack of suitable risk benefit ratio to the study subjects. In the event that a Party determines not to undertake or continue any activity under a Global Development Plan in accordance with the immediately preceding sentence, such Party shall promptly notify the other Party of such determination, and shall use all reasonable efforts to notify and consult with the other Party prior to making such determination.</w:t>
      </w:r>
    </w:p>
    <w:p>
      <w:pPr>
        <w:spacing w:after="0" w:line="66" w:lineRule="exact"/>
        <w:rPr>
          <w:sz w:val="20"/>
          <w:szCs w:val="20"/>
          <w:color w:val="auto"/>
        </w:rPr>
      </w:pPr>
    </w:p>
    <w:p>
      <w:pPr>
        <w:ind w:right="500" w:firstLine="423"/>
        <w:spacing w:after="0" w:line="282" w:lineRule="auto"/>
        <w:rPr>
          <w:sz w:val="20"/>
          <w:szCs w:val="20"/>
          <w:color w:val="auto"/>
        </w:rPr>
      </w:pPr>
      <w:r>
        <w:rPr>
          <w:rFonts w:ascii="Arial" w:cs="Arial" w:eastAsia="Arial" w:hAnsi="Arial"/>
          <w:sz w:val="18"/>
          <w:szCs w:val="18"/>
          <w:b w:val="1"/>
          <w:bCs w:val="1"/>
          <w:color w:val="auto"/>
        </w:rPr>
        <w:t>4.2.2. Repare Diligence</w:t>
      </w:r>
      <w:r>
        <w:rPr>
          <w:rFonts w:ascii="Arial" w:cs="Arial" w:eastAsia="Arial" w:hAnsi="Arial"/>
          <w:sz w:val="18"/>
          <w:szCs w:val="18"/>
          <w:color w:val="auto"/>
        </w:rPr>
        <w:t>. Repare shall use Commercially Reasonable Efforts to Develop each Licensed Drug Candidate and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and obtain Regulatory Approval therefore in the Repare Territory.</w:t>
      </w:r>
    </w:p>
    <w:p>
      <w:pPr>
        <w:spacing w:after="0" w:line="54" w:lineRule="exact"/>
        <w:rPr>
          <w:sz w:val="20"/>
          <w:szCs w:val="20"/>
          <w:color w:val="auto"/>
        </w:rPr>
      </w:pPr>
    </w:p>
    <w:p>
      <w:pPr>
        <w:ind w:right="20" w:firstLine="423"/>
        <w:spacing w:after="0" w:line="282" w:lineRule="auto"/>
        <w:rPr>
          <w:sz w:val="20"/>
          <w:szCs w:val="20"/>
          <w:color w:val="auto"/>
        </w:rPr>
      </w:pPr>
      <w:r>
        <w:rPr>
          <w:rFonts w:ascii="Arial" w:cs="Arial" w:eastAsia="Arial" w:hAnsi="Arial"/>
          <w:sz w:val="18"/>
          <w:szCs w:val="18"/>
          <w:b w:val="1"/>
          <w:bCs w:val="1"/>
          <w:color w:val="auto"/>
        </w:rPr>
        <w:t>4.2.3. Ono Diligence</w:t>
      </w:r>
      <w:r>
        <w:rPr>
          <w:rFonts w:ascii="Arial" w:cs="Arial" w:eastAsia="Arial" w:hAnsi="Arial"/>
          <w:sz w:val="18"/>
          <w:szCs w:val="18"/>
          <w:color w:val="auto"/>
        </w:rPr>
        <w:t>. Ono shall use Commercially Reasonable Efforts to Develop each Licensed Drug Candidate and Licensed Product and</w:t>
      </w:r>
      <w:r>
        <w:rPr>
          <w:rFonts w:ascii="Arial" w:cs="Arial" w:eastAsia="Arial" w:hAnsi="Arial"/>
          <w:sz w:val="18"/>
          <w:szCs w:val="18"/>
          <w:b w:val="1"/>
          <w:bCs w:val="1"/>
          <w:color w:val="auto"/>
        </w:rPr>
        <w:t xml:space="preserve"> </w:t>
      </w:r>
      <w:r>
        <w:rPr>
          <w:rFonts w:ascii="Arial" w:cs="Arial" w:eastAsia="Arial" w:hAnsi="Arial"/>
          <w:sz w:val="18"/>
          <w:szCs w:val="18"/>
          <w:color w:val="auto"/>
        </w:rPr>
        <w:t>obtain Regulatory Approval therefore in the Ono Territory.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Records, Reports and Information Sharing</w:t>
      </w:r>
      <w:r>
        <w:rPr>
          <w:rFonts w:ascii="Arial" w:cs="Arial" w:eastAsia="Arial" w:hAnsi="Arial"/>
          <w:sz w:val="18"/>
          <w:szCs w:val="18"/>
          <w:color w:val="auto"/>
        </w:rPr>
        <w:t>.</w:t>
      </w:r>
    </w:p>
    <w:p>
      <w:pPr>
        <w:spacing w:after="0" w:line="117" w:lineRule="exact"/>
        <w:rPr>
          <w:sz w:val="20"/>
          <w:szCs w:val="20"/>
          <w:color w:val="auto"/>
        </w:rPr>
      </w:pPr>
    </w:p>
    <w:p>
      <w:pPr>
        <w:ind w:right="40" w:firstLine="423"/>
        <w:spacing w:after="0" w:line="294" w:lineRule="auto"/>
        <w:rPr>
          <w:sz w:val="20"/>
          <w:szCs w:val="20"/>
          <w:color w:val="auto"/>
        </w:rPr>
      </w:pPr>
      <w:r>
        <w:rPr>
          <w:rFonts w:ascii="Arial" w:cs="Arial" w:eastAsia="Arial" w:hAnsi="Arial"/>
          <w:sz w:val="16"/>
          <w:szCs w:val="16"/>
          <w:b w:val="1"/>
          <w:bCs w:val="1"/>
          <w:color w:val="auto"/>
        </w:rPr>
        <w:t>4.3.1. Development Activities Reports</w:t>
      </w:r>
      <w:r>
        <w:rPr>
          <w:rFonts w:ascii="Arial" w:cs="Arial" w:eastAsia="Arial" w:hAnsi="Arial"/>
          <w:sz w:val="16"/>
          <w:szCs w:val="16"/>
          <w:color w:val="auto"/>
        </w:rPr>
        <w:t>. Each Party shall provide and shall cause its Related Parties to provide to the JSC semi-annually, an</w:t>
      </w:r>
      <w:r>
        <w:rPr>
          <w:rFonts w:ascii="Arial" w:cs="Arial" w:eastAsia="Arial" w:hAnsi="Arial"/>
          <w:sz w:val="16"/>
          <w:szCs w:val="16"/>
          <w:b w:val="1"/>
          <w:bCs w:val="1"/>
          <w:color w:val="auto"/>
        </w:rPr>
        <w:t xml:space="preserve"> </w:t>
      </w:r>
      <w:r>
        <w:rPr>
          <w:rFonts w:ascii="Arial" w:cs="Arial" w:eastAsia="Arial" w:hAnsi="Arial"/>
          <w:sz w:val="16"/>
          <w:szCs w:val="16"/>
          <w:color w:val="auto"/>
        </w:rPr>
        <w:t>update regarding Development activities conducted by or on behalf of such Party with respect to such Licensed Drug Candidate and Licensed Product. The Parties shall report to the JSC semi-annually, regarding their respective activities conducted under the Global Development Plan for such Licensed Drug Candidate and Licensed Product. In addition, each Party shall promptly share with the other Party all material developments and information that it comes to possess relating to the Development of any Licensed Drug Candidate and Licensed Products, including safety concerns and study reports and data generated from Clinical Studies of such Licensed Drug Candidate and Licensed Product.</w:t>
      </w:r>
    </w:p>
    <w:p>
      <w:pPr>
        <w:spacing w:after="0" w:line="52" w:lineRule="exact"/>
        <w:rPr>
          <w:sz w:val="20"/>
          <w:szCs w:val="20"/>
          <w:color w:val="auto"/>
        </w:rPr>
      </w:pPr>
    </w:p>
    <w:p>
      <w:pPr>
        <w:ind w:right="40" w:firstLine="423"/>
        <w:spacing w:after="0" w:line="261" w:lineRule="auto"/>
        <w:rPr>
          <w:sz w:val="20"/>
          <w:szCs w:val="20"/>
          <w:color w:val="auto"/>
        </w:rPr>
      </w:pPr>
      <w:r>
        <w:rPr>
          <w:rFonts w:ascii="Arial" w:cs="Arial" w:eastAsia="Arial" w:hAnsi="Arial"/>
          <w:sz w:val="18"/>
          <w:szCs w:val="18"/>
          <w:b w:val="1"/>
          <w:bCs w:val="1"/>
          <w:color w:val="auto"/>
        </w:rPr>
        <w:t>4.3.2. Scientific Records</w:t>
      </w:r>
      <w:r>
        <w:rPr>
          <w:rFonts w:ascii="Arial" w:cs="Arial" w:eastAsia="Arial" w:hAnsi="Arial"/>
          <w:sz w:val="18"/>
          <w:szCs w:val="18"/>
          <w:color w:val="auto"/>
        </w:rPr>
        <w:t>. Each Party shall maintain and shall cause its Related Parties to maintain scientific records, in sufficient detail and</w:t>
      </w:r>
      <w:r>
        <w:rPr>
          <w:rFonts w:ascii="Arial" w:cs="Arial" w:eastAsia="Arial" w:hAnsi="Arial"/>
          <w:sz w:val="18"/>
          <w:szCs w:val="18"/>
          <w:b w:val="1"/>
          <w:bCs w:val="1"/>
          <w:color w:val="auto"/>
        </w:rPr>
        <w:t xml:space="preserve"> </w:t>
      </w:r>
      <w:r>
        <w:rPr>
          <w:rFonts w:ascii="Arial" w:cs="Arial" w:eastAsia="Arial" w:hAnsi="Arial"/>
          <w:sz w:val="18"/>
          <w:szCs w:val="18"/>
          <w:color w:val="auto"/>
        </w:rPr>
        <w:t>in sound scientific manner appropriate for patent and regulatory purposes, which shall fully and properly reflect all work done and results achieved in the performance of the Development activities and Clinical Studies with respect to each Licensed Drug Candidate and Licensed Product by such Party, or its Related Parties.</w:t>
      </w:r>
    </w:p>
    <w:p>
      <w:pPr>
        <w:spacing w:after="0" w:line="72" w:lineRule="exact"/>
        <w:rPr>
          <w:sz w:val="20"/>
          <w:szCs w:val="20"/>
          <w:color w:val="auto"/>
        </w:rPr>
      </w:pPr>
    </w:p>
    <w:p>
      <w:pPr>
        <w:ind w:right="100" w:firstLine="423"/>
        <w:spacing w:after="0" w:line="303" w:lineRule="auto"/>
        <w:rPr>
          <w:sz w:val="20"/>
          <w:szCs w:val="20"/>
          <w:color w:val="auto"/>
        </w:rPr>
      </w:pPr>
      <w:r>
        <w:rPr>
          <w:rFonts w:ascii="Arial" w:cs="Arial" w:eastAsia="Arial" w:hAnsi="Arial"/>
          <w:sz w:val="16"/>
          <w:szCs w:val="16"/>
          <w:b w:val="1"/>
          <w:bCs w:val="1"/>
          <w:color w:val="auto"/>
        </w:rPr>
        <w:t>4.3.3. Information Exchange and Development Assistance</w:t>
      </w:r>
      <w:r>
        <w:rPr>
          <w:rFonts w:ascii="Arial" w:cs="Arial" w:eastAsia="Arial" w:hAnsi="Arial"/>
          <w:sz w:val="16"/>
          <w:szCs w:val="16"/>
          <w:color w:val="auto"/>
        </w:rPr>
        <w:t>. Until the expiration or termination of this Agreement, for JSC semi-annually</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time promptly upon the reasonable request of the other Party, each Party shall provide to and shall cause its Related Party to provide to the other Party, without additional compensation and in a commercially reasonable format, Know-How (including any research information, any CMC information, Clinical Study data or Regulatory Materials) that is generated during the Term of this Agreement, necessary or useful</w:t>
      </w:r>
    </w:p>
    <w:p>
      <w:pPr>
        <w:spacing w:after="0" w:line="8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40"/>
          </w:cols>
          <w:pgMar w:left="880" w:top="273" w:right="479" w:bottom="1440" w:gutter="0" w:footer="0" w:header="0"/>
        </w:sectPr>
      </w:pPr>
    </w:p>
    <w:bookmarkStart w:id="585" w:name="page586"/>
    <w:bookmarkEnd w:id="585"/>
    <w:p>
      <w:pPr>
        <w:ind w:left="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 the Development or Commercialization of the Licensed Drug Candidates or Licensed Products in the Field in the other Party’s Territory, and that Controlled by such Party and/or its Related Party that is licensed to the other Party under this Agreement, including copies of (a) all scientific information and data related to such Licensed Drug Candidate or Licensed Product (including all data made, collected or otherwise generated in the conduct of any pre-clinical studies, Clinical Studies (including clinical data and other related information generated in compliance with CDISC standards), original patient report forms and other original source data, or early access/named patient programs for the Licensed Drug Candidates or Licensed Products), and (b) protocols and investigator brochures, in each case, that are reasonably necessary for the other Party (or its Related Parties) to perform its obligations or exploit its rights under this Agreement with respect to such Licensed Drug Candidate or Licensed Product. Any data provided by one Party to the other Party under this </w:t>
      </w:r>
      <w:r>
        <w:rPr>
          <w:rFonts w:ascii="Arial" w:cs="Arial" w:eastAsia="Arial" w:hAnsi="Arial"/>
          <w:sz w:val="16"/>
          <w:szCs w:val="16"/>
          <w:u w:val="single" w:color="auto"/>
          <w:color w:val="auto"/>
        </w:rPr>
        <w:t>Section 4.3.3</w:t>
      </w:r>
      <w:r>
        <w:rPr>
          <w:rFonts w:ascii="Arial" w:cs="Arial" w:eastAsia="Arial" w:hAnsi="Arial"/>
          <w:sz w:val="16"/>
          <w:szCs w:val="16"/>
          <w:color w:val="auto"/>
        </w:rPr>
        <w:t xml:space="preserve"> shall be provided in the original language in which such data was generated, provided that, if such original language is not English, then the Party supplying such data shall also provide English translations thereof and the expense for such English translations shall be borne by the receiving Party. The Parties will cooperate and reasonably agree upon formats and procedures to facilitate the orderly and efficient exchange of such Know-How.</w:t>
      </w:r>
    </w:p>
    <w:p>
      <w:pPr>
        <w:spacing w:after="0" w:line="60" w:lineRule="exact"/>
        <w:rPr>
          <w:sz w:val="20"/>
          <w:szCs w:val="20"/>
          <w:color w:val="auto"/>
        </w:rPr>
      </w:pPr>
    </w:p>
    <w:p>
      <w:pPr>
        <w:ind w:left="440" w:right="40" w:firstLine="423"/>
        <w:spacing w:after="0" w:line="277" w:lineRule="auto"/>
        <w:rPr>
          <w:sz w:val="20"/>
          <w:szCs w:val="20"/>
          <w:color w:val="auto"/>
        </w:rPr>
      </w:pPr>
      <w:r>
        <w:rPr>
          <w:rFonts w:ascii="Arial" w:cs="Arial" w:eastAsia="Arial" w:hAnsi="Arial"/>
          <w:sz w:val="17"/>
          <w:szCs w:val="17"/>
          <w:b w:val="1"/>
          <w:bCs w:val="1"/>
          <w:color w:val="auto"/>
        </w:rPr>
        <w:t>4.3.4. Personnel</w:t>
      </w:r>
      <w:r>
        <w:rPr>
          <w:rFonts w:ascii="Arial" w:cs="Arial" w:eastAsia="Arial" w:hAnsi="Arial"/>
          <w:sz w:val="17"/>
          <w:szCs w:val="17"/>
          <w:color w:val="auto"/>
        </w:rPr>
        <w:t>. Each Party may request, through the JSC with respect to a Licensed Drug Candidate and Licensed Product, that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 reasonably make available for consultation regarding the Development of such Licensed Drug Candidate and Licensed Product certain of its employees engaged in Development activities with respect to such Licensed Drug Candidate and Licensed Product. The JSC shall reasonably coordinate, upon reasonable notice during normal business hours and at their respective places of employment, consultation between the Parties on the progress of the Development for such Licensed Drug Candidate and Licensed Product.</w:t>
      </w:r>
    </w:p>
    <w:p>
      <w:pPr>
        <w:spacing w:after="0" w:line="60" w:lineRule="exact"/>
        <w:rPr>
          <w:sz w:val="20"/>
          <w:szCs w:val="20"/>
          <w:color w:val="auto"/>
        </w:rPr>
      </w:pPr>
    </w:p>
    <w:p>
      <w:pPr>
        <w:ind w:left="440" w:right="400" w:firstLine="423"/>
        <w:spacing w:after="0" w:line="312" w:lineRule="auto"/>
        <w:rPr>
          <w:sz w:val="20"/>
          <w:szCs w:val="20"/>
          <w:color w:val="auto"/>
        </w:rPr>
      </w:pPr>
      <w:r>
        <w:rPr>
          <w:rFonts w:ascii="Arial" w:cs="Arial" w:eastAsia="Arial" w:hAnsi="Arial"/>
          <w:sz w:val="17"/>
          <w:szCs w:val="17"/>
          <w:b w:val="1"/>
          <w:bCs w:val="1"/>
          <w:color w:val="auto"/>
        </w:rPr>
        <w:t>4.3.5. Confidentiality</w:t>
      </w:r>
      <w:r>
        <w:rPr>
          <w:rFonts w:ascii="Arial" w:cs="Arial" w:eastAsia="Arial" w:hAnsi="Arial"/>
          <w:sz w:val="17"/>
          <w:szCs w:val="17"/>
          <w:color w:val="auto"/>
        </w:rPr>
        <w:t>. All information exchanged by the Parties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deemed to be Confidential Information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disclosing Party and maintained in accordance with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(Confidentiality and Publication) of this Agreement.</w:t>
      </w:r>
    </w:p>
    <w:p>
      <w:pPr>
        <w:spacing w:after="0" w:line="14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b w:val="1"/>
          <w:bCs w:val="1"/>
          <w:u w:val="single" w:color="auto"/>
          <w:color w:val="auto"/>
        </w:rPr>
        <w:t>Third Parties</w:t>
      </w:r>
      <w:r>
        <w:rPr>
          <w:rFonts w:ascii="Arial" w:cs="Arial" w:eastAsia="Arial" w:hAnsi="Arial"/>
          <w:sz w:val="17"/>
          <w:szCs w:val="17"/>
          <w:color w:val="auto"/>
        </w:rPr>
        <w:t>. The Parties shall be entitled to utilize the services of Third Parties to perform their respective Development activities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each Party shall require that such Third Party operate in a manner consistent with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(b) each Party shall remain at all times fully liable for its respective responsibilities and the acts and omissions of such Third Parties engaged by it under this Agreement, and (c) with respect to any Development related to any Licensed Drug Candidate or Licensed Product, the Parties shall make reasonable efforts to share, through the JSC, information regarding any prior experience with specific Third Parties that are anticipated to be engaged to perform work under the applicable Global Development Plan. Each Party shall require that any Third Party agreement entered into pursuant to this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include confidentiality and non-use provisions that are, in the aggregate, not materially less stringent than those set forth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(Confidentiality and Publication); provided that, with respect to any academic institution, clinical trial sites, investigators, the duration for the obligation of confidentiality and non-use provided in an agreement with such academic institution, clinical trial sites, investigators or may be less than the duration for the obligation of confidentiality and non-use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3" w:right="459" w:bottom="1440" w:gutter="0" w:footer="0" w:header="0"/>
        </w:sectPr>
      </w:pPr>
    </w:p>
    <w:bookmarkStart w:id="586" w:name="page587"/>
    <w:bookmarkEnd w:id="586"/>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this Agreement so long as such agreement specifies a duration for the obligation of confidentiality and non-use of at least [***] from the expiration or termination date of such agreement. Each Party shall use Commercially Reasonable Efforts to obtain ownership of, but if unable to obtain ownership, the relevant Party shall at least obtain a perpetual, irrevocable, fully-paid, worldwide, fully sublicensable (through multiple tiers) license under and to, any Know-How and Patent Rights that are developed by such Third Party in the performance of such agreement and are reasonably necessary or useful to Develop, Manufacture, have Manufactured or Commercialize Licensed Drug Candidates and Licensed Products in the Field (which license shall be exclusive (even as to such Third Party) with respect to any Licensed Drug Candidate and Licensed Product but not with respect to such Third Party’s background technology and improvements thereof). The Party utilizing the services of a Third Party service provider shall be solely responsible for direction of and communications with such Third Party, but such Party shall provide the other Party with reasonably detailed updates regarding any such activities from time to time. For the sake of clarity, (a) in the event a Related Party of a Party is performing Development activities hereunder, such Related Party will not be considered a Third Party for purposes of this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and (b) academic institutions, clinical trial sites, investigators, CROs, Third Party Manufacturers or any other contractors engaged by a Party as described in this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are hereby deemed not to be Related Parties of such Party for purposes of this </w:t>
      </w:r>
      <w:r>
        <w:rPr>
          <w:rFonts w:ascii="Arial" w:cs="Arial" w:eastAsia="Arial" w:hAnsi="Arial"/>
          <w:sz w:val="17"/>
          <w:szCs w:val="17"/>
          <w:u w:val="single" w:color="auto"/>
          <w:color w:val="auto"/>
        </w:rPr>
        <w:t>Section 4.4</w:t>
      </w:r>
      <w:r>
        <w:rPr>
          <w:rFonts w:ascii="Arial" w:cs="Arial" w:eastAsia="Arial" w:hAnsi="Arial"/>
          <w:sz w:val="17"/>
          <w:szCs w:val="17"/>
          <w:color w:val="auto"/>
        </w:rPr>
        <w:t>.</w:t>
      </w:r>
    </w:p>
    <w:p>
      <w:pPr>
        <w:spacing w:after="0" w:line="175"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b w:val="1"/>
          <w:bCs w:val="1"/>
          <w:color w:val="auto"/>
        </w:rPr>
        <w:t xml:space="preserve">4.5. </w:t>
      </w:r>
      <w:r>
        <w:rPr>
          <w:rFonts w:ascii="Arial" w:cs="Arial" w:eastAsia="Arial" w:hAnsi="Arial"/>
          <w:sz w:val="17"/>
          <w:szCs w:val="17"/>
          <w:b w:val="1"/>
          <w:bCs w:val="1"/>
          <w:u w:val="single" w:color="auto"/>
          <w:color w:val="auto"/>
        </w:rPr>
        <w:t>Investigator Sponsored Clinical Studies</w:t>
      </w:r>
      <w:r>
        <w:rPr>
          <w:rFonts w:ascii="Arial" w:cs="Arial" w:eastAsia="Arial" w:hAnsi="Arial"/>
          <w:sz w:val="17"/>
          <w:szCs w:val="17"/>
          <w:b w:val="1"/>
          <w:bCs w:val="1"/>
          <w:color w:val="auto"/>
        </w:rPr>
        <w:t xml:space="preserve">. </w:t>
      </w:r>
      <w:r>
        <w:rPr>
          <w:rFonts w:ascii="Arial" w:cs="Arial" w:eastAsia="Arial" w:hAnsi="Arial"/>
          <w:sz w:val="17"/>
          <w:szCs w:val="17"/>
          <w:color w:val="auto"/>
        </w:rPr>
        <w:t>Ono shall have the right to authorize the protocol for each Investigator Sponsored Clinical Study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the Ono Territory and support such Investigator Sponsored Clinical Study at Ono’s own discretion,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Ono agrees to inform Repare of all such Investigator Sponsored Clinical Study(ies) in a timely manner and each proposal shall be subject to review and comment by the JSC. Repare shall have the right to authorize the protocol for each Investigator Sponsored Clinical Study in the Repare Territory and support such Clinical Study at Repare’s own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Repare agrees to inform Ono of all such Investigator Sponsored Clinical Study(ies) in a timely manner and each proposal shall be subject to review and comment by the JSC. If Ono or one of its Related Parties wishes to authorize or support an Investigator Sponsored Clinical Study in an indication that is not included within the applicable Global Development Plan, the Parties shall employ the processes described in clauses (i) and (ii) in </w:t>
      </w:r>
      <w:r>
        <w:rPr>
          <w:rFonts w:ascii="Arial" w:cs="Arial" w:eastAsia="Arial" w:hAnsi="Arial"/>
          <w:sz w:val="17"/>
          <w:szCs w:val="17"/>
          <w:u w:val="single" w:color="auto"/>
          <w:color w:val="auto"/>
        </w:rPr>
        <w:t>Section 4.1.3.2</w:t>
      </w:r>
      <w:r>
        <w:rPr>
          <w:rFonts w:ascii="Arial" w:cs="Arial" w:eastAsia="Arial" w:hAnsi="Arial"/>
          <w:sz w:val="17"/>
          <w:szCs w:val="17"/>
          <w:color w:val="auto"/>
        </w:rPr>
        <w:t xml:space="preserve"> (Independent Clinical Studies) as if such proposed Investigator Sponsored Clinical Trial were a proposed Independent Clinical Study and such authorization or support will be permitted only if, based on the results of such process, Ono would have been permitted to conduct such Investigator Sponsored Clinical Trial as an Independent Clinical Study. Neither Party shall authorize or support an Investigator Sponsored Clinical Study in the other Party’s Territory without such other Party’s prior written consent, which consent may be granted or withheld in the sole discretion of the other Party.</w:t>
      </w:r>
    </w:p>
    <w:p>
      <w:pPr>
        <w:spacing w:after="0" w:line="287" w:lineRule="exact"/>
        <w:rPr>
          <w:sz w:val="20"/>
          <w:szCs w:val="20"/>
          <w:color w:val="auto"/>
        </w:rPr>
      </w:pPr>
    </w:p>
    <w:p>
      <w:pPr>
        <w:ind w:left="444" w:right="8620" w:hanging="444"/>
        <w:spacing w:after="0" w:line="397" w:lineRule="auto"/>
        <w:tabs>
          <w:tab w:leader="none" w:pos="184" w:val="left"/>
        </w:tabs>
        <w:numPr>
          <w:ilvl w:val="0"/>
          <w:numId w:val="37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REGULATORY MATTERS 5.1. </w:t>
      </w:r>
      <w:r>
        <w:rPr>
          <w:rFonts w:ascii="Arial" w:cs="Arial" w:eastAsia="Arial" w:hAnsi="Arial"/>
          <w:sz w:val="17"/>
          <w:szCs w:val="17"/>
          <w:b w:val="1"/>
          <w:bCs w:val="1"/>
          <w:u w:val="single" w:color="auto"/>
          <w:color w:val="auto"/>
        </w:rPr>
        <w:t>Licensed Products</w:t>
      </w:r>
      <w:r>
        <w:rPr>
          <w:rFonts w:ascii="Arial" w:cs="Arial" w:eastAsia="Arial" w:hAnsi="Arial"/>
          <w:sz w:val="17"/>
          <w:szCs w:val="17"/>
          <w:color w:val="auto"/>
        </w:rPr>
        <w:t>.</w:t>
      </w:r>
    </w:p>
    <w:p>
      <w:pPr>
        <w:spacing w:after="0" w:line="1" w:lineRule="exact"/>
        <w:rPr>
          <w:rFonts w:ascii="Arial" w:cs="Arial" w:eastAsia="Arial" w:hAnsi="Arial"/>
          <w:sz w:val="17"/>
          <w:szCs w:val="17"/>
          <w:b w:val="1"/>
          <w:bCs w:val="1"/>
          <w:color w:val="auto"/>
        </w:rPr>
      </w:pPr>
    </w:p>
    <w:p>
      <w:pPr>
        <w:ind w:left="864"/>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5.1.1. Ownership of Regulatory Filings</w:t>
      </w:r>
      <w:r>
        <w:rPr>
          <w:rFonts w:ascii="Arial" w:cs="Arial" w:eastAsia="Arial" w:hAnsi="Arial"/>
          <w:sz w:val="18"/>
          <w:szCs w:val="18"/>
          <w:color w:val="auto"/>
        </w:rPr>
        <w:t>.</w:t>
      </w:r>
    </w:p>
    <w:p>
      <w:pPr>
        <w:spacing w:after="0" w:line="117" w:lineRule="exact"/>
        <w:rPr>
          <w:sz w:val="20"/>
          <w:szCs w:val="20"/>
          <w:color w:val="auto"/>
        </w:rPr>
      </w:pPr>
    </w:p>
    <w:p>
      <w:pPr>
        <w:ind w:left="984" w:right="500" w:firstLine="401"/>
        <w:spacing w:after="0" w:line="282" w:lineRule="auto"/>
        <w:rPr>
          <w:sz w:val="20"/>
          <w:szCs w:val="20"/>
          <w:color w:val="auto"/>
        </w:rPr>
      </w:pPr>
      <w:r>
        <w:rPr>
          <w:rFonts w:ascii="Arial" w:cs="Arial" w:eastAsia="Arial" w:hAnsi="Arial"/>
          <w:sz w:val="18"/>
          <w:szCs w:val="18"/>
          <w:b w:val="1"/>
          <w:bCs w:val="1"/>
          <w:color w:val="auto"/>
        </w:rPr>
        <w:t xml:space="preserve">5.1.1.1. </w:t>
      </w:r>
      <w:r>
        <w:rPr>
          <w:rFonts w:ascii="Arial" w:cs="Arial" w:eastAsia="Arial" w:hAnsi="Arial"/>
          <w:sz w:val="18"/>
          <w:szCs w:val="18"/>
          <w:u w:val="single" w:color="auto"/>
          <w:color w:val="auto"/>
        </w:rPr>
        <w:t>Repare Territory</w:t>
      </w:r>
      <w:r>
        <w:rPr>
          <w:rFonts w:ascii="Arial" w:cs="Arial" w:eastAsia="Arial" w:hAnsi="Arial"/>
          <w:sz w:val="18"/>
          <w:szCs w:val="18"/>
          <w:color w:val="auto"/>
        </w:rPr>
        <w:t>. Repare will own all INDs, NDAs and related regulatory documentation submitted to any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in the Repare Territory with respect to any Licensed Drug Candidate and Licensed Product.</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4"/>
          </w:cols>
          <w:pgMar w:left="436" w:top="273" w:right="479" w:bottom="1440" w:gutter="0" w:footer="0" w:header="0"/>
        </w:sectPr>
      </w:pPr>
    </w:p>
    <w:bookmarkStart w:id="587" w:name="page588"/>
    <w:bookmarkEnd w:id="587"/>
    <w:p>
      <w:pPr>
        <w:ind w:left="120" w:firstLine="40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5.1.1.2. </w:t>
      </w:r>
      <w:r>
        <w:rPr>
          <w:rFonts w:ascii="Arial" w:cs="Arial" w:eastAsia="Arial" w:hAnsi="Arial"/>
          <w:sz w:val="18"/>
          <w:szCs w:val="18"/>
          <w:u w:val="single" w:color="auto"/>
          <w:color w:val="auto"/>
        </w:rPr>
        <w:t>Ono Territory</w:t>
      </w:r>
      <w:r>
        <w:rPr>
          <w:rFonts w:ascii="Arial" w:cs="Arial" w:eastAsia="Arial" w:hAnsi="Arial"/>
          <w:sz w:val="18"/>
          <w:szCs w:val="18"/>
          <w:color w:val="auto"/>
        </w:rPr>
        <w:t>. Ono will own all INDs, NDAs and related regulatory documentation submitted to any Regulatory Authority in</w:t>
      </w:r>
      <w:r>
        <w:rPr>
          <w:rFonts w:ascii="Arial" w:cs="Arial" w:eastAsia="Arial" w:hAnsi="Arial"/>
          <w:sz w:val="18"/>
          <w:szCs w:val="18"/>
          <w:b w:val="1"/>
          <w:bCs w:val="1"/>
          <w:color w:val="auto"/>
        </w:rPr>
        <w:t xml:space="preserve"> </w:t>
      </w:r>
      <w:r>
        <w:rPr>
          <w:rFonts w:ascii="Arial" w:cs="Arial" w:eastAsia="Arial" w:hAnsi="Arial"/>
          <w:sz w:val="18"/>
          <w:szCs w:val="18"/>
          <w:color w:val="auto"/>
        </w:rPr>
        <w:t>the Ono Territory with respect to any Licensed Drug Candidate and Licensed Product.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5.1.2. Responsibility for Regulatory Matters</w:t>
      </w:r>
      <w:r>
        <w:rPr>
          <w:rFonts w:ascii="Arial" w:cs="Arial" w:eastAsia="Arial" w:hAnsi="Arial"/>
          <w:sz w:val="18"/>
          <w:szCs w:val="18"/>
          <w:color w:val="auto"/>
        </w:rPr>
        <w:t>.</w:t>
      </w:r>
    </w:p>
    <w:p>
      <w:pPr>
        <w:spacing w:after="0" w:line="117" w:lineRule="exact"/>
        <w:rPr>
          <w:sz w:val="20"/>
          <w:szCs w:val="20"/>
          <w:color w:val="auto"/>
        </w:rPr>
      </w:pPr>
    </w:p>
    <w:p>
      <w:pPr>
        <w:ind w:left="120" w:firstLine="401"/>
        <w:spacing w:after="0" w:line="289" w:lineRule="auto"/>
        <w:rPr>
          <w:sz w:val="20"/>
          <w:szCs w:val="20"/>
          <w:color w:val="auto"/>
        </w:rPr>
      </w:pPr>
      <w:r>
        <w:rPr>
          <w:rFonts w:ascii="Arial" w:cs="Arial" w:eastAsia="Arial" w:hAnsi="Arial"/>
          <w:sz w:val="16"/>
          <w:szCs w:val="16"/>
          <w:b w:val="1"/>
          <w:bCs w:val="1"/>
          <w:color w:val="auto"/>
        </w:rPr>
        <w:t xml:space="preserve">5.1.2.1. </w:t>
      </w:r>
      <w:r>
        <w:rPr>
          <w:rFonts w:ascii="Arial" w:cs="Arial" w:eastAsia="Arial" w:hAnsi="Arial"/>
          <w:sz w:val="16"/>
          <w:szCs w:val="16"/>
          <w:u w:val="single" w:color="auto"/>
          <w:color w:val="auto"/>
        </w:rPr>
        <w:t>Repare Territory</w:t>
      </w:r>
      <w:r>
        <w:rPr>
          <w:rFonts w:ascii="Arial" w:cs="Arial" w:eastAsia="Arial" w:hAnsi="Arial"/>
          <w:sz w:val="16"/>
          <w:szCs w:val="16"/>
          <w:color w:val="auto"/>
        </w:rPr>
        <w:t>. Repare will be solely responsible for all regulatory matters relating to such Licensed Drug Candidate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Licensed Product in the Repare Territory, including (i) overseeing, monitoring and coordinating all regulatory actions, communications and filings with, and submissions to, each Regulatory Authority in the Repare Territory with respect to Licensed Drug Candidates and Licensed Products; (ii) interfacing, corresponding and meeting with each Regulatory Authority in the Repare Territory with respect to Licensed Drug Candidates and Licensed Products; (iii) seeking and maintaining all regulatory filings in the Repare Territory with respect to Licensed Drug Candidates and Licensed Products; and (iv) maintaining and submitting all records required to be maintained or required to be submitted to any Regulatory Authority in the Repare Territory with respect to Licensed Drug Candidates and Licensed Products. Ono shall use reasonable efforts to provide reasonable assistance to Repare in connection with Repare’s activities under this </w:t>
      </w:r>
      <w:r>
        <w:rPr>
          <w:rFonts w:ascii="Arial" w:cs="Arial" w:eastAsia="Arial" w:hAnsi="Arial"/>
          <w:sz w:val="16"/>
          <w:szCs w:val="16"/>
          <w:u w:val="single" w:color="auto"/>
          <w:color w:val="auto"/>
        </w:rPr>
        <w:t>Section 5.1.2.1</w:t>
      </w:r>
      <w:r>
        <w:rPr>
          <w:rFonts w:ascii="Arial" w:cs="Arial" w:eastAsia="Arial" w:hAnsi="Arial"/>
          <w:sz w:val="16"/>
          <w:szCs w:val="16"/>
          <w:color w:val="auto"/>
        </w:rPr>
        <w:t xml:space="preserve"> with respect to each Licensed Drug Candidate or Licensed Product in the Field in the Repare Territory at Repare’s sole cost and expense.</w:t>
      </w:r>
    </w:p>
    <w:p>
      <w:pPr>
        <w:spacing w:after="0" w:line="58" w:lineRule="exact"/>
        <w:rPr>
          <w:sz w:val="20"/>
          <w:szCs w:val="20"/>
          <w:color w:val="auto"/>
        </w:rPr>
      </w:pPr>
    </w:p>
    <w:p>
      <w:pPr>
        <w:ind w:left="120" w:right="140" w:firstLine="401"/>
        <w:spacing w:after="0" w:line="289" w:lineRule="auto"/>
        <w:rPr>
          <w:sz w:val="20"/>
          <w:szCs w:val="20"/>
          <w:color w:val="auto"/>
        </w:rPr>
      </w:pPr>
      <w:r>
        <w:rPr>
          <w:rFonts w:ascii="Arial" w:cs="Arial" w:eastAsia="Arial" w:hAnsi="Arial"/>
          <w:sz w:val="16"/>
          <w:szCs w:val="16"/>
          <w:b w:val="1"/>
          <w:bCs w:val="1"/>
          <w:color w:val="auto"/>
        </w:rPr>
        <w:t xml:space="preserve">5.1.2.2. </w:t>
      </w:r>
      <w:r>
        <w:rPr>
          <w:rFonts w:ascii="Arial" w:cs="Arial" w:eastAsia="Arial" w:hAnsi="Arial"/>
          <w:sz w:val="16"/>
          <w:szCs w:val="16"/>
          <w:u w:val="single" w:color="auto"/>
          <w:color w:val="auto"/>
        </w:rPr>
        <w:t>Ono Territory</w:t>
      </w:r>
      <w:r>
        <w:rPr>
          <w:rFonts w:ascii="Arial" w:cs="Arial" w:eastAsia="Arial" w:hAnsi="Arial"/>
          <w:sz w:val="16"/>
          <w:szCs w:val="16"/>
          <w:color w:val="auto"/>
        </w:rPr>
        <w:t>. Except as otherwise provided in the Global Development Plan, Ono will be solely responsible for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regulatory matters (other than Manufacturing-related matters) relating to any Licensed Drug Candidate and Licensed Product in the Ono Territory, including (i) overseeing, monitoring and coordinating all regulatory actions, communications and filings with, and submissions to, each Regulatory Authority in the Ono Territory with respect to Licensed Drug Candidates and Licensed Products; (ii) interfacing, corresponding and meeting with each Regulatory Authority in the Ono Territory with respect to Licensed Drug Candidates and Licensed Products; (iii) seeking and maintaining all regulatory filings in the Ono Territory with respect to Licensed Drug Candidates and Licensed Products; and (iv) maintaining and submitting all records required to be maintained or required to be submitted to any Regulatory Authority in the Ono Territory with respect to Licensed Drug Candidates and Licensed Products. Repare shall use reasonable efforts to provide reasonable assistance to Ono in connection with Ono’s activities under this </w:t>
      </w:r>
      <w:r>
        <w:rPr>
          <w:rFonts w:ascii="Arial" w:cs="Arial" w:eastAsia="Arial" w:hAnsi="Arial"/>
          <w:sz w:val="16"/>
          <w:szCs w:val="16"/>
          <w:u w:val="single" w:color="auto"/>
          <w:color w:val="auto"/>
        </w:rPr>
        <w:t>Section 5.1.2.2</w:t>
      </w:r>
      <w:r>
        <w:rPr>
          <w:rFonts w:ascii="Arial" w:cs="Arial" w:eastAsia="Arial" w:hAnsi="Arial"/>
          <w:sz w:val="16"/>
          <w:szCs w:val="16"/>
          <w:color w:val="auto"/>
        </w:rPr>
        <w:t xml:space="preserve"> with respect to each Licensed Drug Candidate or Licensed Product in the Field in the Ono Territory at Ono’s sole cost and expense.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5.1.3. Communications with Regulatory Authorities</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5.1.3.1. </w:t>
      </w:r>
      <w:r>
        <w:rPr>
          <w:rFonts w:ascii="Arial" w:cs="Arial" w:eastAsia="Arial" w:hAnsi="Arial"/>
          <w:sz w:val="18"/>
          <w:szCs w:val="18"/>
          <w:color w:val="auto"/>
        </w:rPr>
        <w:t>Material Communications.</w:t>
      </w:r>
    </w:p>
    <w:p>
      <w:pPr>
        <w:spacing w:after="0" w:line="121" w:lineRule="exact"/>
        <w:rPr>
          <w:sz w:val="20"/>
          <w:szCs w:val="20"/>
          <w:color w:val="auto"/>
        </w:rPr>
      </w:pPr>
    </w:p>
    <w:p>
      <w:pPr>
        <w:ind w:left="560" w:right="280" w:firstLine="391"/>
        <w:spacing w:after="0" w:line="259" w:lineRule="auto"/>
        <w:tabs>
          <w:tab w:leader="none" w:pos="1188" w:val="left"/>
        </w:tabs>
        <w:numPr>
          <w:ilvl w:val="0"/>
          <w:numId w:val="372"/>
        </w:numPr>
        <w:rPr>
          <w:rFonts w:ascii="Arial" w:cs="Arial" w:eastAsia="Arial" w:hAnsi="Arial"/>
          <w:sz w:val="18"/>
          <w:szCs w:val="18"/>
          <w:color w:val="auto"/>
        </w:rPr>
      </w:pPr>
      <w:r>
        <w:rPr>
          <w:rFonts w:ascii="Arial" w:cs="Arial" w:eastAsia="Arial" w:hAnsi="Arial"/>
          <w:sz w:val="18"/>
          <w:szCs w:val="18"/>
          <w:color w:val="auto"/>
        </w:rPr>
        <w:t>With respect to any Licensed Drug Candidate or Licensed Product, the Party who received the Material Communication (the “</w:t>
      </w:r>
      <w:r>
        <w:rPr>
          <w:rFonts w:ascii="Arial" w:cs="Arial" w:eastAsia="Arial" w:hAnsi="Arial"/>
          <w:sz w:val="18"/>
          <w:szCs w:val="18"/>
          <w:b w:val="1"/>
          <w:bCs w:val="1"/>
          <w:color w:val="auto"/>
        </w:rPr>
        <w:t>Noticing Party</w:t>
      </w:r>
      <w:r>
        <w:rPr>
          <w:rFonts w:ascii="Arial" w:cs="Arial" w:eastAsia="Arial" w:hAnsi="Arial"/>
          <w:sz w:val="18"/>
          <w:szCs w:val="18"/>
          <w:color w:val="auto"/>
        </w:rPr>
        <w:t>”) will provide the other Party (the “</w:t>
      </w:r>
      <w:r>
        <w:rPr>
          <w:rFonts w:ascii="Arial" w:cs="Arial" w:eastAsia="Arial" w:hAnsi="Arial"/>
          <w:sz w:val="18"/>
          <w:szCs w:val="18"/>
          <w:b w:val="1"/>
          <w:bCs w:val="1"/>
          <w:color w:val="auto"/>
        </w:rPr>
        <w:t>Noticed Party</w:t>
      </w:r>
      <w:r>
        <w:rPr>
          <w:rFonts w:ascii="Arial" w:cs="Arial" w:eastAsia="Arial" w:hAnsi="Arial"/>
          <w:sz w:val="18"/>
          <w:szCs w:val="18"/>
          <w:color w:val="auto"/>
        </w:rPr>
        <w:t>”), with a brief written description in English, of the principal issues raised in such Material Communication with such Regulatory Authority; provided that Repare shall only provide such notice with respect to Material Communications received</w:t>
      </w:r>
    </w:p>
    <w:p>
      <w:pPr>
        <w:spacing w:after="0" w:line="1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140"/>
          </w:cols>
          <w:pgMar w:left="1300" w:top="269" w:right="459" w:bottom="1440" w:gutter="0" w:footer="0" w:header="0"/>
        </w:sectPr>
      </w:pPr>
    </w:p>
    <w:bookmarkStart w:id="588" w:name="page589"/>
    <w:bookmarkEnd w:id="588"/>
    <w:p>
      <w:pPr>
        <w:ind w:left="980" w:right="2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the FDA or EMA and Ono shall only provide such notice with respect to Material Communications received from PMDA. Upon the Noticed Party’s reasonable request after receiving a notice from the Noticing Party in accordance with the immediately preceding sentence, the Noticing Party will provide to the Noticed Party complete copies of correspondence of relating to such Material Communication in original language without translation within a reasonable period of time following such request. Ono will allow Repare a reasonable opportunity to review and comment on Ono’s proposed response to any Material Communications with PMDA with respect to any Licensed Product, and Ono will reasonably consider all comments timely provided by Repare in connection therewith; provided, that Ono may designate a reasonable time and date by which Repare must respond to a Material Communication by the PMDA in light of the requirements of the PMDA.</w:t>
      </w:r>
    </w:p>
    <w:p>
      <w:pPr>
        <w:spacing w:after="0" w:line="70" w:lineRule="exact"/>
        <w:rPr>
          <w:sz w:val="20"/>
          <w:szCs w:val="20"/>
          <w:color w:val="auto"/>
        </w:rPr>
      </w:pPr>
    </w:p>
    <w:p>
      <w:pPr>
        <w:ind w:left="980" w:right="60" w:firstLine="391"/>
        <w:spacing w:after="0" w:line="273" w:lineRule="auto"/>
        <w:tabs>
          <w:tab w:leader="none" w:pos="1618" w:val="left"/>
        </w:tabs>
        <w:numPr>
          <w:ilvl w:val="0"/>
          <w:numId w:val="373"/>
        </w:numPr>
        <w:rPr>
          <w:rFonts w:ascii="Arial" w:cs="Arial" w:eastAsia="Arial" w:hAnsi="Arial"/>
          <w:sz w:val="17"/>
          <w:szCs w:val="17"/>
          <w:color w:val="auto"/>
        </w:rPr>
      </w:pPr>
      <w:r>
        <w:rPr>
          <w:rFonts w:ascii="Arial" w:cs="Arial" w:eastAsia="Arial" w:hAnsi="Arial"/>
          <w:sz w:val="17"/>
          <w:szCs w:val="17"/>
          <w:color w:val="auto"/>
        </w:rPr>
        <w:t xml:space="preserve">Initial notice of a Material Communication under </w:t>
      </w:r>
      <w:r>
        <w:rPr>
          <w:rFonts w:ascii="Arial" w:cs="Arial" w:eastAsia="Arial" w:hAnsi="Arial"/>
          <w:sz w:val="17"/>
          <w:szCs w:val="17"/>
          <w:u w:val="single" w:color="auto"/>
          <w:color w:val="auto"/>
        </w:rPr>
        <w:t>Section 5.1.3.1(a)</w:t>
      </w:r>
      <w:r>
        <w:rPr>
          <w:rFonts w:ascii="Arial" w:cs="Arial" w:eastAsia="Arial" w:hAnsi="Arial"/>
          <w:sz w:val="17"/>
          <w:szCs w:val="17"/>
          <w:color w:val="auto"/>
        </w:rPr>
        <w:t xml:space="preserve"> shall be provided by the Noticing Party to the Noticed Party within [***] of receipt of such Material Communication; provided that any Material Communications from a Regulatory Authority related to a Clinical Study hold or potential Clinical Study hold for safety reasons or for a potential withdrawal from the market for a safety issue or a report of a serious safety finding by a Regulatory Authority, shall be provided within [***] of receipt and Noticing Party will provide Noticed Party, through its Liaison, with a brief written description in English, of the principal issues raised in such Material Communication with the Regulatory Authority.</w:t>
      </w:r>
    </w:p>
    <w:p>
      <w:pPr>
        <w:spacing w:after="0" w:line="66" w:lineRule="exact"/>
        <w:rPr>
          <w:sz w:val="20"/>
          <w:szCs w:val="20"/>
          <w:color w:val="auto"/>
        </w:rPr>
      </w:pPr>
    </w:p>
    <w:p>
      <w:pPr>
        <w:ind w:left="540" w:firstLine="401"/>
        <w:spacing w:after="0" w:line="269" w:lineRule="auto"/>
        <w:rPr>
          <w:sz w:val="20"/>
          <w:szCs w:val="20"/>
          <w:color w:val="auto"/>
        </w:rPr>
      </w:pPr>
      <w:r>
        <w:rPr>
          <w:rFonts w:ascii="Arial" w:cs="Arial" w:eastAsia="Arial" w:hAnsi="Arial"/>
          <w:sz w:val="17"/>
          <w:szCs w:val="17"/>
          <w:b w:val="1"/>
          <w:bCs w:val="1"/>
          <w:color w:val="auto"/>
        </w:rPr>
        <w:t xml:space="preserve">5.1.3.2. Labeling, Regulatory Materials. </w:t>
      </w:r>
      <w:r>
        <w:rPr>
          <w:rFonts w:ascii="Arial" w:cs="Arial" w:eastAsia="Arial" w:hAnsi="Arial"/>
          <w:sz w:val="17"/>
          <w:szCs w:val="17"/>
          <w:color w:val="auto"/>
        </w:rPr>
        <w:t>Without limiting the obligations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5.1.3.1</w:t>
      </w:r>
      <w:r>
        <w:rPr>
          <w:rFonts w:ascii="Arial" w:cs="Arial" w:eastAsia="Arial" w:hAnsi="Arial"/>
          <w:sz w:val="17"/>
          <w:szCs w:val="17"/>
          <w:color w:val="auto"/>
        </w:rPr>
        <w:t>, Ono shall provide to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cause its Related Parties to provide Repare with (a) a copy of each NDA to be filed in the Ono Territory, in electronic format, provided that in cases where the NDA was not filed electronically, Ono shall provide and shall cause its Related Parties to provide the electronic files used to generate such NDA, and (b) copies of the final labeling for the Licensed Product in the local language in all countries in the Ono Territory in which Ono or its Related Parties obtain Regulatory Approvals. Repare shall provide and shall cause its Related Parties to provide Ono with (a) a copy of each NDA filed in the Major Market Countries in the Repare Territory by Repare or its Related Party with the FDA and the EMA, in each case in electronic format, provided that in cases where the NDA was not filed electronically, Repare shall provide and shall cause its Related Parties to provide the electronic files used to generate such submission and (b) copies of the final labeling for the Licensed Product in the local language in all countries in the Repare Territory in which Repare or its Related Parties obtain Regulatory Approvals. Repare further shall, and shall use reasonable efforts to cause its Related Parties to, provide Ono with the Cost-effectiveness model and Budget Impact model, based on which the Health Technology Assessment (HTA) dossier for National Health Insurance Listing Price is made and filed in HTA countries such as UK.</w:t>
      </w:r>
    </w:p>
    <w:p>
      <w:pPr>
        <w:spacing w:after="0" w:line="71" w:lineRule="exact"/>
        <w:rPr>
          <w:sz w:val="20"/>
          <w:szCs w:val="20"/>
          <w:color w:val="auto"/>
        </w:rPr>
      </w:pPr>
    </w:p>
    <w:p>
      <w:pPr>
        <w:ind w:right="80" w:firstLine="423"/>
        <w:spacing w:after="0" w:line="266" w:lineRule="auto"/>
        <w:rPr>
          <w:sz w:val="20"/>
          <w:szCs w:val="20"/>
          <w:color w:val="auto"/>
        </w:rPr>
      </w:pPr>
      <w:r>
        <w:rPr>
          <w:rFonts w:ascii="Arial" w:cs="Arial" w:eastAsia="Arial" w:hAnsi="Arial"/>
          <w:sz w:val="18"/>
          <w:szCs w:val="18"/>
          <w:b w:val="1"/>
          <w:bCs w:val="1"/>
          <w:color w:val="auto"/>
        </w:rPr>
        <w:t>5.1.4. Meetings with Regulatory Authorities</w:t>
      </w:r>
      <w:r>
        <w:rPr>
          <w:rFonts w:ascii="Arial" w:cs="Arial" w:eastAsia="Arial" w:hAnsi="Arial"/>
          <w:sz w:val="18"/>
          <w:szCs w:val="18"/>
          <w:color w:val="auto"/>
        </w:rPr>
        <w:t>. Ono shall provide Repare with reasonable advance notice of all formal meetings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teleconferences with any Regulatory Authority pertaining to any Licensed Drug Candidate and Licensed Product, or with as much advance notice as practicable under the circumstances. Ono</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60"/>
          </w:cols>
          <w:pgMar w:left="880" w:top="273" w:right="459" w:bottom="1440" w:gutter="0" w:footer="0" w:header="0"/>
        </w:sectPr>
      </w:pPr>
    </w:p>
    <w:bookmarkStart w:id="589" w:name="page590"/>
    <w:bookmarkEnd w:id="589"/>
    <w:p>
      <w:pPr>
        <w:ind w:left="44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shall use reasonable efforts, to the extent reasonably practicable, to permit Repare to have, at Repare’s expense, mutually acceptable representatives of Repare attend as observers, such formal meetings and teleconferences with such Regulatory Authority pertaining to such Licensed Drug Candidate and Licensed Product;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Ono shall not be obligated to change or re-schedule any such meeting in order to accommodate the schedule of Repare’s representatives.</w:t>
      </w:r>
    </w:p>
    <w:p>
      <w:pPr>
        <w:spacing w:after="0" w:line="75" w:lineRule="exact"/>
        <w:rPr>
          <w:sz w:val="20"/>
          <w:szCs w:val="20"/>
          <w:color w:val="auto"/>
        </w:rPr>
      </w:pPr>
    </w:p>
    <w:p>
      <w:pPr>
        <w:ind w:left="440" w:right="20" w:firstLine="423"/>
        <w:spacing w:after="0" w:line="281" w:lineRule="auto"/>
        <w:rPr>
          <w:sz w:val="20"/>
          <w:szCs w:val="20"/>
          <w:color w:val="auto"/>
        </w:rPr>
      </w:pPr>
      <w:r>
        <w:rPr>
          <w:rFonts w:ascii="Arial" w:cs="Arial" w:eastAsia="Arial" w:hAnsi="Arial"/>
          <w:sz w:val="17"/>
          <w:szCs w:val="17"/>
          <w:b w:val="1"/>
          <w:bCs w:val="1"/>
          <w:color w:val="auto"/>
        </w:rPr>
        <w:t>5.1.5. Submissions</w:t>
      </w:r>
      <w:r>
        <w:rPr>
          <w:rFonts w:ascii="Arial" w:cs="Arial" w:eastAsia="Arial" w:hAnsi="Arial"/>
          <w:sz w:val="17"/>
          <w:szCs w:val="17"/>
          <w:color w:val="auto"/>
        </w:rPr>
        <w:t>. Each Party shall provide the other Party through JSC with notice of the occurrence of each of the following events in</w:t>
      </w:r>
      <w:r>
        <w:rPr>
          <w:rFonts w:ascii="Arial" w:cs="Arial" w:eastAsia="Arial" w:hAnsi="Arial"/>
          <w:sz w:val="17"/>
          <w:szCs w:val="17"/>
          <w:b w:val="1"/>
          <w:bCs w:val="1"/>
          <w:color w:val="auto"/>
        </w:rPr>
        <w:t xml:space="preserve"> </w:t>
      </w:r>
      <w:r>
        <w:rPr>
          <w:rFonts w:ascii="Arial" w:cs="Arial" w:eastAsia="Arial" w:hAnsi="Arial"/>
          <w:sz w:val="17"/>
          <w:szCs w:val="17"/>
          <w:color w:val="auto"/>
        </w:rPr>
        <w:t>such Party’s Territory in a timely manner: (i) the submission for Regulatory Approval (including orphan drug applications and designations) of such Licensed Drug Candidate and Licensed Product to any Regulatory Authority in such Party’s Territory; and (ii) receipt or denial of Regulatory Approval for such Licensed Drug Candidate and Licensed Product in such Party’s Territory.</w:t>
      </w:r>
    </w:p>
    <w:p>
      <w:pPr>
        <w:spacing w:after="0" w:line="57" w:lineRule="exact"/>
        <w:rPr>
          <w:sz w:val="20"/>
          <w:szCs w:val="20"/>
          <w:color w:val="auto"/>
        </w:rPr>
      </w:pPr>
    </w:p>
    <w:p>
      <w:pPr>
        <w:ind w:left="440" w:firstLine="423"/>
        <w:spacing w:after="0" w:line="286" w:lineRule="auto"/>
        <w:rPr>
          <w:sz w:val="20"/>
          <w:szCs w:val="20"/>
          <w:color w:val="auto"/>
        </w:rPr>
      </w:pPr>
      <w:r>
        <w:rPr>
          <w:rFonts w:ascii="Arial" w:cs="Arial" w:eastAsia="Arial" w:hAnsi="Arial"/>
          <w:sz w:val="16"/>
          <w:szCs w:val="16"/>
          <w:b w:val="1"/>
          <w:bCs w:val="1"/>
          <w:color w:val="auto"/>
        </w:rPr>
        <w:t>5.1.6. Right of Reference</w:t>
      </w:r>
      <w:r>
        <w:rPr>
          <w:rFonts w:ascii="Arial" w:cs="Arial" w:eastAsia="Arial" w:hAnsi="Arial"/>
          <w:sz w:val="16"/>
          <w:szCs w:val="16"/>
          <w:color w:val="auto"/>
        </w:rPr>
        <w:t>. Each Party hereby grants to the other Party, and at the request of the other Party will grant to the other Party’s</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Parties, the right to rely upon and a right to copy, access, and otherwise use, all information and data (including all CMC information as well as data made, collected or otherwise generated in the conduct of any Clinical Studies or early access/named patient programs for the Licensed Drug Candidates and Licensed Products) included in or used in support of any regulatory filing, Regulatory Approval, drug master file or other Regulatory Material (including orphan drug applications and designations) owned or Controlled by such Party or its Related Parties that relates to any Licensed Drug Candidate or Licensed Product to the extent necessary or useful to obtain Regulatory Approval of a Licensed Drug Candidate or Licensed Product in the Ono Territory or the Repare Territory, and such Party shall, if requested by the other Party, provide a signed statement that the other Party may rely on, and the Regulatory Authority may access, in support of the other Party’s application for such Regulatory Approval in its Territory, any underlying raw data or information submitted by such Party and its Related Parties to the Regulatory Authority with respect to any regulatory filing, Regulatory Approval, drug master file or other Regulatory Materials owned or controlled by such Party or its Related Parties that relates to any Licensed Drug Candidate or Licensed Product. In addition, upon request of either Party (on behalf of itself or a Sublicensee), the other Party shall obtain and provide to the requesting Party certificates or other formal or official attestations concerning the regulatory status of the Licensed Drug Candidates and Licensed Products in the Ono Territory or the Repare Territory, as applicable (</w:t>
      </w:r>
      <w:r>
        <w:rPr>
          <w:rFonts w:ascii="Arial" w:cs="Arial" w:eastAsia="Arial" w:hAnsi="Arial"/>
          <w:sz w:val="16"/>
          <w:szCs w:val="16"/>
          <w:i w:val="1"/>
          <w:iCs w:val="1"/>
          <w:color w:val="auto"/>
        </w:rPr>
        <w:t>e.g.</w:t>
      </w:r>
      <w:r>
        <w:rPr>
          <w:rFonts w:ascii="Arial" w:cs="Arial" w:eastAsia="Arial" w:hAnsi="Arial"/>
          <w:sz w:val="16"/>
          <w:szCs w:val="16"/>
          <w:color w:val="auto"/>
        </w:rPr>
        <w:t>, Certificates of Free Sale, Certificates for Export, Certificates to Foreign Governments).</w:t>
      </w:r>
    </w:p>
    <w:p>
      <w:pPr>
        <w:spacing w:after="0" w:line="171" w:lineRule="exact"/>
        <w:rPr>
          <w:sz w:val="20"/>
          <w:szCs w:val="20"/>
          <w:color w:val="auto"/>
        </w:rPr>
      </w:pPr>
    </w:p>
    <w:p>
      <w:pPr>
        <w:ind w:right="120" w:firstLine="440"/>
        <w:spacing w:after="0" w:line="294"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u w:val="single" w:color="auto"/>
          <w:color w:val="auto"/>
        </w:rPr>
        <w:t>Pharmacovigilance</w:t>
      </w:r>
      <w:r>
        <w:rPr>
          <w:rFonts w:ascii="Arial" w:cs="Arial" w:eastAsia="Arial" w:hAnsi="Arial"/>
          <w:sz w:val="16"/>
          <w:szCs w:val="16"/>
          <w:color w:val="auto"/>
        </w:rPr>
        <w:t>. At least [***] prior to Ono obtaining an IND or at an earlier date at either Party’s request, the Parties shall negotiate in</w:t>
      </w:r>
      <w:r>
        <w:rPr>
          <w:rFonts w:ascii="Arial" w:cs="Arial" w:eastAsia="Arial" w:hAnsi="Arial"/>
          <w:sz w:val="16"/>
          <w:szCs w:val="16"/>
          <w:b w:val="1"/>
          <w:bCs w:val="1"/>
          <w:color w:val="auto"/>
        </w:rPr>
        <w:t xml:space="preserve"> </w:t>
      </w:r>
      <w:r>
        <w:rPr>
          <w:rFonts w:ascii="Arial" w:cs="Arial" w:eastAsia="Arial" w:hAnsi="Arial"/>
          <w:sz w:val="16"/>
          <w:szCs w:val="16"/>
          <w:color w:val="auto"/>
        </w:rPr>
        <w:t>good faith and enter into a Safety Data Exchange Agreement (“</w:t>
      </w:r>
      <w:r>
        <w:rPr>
          <w:rFonts w:ascii="Arial" w:cs="Arial" w:eastAsia="Arial" w:hAnsi="Arial"/>
          <w:sz w:val="16"/>
          <w:szCs w:val="16"/>
          <w:b w:val="1"/>
          <w:bCs w:val="1"/>
          <w:color w:val="auto"/>
        </w:rPr>
        <w:t>SDEA</w:t>
      </w:r>
      <w:r>
        <w:rPr>
          <w:rFonts w:ascii="Arial" w:cs="Arial" w:eastAsia="Arial" w:hAnsi="Arial"/>
          <w:sz w:val="16"/>
          <w:szCs w:val="16"/>
          <w:color w:val="auto"/>
        </w:rPr>
        <w:t>”), which shall define the pharmacovigilance responsibilities of the Parties and include safety data exchange procedures governing the coordination of collection, investigation, reporting and exchange of information concerning any adverse experiences, and any product complaints associated with adverse experiences, related to any Licensed Drug Candidate and Licensed Product sufficient to enable each Party (and their respective Related Parties, if any) to comply with its legal and regulatory obligations. The SDEA shall be modified in writing before obtaining the Regulatory Approval for such Licensed Drug Candidates and Licensed Products in either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3" w:right="459" w:bottom="1440" w:gutter="0" w:footer="0" w:header="0"/>
        </w:sectPr>
      </w:pPr>
    </w:p>
    <w:bookmarkStart w:id="590" w:name="page591"/>
    <w:bookmarkEnd w:id="590"/>
    <w:p>
      <w:pPr>
        <w:ind w:left="4" w:right="2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Territory, to enable each Party (and their respective Related Parties, if any) to comply with its legal and regulatory obligations. The Parties shall use Commercially Reasonable Efforts to amend the SDEA to add as parties any Related Parties. The Parties shall in good faith discuss and negotiate to determine the ownership and responsibility for the development and maintenance of the global safety database for Licensed Drug Candidates and Licensed Products at an appropriate timing before the first IND application for the Licensed Drug Candidates and Licensed Products is submitted by either Party to any Regulatory Authority in any country of the world.</w:t>
      </w:r>
    </w:p>
    <w:p>
      <w:pPr>
        <w:spacing w:after="0" w:line="184" w:lineRule="exact"/>
        <w:rPr>
          <w:sz w:val="20"/>
          <w:szCs w:val="20"/>
          <w:color w:val="auto"/>
        </w:rPr>
      </w:pPr>
    </w:p>
    <w:p>
      <w:pPr>
        <w:ind w:left="4" w:right="40" w:firstLine="440"/>
        <w:spacing w:after="0" w:line="312" w:lineRule="auto"/>
        <w:rPr>
          <w:sz w:val="20"/>
          <w:szCs w:val="20"/>
          <w:color w:val="auto"/>
        </w:rPr>
      </w:pPr>
      <w:r>
        <w:rPr>
          <w:rFonts w:ascii="Arial" w:cs="Arial" w:eastAsia="Arial" w:hAnsi="Arial"/>
          <w:sz w:val="17"/>
          <w:szCs w:val="17"/>
          <w:b w:val="1"/>
          <w:bCs w:val="1"/>
          <w:color w:val="auto"/>
        </w:rPr>
        <w:t xml:space="preserve">5.3. Pricing. </w:t>
      </w:r>
      <w:r>
        <w:rPr>
          <w:rFonts w:ascii="Arial" w:cs="Arial" w:eastAsia="Arial" w:hAnsi="Arial"/>
          <w:sz w:val="17"/>
          <w:szCs w:val="17"/>
          <w:color w:val="auto"/>
        </w:rPr>
        <w:t>As between the Parties, each Party shall have the right to determine the price of the Licensed Product sold in its respective Territory</w:t>
      </w:r>
      <w:r>
        <w:rPr>
          <w:rFonts w:ascii="Arial" w:cs="Arial" w:eastAsia="Arial" w:hAnsi="Arial"/>
          <w:sz w:val="17"/>
          <w:szCs w:val="17"/>
          <w:b w:val="1"/>
          <w:bCs w:val="1"/>
          <w:color w:val="auto"/>
        </w:rPr>
        <w:t xml:space="preserve"> </w:t>
      </w:r>
      <w:r>
        <w:rPr>
          <w:rFonts w:ascii="Arial" w:cs="Arial" w:eastAsia="Arial" w:hAnsi="Arial"/>
          <w:sz w:val="17"/>
          <w:szCs w:val="17"/>
          <w:color w:val="auto"/>
        </w:rPr>
        <w:t>and no Party shall have the right to direct, control or approve the pricing of the Licensed Product in the other Party’s Territory.</w:t>
      </w:r>
    </w:p>
    <w:p>
      <w:pPr>
        <w:spacing w:after="0" w:line="248" w:lineRule="exact"/>
        <w:rPr>
          <w:sz w:val="20"/>
          <w:szCs w:val="20"/>
          <w:color w:val="auto"/>
        </w:rPr>
      </w:pPr>
    </w:p>
    <w:p>
      <w:pPr>
        <w:jc w:val="right"/>
        <w:ind w:left="444" w:right="8660" w:hanging="444"/>
        <w:spacing w:after="0" w:line="422" w:lineRule="auto"/>
        <w:tabs>
          <w:tab w:leader="none" w:pos="184" w:val="left"/>
        </w:tabs>
        <w:numPr>
          <w:ilvl w:val="0"/>
          <w:numId w:val="3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COMMERCIALIZATION 6.1. </w:t>
      </w:r>
      <w:r>
        <w:rPr>
          <w:rFonts w:ascii="Arial" w:cs="Arial" w:eastAsia="Arial" w:hAnsi="Arial"/>
          <w:sz w:val="16"/>
          <w:szCs w:val="16"/>
          <w:b w:val="1"/>
          <w:bCs w:val="1"/>
          <w:u w:val="single" w:color="auto"/>
          <w:color w:val="auto"/>
        </w:rPr>
        <w:t>Licensed Products</w:t>
      </w:r>
      <w:r>
        <w:rPr>
          <w:rFonts w:ascii="Arial" w:cs="Arial" w:eastAsia="Arial" w:hAnsi="Arial"/>
          <w:sz w:val="16"/>
          <w:szCs w:val="16"/>
          <w:color w:val="auto"/>
        </w:rPr>
        <w:t>.</w:t>
      </w:r>
    </w:p>
    <w:p>
      <w:pPr>
        <w:ind w:left="864"/>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6.1.1. Responsibility, Cost and Diligence</w:t>
      </w:r>
      <w:r>
        <w:rPr>
          <w:rFonts w:ascii="Arial" w:cs="Arial" w:eastAsia="Arial" w:hAnsi="Arial"/>
          <w:sz w:val="18"/>
          <w:szCs w:val="18"/>
          <w:color w:val="auto"/>
        </w:rPr>
        <w:t>.</w:t>
      </w:r>
    </w:p>
    <w:p>
      <w:pPr>
        <w:spacing w:after="0" w:line="117" w:lineRule="exact"/>
        <w:rPr>
          <w:sz w:val="20"/>
          <w:szCs w:val="20"/>
          <w:color w:val="auto"/>
        </w:rPr>
      </w:pPr>
    </w:p>
    <w:p>
      <w:pPr>
        <w:ind w:left="984" w:right="40" w:firstLine="401"/>
        <w:spacing w:after="0" w:line="282" w:lineRule="auto"/>
        <w:rPr>
          <w:sz w:val="20"/>
          <w:szCs w:val="20"/>
          <w:color w:val="auto"/>
        </w:rPr>
      </w:pPr>
      <w:r>
        <w:rPr>
          <w:rFonts w:ascii="Arial" w:cs="Arial" w:eastAsia="Arial" w:hAnsi="Arial"/>
          <w:sz w:val="18"/>
          <w:szCs w:val="18"/>
          <w:b w:val="1"/>
          <w:bCs w:val="1"/>
          <w:color w:val="auto"/>
        </w:rPr>
        <w:t xml:space="preserve">6.1.1.1. </w:t>
      </w:r>
      <w:r>
        <w:rPr>
          <w:rFonts w:ascii="Arial" w:cs="Arial" w:eastAsia="Arial" w:hAnsi="Arial"/>
          <w:sz w:val="18"/>
          <w:szCs w:val="18"/>
          <w:u w:val="single" w:color="auto"/>
          <w:color w:val="auto"/>
        </w:rPr>
        <w:t>Repare Territory</w:t>
      </w:r>
      <w:r>
        <w:rPr>
          <w:rFonts w:ascii="Arial" w:cs="Arial" w:eastAsia="Arial" w:hAnsi="Arial"/>
          <w:sz w:val="18"/>
          <w:szCs w:val="18"/>
          <w:color w:val="auto"/>
        </w:rPr>
        <w:t>. Subject to the limitations expressly set forth herein, Repare shall be solely responsible, at its own cost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for all Commercialization activities relating to Licensed Products in the Repare Territory.</w:t>
      </w:r>
    </w:p>
    <w:p>
      <w:pPr>
        <w:spacing w:after="0" w:line="54" w:lineRule="exact"/>
        <w:rPr>
          <w:sz w:val="20"/>
          <w:szCs w:val="20"/>
          <w:color w:val="auto"/>
        </w:rPr>
      </w:pPr>
    </w:p>
    <w:p>
      <w:pPr>
        <w:ind w:left="984" w:right="440" w:firstLine="401"/>
        <w:spacing w:after="0" w:line="282" w:lineRule="auto"/>
        <w:rPr>
          <w:sz w:val="20"/>
          <w:szCs w:val="20"/>
          <w:color w:val="auto"/>
        </w:rPr>
      </w:pPr>
      <w:r>
        <w:rPr>
          <w:rFonts w:ascii="Arial" w:cs="Arial" w:eastAsia="Arial" w:hAnsi="Arial"/>
          <w:sz w:val="18"/>
          <w:szCs w:val="18"/>
          <w:b w:val="1"/>
          <w:bCs w:val="1"/>
          <w:color w:val="auto"/>
        </w:rPr>
        <w:t xml:space="preserve">6.1.1.2. </w:t>
      </w:r>
      <w:r>
        <w:rPr>
          <w:rFonts w:ascii="Arial" w:cs="Arial" w:eastAsia="Arial" w:hAnsi="Arial"/>
          <w:sz w:val="18"/>
          <w:szCs w:val="18"/>
          <w:u w:val="single" w:color="auto"/>
          <w:color w:val="auto"/>
        </w:rPr>
        <w:t>Ono Territory</w:t>
      </w:r>
      <w:r>
        <w:rPr>
          <w:rFonts w:ascii="Arial" w:cs="Arial" w:eastAsia="Arial" w:hAnsi="Arial"/>
          <w:sz w:val="18"/>
          <w:szCs w:val="18"/>
          <w:color w:val="auto"/>
        </w:rPr>
        <w:t>. Subject to the limitations expressly set forth herein, Ono shall be solely responsible, at its own cost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for all Commercialization activities relating to Licensed Products in the Ono Territory.</w:t>
      </w:r>
    </w:p>
    <w:p>
      <w:pPr>
        <w:spacing w:after="0" w:line="54" w:lineRule="exact"/>
        <w:rPr>
          <w:sz w:val="20"/>
          <w:szCs w:val="20"/>
          <w:color w:val="auto"/>
        </w:rPr>
      </w:pPr>
    </w:p>
    <w:p>
      <w:pPr>
        <w:ind w:left="984" w:right="460" w:firstLine="401"/>
        <w:spacing w:after="0" w:line="282" w:lineRule="auto"/>
        <w:rPr>
          <w:sz w:val="20"/>
          <w:szCs w:val="20"/>
          <w:color w:val="auto"/>
        </w:rPr>
      </w:pPr>
      <w:r>
        <w:rPr>
          <w:rFonts w:ascii="Arial" w:cs="Arial" w:eastAsia="Arial" w:hAnsi="Arial"/>
          <w:sz w:val="18"/>
          <w:szCs w:val="18"/>
          <w:b w:val="1"/>
          <w:bCs w:val="1"/>
          <w:color w:val="auto"/>
        </w:rPr>
        <w:t xml:space="preserve">6.1.1.3. </w:t>
      </w:r>
      <w:r>
        <w:rPr>
          <w:rFonts w:ascii="Arial" w:cs="Arial" w:eastAsia="Arial" w:hAnsi="Arial"/>
          <w:sz w:val="18"/>
          <w:szCs w:val="18"/>
          <w:u w:val="single" w:color="auto"/>
          <w:color w:val="auto"/>
        </w:rPr>
        <w:t>Ono Commercial Diligence</w:t>
      </w:r>
      <w:r>
        <w:rPr>
          <w:rFonts w:ascii="Arial" w:cs="Arial" w:eastAsia="Arial" w:hAnsi="Arial"/>
          <w:sz w:val="18"/>
          <w:szCs w:val="18"/>
          <w:color w:val="auto"/>
        </w:rPr>
        <w:t>. Ono will use Commercially Reasonable Efforts to Commercialize each Licensed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throughout the Ono Territory.</w:t>
      </w:r>
    </w:p>
    <w:p>
      <w:pPr>
        <w:spacing w:after="0" w:line="54" w:lineRule="exact"/>
        <w:rPr>
          <w:sz w:val="20"/>
          <w:szCs w:val="20"/>
          <w:color w:val="auto"/>
        </w:rPr>
      </w:pPr>
    </w:p>
    <w:p>
      <w:pPr>
        <w:ind w:left="444" w:firstLine="423"/>
        <w:spacing w:after="0" w:line="277" w:lineRule="auto"/>
        <w:rPr>
          <w:sz w:val="20"/>
          <w:szCs w:val="20"/>
          <w:color w:val="auto"/>
        </w:rPr>
      </w:pPr>
      <w:r>
        <w:rPr>
          <w:rFonts w:ascii="Arial" w:cs="Arial" w:eastAsia="Arial" w:hAnsi="Arial"/>
          <w:sz w:val="17"/>
          <w:szCs w:val="17"/>
          <w:b w:val="1"/>
          <w:bCs w:val="1"/>
          <w:color w:val="auto"/>
        </w:rPr>
        <w:t>6.1.2. Global Commercialization Strategy</w:t>
      </w:r>
      <w:r>
        <w:rPr>
          <w:rFonts w:ascii="Arial" w:cs="Arial" w:eastAsia="Arial" w:hAnsi="Arial"/>
          <w:sz w:val="17"/>
          <w:szCs w:val="17"/>
          <w:color w:val="auto"/>
        </w:rPr>
        <w:t>. For each Licensed Product, the key Commercialization principles will be set forth in a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summary of the global Commercialization strategy for such Licensed Product approved by the JSC (each, a “</w:t>
      </w:r>
      <w:r>
        <w:rPr>
          <w:rFonts w:ascii="Arial" w:cs="Arial" w:eastAsia="Arial" w:hAnsi="Arial"/>
          <w:sz w:val="17"/>
          <w:szCs w:val="17"/>
          <w:b w:val="1"/>
          <w:bCs w:val="1"/>
          <w:color w:val="auto"/>
        </w:rPr>
        <w:t>Global Commercialization</w:t>
      </w:r>
      <w:r>
        <w:rPr>
          <w:rFonts w:ascii="Arial" w:cs="Arial" w:eastAsia="Arial" w:hAnsi="Arial"/>
          <w:sz w:val="17"/>
          <w:szCs w:val="17"/>
          <w:color w:val="auto"/>
        </w:rPr>
        <w:t xml:space="preserve"> </w:t>
      </w:r>
      <w:r>
        <w:rPr>
          <w:rFonts w:ascii="Arial" w:cs="Arial" w:eastAsia="Arial" w:hAnsi="Arial"/>
          <w:sz w:val="17"/>
          <w:szCs w:val="17"/>
          <w:b w:val="1"/>
          <w:bCs w:val="1"/>
          <w:color w:val="auto"/>
        </w:rPr>
        <w:t>Strategy</w:t>
      </w:r>
      <w:r>
        <w:rPr>
          <w:rFonts w:ascii="Arial" w:cs="Arial" w:eastAsia="Arial" w:hAnsi="Arial"/>
          <w:sz w:val="17"/>
          <w:szCs w:val="17"/>
          <w:color w:val="auto"/>
        </w:rPr>
        <w:t>”). The JSC shall prepare the initial draft of such Global Commercialization Strategy at the appropriate timing determined by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but no less than [***] prior to expected Regulatory Approval of such Licensed Product, and then annually thereafter. Amendments to any Global Commercialization Strategy will become effective following review and approval by the JSC.</w:t>
      </w:r>
    </w:p>
    <w:p>
      <w:pPr>
        <w:spacing w:after="0" w:line="60" w:lineRule="exact"/>
        <w:rPr>
          <w:sz w:val="20"/>
          <w:szCs w:val="20"/>
          <w:color w:val="auto"/>
        </w:rPr>
      </w:pPr>
    </w:p>
    <w:p>
      <w:pPr>
        <w:ind w:left="444" w:right="60" w:firstLine="423"/>
        <w:spacing w:after="0" w:line="303" w:lineRule="auto"/>
        <w:rPr>
          <w:sz w:val="20"/>
          <w:szCs w:val="20"/>
          <w:color w:val="auto"/>
        </w:rPr>
      </w:pPr>
      <w:r>
        <w:rPr>
          <w:rFonts w:ascii="Arial" w:cs="Arial" w:eastAsia="Arial" w:hAnsi="Arial"/>
          <w:sz w:val="16"/>
          <w:szCs w:val="16"/>
          <w:b w:val="1"/>
          <w:bCs w:val="1"/>
          <w:color w:val="auto"/>
        </w:rPr>
        <w:t>6.1.3. Ono Territory Commercialization Plan</w:t>
      </w:r>
      <w:r>
        <w:rPr>
          <w:rFonts w:ascii="Arial" w:cs="Arial" w:eastAsia="Arial" w:hAnsi="Arial"/>
          <w:sz w:val="16"/>
          <w:szCs w:val="16"/>
          <w:color w:val="auto"/>
        </w:rPr>
        <w:t>. No less than [***] in advance of the reasonably expected first Regulatory Approval in the</w:t>
      </w:r>
      <w:r>
        <w:rPr>
          <w:rFonts w:ascii="Arial" w:cs="Arial" w:eastAsia="Arial" w:hAnsi="Arial"/>
          <w:sz w:val="16"/>
          <w:szCs w:val="16"/>
          <w:b w:val="1"/>
          <w:bCs w:val="1"/>
          <w:color w:val="auto"/>
        </w:rPr>
        <w:t xml:space="preserve"> </w:t>
      </w:r>
      <w:r>
        <w:rPr>
          <w:rFonts w:ascii="Arial" w:cs="Arial" w:eastAsia="Arial" w:hAnsi="Arial"/>
          <w:sz w:val="16"/>
          <w:szCs w:val="16"/>
          <w:color w:val="auto"/>
        </w:rPr>
        <w:t>Ono Territory with respect to a Licensed Product, and on an annual basis thereafter, Ono shall prepare and deliver to the JSC for review a reasonable written plan that summarizes the Commercialization activities to be undertaken with respect to such Licensed Product in the Ono Territory in the next Ono Fiscal Year and Ono’s plans to obtain further Regulatory Approvals and Commercialize such Licensed Product in</w:t>
      </w:r>
    </w:p>
    <w:p>
      <w:pPr>
        <w:spacing w:after="0" w:line="87"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24"/>
          </w:cols>
          <w:pgMar w:left="436" w:top="273" w:right="539" w:bottom="1440" w:gutter="0" w:footer="0" w:header="0"/>
        </w:sectPr>
      </w:pPr>
    </w:p>
    <w:bookmarkStart w:id="591" w:name="page592"/>
    <w:bookmarkEnd w:id="591"/>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countries in the Ono Territory in which Ono is not then Commercializing such Licensed Product, and the dates by which such activities are targeted to be accomplished (the “</w:t>
      </w:r>
      <w:r>
        <w:rPr>
          <w:rFonts w:ascii="Arial" w:cs="Arial" w:eastAsia="Arial" w:hAnsi="Arial"/>
          <w:sz w:val="18"/>
          <w:szCs w:val="18"/>
          <w:b w:val="1"/>
          <w:bCs w:val="1"/>
          <w:color w:val="auto"/>
        </w:rPr>
        <w:t>Ono Territory Commercialization Plan</w:t>
      </w:r>
      <w:r>
        <w:rPr>
          <w:rFonts w:ascii="Arial" w:cs="Arial" w:eastAsia="Arial" w:hAnsi="Arial"/>
          <w:sz w:val="18"/>
          <w:szCs w:val="18"/>
          <w:color w:val="auto"/>
        </w:rPr>
        <w:t>”). Each Ono Territory Commercialization Plan shall be consistent with the requirements of the most recent Global Commercialization Strategy. The Ono Territory Commercialization Plan for a Licensed Product shall subsequently be updated and modified by Ono, from time to time at its discretion and no less frequently than [***] per Ono Fiscal Year, based upon, among other things, Ono’s Commercialization activities with respect to such Licensed Product in the Ono Territory, a copy of which updated plan will be provided to the JSC.</w:t>
      </w:r>
    </w:p>
    <w:p>
      <w:pPr>
        <w:spacing w:after="0" w:line="80" w:lineRule="exact"/>
        <w:rPr>
          <w:sz w:val="20"/>
          <w:szCs w:val="20"/>
          <w:color w:val="auto"/>
        </w:rPr>
      </w:pPr>
    </w:p>
    <w:p>
      <w:pPr>
        <w:ind w:right="40" w:firstLine="423"/>
        <w:spacing w:after="0" w:line="271" w:lineRule="auto"/>
        <w:rPr>
          <w:sz w:val="20"/>
          <w:szCs w:val="20"/>
          <w:color w:val="auto"/>
        </w:rPr>
      </w:pPr>
      <w:r>
        <w:rPr>
          <w:rFonts w:ascii="Arial" w:cs="Arial" w:eastAsia="Arial" w:hAnsi="Arial"/>
          <w:sz w:val="17"/>
          <w:szCs w:val="17"/>
          <w:b w:val="1"/>
          <w:bCs w:val="1"/>
          <w:color w:val="auto"/>
        </w:rPr>
        <w:t xml:space="preserve">6.1.4. </w:t>
      </w:r>
      <w:r>
        <w:rPr>
          <w:rFonts w:ascii="Arial" w:cs="Arial" w:eastAsia="Arial" w:hAnsi="Arial"/>
          <w:sz w:val="17"/>
          <w:szCs w:val="17"/>
          <w:color w:val="auto"/>
        </w:rPr>
        <w:t>Ono and its Related Parties shall provide, and Repare shall provide, and shall use Commercially Reasonable Efforts to cause its</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Parties to provide, information regarding its material medical and Commercialization activities in its Territory, including (i) expected day of launch of Licensed Product, (ii) general strategies for the medical activities and marketing, including branding, promoting, detailing, market access and patient advocacy, (iii) reasonable written plan including pre-launch activities, (iv) overall promotional effort and the targeted healthcare- professionals, including but not limited to, the number of full-time equivalent (“FTE”) devoted for medical science liaisons, medical affairs staffs, medical representatives, market access and nurse consultant of each country in its own Territory, (v) its sales department structure, sales marketing structure and medical affairs structure, and (vi) any other material events and activities relating to medical and Commercialization activities of Licensed Product in its own Territory , to the JSC and shall keep the JSC reasonably informed of its medical and Commercialization activities with respect to Licensed Products.</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6.1.5. Advertising and Promotional Materials</w:t>
      </w:r>
      <w:r>
        <w:rPr>
          <w:rFonts w:ascii="Arial" w:cs="Arial" w:eastAsia="Arial" w:hAnsi="Arial"/>
          <w:sz w:val="18"/>
          <w:szCs w:val="18"/>
          <w:color w:val="auto"/>
        </w:rPr>
        <w:t>.</w:t>
      </w:r>
    </w:p>
    <w:p>
      <w:pPr>
        <w:spacing w:after="0" w:line="117" w:lineRule="exact"/>
        <w:rPr>
          <w:sz w:val="20"/>
          <w:szCs w:val="20"/>
          <w:color w:val="auto"/>
        </w:rPr>
      </w:pPr>
    </w:p>
    <w:p>
      <w:pPr>
        <w:ind w:left="540" w:firstLine="401"/>
        <w:spacing w:after="0" w:line="274" w:lineRule="auto"/>
        <w:rPr>
          <w:sz w:val="20"/>
          <w:szCs w:val="20"/>
          <w:color w:val="auto"/>
        </w:rPr>
      </w:pPr>
      <w:r>
        <w:rPr>
          <w:rFonts w:ascii="Arial" w:cs="Arial" w:eastAsia="Arial" w:hAnsi="Arial"/>
          <w:sz w:val="17"/>
          <w:szCs w:val="17"/>
          <w:b w:val="1"/>
          <w:bCs w:val="1"/>
          <w:color w:val="auto"/>
        </w:rPr>
        <w:t xml:space="preserve">6.1.5.1. </w:t>
      </w:r>
      <w:r>
        <w:rPr>
          <w:rFonts w:ascii="Arial" w:cs="Arial" w:eastAsia="Arial" w:hAnsi="Arial"/>
          <w:sz w:val="17"/>
          <w:szCs w:val="17"/>
          <w:b w:val="1"/>
          <w:bCs w:val="1"/>
          <w:u w:val="single" w:color="auto"/>
          <w:color w:val="auto"/>
        </w:rPr>
        <w:t>Global Branding</w:t>
      </w:r>
      <w:r>
        <w:rPr>
          <w:rFonts w:ascii="Arial" w:cs="Arial" w:eastAsia="Arial" w:hAnsi="Arial"/>
          <w:sz w:val="17"/>
          <w:szCs w:val="17"/>
          <w:color w:val="auto"/>
        </w:rPr>
        <w:t>. Repare shall, from time to time during the Term, develop (and thereafter modify and update) a global</w:t>
      </w:r>
      <w:r>
        <w:rPr>
          <w:rFonts w:ascii="Arial" w:cs="Arial" w:eastAsia="Arial" w:hAnsi="Arial"/>
          <w:sz w:val="17"/>
          <w:szCs w:val="17"/>
          <w:b w:val="1"/>
          <w:bCs w:val="1"/>
          <w:color w:val="auto"/>
        </w:rPr>
        <w:t xml:space="preserve"> </w:t>
      </w:r>
      <w:r>
        <w:rPr>
          <w:rFonts w:ascii="Arial" w:cs="Arial" w:eastAsia="Arial" w:hAnsi="Arial"/>
          <w:sz w:val="17"/>
          <w:szCs w:val="17"/>
          <w:color w:val="auto"/>
        </w:rPr>
        <w:t>branding strategy (including global positioning, promotional messages, colors and other visual branding elements) for each Licensed Product for use throughout the world (the “</w:t>
      </w:r>
      <w:r>
        <w:rPr>
          <w:rFonts w:ascii="Arial" w:cs="Arial" w:eastAsia="Arial" w:hAnsi="Arial"/>
          <w:sz w:val="17"/>
          <w:szCs w:val="17"/>
          <w:b w:val="1"/>
          <w:bCs w:val="1"/>
          <w:color w:val="auto"/>
        </w:rPr>
        <w:t>Global Branding Strategy</w:t>
      </w:r>
      <w:r>
        <w:rPr>
          <w:rFonts w:ascii="Arial" w:cs="Arial" w:eastAsia="Arial" w:hAnsi="Arial"/>
          <w:sz w:val="17"/>
          <w:szCs w:val="17"/>
          <w:color w:val="auto"/>
        </w:rPr>
        <w:t>”), which shall be consistent with the applicable Global Commercialization Strategy and which the JSC shall review and approve, and which the Parties shall, following such review and approval, implement. Repare will submit the Global Branding Strategy for a Licensed Product to the JSC at least annually. Repare shall consider in good faith any comments provided by Ono with respect to the Global Branding Strategy.</w:t>
      </w:r>
    </w:p>
    <w:p>
      <w:pPr>
        <w:spacing w:after="0" w:line="65" w:lineRule="exact"/>
        <w:rPr>
          <w:sz w:val="20"/>
          <w:szCs w:val="20"/>
          <w:color w:val="auto"/>
        </w:rPr>
      </w:pPr>
    </w:p>
    <w:p>
      <w:pPr>
        <w:ind w:left="540" w:firstLine="401"/>
        <w:spacing w:after="0" w:line="281" w:lineRule="auto"/>
        <w:rPr>
          <w:sz w:val="20"/>
          <w:szCs w:val="20"/>
          <w:color w:val="auto"/>
        </w:rPr>
      </w:pPr>
      <w:r>
        <w:rPr>
          <w:rFonts w:ascii="Arial" w:cs="Arial" w:eastAsia="Arial" w:hAnsi="Arial"/>
          <w:sz w:val="17"/>
          <w:szCs w:val="17"/>
          <w:b w:val="1"/>
          <w:bCs w:val="1"/>
          <w:color w:val="auto"/>
        </w:rPr>
        <w:t xml:space="preserve">6.1.5.2. </w:t>
      </w:r>
      <w:r>
        <w:rPr>
          <w:rFonts w:ascii="Arial" w:cs="Arial" w:eastAsia="Arial" w:hAnsi="Arial"/>
          <w:sz w:val="17"/>
          <w:szCs w:val="17"/>
          <w:b w:val="1"/>
          <w:bCs w:val="1"/>
          <w:u w:val="single" w:color="auto"/>
          <w:color w:val="auto"/>
        </w:rPr>
        <w:t>Repare A&amp;P</w:t>
      </w:r>
      <w:r>
        <w:rPr>
          <w:rFonts w:ascii="Arial" w:cs="Arial" w:eastAsia="Arial" w:hAnsi="Arial"/>
          <w:sz w:val="17"/>
          <w:szCs w:val="17"/>
          <w:color w:val="auto"/>
        </w:rPr>
        <w:t>. Repare will provide, and will make reasonable efforts to have its Related Parties provide, to Ono written sales,</w:t>
      </w:r>
      <w:r>
        <w:rPr>
          <w:rFonts w:ascii="Arial" w:cs="Arial" w:eastAsia="Arial" w:hAnsi="Arial"/>
          <w:sz w:val="17"/>
          <w:szCs w:val="17"/>
          <w:b w:val="1"/>
          <w:bCs w:val="1"/>
          <w:color w:val="auto"/>
        </w:rPr>
        <w:t xml:space="preserve"> </w:t>
      </w:r>
      <w:r>
        <w:rPr>
          <w:rFonts w:ascii="Arial" w:cs="Arial" w:eastAsia="Arial" w:hAnsi="Arial"/>
          <w:sz w:val="17"/>
          <w:szCs w:val="17"/>
          <w:color w:val="auto"/>
        </w:rPr>
        <w:t>promotion and advertising materials relating to Licensed Products used in the Repare Territory (“</w:t>
      </w:r>
      <w:r>
        <w:rPr>
          <w:rFonts w:ascii="Arial" w:cs="Arial" w:eastAsia="Arial" w:hAnsi="Arial"/>
          <w:sz w:val="17"/>
          <w:szCs w:val="17"/>
          <w:b w:val="1"/>
          <w:bCs w:val="1"/>
          <w:color w:val="auto"/>
        </w:rPr>
        <w:t>Repare Territory Promotional</w:t>
      </w:r>
      <w:r>
        <w:rPr>
          <w:rFonts w:ascii="Arial" w:cs="Arial" w:eastAsia="Arial" w:hAnsi="Arial"/>
          <w:sz w:val="17"/>
          <w:szCs w:val="17"/>
          <w:color w:val="auto"/>
        </w:rPr>
        <w:t xml:space="preserve"> </w:t>
      </w:r>
      <w:r>
        <w:rPr>
          <w:rFonts w:ascii="Arial" w:cs="Arial" w:eastAsia="Arial" w:hAnsi="Arial"/>
          <w:sz w:val="17"/>
          <w:szCs w:val="17"/>
          <w:b w:val="1"/>
          <w:bCs w:val="1"/>
          <w:color w:val="auto"/>
        </w:rPr>
        <w:t>Materials</w:t>
      </w:r>
      <w:r>
        <w:rPr>
          <w:rFonts w:ascii="Arial" w:cs="Arial" w:eastAsia="Arial" w:hAnsi="Arial"/>
          <w:sz w:val="17"/>
          <w:szCs w:val="17"/>
          <w:color w:val="auto"/>
        </w:rPr>
        <w:t>”) as well as training manuals and education and communication materials relating to Licensed Products used in the Repare</w:t>
      </w:r>
      <w:r>
        <w:rPr>
          <w:rFonts w:ascii="Arial" w:cs="Arial" w:eastAsia="Arial" w:hAnsi="Arial"/>
          <w:sz w:val="17"/>
          <w:szCs w:val="17"/>
          <w:b w:val="1"/>
          <w:bCs w:val="1"/>
          <w:color w:val="auto"/>
        </w:rPr>
        <w:t xml:space="preserve"> </w:t>
      </w:r>
      <w:r>
        <w:rPr>
          <w:rFonts w:ascii="Arial" w:cs="Arial" w:eastAsia="Arial" w:hAnsi="Arial"/>
          <w:sz w:val="17"/>
          <w:szCs w:val="17"/>
          <w:color w:val="auto"/>
        </w:rPr>
        <w:t>Territory (“</w:t>
      </w:r>
      <w:r>
        <w:rPr>
          <w:rFonts w:ascii="Arial" w:cs="Arial" w:eastAsia="Arial" w:hAnsi="Arial"/>
          <w:sz w:val="17"/>
          <w:szCs w:val="17"/>
          <w:b w:val="1"/>
          <w:bCs w:val="1"/>
          <w:color w:val="auto"/>
        </w:rPr>
        <w:t>Repare Territory Educational Materials</w:t>
      </w:r>
      <w:r>
        <w:rPr>
          <w:rFonts w:ascii="Arial" w:cs="Arial" w:eastAsia="Arial" w:hAnsi="Arial"/>
          <w:sz w:val="17"/>
          <w:szCs w:val="17"/>
          <w:color w:val="auto"/>
        </w:rPr>
        <w:t>”) when reasonably requested by Ono.</w:t>
      </w:r>
    </w:p>
    <w:p>
      <w:pPr>
        <w:spacing w:after="0" w:line="10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560"/>
          </w:cols>
          <w:pgMar w:left="880" w:top="273" w:right="459" w:bottom="1440" w:gutter="0" w:footer="0" w:header="0"/>
        </w:sectPr>
      </w:pPr>
    </w:p>
    <w:bookmarkStart w:id="592" w:name="page593"/>
    <w:bookmarkEnd w:id="592"/>
    <w:p>
      <w:pPr>
        <w:ind w:left="540" w:right="20" w:firstLine="401"/>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6.1.5.3. </w:t>
      </w:r>
      <w:r>
        <w:rPr>
          <w:rFonts w:ascii="Arial" w:cs="Arial" w:eastAsia="Arial" w:hAnsi="Arial"/>
          <w:sz w:val="16"/>
          <w:szCs w:val="16"/>
          <w:b w:val="1"/>
          <w:bCs w:val="1"/>
          <w:u w:val="single" w:color="auto"/>
          <w:color w:val="auto"/>
        </w:rPr>
        <w:t>Ono A&amp;P</w:t>
      </w:r>
      <w:r>
        <w:rPr>
          <w:rFonts w:ascii="Arial" w:cs="Arial" w:eastAsia="Arial" w:hAnsi="Arial"/>
          <w:sz w:val="16"/>
          <w:szCs w:val="16"/>
          <w:color w:val="auto"/>
        </w:rPr>
        <w:t>. Ono shall be and shall cause its Related Parties, to be responsible for the creation, preparation, production,</w:t>
      </w:r>
      <w:r>
        <w:rPr>
          <w:rFonts w:ascii="Arial" w:cs="Arial" w:eastAsia="Arial" w:hAnsi="Arial"/>
          <w:sz w:val="16"/>
          <w:szCs w:val="16"/>
          <w:b w:val="1"/>
          <w:bCs w:val="1"/>
          <w:color w:val="auto"/>
        </w:rPr>
        <w:t xml:space="preserve"> </w:t>
      </w:r>
      <w:r>
        <w:rPr>
          <w:rFonts w:ascii="Arial" w:cs="Arial" w:eastAsia="Arial" w:hAnsi="Arial"/>
          <w:sz w:val="16"/>
          <w:szCs w:val="16"/>
          <w:color w:val="auto"/>
        </w:rPr>
        <w:t>reproduction and filing with the applicable Regulatory Authorities, of relevant written sales, promotion and advertising materials relating to each Licensed Product for use in the Ono Territory (“</w:t>
      </w:r>
      <w:r>
        <w:rPr>
          <w:rFonts w:ascii="Arial" w:cs="Arial" w:eastAsia="Arial" w:hAnsi="Arial"/>
          <w:sz w:val="16"/>
          <w:szCs w:val="16"/>
          <w:b w:val="1"/>
          <w:bCs w:val="1"/>
          <w:color w:val="auto"/>
        </w:rPr>
        <w:t>Ono Territory Promotional Materials</w:t>
      </w:r>
      <w:r>
        <w:rPr>
          <w:rFonts w:ascii="Arial" w:cs="Arial" w:eastAsia="Arial" w:hAnsi="Arial"/>
          <w:sz w:val="16"/>
          <w:szCs w:val="16"/>
          <w:color w:val="auto"/>
        </w:rPr>
        <w:t>”) as well as training manuals and education and communication materials (“</w:t>
      </w:r>
      <w:r>
        <w:rPr>
          <w:rFonts w:ascii="Arial" w:cs="Arial" w:eastAsia="Arial" w:hAnsi="Arial"/>
          <w:sz w:val="16"/>
          <w:szCs w:val="16"/>
          <w:b w:val="1"/>
          <w:bCs w:val="1"/>
          <w:color w:val="auto"/>
        </w:rPr>
        <w:t>Ono Territory Educational Materials</w:t>
      </w:r>
      <w:r>
        <w:rPr>
          <w:rFonts w:ascii="Arial" w:cs="Arial" w:eastAsia="Arial" w:hAnsi="Arial"/>
          <w:sz w:val="16"/>
          <w:szCs w:val="16"/>
          <w:color w:val="auto"/>
        </w:rPr>
        <w:t xml:space="preserve">”) for sales representatives in the Ono Territory at its own expense. All such Ono Territory Promotional Materials and Ono Territory Educational Materials will be compliant with applicable Law and, if applicable, consistent in all material respects with the Global Branding Strategy for such Licensed Product in the Ono Territory. Ono will submit and will cause its Related Parties to submit representative or core samples of its Ono Territory Promotional Materials and Ono Territory Educational Materials developed by Ono or its Related Parties for use in the Ono Territory to the JSC annually. Ono may use the information contained in Repare Territory Promotional Materials, and Repare Territory Educational Material provided by Repare under </w:t>
      </w:r>
      <w:r>
        <w:rPr>
          <w:rFonts w:ascii="Arial" w:cs="Arial" w:eastAsia="Arial" w:hAnsi="Arial"/>
          <w:sz w:val="16"/>
          <w:szCs w:val="16"/>
          <w:u w:val="single" w:color="auto"/>
          <w:color w:val="auto"/>
        </w:rPr>
        <w:t>Section 6.1.5.2</w:t>
      </w:r>
      <w:r>
        <w:rPr>
          <w:rFonts w:ascii="Arial" w:cs="Arial" w:eastAsia="Arial" w:hAnsi="Arial"/>
          <w:sz w:val="16"/>
          <w:szCs w:val="16"/>
          <w:color w:val="auto"/>
        </w:rPr>
        <w:t xml:space="preserve"> free of charge, for preparation of Ono Territory Promotional Materials and Ono Territory Educational Materials relating to the Licensed Product for use by Ono or its Related Parties in connection with the Commercialization of the Licensed Product in the Ono Territory and for no other purpose, unless the Parties agree otherwise in writing; provided that if Ono’s use of such information contained in Repare Territory Promotional Materials, and Repare Territory Educational Material would infringe any Third Party right, then both Parties shall negotiate in good faith commercially reasonable terms of such use by Ono.</w:t>
      </w:r>
    </w:p>
    <w:p>
      <w:pPr>
        <w:spacing w:after="0" w:line="63" w:lineRule="exact"/>
        <w:rPr>
          <w:sz w:val="20"/>
          <w:szCs w:val="20"/>
          <w:color w:val="auto"/>
        </w:rPr>
      </w:pPr>
    </w:p>
    <w:p>
      <w:pPr>
        <w:ind w:firstLine="423"/>
        <w:spacing w:after="0" w:line="271" w:lineRule="auto"/>
        <w:rPr>
          <w:sz w:val="20"/>
          <w:szCs w:val="20"/>
          <w:color w:val="auto"/>
        </w:rPr>
      </w:pPr>
      <w:r>
        <w:rPr>
          <w:rFonts w:ascii="Arial" w:cs="Arial" w:eastAsia="Arial" w:hAnsi="Arial"/>
          <w:sz w:val="17"/>
          <w:szCs w:val="17"/>
          <w:b w:val="1"/>
          <w:bCs w:val="1"/>
          <w:color w:val="auto"/>
        </w:rPr>
        <w:t>6.1.6. Reporting Obligations</w:t>
      </w:r>
      <w:r>
        <w:rPr>
          <w:rFonts w:ascii="Arial" w:cs="Arial" w:eastAsia="Arial" w:hAnsi="Arial"/>
          <w:sz w:val="17"/>
          <w:szCs w:val="17"/>
          <w:color w:val="auto"/>
        </w:rPr>
        <w:t>. Ono shall make a yearly report of its Commercialization activity at a regular JSC meeting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8.1.5</w:t>
      </w:r>
      <w:r>
        <w:rPr>
          <w:rFonts w:ascii="Arial" w:cs="Arial" w:eastAsia="Arial" w:hAnsi="Arial"/>
          <w:sz w:val="17"/>
          <w:szCs w:val="17"/>
          <w:color w:val="auto"/>
        </w:rPr>
        <w:t xml:space="preserve">, in a slide deck, or in other written materials (which may be delivered in electronic format), which will be shared with Repare in electronic form after such JSC meeting, that, in any case, summarize in reasonable detail Ono’s Commercialization activities for such Licensed Product performed to date (or updating such report for activities performed since the last such report was given hereunder, as applicable). In addition, Each Party shall provide the other Party with written notice of the First Commercial Sale of each Licensed Product in the Major Market Countries in each Territory within [***] after such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all circumstances, Ono shall inform Repare of such event prior to public disclosure of such event by Ono. Ono shall provide such information to the JSC as Repare may reasonably request with respect to Commercialization of such Licensed Product and shall keep the JSC reasonably informed of Ono’s Commercialization activities with respect to such Licensed Product.</w:t>
      </w:r>
    </w:p>
    <w:p>
      <w:pPr>
        <w:spacing w:after="0" w:line="66" w:lineRule="exact"/>
        <w:rPr>
          <w:sz w:val="20"/>
          <w:szCs w:val="20"/>
          <w:color w:val="auto"/>
        </w:rPr>
      </w:pPr>
    </w:p>
    <w:p>
      <w:pPr>
        <w:ind w:right="40" w:firstLine="423"/>
        <w:spacing w:after="0" w:line="294" w:lineRule="auto"/>
        <w:rPr>
          <w:sz w:val="20"/>
          <w:szCs w:val="20"/>
          <w:color w:val="auto"/>
        </w:rPr>
      </w:pPr>
      <w:r>
        <w:rPr>
          <w:rFonts w:ascii="Arial" w:cs="Arial" w:eastAsia="Arial" w:hAnsi="Arial"/>
          <w:sz w:val="16"/>
          <w:szCs w:val="16"/>
          <w:b w:val="1"/>
          <w:bCs w:val="1"/>
          <w:color w:val="auto"/>
        </w:rPr>
        <w:t>6.1.7. Sales and Distribution</w:t>
      </w:r>
      <w:r>
        <w:rPr>
          <w:rFonts w:ascii="Arial" w:cs="Arial" w:eastAsia="Arial" w:hAnsi="Arial"/>
          <w:sz w:val="16"/>
          <w:szCs w:val="16"/>
          <w:color w:val="auto"/>
        </w:rPr>
        <w:t>. Each Party and its Related Parties shall be responsible for booking sales in its Territory. Each Party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Related Parties may warehouse Licensed Products both inside and outside of such Party’s Territory,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sales with respect to such Licensed Products are booked in such Party’s Territory. If a Party receives any orders for any Licensed Product in the other Party’s Territory, it shall refer such orders to the other Party, to the extent it is not prohibited from doing so under applicable Law. Moreover, each Party and its Related Parties shall be solely responsible for handling all returns of any Licensed Product sold in its Territory, as well as all aspects of Licensed Product order processing, invoicing and collection, distribution, inventory and receivables of Licensed Products sold in its Territory.</w:t>
      </w:r>
    </w:p>
    <w:p>
      <w:pPr>
        <w:spacing w:after="0" w:line="9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440"/>
          </w:cols>
          <w:pgMar w:left="880" w:top="269" w:right="579" w:bottom="1440" w:gutter="0" w:footer="0" w:header="0"/>
        </w:sectPr>
      </w:pPr>
    </w:p>
    <w:bookmarkStart w:id="593" w:name="page594"/>
    <w:bookmarkEnd w:id="5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6.1.8. Recalls, Market Withdrawals or Corrective Actions</w:t>
      </w:r>
      <w:r>
        <w:rPr>
          <w:rFonts w:ascii="Arial" w:cs="Arial" w:eastAsia="Arial" w:hAnsi="Arial"/>
          <w:sz w:val="18"/>
          <w:szCs w:val="18"/>
          <w:color w:val="auto"/>
        </w:rPr>
        <w:t>.</w:t>
      </w:r>
    </w:p>
    <w:p>
      <w:pPr>
        <w:spacing w:after="0" w:line="117" w:lineRule="exact"/>
        <w:rPr>
          <w:sz w:val="20"/>
          <w:szCs w:val="20"/>
          <w:color w:val="auto"/>
        </w:rPr>
      </w:pPr>
    </w:p>
    <w:p>
      <w:pPr>
        <w:ind w:left="120" w:firstLine="401"/>
        <w:spacing w:after="0" w:line="269" w:lineRule="auto"/>
        <w:rPr>
          <w:sz w:val="20"/>
          <w:szCs w:val="20"/>
          <w:color w:val="auto"/>
        </w:rPr>
      </w:pPr>
      <w:r>
        <w:rPr>
          <w:rFonts w:ascii="Arial" w:cs="Arial" w:eastAsia="Arial" w:hAnsi="Arial"/>
          <w:sz w:val="17"/>
          <w:szCs w:val="17"/>
          <w:b w:val="1"/>
          <w:bCs w:val="1"/>
          <w:color w:val="auto"/>
        </w:rPr>
        <w:t xml:space="preserve">6.1.8.1. </w:t>
      </w:r>
      <w:r>
        <w:rPr>
          <w:rFonts w:ascii="Arial" w:cs="Arial" w:eastAsia="Arial" w:hAnsi="Arial"/>
          <w:sz w:val="17"/>
          <w:szCs w:val="17"/>
          <w:u w:val="single" w:color="auto"/>
          <w:color w:val="auto"/>
        </w:rPr>
        <w:t>Generally</w:t>
      </w:r>
      <w:r>
        <w:rPr>
          <w:rFonts w:ascii="Arial" w:cs="Arial" w:eastAsia="Arial" w:hAnsi="Arial"/>
          <w:sz w:val="17"/>
          <w:szCs w:val="17"/>
          <w:color w:val="auto"/>
        </w:rPr>
        <w:t>. In the event that any Regulatory Authority issues or requests a recall or takes a similar action in connection with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Licensed Product in a Territory, or in the event either Party determines that an event, incident or circumstance has occurred that may result in the need for a recall or market withdrawal of a Licensed Product in its own Territory, the Party notified of such recall or similar action, or the Party that desires such recall or similar action, shall, within [***] of such request, order or determination, notify the other Party by telephone, facsimile or e-mail in accordance with </w:t>
      </w:r>
      <w:r>
        <w:rPr>
          <w:rFonts w:ascii="Arial" w:cs="Arial" w:eastAsia="Arial" w:hAnsi="Arial"/>
          <w:sz w:val="17"/>
          <w:szCs w:val="17"/>
          <w:u w:val="single" w:color="auto"/>
          <w:color w:val="auto"/>
        </w:rPr>
        <w:t>Section 16.10</w:t>
      </w:r>
      <w:r>
        <w:rPr>
          <w:rFonts w:ascii="Arial" w:cs="Arial" w:eastAsia="Arial" w:hAnsi="Arial"/>
          <w:sz w:val="17"/>
          <w:szCs w:val="17"/>
          <w:color w:val="auto"/>
        </w:rPr>
        <w:t xml:space="preserve">. Each Party, in consultation with the other Party but in its own discretion, shall decide whether to conduct a recall of a Licensed Product in its own Territory and the manner in which any such recall shall be conducted (except in the case of a government mandated recall, when such Party may act without such advance notice but shall notify the other Party as soon as possible). Except as may otherwise be agreed to by the Parties, each Party shall bear the expense of any such recall in its own Territory; provided that the other Party shall bear such cost if the recall occurs due to recklessness, willful misconduct or negligence of the other Party or the other Party’s breach of this Agreement or any other agreement. Each Party will make available all of its pertinent records that may be reasonably requested by the other Party in order to effect a recall of a Licensed Product in the other Party’s Territory. The Parties’ rights and obligations under this </w:t>
      </w:r>
      <w:r>
        <w:rPr>
          <w:rFonts w:ascii="Arial" w:cs="Arial" w:eastAsia="Arial" w:hAnsi="Arial"/>
          <w:sz w:val="17"/>
          <w:szCs w:val="17"/>
          <w:u w:val="single" w:color="auto"/>
          <w:color w:val="auto"/>
        </w:rPr>
        <w:t>Section 6.1.8.1</w:t>
      </w:r>
      <w:r>
        <w:rPr>
          <w:rFonts w:ascii="Arial" w:cs="Arial" w:eastAsia="Arial" w:hAnsi="Arial"/>
          <w:sz w:val="17"/>
          <w:szCs w:val="17"/>
          <w:color w:val="auto"/>
        </w:rPr>
        <w:t xml:space="preserve"> shall be subject to the terms of any supply agreement(s) entered into between the Parties.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6.1.9. Ex-Territory Sales; Export Monitoring</w:t>
      </w:r>
      <w:r>
        <w:rPr>
          <w:rFonts w:ascii="Arial" w:cs="Arial" w:eastAsia="Arial" w:hAnsi="Arial"/>
          <w:sz w:val="18"/>
          <w:szCs w:val="18"/>
          <w:color w:val="auto"/>
        </w:rPr>
        <w:t>.</w:t>
      </w:r>
    </w:p>
    <w:p>
      <w:pPr>
        <w:spacing w:after="0" w:line="117" w:lineRule="exact"/>
        <w:rPr>
          <w:sz w:val="20"/>
          <w:szCs w:val="20"/>
          <w:color w:val="auto"/>
        </w:rPr>
      </w:pPr>
    </w:p>
    <w:p>
      <w:pPr>
        <w:ind w:left="120" w:right="40" w:firstLine="401"/>
        <w:spacing w:after="0" w:line="303" w:lineRule="auto"/>
        <w:rPr>
          <w:sz w:val="20"/>
          <w:szCs w:val="20"/>
          <w:color w:val="auto"/>
        </w:rPr>
      </w:pPr>
      <w:r>
        <w:rPr>
          <w:rFonts w:ascii="Arial" w:cs="Arial" w:eastAsia="Arial" w:hAnsi="Arial"/>
          <w:sz w:val="16"/>
          <w:szCs w:val="16"/>
          <w:b w:val="1"/>
          <w:bCs w:val="1"/>
          <w:color w:val="auto"/>
        </w:rPr>
        <w:t xml:space="preserve">6.1.9.1. </w:t>
      </w:r>
      <w:r>
        <w:rPr>
          <w:rFonts w:ascii="Arial" w:cs="Arial" w:eastAsia="Arial" w:hAnsi="Arial"/>
          <w:sz w:val="16"/>
          <w:szCs w:val="16"/>
          <w:u w:val="single" w:color="auto"/>
          <w:color w:val="auto"/>
        </w:rPr>
        <w:t>Ex-Territory Sales</w:t>
      </w:r>
      <w:r>
        <w:rPr>
          <w:rFonts w:ascii="Arial" w:cs="Arial" w:eastAsia="Arial" w:hAnsi="Arial"/>
          <w:sz w:val="16"/>
          <w:szCs w:val="16"/>
          <w:color w:val="auto"/>
        </w:rPr>
        <w:t>. Subject to applicable Law, neither Party shall engage in any advertising or promotional activities relating</w:t>
      </w:r>
      <w:r>
        <w:rPr>
          <w:rFonts w:ascii="Arial" w:cs="Arial" w:eastAsia="Arial" w:hAnsi="Arial"/>
          <w:sz w:val="16"/>
          <w:szCs w:val="16"/>
          <w:b w:val="1"/>
          <w:bCs w:val="1"/>
          <w:color w:val="auto"/>
        </w:rPr>
        <w:t xml:space="preserve"> </w:t>
      </w:r>
      <w:r>
        <w:rPr>
          <w:rFonts w:ascii="Arial" w:cs="Arial" w:eastAsia="Arial" w:hAnsi="Arial"/>
          <w:sz w:val="16"/>
          <w:szCs w:val="16"/>
          <w:color w:val="auto"/>
        </w:rPr>
        <w:t>to any Licensed Product directed primarily to customers or other buyers or users of such Licensed Product located outside its Territory or accept orders for Licensed Products from or sell Licensed Products into such other Party’s Territory for its own account, and if a Party receives any order for any Licensed Product in the other Party’s Territory, it shall refer such orders to the other Party.</w:t>
      </w:r>
    </w:p>
    <w:p>
      <w:pPr>
        <w:spacing w:after="0" w:line="43" w:lineRule="exact"/>
        <w:rPr>
          <w:sz w:val="20"/>
          <w:szCs w:val="20"/>
          <w:color w:val="auto"/>
        </w:rPr>
      </w:pPr>
    </w:p>
    <w:p>
      <w:pPr>
        <w:ind w:left="120" w:right="40" w:firstLine="401"/>
        <w:spacing w:after="0" w:line="274" w:lineRule="auto"/>
        <w:rPr>
          <w:sz w:val="20"/>
          <w:szCs w:val="20"/>
          <w:color w:val="auto"/>
        </w:rPr>
      </w:pPr>
      <w:r>
        <w:rPr>
          <w:rFonts w:ascii="Arial" w:cs="Arial" w:eastAsia="Arial" w:hAnsi="Arial"/>
          <w:sz w:val="17"/>
          <w:szCs w:val="17"/>
          <w:b w:val="1"/>
          <w:bCs w:val="1"/>
          <w:color w:val="auto"/>
        </w:rPr>
        <w:t xml:space="preserve">6.1.9.2. </w:t>
      </w:r>
      <w:r>
        <w:rPr>
          <w:rFonts w:ascii="Arial" w:cs="Arial" w:eastAsia="Arial" w:hAnsi="Arial"/>
          <w:sz w:val="17"/>
          <w:szCs w:val="17"/>
          <w:u w:val="single" w:color="auto"/>
          <w:color w:val="auto"/>
        </w:rPr>
        <w:t>Export Monitoring</w:t>
      </w:r>
      <w:r>
        <w:rPr>
          <w:rFonts w:ascii="Arial" w:cs="Arial" w:eastAsia="Arial" w:hAnsi="Arial"/>
          <w:sz w:val="17"/>
          <w:szCs w:val="17"/>
          <w:color w:val="auto"/>
        </w:rPr>
        <w:t>. Each Party and its Related Parties will use Commercially Reasonable Efforts to monitor and prevent</w:t>
      </w:r>
      <w:r>
        <w:rPr>
          <w:rFonts w:ascii="Arial" w:cs="Arial" w:eastAsia="Arial" w:hAnsi="Arial"/>
          <w:sz w:val="17"/>
          <w:szCs w:val="17"/>
          <w:b w:val="1"/>
          <w:bCs w:val="1"/>
          <w:color w:val="auto"/>
        </w:rPr>
        <w:t xml:space="preserve"> </w:t>
      </w:r>
      <w:r>
        <w:rPr>
          <w:rFonts w:ascii="Arial" w:cs="Arial" w:eastAsia="Arial" w:hAnsi="Arial"/>
          <w:sz w:val="17"/>
          <w:szCs w:val="17"/>
          <w:color w:val="auto"/>
        </w:rPr>
        <w:t>exports of Licensed Products from its own Territory for Commercialization in the other Party’s Territory at its own cost using methods permitted under applicable Law that are commonly used in the industry for such purpose (if any), and shall promptly inform the other Party of any such exports of Licensed Products from its Territory, and any actions taken to prevent such exports. Each Party agrees to take reasonable actions requested in writing by the other Party that are consistent with applicable Law to prevent exports of Licensed Products from its Territory for Commercialization in the other Party’s Territory.</w:t>
      </w:r>
    </w:p>
    <w:p>
      <w:pPr>
        <w:spacing w:after="0" w:line="11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120"/>
          </w:cols>
          <w:pgMar w:left="1300" w:top="269" w:right="479" w:bottom="1440" w:gutter="0" w:footer="0" w:header="0"/>
        </w:sectPr>
      </w:pPr>
    </w:p>
    <w:bookmarkStart w:id="594" w:name="page595"/>
    <w:bookmarkEnd w:id="5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 MANUFACTURE AND SUPPLY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Licensed Drug Candidates and Licensed Products</w:t>
      </w:r>
      <w:r>
        <w:rPr>
          <w:rFonts w:ascii="Arial" w:cs="Arial" w:eastAsia="Arial" w:hAnsi="Arial"/>
          <w:sz w:val="18"/>
          <w:szCs w:val="18"/>
          <w:color w:val="auto"/>
        </w:rPr>
        <w:t>.</w:t>
      </w:r>
    </w:p>
    <w:p>
      <w:pPr>
        <w:spacing w:after="0" w:line="117" w:lineRule="exact"/>
        <w:rPr>
          <w:sz w:val="20"/>
          <w:szCs w:val="20"/>
          <w:color w:val="auto"/>
        </w:rPr>
      </w:pPr>
    </w:p>
    <w:p>
      <w:pPr>
        <w:ind w:left="440" w:firstLine="423"/>
        <w:spacing w:after="0" w:line="273" w:lineRule="auto"/>
        <w:rPr>
          <w:sz w:val="20"/>
          <w:szCs w:val="20"/>
          <w:color w:val="auto"/>
        </w:rPr>
      </w:pPr>
      <w:r>
        <w:rPr>
          <w:rFonts w:ascii="Arial" w:cs="Arial" w:eastAsia="Arial" w:hAnsi="Arial"/>
          <w:sz w:val="17"/>
          <w:szCs w:val="17"/>
          <w:b w:val="1"/>
          <w:bCs w:val="1"/>
          <w:color w:val="auto"/>
        </w:rPr>
        <w:t>7.1.1. General</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7.3</w:t>
      </w:r>
      <w:r>
        <w:rPr>
          <w:rFonts w:ascii="Arial" w:cs="Arial" w:eastAsia="Arial" w:hAnsi="Arial"/>
          <w:sz w:val="17"/>
          <w:szCs w:val="17"/>
          <w:color w:val="auto"/>
        </w:rPr>
        <w:t>, Repare will have the primary responsibility for the Manufacture of Licensed Drug Candidates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Licensed Products, pursuant to a single, uniform set of specifications and applicable Laws and their requirements, including, but not limited to, cGMP, for the purpose of Development and Commercialization thereof throughout the Repare Territory and the Ono Territory, either by itself or, subject to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(Subcontracting), through one or more Third Party contract manufacturing organizations. The Global Development Plan shall include Repare’s strategy for commercial scale manufacturing. Repare shall conduct any activity for CMC for the Repare Territory. Ono will be responsible for the CMC and Manufacturing activities in connection with Development of the Polq Program solely for obtaining Manufacturing and Regulatory Approval solely for the Ono Territory.</w:t>
      </w:r>
    </w:p>
    <w:p>
      <w:pPr>
        <w:spacing w:after="0" w:line="64" w:lineRule="exact"/>
        <w:rPr>
          <w:sz w:val="20"/>
          <w:szCs w:val="20"/>
          <w:color w:val="auto"/>
        </w:rPr>
      </w:pPr>
    </w:p>
    <w:p>
      <w:pPr>
        <w:ind w:left="440" w:right="260" w:firstLine="423"/>
        <w:spacing w:after="0" w:line="274" w:lineRule="auto"/>
        <w:rPr>
          <w:sz w:val="20"/>
          <w:szCs w:val="20"/>
          <w:color w:val="auto"/>
        </w:rPr>
      </w:pPr>
      <w:r>
        <w:rPr>
          <w:rFonts w:ascii="Arial" w:cs="Arial" w:eastAsia="Arial" w:hAnsi="Arial"/>
          <w:sz w:val="17"/>
          <w:szCs w:val="17"/>
          <w:b w:val="1"/>
          <w:bCs w:val="1"/>
          <w:color w:val="auto"/>
        </w:rPr>
        <w:t>7.1.2. Subcontracting</w:t>
      </w:r>
      <w:r>
        <w:rPr>
          <w:rFonts w:ascii="Arial" w:cs="Arial" w:eastAsia="Arial" w:hAnsi="Arial"/>
          <w:sz w:val="17"/>
          <w:szCs w:val="17"/>
          <w:color w:val="auto"/>
        </w:rPr>
        <w:t>. If, after the Effective Date, Repare desires to subcontract the Manufacture of any Licensed Drug Candidates or</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Products to a Third Party contract manufacturing organization, Repare shall first provide the proposed contract with such contract manufacturing organization (a “</w:t>
      </w:r>
      <w:r>
        <w:rPr>
          <w:rFonts w:ascii="Arial" w:cs="Arial" w:eastAsia="Arial" w:hAnsi="Arial"/>
          <w:sz w:val="17"/>
          <w:szCs w:val="17"/>
          <w:b w:val="1"/>
          <w:bCs w:val="1"/>
          <w:color w:val="auto"/>
        </w:rPr>
        <w:t>Manufacturing Subcontract</w:t>
      </w:r>
      <w:r>
        <w:rPr>
          <w:rFonts w:ascii="Arial" w:cs="Arial" w:eastAsia="Arial" w:hAnsi="Arial"/>
          <w:sz w:val="17"/>
          <w:szCs w:val="17"/>
          <w:color w:val="auto"/>
        </w:rPr>
        <w:t xml:space="preserve">”) to Ono for review and comment at least [***] prior to the execution of such Manufacturing Subcontract. Repare shall consider any comments provided by Ono in good faith. Each Manufacturing Subcontract shall (a) be consistent with the terms of this Agreement, (b) contain confidentiality obligations, in the aggregate, not materially less stringent than the requirements of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(Confidentiality and Publication) and (c) [***].</w:t>
      </w:r>
    </w:p>
    <w:p>
      <w:pPr>
        <w:spacing w:after="0" w:line="173"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u w:val="single" w:color="auto"/>
          <w:color w:val="auto"/>
        </w:rPr>
        <w:t>Supply Agreements</w:t>
      </w:r>
      <w:r>
        <w:rPr>
          <w:rFonts w:ascii="Arial" w:cs="Arial" w:eastAsia="Arial" w:hAnsi="Arial"/>
          <w:sz w:val="16"/>
          <w:szCs w:val="16"/>
          <w:color w:val="auto"/>
        </w:rPr>
        <w:t>. Upon request by Ono, the Parties will negotiate in good faith towards a supply agreement (and any other necessary</w:t>
      </w:r>
      <w:r>
        <w:rPr>
          <w:rFonts w:ascii="Arial" w:cs="Arial" w:eastAsia="Arial" w:hAnsi="Arial"/>
          <w:sz w:val="16"/>
          <w:szCs w:val="16"/>
          <w:b w:val="1"/>
          <w:bCs w:val="1"/>
          <w:color w:val="auto"/>
        </w:rPr>
        <w:t xml:space="preserve"> </w:t>
      </w:r>
      <w:r>
        <w:rPr>
          <w:rFonts w:ascii="Arial" w:cs="Arial" w:eastAsia="Arial" w:hAnsi="Arial"/>
          <w:sz w:val="16"/>
          <w:szCs w:val="16"/>
          <w:color w:val="auto"/>
        </w:rPr>
        <w:t>ancillary agreements including a quality technical agreement) for clinical or commercial supply of such Licensed Drug Candidate and Licensed Product from Repare to Ono (each, a “</w:t>
      </w:r>
      <w:r>
        <w:rPr>
          <w:rFonts w:ascii="Arial" w:cs="Arial" w:eastAsia="Arial" w:hAnsi="Arial"/>
          <w:sz w:val="16"/>
          <w:szCs w:val="16"/>
          <w:b w:val="1"/>
          <w:bCs w:val="1"/>
          <w:color w:val="auto"/>
        </w:rPr>
        <w:t>Supply Agreement</w:t>
      </w:r>
      <w:r>
        <w:rPr>
          <w:rFonts w:ascii="Arial" w:cs="Arial" w:eastAsia="Arial" w:hAnsi="Arial"/>
          <w:sz w:val="16"/>
          <w:szCs w:val="16"/>
          <w:color w:val="auto"/>
        </w:rPr>
        <w:t>”) which will be on commercially reasonable terms customary to Third Party contract manufacturing organization supply agreements and shall include key performance indicators (including criteria regarding manufacturing capacity, quantity, timeliness of delivery, quality and cost that are consistent with prevailing industry standards for Third Party contract manufacturing supply agreements). Any Licensed Drug Candidate or Licensed Product supplied under a Supply Agreement will be supplied at a price no greater than [***] for such Licensed Drug Candidate or Licensed Product. In cases where the Licensed Drug Candidate or Licensed Product is Manufactured and supplied by a Third Party contract manufacturing organization, Repare will [***]. Notwithstanding the foregoing, if Repare engages a Third Party contract manufacturing organization to supply Licensed Drug Candidate or Licensed Product, then (a) in its agreement with such Third Party contract manufacturing organization, Repare shall not include any limitations on such Third Party’s ability to supply Ono with such Licensed Drug Candidate or Licensed Product, and (b) upon the request of Ono, Repare shall facilitate initial business discussions between Ono and such Third Party contract manufacturing organization for the supply of such Licensed Drug Candidate or Licensed Product to Ono.</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440" w:top="269" w:right="519" w:bottom="1440" w:gutter="0" w:footer="0" w:header="0"/>
        </w:sectPr>
      </w:pPr>
    </w:p>
    <w:bookmarkStart w:id="595" w:name="page596"/>
    <w:bookmarkEnd w:id="595"/>
    <w:p>
      <w:pPr>
        <w:ind w:right="40" w:firstLine="440"/>
        <w:spacing w:after="0" w:line="26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7.3. Ono’s Right to Manufacture. </w:t>
      </w:r>
      <w:r>
        <w:rPr>
          <w:rFonts w:ascii="Arial" w:cs="Arial" w:eastAsia="Arial" w:hAnsi="Arial"/>
          <w:sz w:val="17"/>
          <w:szCs w:val="17"/>
          <w:color w:val="auto"/>
        </w:rPr>
        <w:t>If Ono elects to Manufacture the Licensed Drug Candidates or the Licensed Products by itself in the Field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Ono Territory for Development and Commercialization purposes, then within [***] after receipt of such request, Repare shall, in accordance with this </w:t>
      </w:r>
      <w:r>
        <w:rPr>
          <w:rFonts w:ascii="Arial" w:cs="Arial" w:eastAsia="Arial" w:hAnsi="Arial"/>
          <w:sz w:val="17"/>
          <w:szCs w:val="17"/>
          <w:u w:val="single" w:color="auto"/>
          <w:color w:val="auto"/>
        </w:rPr>
        <w:t>Section 7.3</w:t>
      </w:r>
      <w:r>
        <w:rPr>
          <w:rFonts w:ascii="Arial" w:cs="Arial" w:eastAsia="Arial" w:hAnsi="Arial"/>
          <w:sz w:val="17"/>
          <w:szCs w:val="17"/>
          <w:color w:val="auto"/>
        </w:rPr>
        <w:t>, transfer to Ono, an Affiliate of Ono, or a Third Party manufacturer approved by Repare (such approval not to be unreasonably withheld, delayed or conditioned), the Repare Know-How reasonably necessary or useful to enable Manufacture of the applicable Licensed Drug Candidates or Licensed Products for Development and Commercialization for the Ono Territory in the Field and not previously transferred to Ono, such Affiliate of Ono or any such Third Party manufacturer. Such Know-How transfer by Repare shall be conducted using Commercially Reasonable Efforts and shall include copies or samples of relevant documentation, materials, analytical assays for the Licensed Drug Candidates or the Licensed Products and other embodiments of such Repare Know-How. Upon such Know-How transfer, Repare shall also make available its qualified technical personnel on a reasonable basis to consult with Ono, such Affiliate of Ono or such Third Party manufacturer with respect to such Repare Know-How. The details of such Know-How transfer, including a specific list of Repare Know-How to be transferred by Repare, shall be set forth in a written technology transfer plan (the “</w:t>
      </w:r>
      <w:r>
        <w:rPr>
          <w:rFonts w:ascii="Arial" w:cs="Arial" w:eastAsia="Arial" w:hAnsi="Arial"/>
          <w:sz w:val="17"/>
          <w:szCs w:val="17"/>
          <w:b w:val="1"/>
          <w:bCs w:val="1"/>
          <w:color w:val="auto"/>
        </w:rPr>
        <w:t>Manufacturing Technology Transfer Plan</w:t>
      </w:r>
      <w:r>
        <w:rPr>
          <w:rFonts w:ascii="Arial" w:cs="Arial" w:eastAsia="Arial" w:hAnsi="Arial"/>
          <w:sz w:val="17"/>
          <w:szCs w:val="17"/>
          <w:color w:val="auto"/>
        </w:rPr>
        <w:t xml:space="preserve">”) executed by the Parties for the purpose of ensuring the complete and timely transfer of such Repare Know-How and the protection of Repare’s rights in such Repare Know-How. Manufacturing Technology Transfer Plan shall take into consideration, among other things, the Development and Commercialization activities in or for the Ono Territory, and the other responsibilities for key employees of Repare. Ono shall pay the amounts set forth in the Manufacturing Technology Transfer Plan for the work and transfer performed by Repare and shall reimburse Repare for its Out-of-Pocket Costs incurred in the course of such transfer pursuant to this </w:t>
      </w:r>
      <w:r>
        <w:rPr>
          <w:rFonts w:ascii="Arial" w:cs="Arial" w:eastAsia="Arial" w:hAnsi="Arial"/>
          <w:sz w:val="17"/>
          <w:szCs w:val="17"/>
          <w:u w:val="single" w:color="auto"/>
          <w:color w:val="auto"/>
        </w:rPr>
        <w:t>Section 7.3</w:t>
      </w:r>
      <w:r>
        <w:rPr>
          <w:rFonts w:ascii="Arial" w:cs="Arial" w:eastAsia="Arial" w:hAnsi="Arial"/>
          <w:sz w:val="17"/>
          <w:szCs w:val="17"/>
          <w:color w:val="auto"/>
        </w:rPr>
        <w:t>. Repare shall have no obligation to transfer any Repare Know-How to Ono until the full execution of the Manufacturing Technology Transfer Plan by both Parties. For clarity, during the transfer of such Repare Know-How, Repare shall continue to Manufacture and supply the Licensed Drug Candidates and the Licensed Product to Ono in accordance with the Supply Agreement.</w:t>
      </w:r>
    </w:p>
    <w:p>
      <w:pPr>
        <w:spacing w:after="0" w:line="175"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u w:val="single" w:color="auto"/>
          <w:color w:val="auto"/>
        </w:rPr>
        <w:t>Related Substance Supply</w:t>
      </w:r>
      <w:r>
        <w:rPr>
          <w:rFonts w:ascii="Arial" w:cs="Arial" w:eastAsia="Arial" w:hAnsi="Arial"/>
          <w:sz w:val="18"/>
          <w:szCs w:val="18"/>
          <w:b w:val="1"/>
          <w:bCs w:val="1"/>
          <w:color w:val="auto"/>
        </w:rPr>
        <w:t xml:space="preserve">. </w:t>
      </w:r>
      <w:r>
        <w:rPr>
          <w:rFonts w:ascii="Arial" w:cs="Arial" w:eastAsia="Arial" w:hAnsi="Arial"/>
          <w:sz w:val="18"/>
          <w:szCs w:val="18"/>
          <w:color w:val="auto"/>
        </w:rPr>
        <w:t>Ono shall have the right to purchase from Repare, and Repare shall supply to Ono without execution of a Supply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related substance of the Licensed Drug Candidate (e.g., reference standard, internal standard and impurities) necessary for Ono to conduct non-clinical studies, preclinical studies or Clinical Studies, including, but not limited to analytical test method development or validation, for regulatory submissions or Commercialization in the Ono Territory, at (a) [***] or (b) [***] for such substance of the Licensed Drug Candidates from Repare’s Third Party manufacturer.</w:t>
      </w:r>
    </w:p>
    <w:p>
      <w:pPr>
        <w:spacing w:after="0" w:line="291" w:lineRule="exact"/>
        <w:rPr>
          <w:sz w:val="20"/>
          <w:szCs w:val="20"/>
          <w:color w:val="auto"/>
        </w:rPr>
      </w:pPr>
    </w:p>
    <w:p>
      <w:pPr>
        <w:jc w:val="center"/>
        <w:ind w:right="7840"/>
        <w:spacing w:after="0"/>
        <w:rPr>
          <w:sz w:val="20"/>
          <w:szCs w:val="20"/>
          <w:color w:val="auto"/>
        </w:rPr>
      </w:pPr>
      <w:r>
        <w:rPr>
          <w:rFonts w:ascii="Arial" w:cs="Arial" w:eastAsia="Arial" w:hAnsi="Arial"/>
          <w:sz w:val="18"/>
          <w:szCs w:val="18"/>
          <w:b w:val="1"/>
          <w:bCs w:val="1"/>
          <w:color w:val="auto"/>
        </w:rPr>
        <w:t>8. COLLABORATION MANAGEMENT</w:t>
      </w:r>
    </w:p>
    <w:p>
      <w:pPr>
        <w:spacing w:after="0" w:line="117" w:lineRule="exact"/>
        <w:rPr>
          <w:sz w:val="20"/>
          <w:szCs w:val="20"/>
          <w:color w:val="auto"/>
        </w:rPr>
      </w:pPr>
    </w:p>
    <w:p>
      <w:pPr>
        <w:jc w:val="center"/>
        <w:ind w:right="7820"/>
        <w:spacing w:after="0"/>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b w:val="1"/>
          <w:bCs w:val="1"/>
          <w:u w:val="single" w:color="auto"/>
          <w:color w:val="auto"/>
        </w:rPr>
        <w:t>Joint Steering Committee</w:t>
      </w:r>
      <w:r>
        <w:rPr>
          <w:rFonts w:ascii="Arial" w:cs="Arial" w:eastAsia="Arial" w:hAnsi="Arial"/>
          <w:sz w:val="18"/>
          <w:szCs w:val="18"/>
          <w:color w:val="auto"/>
        </w:rPr>
        <w:t>.</w:t>
      </w:r>
    </w:p>
    <w:p>
      <w:pPr>
        <w:spacing w:after="0" w:line="117" w:lineRule="exact"/>
        <w:rPr>
          <w:sz w:val="20"/>
          <w:szCs w:val="20"/>
          <w:color w:val="auto"/>
        </w:rPr>
      </w:pPr>
    </w:p>
    <w:p>
      <w:pPr>
        <w:ind w:left="440" w:firstLine="423"/>
        <w:spacing w:after="0" w:line="266" w:lineRule="auto"/>
        <w:rPr>
          <w:sz w:val="20"/>
          <w:szCs w:val="20"/>
          <w:color w:val="auto"/>
        </w:rPr>
      </w:pPr>
      <w:r>
        <w:rPr>
          <w:rFonts w:ascii="Arial" w:cs="Arial" w:eastAsia="Arial" w:hAnsi="Arial"/>
          <w:sz w:val="18"/>
          <w:szCs w:val="18"/>
          <w:b w:val="1"/>
          <w:bCs w:val="1"/>
          <w:color w:val="auto"/>
        </w:rPr>
        <w:t xml:space="preserve">8.1.1. </w:t>
      </w:r>
      <w:r>
        <w:rPr>
          <w:rFonts w:ascii="Arial" w:cs="Arial" w:eastAsia="Arial" w:hAnsi="Arial"/>
          <w:sz w:val="18"/>
          <w:szCs w:val="18"/>
          <w:b w:val="1"/>
          <w:bCs w:val="1"/>
          <w:u w:val="single" w:color="auto"/>
          <w:color w:val="auto"/>
        </w:rPr>
        <w:t>Overview</w:t>
      </w:r>
      <w:r>
        <w:rPr>
          <w:rFonts w:ascii="Arial" w:cs="Arial" w:eastAsia="Arial" w:hAnsi="Arial"/>
          <w:sz w:val="18"/>
          <w:szCs w:val="18"/>
          <w:color w:val="auto"/>
        </w:rPr>
        <w:t>. Within [***] after the DC Selection Date, the Parties will establish a Joint Steering Committee to review or approve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case may be) and guide implementation, management, and modifications of the Global Development Plans and other plans, including but not limited to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69" w:right="439" w:bottom="1440" w:gutter="0" w:footer="0" w:header="0"/>
        </w:sectPr>
      </w:pPr>
    </w:p>
    <w:bookmarkStart w:id="596" w:name="page597"/>
    <w:bookmarkEnd w:id="596"/>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Commercialization plans in the Territory. The Parties agree and acknowledge that the structure or composition of the JSC may be adjusted or expanded to include Related Parties of Repare or to otherwise address changes in the Global Development Plan or other changes in global strategy with respect to the Collaboration, Licensed Drug Candidates or Licensed Products.</w:t>
      </w:r>
    </w:p>
    <w:p>
      <w:pPr>
        <w:spacing w:after="0" w:line="72" w:lineRule="exact"/>
        <w:rPr>
          <w:sz w:val="20"/>
          <w:szCs w:val="20"/>
          <w:color w:val="auto"/>
        </w:rPr>
      </w:pPr>
    </w:p>
    <w:p>
      <w:pPr>
        <w:ind w:firstLine="423"/>
        <w:spacing w:after="0" w:line="291" w:lineRule="auto"/>
        <w:rPr>
          <w:sz w:val="20"/>
          <w:szCs w:val="20"/>
          <w:color w:val="auto"/>
        </w:rPr>
      </w:pPr>
      <w:r>
        <w:rPr>
          <w:rFonts w:ascii="Arial" w:cs="Arial" w:eastAsia="Arial" w:hAnsi="Arial"/>
          <w:sz w:val="16"/>
          <w:szCs w:val="16"/>
          <w:b w:val="1"/>
          <w:bCs w:val="1"/>
          <w:color w:val="auto"/>
        </w:rPr>
        <w:t>8.1.2. Composition</w:t>
      </w:r>
      <w:r>
        <w:rPr>
          <w:rFonts w:ascii="Arial" w:cs="Arial" w:eastAsia="Arial" w:hAnsi="Arial"/>
          <w:sz w:val="16"/>
          <w:szCs w:val="16"/>
          <w:color w:val="auto"/>
        </w:rPr>
        <w:t>. The JSC shall be comprised of six (6) members, with each Party contributing three (3) representatives who 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employees of such Party. Each Party shall appoint its respective representatives to the JSC and may substitute one or more of its representatives, in its sole discretion, effective upon notice to the other Party of such change. Repare shall have at least two (2) JSC representatives who are executive level employees (vice president or above), Ono shall have at least two (2) JSC representatives who are director level employees, and all JSC representatives shall have appropriate expertise, seniority, decision-making authority and ongoing familiarity with the Collaboration. Additional representatives or consultants may from time to time, by mutual consent of the Parties, be invited to attend JSC meetings, subject to such representatives and consultants (or the representative’s or consultant’s employer) undertaking confidentiality obligations, whether in a written agreement or by operation of law, no less stringent than the requirements of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(Nondisclosure Obligation).</w:t>
      </w:r>
    </w:p>
    <w:p>
      <w:pPr>
        <w:spacing w:after="0" w:line="51" w:lineRule="exact"/>
        <w:rPr>
          <w:sz w:val="20"/>
          <w:szCs w:val="20"/>
          <w:color w:val="auto"/>
        </w:rPr>
      </w:pPr>
    </w:p>
    <w:p>
      <w:pPr>
        <w:ind w:right="20" w:firstLine="423"/>
        <w:spacing w:after="0" w:line="261" w:lineRule="auto"/>
        <w:rPr>
          <w:sz w:val="20"/>
          <w:szCs w:val="20"/>
          <w:color w:val="auto"/>
        </w:rPr>
      </w:pPr>
      <w:r>
        <w:rPr>
          <w:rFonts w:ascii="Arial" w:cs="Arial" w:eastAsia="Arial" w:hAnsi="Arial"/>
          <w:sz w:val="18"/>
          <w:szCs w:val="18"/>
          <w:b w:val="1"/>
          <w:bCs w:val="1"/>
          <w:color w:val="auto"/>
        </w:rPr>
        <w:t>8.1.3. JSC Chairperson</w:t>
      </w:r>
      <w:r>
        <w:rPr>
          <w:rFonts w:ascii="Arial" w:cs="Arial" w:eastAsia="Arial" w:hAnsi="Arial"/>
          <w:sz w:val="18"/>
          <w:szCs w:val="18"/>
          <w:color w:val="auto"/>
        </w:rPr>
        <w:t>. The JSC shall be co-chaired, with one chairperson designated by Repare and one chairperson designated by Ono,</w:t>
      </w:r>
      <w:r>
        <w:rPr>
          <w:rFonts w:ascii="Arial" w:cs="Arial" w:eastAsia="Arial" w:hAnsi="Arial"/>
          <w:sz w:val="18"/>
          <w:szCs w:val="18"/>
          <w:b w:val="1"/>
          <w:bCs w:val="1"/>
          <w:color w:val="auto"/>
        </w:rPr>
        <w:t xml:space="preserve"> </w:t>
      </w:r>
      <w:r>
        <w:rPr>
          <w:rFonts w:ascii="Arial" w:cs="Arial" w:eastAsia="Arial" w:hAnsi="Arial"/>
          <w:sz w:val="18"/>
          <w:szCs w:val="18"/>
          <w:color w:val="auto"/>
        </w:rPr>
        <w:t>whose responsibilities shall include conducting meetings, including, when feasible, ensuring that objectives for each meeting are set and achieved. Responsibility for running each meeting of the JSC will alternate between the chairpersons from meeting-to-meeting, with Ono’s chairperson running the first meeting.</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8.1.4. Liaisons</w:t>
      </w:r>
      <w:r>
        <w:rPr>
          <w:rFonts w:ascii="Arial" w:cs="Arial" w:eastAsia="Arial" w:hAnsi="Arial"/>
          <w:sz w:val="18"/>
          <w:szCs w:val="18"/>
          <w:color w:val="auto"/>
        </w:rPr>
        <w:t>.</w:t>
      </w:r>
    </w:p>
    <w:p>
      <w:pPr>
        <w:spacing w:after="0" w:line="117" w:lineRule="exact"/>
        <w:rPr>
          <w:sz w:val="20"/>
          <w:szCs w:val="20"/>
          <w:color w:val="auto"/>
        </w:rPr>
      </w:pPr>
    </w:p>
    <w:p>
      <w:pPr>
        <w:ind w:left="540" w:right="20" w:firstLine="401"/>
        <w:spacing w:after="0" w:line="291" w:lineRule="auto"/>
        <w:rPr>
          <w:sz w:val="20"/>
          <w:szCs w:val="20"/>
          <w:color w:val="auto"/>
        </w:rPr>
      </w:pPr>
      <w:r>
        <w:rPr>
          <w:rFonts w:ascii="Arial" w:cs="Arial" w:eastAsia="Arial" w:hAnsi="Arial"/>
          <w:sz w:val="16"/>
          <w:szCs w:val="16"/>
          <w:b w:val="1"/>
          <w:bCs w:val="1"/>
          <w:color w:val="auto"/>
        </w:rPr>
        <w:t xml:space="preserve">8.1.4.1. </w:t>
      </w:r>
      <w:r>
        <w:rPr>
          <w:rFonts w:ascii="Arial" w:cs="Arial" w:eastAsia="Arial" w:hAnsi="Arial"/>
          <w:sz w:val="16"/>
          <w:szCs w:val="16"/>
          <w:color w:val="auto"/>
        </w:rPr>
        <w:t>Each Party shall appoint a liaison who is an employee of such Party (each, a “</w:t>
      </w:r>
      <w:r>
        <w:rPr>
          <w:rFonts w:ascii="Arial" w:cs="Arial" w:eastAsia="Arial" w:hAnsi="Arial"/>
          <w:sz w:val="16"/>
          <w:szCs w:val="16"/>
          <w:b w:val="1"/>
          <w:bCs w:val="1"/>
          <w:color w:val="auto"/>
        </w:rPr>
        <w:t>Liaison</w:t>
      </w:r>
      <w:r>
        <w:rPr>
          <w:rFonts w:ascii="Arial" w:cs="Arial" w:eastAsia="Arial" w:hAnsi="Arial"/>
          <w:sz w:val="16"/>
          <w:szCs w:val="16"/>
          <w:color w:val="auto"/>
        </w:rPr>
        <w:t>”). Each Liaison will be responsible to</w:t>
      </w:r>
      <w:r>
        <w:rPr>
          <w:rFonts w:ascii="Arial" w:cs="Arial" w:eastAsia="Arial" w:hAnsi="Arial"/>
          <w:sz w:val="16"/>
          <w:szCs w:val="16"/>
          <w:b w:val="1"/>
          <w:bCs w:val="1"/>
          <w:color w:val="auto"/>
        </w:rPr>
        <w:t xml:space="preserve"> </w:t>
      </w:r>
      <w:r>
        <w:rPr>
          <w:rFonts w:ascii="Arial" w:cs="Arial" w:eastAsia="Arial" w:hAnsi="Arial"/>
          <w:sz w:val="16"/>
          <w:szCs w:val="16"/>
          <w:color w:val="auto"/>
        </w:rPr>
        <w:t>ensure a collaborative work environment between the Parties to ensure that the alliance is run smoothly, professionally and productively. Each Liaison shall act in his or her discretion to facilitate the execution of the Collaboration throughout their organization and will oversee and support implementation plans; promote effectiveness of the governance model and implementation of contractual provisions and lead any changes to enhance the alliance; and facilitate the JSC and JRC (and other bodies) for effective decision making in a timely manner. The Liaison will serve as a primary point of contact for the other Party under the Collaboration and will undertake such other tasks as are detailed in this Agreement or as may be assigned by the JSC or JRC. Each Liaison shall attend each meeting of the JSC and JRC. Each Party may change its Liaison at any time in its sole discretion with written notice to the other Party.</w:t>
      </w:r>
    </w:p>
    <w:p>
      <w:pPr>
        <w:spacing w:after="0" w:line="51" w:lineRule="exact"/>
        <w:rPr>
          <w:sz w:val="20"/>
          <w:szCs w:val="20"/>
          <w:color w:val="auto"/>
        </w:rPr>
      </w:pPr>
    </w:p>
    <w:p>
      <w:pPr>
        <w:ind w:left="540" w:right="100" w:firstLine="401"/>
        <w:spacing w:after="0" w:line="261" w:lineRule="auto"/>
        <w:rPr>
          <w:sz w:val="20"/>
          <w:szCs w:val="20"/>
          <w:color w:val="auto"/>
        </w:rPr>
      </w:pPr>
      <w:r>
        <w:rPr>
          <w:rFonts w:ascii="Arial" w:cs="Arial" w:eastAsia="Arial" w:hAnsi="Arial"/>
          <w:sz w:val="18"/>
          <w:szCs w:val="18"/>
          <w:b w:val="1"/>
          <w:bCs w:val="1"/>
          <w:color w:val="auto"/>
        </w:rPr>
        <w:t xml:space="preserve">8.1.4.2. </w:t>
      </w:r>
      <w:r>
        <w:rPr>
          <w:rFonts w:ascii="Arial" w:cs="Arial" w:eastAsia="Arial" w:hAnsi="Arial"/>
          <w:sz w:val="18"/>
          <w:szCs w:val="18"/>
          <w:color w:val="auto"/>
        </w:rPr>
        <w:t>The Liaisons shall be responsible for (i) scheduling meetings of the JSC and JRC, (ii) setting agendas for meetings with</w:t>
      </w:r>
      <w:r>
        <w:rPr>
          <w:rFonts w:ascii="Arial" w:cs="Arial" w:eastAsia="Arial" w:hAnsi="Arial"/>
          <w:sz w:val="18"/>
          <w:szCs w:val="18"/>
          <w:b w:val="1"/>
          <w:bCs w:val="1"/>
          <w:color w:val="auto"/>
        </w:rPr>
        <w:t xml:space="preserve"> </w:t>
      </w:r>
      <w:r>
        <w:rPr>
          <w:rFonts w:ascii="Arial" w:cs="Arial" w:eastAsia="Arial" w:hAnsi="Arial"/>
          <w:sz w:val="18"/>
          <w:szCs w:val="18"/>
          <w:color w:val="auto"/>
        </w:rPr>
        <w:t>solicited input from other members and (iii) acting as secretary at each meeting and preparing the draft minutes of such meeting, which shall provide a description in reasonable detail of the discussions held at the meeting and a list of any actions, decisions or determinations approved by the JSC or JRC. Within [***]</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60"/>
          </w:cols>
          <w:pgMar w:left="880" w:top="273" w:right="459" w:bottom="1440" w:gutter="0" w:footer="0" w:header="0"/>
        </w:sectPr>
      </w:pPr>
    </w:p>
    <w:bookmarkStart w:id="597" w:name="page598"/>
    <w:bookmarkEnd w:id="597"/>
    <w:p>
      <w:pPr>
        <w:jc w:val="both"/>
        <w:ind w:left="540"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after each meeting, the drafting Liaison shall provide the draft minutes to the other Liaison for review and comment. The minutes shall be finalized by approval of all the members of JSC or JRC. Beginning with Repare’s Liaison, such responsibilities shall alternate between the Liaisons on a meeting-by-meeting basis after each meeting of the applicable committee.</w:t>
      </w:r>
    </w:p>
    <w:p>
      <w:pPr>
        <w:spacing w:after="0" w:line="53" w:lineRule="exact"/>
        <w:rPr>
          <w:sz w:val="20"/>
          <w:szCs w:val="20"/>
          <w:color w:val="auto"/>
        </w:rPr>
      </w:pPr>
    </w:p>
    <w:p>
      <w:pPr>
        <w:ind w:firstLine="423"/>
        <w:spacing w:after="0" w:line="272" w:lineRule="auto"/>
        <w:rPr>
          <w:sz w:val="20"/>
          <w:szCs w:val="20"/>
          <w:color w:val="auto"/>
        </w:rPr>
      </w:pPr>
      <w:r>
        <w:rPr>
          <w:rFonts w:ascii="Arial" w:cs="Arial" w:eastAsia="Arial" w:hAnsi="Arial"/>
          <w:sz w:val="17"/>
          <w:szCs w:val="17"/>
          <w:b w:val="1"/>
          <w:bCs w:val="1"/>
          <w:color w:val="auto"/>
        </w:rPr>
        <w:t>8.1.5. Meetings</w:t>
      </w:r>
      <w:r>
        <w:rPr>
          <w:rFonts w:ascii="Arial" w:cs="Arial" w:eastAsia="Arial" w:hAnsi="Arial"/>
          <w:sz w:val="17"/>
          <w:szCs w:val="17"/>
          <w:color w:val="auto"/>
        </w:rPr>
        <w:t>. The JSC shall meet no less frequently than [***] per Calendar Year until the [***] anniversary of First Commercial Sale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first Licensed Product and [***] per Calendar Year after the [***] anniversary of First Commercial Sale of the first Licensed Product during the Term,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either Party may from time to time reasonably request that the JSC meet to undertake its duties under </w:t>
      </w:r>
      <w:r>
        <w:rPr>
          <w:rFonts w:ascii="Arial" w:cs="Arial" w:eastAsia="Arial" w:hAnsi="Arial"/>
          <w:sz w:val="17"/>
          <w:szCs w:val="17"/>
          <w:u w:val="single" w:color="auto"/>
          <w:color w:val="auto"/>
        </w:rPr>
        <w:t>Section 8.1.6</w:t>
      </w:r>
      <w:r>
        <w:rPr>
          <w:rFonts w:ascii="Arial" w:cs="Arial" w:eastAsia="Arial" w:hAnsi="Arial"/>
          <w:sz w:val="17"/>
          <w:szCs w:val="17"/>
          <w:color w:val="auto"/>
        </w:rPr>
        <w:t xml:space="preserve"> (JSC Responsibilities). The JSC may meet in person or by means of teleconference, videoconference or other similar communications equipment, but at least one (1) meeting per Calendar Year of the JSC shall be conducted in person. The location for the in-person meetings of the JSC shall, respectively, alternate between Repare’s headquarters and Ono’s headquarters (or such other locations as are mutually agreed by the Parties). All meetings and proceedings for the JSC or its subcommittees shall take place in English. Each Party shall bear its own expenses relating to attendance at such meetings by its representatives.</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8.1.6. JSC Responsibilities</w:t>
      </w:r>
      <w:r>
        <w:rPr>
          <w:rFonts w:ascii="Arial" w:cs="Arial" w:eastAsia="Arial" w:hAnsi="Arial"/>
          <w:sz w:val="17"/>
          <w:szCs w:val="17"/>
          <w:color w:val="auto"/>
        </w:rPr>
        <w:t>. The JSC shall have the following responsibilities with respect to the Development, Manufacturing, having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Manufactured and Commercialization of Licensed Drug Candidates and Licensed Products pursuant to the Collaboration:</w:t>
      </w:r>
    </w:p>
    <w:p>
      <w:pPr>
        <w:spacing w:after="0" w:line="103" w:lineRule="exact"/>
        <w:rPr>
          <w:sz w:val="20"/>
          <w:szCs w:val="20"/>
          <w:color w:val="auto"/>
        </w:rPr>
      </w:pPr>
    </w:p>
    <w:p>
      <w:pPr>
        <w:ind w:left="1620" w:hanging="249"/>
        <w:spacing w:after="0"/>
        <w:tabs>
          <w:tab w:leader="none" w:pos="162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review, discuss and approve the Global Development Plan including regulatory strategy and any updates or amendments</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102" w:lineRule="exact"/>
        <w:rPr>
          <w:rFonts w:ascii="Arial" w:cs="Arial" w:eastAsia="Arial" w:hAnsi="Arial"/>
          <w:sz w:val="16"/>
          <w:szCs w:val="16"/>
          <w:color w:val="auto"/>
        </w:rPr>
      </w:pPr>
    </w:p>
    <w:p>
      <w:pPr>
        <w:ind w:left="980" w:right="740" w:firstLine="391"/>
        <w:spacing w:after="0" w:line="277" w:lineRule="auto"/>
        <w:tabs>
          <w:tab w:leader="none" w:pos="1618" w:val="left"/>
        </w:tabs>
        <w:numPr>
          <w:ilvl w:val="0"/>
          <w:numId w:val="375"/>
        </w:numPr>
        <w:rPr>
          <w:rFonts w:ascii="Arial" w:cs="Arial" w:eastAsia="Arial" w:hAnsi="Arial"/>
          <w:sz w:val="18"/>
          <w:szCs w:val="18"/>
          <w:color w:val="auto"/>
        </w:rPr>
      </w:pPr>
      <w:r>
        <w:rPr>
          <w:rFonts w:ascii="Arial" w:cs="Arial" w:eastAsia="Arial" w:hAnsi="Arial"/>
          <w:sz w:val="18"/>
          <w:szCs w:val="18"/>
          <w:color w:val="auto"/>
        </w:rPr>
        <w:t>review and discuss each Ono Territory Development Plan, and all amendments and updates to such Ono Territory Development Plan;</w:t>
      </w:r>
    </w:p>
    <w:p>
      <w:pPr>
        <w:spacing w:after="0" w:line="62" w:lineRule="exact"/>
        <w:rPr>
          <w:rFonts w:ascii="Arial" w:cs="Arial" w:eastAsia="Arial" w:hAnsi="Arial"/>
          <w:sz w:val="18"/>
          <w:szCs w:val="18"/>
          <w:color w:val="auto"/>
        </w:rPr>
      </w:pPr>
    </w:p>
    <w:p>
      <w:pPr>
        <w:ind w:left="980" w:right="360" w:firstLine="391"/>
        <w:spacing w:after="0" w:line="277" w:lineRule="auto"/>
        <w:tabs>
          <w:tab w:leader="none" w:pos="1608" w:val="left"/>
        </w:tabs>
        <w:numPr>
          <w:ilvl w:val="0"/>
          <w:numId w:val="375"/>
        </w:numPr>
        <w:rPr>
          <w:rFonts w:ascii="Arial" w:cs="Arial" w:eastAsia="Arial" w:hAnsi="Arial"/>
          <w:sz w:val="18"/>
          <w:szCs w:val="18"/>
          <w:color w:val="auto"/>
        </w:rPr>
      </w:pPr>
      <w:r>
        <w:rPr>
          <w:rFonts w:ascii="Arial" w:cs="Arial" w:eastAsia="Arial" w:hAnsi="Arial"/>
          <w:sz w:val="18"/>
          <w:szCs w:val="18"/>
          <w:color w:val="auto"/>
        </w:rPr>
        <w:t>review and discuss each Repare Territory Development Plan, and all amendments and updates to such Repare Territory Development Plan;</w:t>
      </w:r>
    </w:p>
    <w:p>
      <w:pPr>
        <w:spacing w:after="0" w:line="62" w:lineRule="exact"/>
        <w:rPr>
          <w:rFonts w:ascii="Arial" w:cs="Arial" w:eastAsia="Arial" w:hAnsi="Arial"/>
          <w:sz w:val="18"/>
          <w:szCs w:val="18"/>
          <w:color w:val="auto"/>
        </w:rPr>
      </w:pPr>
    </w:p>
    <w:p>
      <w:pPr>
        <w:ind w:left="980" w:right="320" w:firstLine="391"/>
        <w:spacing w:after="0" w:line="277" w:lineRule="auto"/>
        <w:tabs>
          <w:tab w:leader="none" w:pos="1618" w:val="left"/>
        </w:tabs>
        <w:numPr>
          <w:ilvl w:val="0"/>
          <w:numId w:val="375"/>
        </w:numPr>
        <w:rPr>
          <w:rFonts w:ascii="Arial" w:cs="Arial" w:eastAsia="Arial" w:hAnsi="Arial"/>
          <w:sz w:val="18"/>
          <w:szCs w:val="18"/>
          <w:color w:val="auto"/>
        </w:rPr>
      </w:pPr>
      <w:r>
        <w:rPr>
          <w:rFonts w:ascii="Arial" w:cs="Arial" w:eastAsia="Arial" w:hAnsi="Arial"/>
          <w:sz w:val="18"/>
          <w:szCs w:val="18"/>
          <w:color w:val="auto"/>
        </w:rPr>
        <w:t>endeavor to ensure that each Party is appropriately advised as to Development being conducted by the other Party in its respective Territory;</w:t>
      </w:r>
    </w:p>
    <w:p>
      <w:pPr>
        <w:spacing w:after="0" w:line="62" w:lineRule="exact"/>
        <w:rPr>
          <w:rFonts w:ascii="Arial" w:cs="Arial" w:eastAsia="Arial" w:hAnsi="Arial"/>
          <w:sz w:val="18"/>
          <w:szCs w:val="18"/>
          <w:color w:val="auto"/>
        </w:rPr>
      </w:pPr>
    </w:p>
    <w:p>
      <w:pPr>
        <w:ind w:left="1620" w:hanging="249"/>
        <w:spacing w:after="0"/>
        <w:tabs>
          <w:tab w:leader="none" w:pos="16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report and monitor progress of Development activities and discuss any results thereunder;</w:t>
      </w:r>
    </w:p>
    <w:p>
      <w:pPr>
        <w:spacing w:after="0" w:line="117" w:lineRule="exact"/>
        <w:rPr>
          <w:rFonts w:ascii="Arial" w:cs="Arial" w:eastAsia="Arial" w:hAnsi="Arial"/>
          <w:sz w:val="18"/>
          <w:szCs w:val="18"/>
          <w:color w:val="auto"/>
        </w:rPr>
      </w:pPr>
    </w:p>
    <w:p>
      <w:pPr>
        <w:ind w:left="1600" w:hanging="229"/>
        <w:spacing w:after="0"/>
        <w:tabs>
          <w:tab w:leader="none" w:pos="1600" w:val="left"/>
        </w:tabs>
        <w:numPr>
          <w:ilvl w:val="0"/>
          <w:numId w:val="375"/>
        </w:numPr>
        <w:rPr>
          <w:rFonts w:ascii="Arial" w:cs="Arial" w:eastAsia="Arial" w:hAnsi="Arial"/>
          <w:sz w:val="17"/>
          <w:szCs w:val="17"/>
          <w:color w:val="auto"/>
        </w:rPr>
      </w:pPr>
      <w:r>
        <w:rPr>
          <w:rFonts w:ascii="Arial" w:cs="Arial" w:eastAsia="Arial" w:hAnsi="Arial"/>
          <w:sz w:val="17"/>
          <w:szCs w:val="17"/>
          <w:color w:val="auto"/>
        </w:rPr>
        <w:t>review protocols for Clinical Studies for the Licensed Drug Candidate and Licensed Product, including combination</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therapy;</w:t>
      </w:r>
    </w:p>
    <w:p>
      <w:pPr>
        <w:spacing w:after="0" w:line="102" w:lineRule="exact"/>
        <w:rPr>
          <w:rFonts w:ascii="Arial" w:cs="Arial" w:eastAsia="Arial" w:hAnsi="Arial"/>
          <w:sz w:val="17"/>
          <w:szCs w:val="17"/>
          <w:color w:val="auto"/>
        </w:rPr>
      </w:pPr>
    </w:p>
    <w:p>
      <w:pPr>
        <w:ind w:left="980" w:right="100" w:firstLine="391"/>
        <w:spacing w:after="0" w:line="277" w:lineRule="auto"/>
        <w:tabs>
          <w:tab w:leader="none" w:pos="1618"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assist in coordinating scientific interactions and division of responsibilities, when applicable, with respect to Development activities;</w:t>
      </w:r>
    </w:p>
    <w:p>
      <w:pPr>
        <w:spacing w:after="0" w:line="62" w:lineRule="exact"/>
        <w:rPr>
          <w:rFonts w:ascii="Arial" w:cs="Arial" w:eastAsia="Arial" w:hAnsi="Arial"/>
          <w:sz w:val="18"/>
          <w:szCs w:val="18"/>
          <w:color w:val="auto"/>
        </w:rPr>
      </w:pPr>
    </w:p>
    <w:p>
      <w:pPr>
        <w:ind w:left="1620" w:hanging="249"/>
        <w:spacing w:after="0"/>
        <w:tabs>
          <w:tab w:leader="none" w:pos="16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review and approve Global Commercialization Strategy;</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540"/>
          </w:cols>
          <w:pgMar w:left="880" w:top="273" w:right="479" w:bottom="1440" w:gutter="0" w:footer="0" w:header="0"/>
        </w:sectPr>
      </w:pPr>
    </w:p>
    <w:bookmarkStart w:id="598" w:name="page599"/>
    <w:bookmarkEnd w:id="598"/>
    <w:p>
      <w:pPr>
        <w:ind w:left="560" w:right="140" w:firstLine="391"/>
        <w:spacing w:after="0" w:line="277" w:lineRule="auto"/>
        <w:tabs>
          <w:tab w:leader="none" w:pos="1158" w:val="left"/>
        </w:tabs>
        <w:numPr>
          <w:ilvl w:val="0"/>
          <w:numId w:val="3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review and discuss Ono Territory Commercialization Plan and any updates or amendments thereto, and discuss any results thereunder;</w:t>
      </w:r>
    </w:p>
    <w:p>
      <w:pPr>
        <w:spacing w:after="0" w:line="62" w:lineRule="exact"/>
        <w:rPr>
          <w:rFonts w:ascii="Arial" w:cs="Arial" w:eastAsia="Arial" w:hAnsi="Arial"/>
          <w:sz w:val="18"/>
          <w:szCs w:val="18"/>
          <w:color w:val="auto"/>
        </w:rPr>
      </w:pPr>
    </w:p>
    <w:p>
      <w:pPr>
        <w:ind w:left="1160" w:hanging="209"/>
        <w:spacing w:after="0"/>
        <w:tabs>
          <w:tab w:leader="none" w:pos="116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review and approve Global Branding Strategy and any updates or amendments thereto, and discuss any results thereunder;</w:t>
      </w:r>
    </w:p>
    <w:p>
      <w:pPr>
        <w:spacing w:after="0" w:line="140" w:lineRule="exact"/>
        <w:rPr>
          <w:rFonts w:ascii="Arial" w:cs="Arial" w:eastAsia="Arial" w:hAnsi="Arial"/>
          <w:sz w:val="16"/>
          <w:szCs w:val="16"/>
          <w:color w:val="auto"/>
        </w:rPr>
      </w:pPr>
    </w:p>
    <w:p>
      <w:pPr>
        <w:jc w:val="both"/>
        <w:ind w:left="560" w:right="480" w:firstLine="391"/>
        <w:spacing w:after="0" w:line="263" w:lineRule="auto"/>
        <w:tabs>
          <w:tab w:leader="none" w:pos="1198" w:val="left"/>
        </w:tabs>
        <w:numPr>
          <w:ilvl w:val="0"/>
          <w:numId w:val="376"/>
        </w:numPr>
        <w:rPr>
          <w:rFonts w:ascii="Arial" w:cs="Arial" w:eastAsia="Arial" w:hAnsi="Arial"/>
          <w:sz w:val="18"/>
          <w:szCs w:val="18"/>
          <w:color w:val="auto"/>
        </w:rPr>
      </w:pPr>
      <w:r>
        <w:rPr>
          <w:rFonts w:ascii="Arial" w:cs="Arial" w:eastAsia="Arial" w:hAnsi="Arial"/>
          <w:sz w:val="18"/>
          <w:szCs w:val="18"/>
          <w:color w:val="auto"/>
        </w:rPr>
        <w:t>serve as the forum for the settlement of disputes or disagreements, including whether or not either Party is making its Commercially Reasonable Efforts in relation to the Development or the Commercialization of Licensed Drug Candidates and Licensed Products;</w:t>
      </w:r>
    </w:p>
    <w:p>
      <w:pPr>
        <w:spacing w:after="0" w:line="75" w:lineRule="exact"/>
        <w:rPr>
          <w:rFonts w:ascii="Arial" w:cs="Arial" w:eastAsia="Arial" w:hAnsi="Arial"/>
          <w:sz w:val="18"/>
          <w:szCs w:val="18"/>
          <w:color w:val="auto"/>
        </w:rPr>
      </w:pPr>
    </w:p>
    <w:p>
      <w:pPr>
        <w:ind w:left="560" w:right="80" w:firstLine="391"/>
        <w:spacing w:after="0" w:line="277" w:lineRule="auto"/>
        <w:tabs>
          <w:tab w:leader="none" w:pos="1158" w:val="left"/>
        </w:tabs>
        <w:numPr>
          <w:ilvl w:val="0"/>
          <w:numId w:val="376"/>
        </w:numPr>
        <w:rPr>
          <w:rFonts w:ascii="Arial" w:cs="Arial" w:eastAsia="Arial" w:hAnsi="Arial"/>
          <w:sz w:val="18"/>
          <w:szCs w:val="18"/>
          <w:color w:val="auto"/>
        </w:rPr>
      </w:pPr>
      <w:r>
        <w:rPr>
          <w:rFonts w:ascii="Arial" w:cs="Arial" w:eastAsia="Arial" w:hAnsi="Arial"/>
          <w:sz w:val="18"/>
          <w:szCs w:val="18"/>
          <w:color w:val="auto"/>
        </w:rPr>
        <w:t>review and approve a proposal from a Party to conduct preclinical and non-clinical studies with respect to Drug Candidates and Licensed Products in other Party’s Territory (which approval shall not be unreasonably withheld );</w:t>
      </w:r>
    </w:p>
    <w:p>
      <w:pPr>
        <w:spacing w:after="0" w:line="62" w:lineRule="exact"/>
        <w:rPr>
          <w:rFonts w:ascii="Arial" w:cs="Arial" w:eastAsia="Arial" w:hAnsi="Arial"/>
          <w:sz w:val="18"/>
          <w:szCs w:val="18"/>
          <w:color w:val="auto"/>
        </w:rPr>
      </w:pPr>
    </w:p>
    <w:p>
      <w:pPr>
        <w:ind w:left="1260" w:hanging="309"/>
        <w:spacing w:after="0"/>
        <w:tabs>
          <w:tab w:leader="none" w:pos="12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review, discuss and approve each Global Clinical Study Proposal;</w:t>
      </w:r>
    </w:p>
    <w:p>
      <w:pPr>
        <w:spacing w:after="0" w:line="117" w:lineRule="exact"/>
        <w:rPr>
          <w:rFonts w:ascii="Arial" w:cs="Arial" w:eastAsia="Arial" w:hAnsi="Arial"/>
          <w:sz w:val="18"/>
          <w:szCs w:val="18"/>
          <w:color w:val="auto"/>
        </w:rPr>
      </w:pPr>
    </w:p>
    <w:p>
      <w:pPr>
        <w:ind w:left="1200" w:hanging="249"/>
        <w:spacing w:after="0"/>
        <w:tabs>
          <w:tab w:leader="none" w:pos="120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review and discuss each Party’s or its Related Party’s long term Development strategy in the respective Territory in a timely</w:t>
      </w:r>
    </w:p>
    <w:p>
      <w:pPr>
        <w:spacing w:after="0" w:line="46"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manner;</w:t>
      </w:r>
    </w:p>
    <w:p>
      <w:pPr>
        <w:spacing w:after="0" w:line="102" w:lineRule="exact"/>
        <w:rPr>
          <w:rFonts w:ascii="Arial" w:cs="Arial" w:eastAsia="Arial" w:hAnsi="Arial"/>
          <w:sz w:val="16"/>
          <w:szCs w:val="16"/>
          <w:color w:val="auto"/>
        </w:rPr>
      </w:pPr>
    </w:p>
    <w:p>
      <w:pPr>
        <w:ind w:left="1200" w:hanging="249"/>
        <w:spacing w:after="0"/>
        <w:tabs>
          <w:tab w:leader="none" w:pos="12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review, discuss and oversee the CMC and Manufacture of Licensed Drug Candidates and Licensed Products;</w:t>
      </w:r>
    </w:p>
    <w:p>
      <w:pPr>
        <w:spacing w:after="0" w:line="117" w:lineRule="exact"/>
        <w:rPr>
          <w:rFonts w:ascii="Arial" w:cs="Arial" w:eastAsia="Arial" w:hAnsi="Arial"/>
          <w:sz w:val="18"/>
          <w:szCs w:val="18"/>
          <w:color w:val="auto"/>
        </w:rPr>
      </w:pPr>
    </w:p>
    <w:p>
      <w:pPr>
        <w:ind w:left="560" w:right="100" w:firstLine="391"/>
        <w:spacing w:after="0" w:line="277" w:lineRule="auto"/>
        <w:tabs>
          <w:tab w:leader="none" w:pos="1198" w:val="left"/>
        </w:tabs>
        <w:numPr>
          <w:ilvl w:val="0"/>
          <w:numId w:val="376"/>
        </w:numPr>
        <w:rPr>
          <w:rFonts w:ascii="Arial" w:cs="Arial" w:eastAsia="Arial" w:hAnsi="Arial"/>
          <w:sz w:val="18"/>
          <w:szCs w:val="18"/>
          <w:color w:val="auto"/>
        </w:rPr>
      </w:pPr>
      <w:r>
        <w:rPr>
          <w:rFonts w:ascii="Arial" w:cs="Arial" w:eastAsia="Arial" w:hAnsi="Arial"/>
          <w:sz w:val="18"/>
          <w:szCs w:val="18"/>
          <w:color w:val="auto"/>
        </w:rPr>
        <w:t>overseeing the JSC’s Working Group and ensuring effective participation in each such Working Group’s operations by any of its members;</w:t>
      </w:r>
    </w:p>
    <w:p>
      <w:pPr>
        <w:spacing w:after="0" w:line="62" w:lineRule="exact"/>
        <w:rPr>
          <w:rFonts w:ascii="Arial" w:cs="Arial" w:eastAsia="Arial" w:hAnsi="Arial"/>
          <w:sz w:val="18"/>
          <w:szCs w:val="18"/>
          <w:color w:val="auto"/>
        </w:rPr>
      </w:pPr>
    </w:p>
    <w:p>
      <w:pPr>
        <w:ind w:left="560" w:right="920" w:firstLine="391"/>
        <w:spacing w:after="0" w:line="277" w:lineRule="auto"/>
        <w:tabs>
          <w:tab w:leader="none" w:pos="1198" w:val="left"/>
        </w:tabs>
        <w:numPr>
          <w:ilvl w:val="0"/>
          <w:numId w:val="376"/>
        </w:numPr>
        <w:rPr>
          <w:rFonts w:ascii="Arial" w:cs="Arial" w:eastAsia="Arial" w:hAnsi="Arial"/>
          <w:sz w:val="18"/>
          <w:szCs w:val="18"/>
          <w:color w:val="auto"/>
        </w:rPr>
      </w:pPr>
      <w:r>
        <w:rPr>
          <w:rFonts w:ascii="Arial" w:cs="Arial" w:eastAsia="Arial" w:hAnsi="Arial"/>
          <w:sz w:val="18"/>
          <w:szCs w:val="18"/>
          <w:color w:val="auto"/>
        </w:rPr>
        <w:t>reviewing the status of Licensed Drug Candidates and Licensed Products, including material Development and Commercialization matters;</w:t>
      </w:r>
    </w:p>
    <w:p>
      <w:pPr>
        <w:spacing w:after="0" w:line="62" w:lineRule="exact"/>
        <w:rPr>
          <w:rFonts w:ascii="Arial" w:cs="Arial" w:eastAsia="Arial" w:hAnsi="Arial"/>
          <w:sz w:val="18"/>
          <w:szCs w:val="18"/>
          <w:color w:val="auto"/>
        </w:rPr>
      </w:pPr>
    </w:p>
    <w:p>
      <w:pPr>
        <w:ind w:left="1180" w:hanging="229"/>
        <w:spacing w:after="0"/>
        <w:tabs>
          <w:tab w:leader="none" w:pos="11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addressing any other matters referred to the JSC by the terms of this Agreement; and</w:t>
      </w:r>
    </w:p>
    <w:p>
      <w:pPr>
        <w:spacing w:after="0" w:line="117" w:lineRule="exact"/>
        <w:rPr>
          <w:rFonts w:ascii="Arial" w:cs="Arial" w:eastAsia="Arial" w:hAnsi="Arial"/>
          <w:sz w:val="18"/>
          <w:szCs w:val="18"/>
          <w:color w:val="auto"/>
        </w:rPr>
      </w:pPr>
    </w:p>
    <w:p>
      <w:pPr>
        <w:ind w:left="1180" w:hanging="229"/>
        <w:spacing w:after="0"/>
        <w:tabs>
          <w:tab w:leader="none" w:pos="1180" w:val="left"/>
        </w:tabs>
        <w:numPr>
          <w:ilvl w:val="0"/>
          <w:numId w:val="376"/>
        </w:numPr>
        <w:rPr>
          <w:rFonts w:ascii="Arial" w:cs="Arial" w:eastAsia="Arial" w:hAnsi="Arial"/>
          <w:sz w:val="17"/>
          <w:szCs w:val="17"/>
          <w:color w:val="auto"/>
        </w:rPr>
      </w:pPr>
      <w:r>
        <w:rPr>
          <w:rFonts w:ascii="Arial" w:cs="Arial" w:eastAsia="Arial" w:hAnsi="Arial"/>
          <w:sz w:val="17"/>
          <w:szCs w:val="17"/>
          <w:color w:val="auto"/>
        </w:rPr>
        <w:t>performing such other activities as the Parties agree in writing from time to time shall be the responsibility of the JSC.</w:t>
      </w:r>
    </w:p>
    <w:p>
      <w:pPr>
        <w:spacing w:after="0" w:line="129"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 xml:space="preserve">For the avoidance of doubt, decisions with respect to each of the above matters or any other matter that is identified in this Agreement as being subject to JSC approval, shall be subject to the processes set forth in </w:t>
      </w:r>
      <w:r>
        <w:rPr>
          <w:rFonts w:ascii="Arial" w:cs="Arial" w:eastAsia="Arial" w:hAnsi="Arial"/>
          <w:sz w:val="17"/>
          <w:szCs w:val="17"/>
          <w:u w:val="single" w:color="auto"/>
          <w:color w:val="auto"/>
        </w:rPr>
        <w:t>Section 8.1.7</w:t>
      </w:r>
      <w:r>
        <w:rPr>
          <w:rFonts w:ascii="Arial" w:cs="Arial" w:eastAsia="Arial" w:hAnsi="Arial"/>
          <w:sz w:val="17"/>
          <w:szCs w:val="17"/>
          <w:color w:val="auto"/>
        </w:rPr>
        <w:t xml:space="preserve"> (Decision Making), including the escalation and tie-breaking provisions provided herein, except as otherwise expressly set forth in this Agreement.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8.1.7. Decision-Making</w:t>
      </w:r>
      <w:r>
        <w:rPr>
          <w:rFonts w:ascii="Arial" w:cs="Arial" w:eastAsia="Arial" w:hAnsi="Arial"/>
          <w:sz w:val="18"/>
          <w:szCs w:val="18"/>
          <w:color w:val="auto"/>
        </w:rPr>
        <w:t>.</w:t>
      </w:r>
    </w:p>
    <w:p>
      <w:pPr>
        <w:spacing w:after="0" w:line="117" w:lineRule="exact"/>
        <w:rPr>
          <w:sz w:val="20"/>
          <w:szCs w:val="20"/>
          <w:color w:val="auto"/>
        </w:rPr>
      </w:pPr>
    </w:p>
    <w:p>
      <w:pPr>
        <w:jc w:val="both"/>
        <w:ind w:left="120" w:right="120" w:firstLine="401"/>
        <w:spacing w:after="0" w:line="289" w:lineRule="auto"/>
        <w:rPr>
          <w:sz w:val="20"/>
          <w:szCs w:val="20"/>
          <w:color w:val="auto"/>
        </w:rPr>
      </w:pPr>
      <w:r>
        <w:rPr>
          <w:rFonts w:ascii="Arial" w:cs="Arial" w:eastAsia="Arial" w:hAnsi="Arial"/>
          <w:sz w:val="17"/>
          <w:szCs w:val="17"/>
          <w:b w:val="1"/>
          <w:bCs w:val="1"/>
          <w:color w:val="auto"/>
        </w:rPr>
        <w:t xml:space="preserve">8.1.7.1. </w:t>
      </w:r>
      <w:r>
        <w:rPr>
          <w:rFonts w:ascii="Arial" w:cs="Arial" w:eastAsia="Arial" w:hAnsi="Arial"/>
          <w:sz w:val="17"/>
          <w:szCs w:val="17"/>
          <w:u w:val="single" w:color="auto"/>
          <w:color w:val="auto"/>
        </w:rPr>
        <w:t>Voting</w:t>
      </w:r>
      <w:r>
        <w:rPr>
          <w:rFonts w:ascii="Arial" w:cs="Arial" w:eastAsia="Arial" w:hAnsi="Arial"/>
          <w:sz w:val="17"/>
          <w:szCs w:val="17"/>
          <w:color w:val="auto"/>
        </w:rPr>
        <w:t>. With respect to decisions of the JSC, the representatives of each Party shall have collectively one vote on behalf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Party. For each meeting of the JSC, the attendance of at least two (2) representatives of each Party shall constitute a quorum. Action on any matter may be taken at a meeting, by teleconference, by videoconference or by written agreement.</w:t>
      </w:r>
    </w:p>
    <w:p>
      <w:pPr>
        <w:spacing w:after="0" w:line="9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120"/>
          </w:cols>
          <w:pgMar w:left="1300" w:top="273" w:right="479" w:bottom="1440" w:gutter="0" w:footer="0" w:header="0"/>
        </w:sectPr>
      </w:pPr>
    </w:p>
    <w:bookmarkStart w:id="599" w:name="page600"/>
    <w:bookmarkEnd w:id="599"/>
    <w:p>
      <w:pPr>
        <w:ind w:firstLine="401"/>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8.1.7.2. </w:t>
      </w:r>
      <w:r>
        <w:rPr>
          <w:rFonts w:ascii="Arial" w:cs="Arial" w:eastAsia="Arial" w:hAnsi="Arial"/>
          <w:sz w:val="16"/>
          <w:szCs w:val="16"/>
          <w:u w:val="single" w:color="auto"/>
          <w:color w:val="auto"/>
        </w:rPr>
        <w:t>Escalation</w:t>
      </w:r>
      <w:r>
        <w:rPr>
          <w:rFonts w:ascii="Arial" w:cs="Arial" w:eastAsia="Arial" w:hAnsi="Arial"/>
          <w:sz w:val="16"/>
          <w:szCs w:val="16"/>
          <w:color w:val="auto"/>
        </w:rPr>
        <w:t>. The JSC shall attempt to resolve disputes before it for decision by consensus. If the JSC is unable to reach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consensus with respect to a dispute arising under this Agreement for a period in excess of [***], then the dispute shall be submitted to the Chief Executive Officer of Repare and Corporate Officers of Ono for resolution. If such dispute cannot be resolved for a period in excess of [***] following escalation (or such other period as the Parties may agree), then </w:t>
      </w:r>
      <w:r>
        <w:rPr>
          <w:rFonts w:ascii="Arial" w:cs="Arial" w:eastAsia="Arial" w:hAnsi="Arial"/>
          <w:sz w:val="16"/>
          <w:szCs w:val="16"/>
          <w:u w:val="single" w:color="auto"/>
          <w:color w:val="auto"/>
        </w:rPr>
        <w:t>Section 8.1.7.3</w:t>
      </w:r>
      <w:r>
        <w:rPr>
          <w:rFonts w:ascii="Arial" w:cs="Arial" w:eastAsia="Arial" w:hAnsi="Arial"/>
          <w:sz w:val="16"/>
          <w:szCs w:val="16"/>
          <w:color w:val="auto"/>
        </w:rPr>
        <w:t xml:space="preserve"> (Tie-Breaking) shall apply.</w:t>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 xml:space="preserve">8.1.7.3. </w:t>
      </w:r>
      <w:r>
        <w:rPr>
          <w:rFonts w:ascii="Arial" w:cs="Arial" w:eastAsia="Arial" w:hAnsi="Arial"/>
          <w:sz w:val="16"/>
          <w:szCs w:val="16"/>
          <w:u w:val="single" w:color="auto"/>
          <w:color w:val="auto"/>
        </w:rPr>
        <w:t>Tie-Breaking</w:t>
      </w:r>
      <w:r>
        <w:rPr>
          <w:rFonts w:ascii="Arial" w:cs="Arial" w:eastAsia="Arial" w:hAnsi="Arial"/>
          <w:sz w:val="16"/>
          <w:szCs w:val="16"/>
          <w:color w:val="auto"/>
        </w:rPr>
        <w:t>. If a dispute cannot be resolved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8.1.7.2</w:t>
      </w:r>
      <w:r>
        <w:rPr>
          <w:rFonts w:ascii="Arial" w:cs="Arial" w:eastAsia="Arial" w:hAnsi="Arial"/>
          <w:sz w:val="16"/>
          <w:szCs w:val="16"/>
          <w:b w:val="1"/>
          <w:bCs w:val="1"/>
          <w:color w:val="auto"/>
        </w:rPr>
        <w:t xml:space="preserve"> </w:t>
      </w:r>
      <w:r>
        <w:rPr>
          <w:rFonts w:ascii="Arial" w:cs="Arial" w:eastAsia="Arial" w:hAnsi="Arial"/>
          <w:sz w:val="16"/>
          <w:szCs w:val="16"/>
          <w:color w:val="auto"/>
        </w:rPr>
        <w:t>(Escalation), then,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8.1.7.3(c)</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8.1.7.4</w:t>
      </w:r>
      <w:r>
        <w:rPr>
          <w:rFonts w:ascii="Arial" w:cs="Arial" w:eastAsia="Arial" w:hAnsi="Arial"/>
          <w:sz w:val="18"/>
          <w:szCs w:val="18"/>
          <w:color w:val="auto"/>
        </w:rPr>
        <w:t>:</w:t>
      </w:r>
    </w:p>
    <w:p>
      <w:pPr>
        <w:spacing w:after="0" w:line="10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 Ono shall have the deciding vote if the dispute relates to: [***];</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 Repare shall have the deciding vote if the dispute relates to: [***];</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9920"/>
          </w:cols>
          <w:pgMar w:left="1420" w:top="269" w:right="559" w:bottom="1440" w:gutter="0" w:footer="0" w:header="0"/>
        </w:sectPr>
      </w:pPr>
    </w:p>
    <w:bookmarkStart w:id="600" w:name="page601"/>
    <w:bookmarkEnd w:id="600"/>
    <w:p>
      <w:pPr>
        <w:ind w:left="1420" w:right="440" w:firstLine="391"/>
        <w:spacing w:after="0" w:line="277" w:lineRule="auto"/>
        <w:tabs>
          <w:tab w:leader="none" w:pos="2048" w:val="left"/>
        </w:tabs>
        <w:numPr>
          <w:ilvl w:val="0"/>
          <w:numId w:val="3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anything to the contrary in </w:t>
      </w:r>
      <w:r>
        <w:rPr>
          <w:rFonts w:ascii="Arial" w:cs="Arial" w:eastAsia="Arial" w:hAnsi="Arial"/>
          <w:sz w:val="18"/>
          <w:szCs w:val="18"/>
          <w:u w:val="single" w:color="auto"/>
          <w:color w:val="auto"/>
        </w:rPr>
        <w:t>Section 8.1.7.3</w:t>
      </w:r>
      <w:r>
        <w:rPr>
          <w:rFonts w:ascii="Arial" w:cs="Arial" w:eastAsia="Arial" w:hAnsi="Arial"/>
          <w:sz w:val="18"/>
          <w:szCs w:val="18"/>
          <w:color w:val="auto"/>
        </w:rPr>
        <w:t xml:space="preserve">, neither Party may exercise its deciding vote pursuant to </w:t>
      </w:r>
      <w:r>
        <w:rPr>
          <w:rFonts w:ascii="Arial" w:cs="Arial" w:eastAsia="Arial" w:hAnsi="Arial"/>
          <w:sz w:val="18"/>
          <w:szCs w:val="18"/>
          <w:u w:val="single" w:color="auto"/>
          <w:color w:val="auto"/>
        </w:rPr>
        <w:t>Section 8.1.7.3(a)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8.1.7.3(b)</w:t>
      </w:r>
      <w:r>
        <w:rPr>
          <w:rFonts w:ascii="Arial" w:cs="Arial" w:eastAsia="Arial" w:hAnsi="Arial"/>
          <w:sz w:val="18"/>
          <w:szCs w:val="18"/>
          <w:color w:val="auto"/>
        </w:rPr>
        <w:t>: [***].</w:t>
      </w:r>
    </w:p>
    <w:p>
      <w:pPr>
        <w:spacing w:after="0" w:line="58" w:lineRule="exact"/>
        <w:rPr>
          <w:sz w:val="20"/>
          <w:szCs w:val="20"/>
          <w:color w:val="auto"/>
        </w:rPr>
      </w:pPr>
    </w:p>
    <w:p>
      <w:pPr>
        <w:ind w:left="980" w:right="520" w:firstLine="401"/>
        <w:spacing w:after="0" w:line="282" w:lineRule="auto"/>
        <w:rPr>
          <w:sz w:val="20"/>
          <w:szCs w:val="20"/>
          <w:color w:val="auto"/>
        </w:rPr>
      </w:pPr>
      <w:r>
        <w:rPr>
          <w:rFonts w:ascii="Arial" w:cs="Arial" w:eastAsia="Arial" w:hAnsi="Arial"/>
          <w:sz w:val="18"/>
          <w:szCs w:val="18"/>
          <w:b w:val="1"/>
          <w:bCs w:val="1"/>
          <w:color w:val="auto"/>
        </w:rPr>
        <w:t xml:space="preserve">8.1.7.4. </w:t>
      </w:r>
      <w:r>
        <w:rPr>
          <w:rFonts w:ascii="Arial" w:cs="Arial" w:eastAsia="Arial" w:hAnsi="Arial"/>
          <w:sz w:val="18"/>
          <w:szCs w:val="18"/>
          <w:u w:val="single" w:color="auto"/>
          <w:color w:val="auto"/>
        </w:rPr>
        <w:t>Limitation of Power of JSC</w:t>
      </w:r>
      <w:r>
        <w:rPr>
          <w:rFonts w:ascii="Arial" w:cs="Arial" w:eastAsia="Arial" w:hAnsi="Arial"/>
          <w:sz w:val="18"/>
          <w:szCs w:val="18"/>
          <w:color w:val="auto"/>
        </w:rPr>
        <w:t>. Neither the JSC nor any subcommittee of the JSC shall have decision-making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any of the following matters:</w:t>
      </w:r>
    </w:p>
    <w:p>
      <w:pPr>
        <w:spacing w:after="0" w:line="58" w:lineRule="exact"/>
        <w:rPr>
          <w:sz w:val="20"/>
          <w:szCs w:val="20"/>
          <w:color w:val="auto"/>
        </w:rPr>
      </w:pPr>
    </w:p>
    <w:p>
      <w:pPr>
        <w:ind w:left="2060" w:hanging="249"/>
        <w:spacing w:after="0"/>
        <w:tabs>
          <w:tab w:leader="none" w:pos="206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Approval of any amendment to the Research Plan;</w:t>
      </w:r>
    </w:p>
    <w:p>
      <w:pPr>
        <w:spacing w:after="0" w:line="117" w:lineRule="exact"/>
        <w:rPr>
          <w:rFonts w:ascii="Arial" w:cs="Arial" w:eastAsia="Arial" w:hAnsi="Arial"/>
          <w:sz w:val="18"/>
          <w:szCs w:val="18"/>
          <w:color w:val="auto"/>
        </w:rPr>
      </w:pPr>
    </w:p>
    <w:p>
      <w:pPr>
        <w:ind w:left="1420" w:firstLine="391"/>
        <w:spacing w:after="0" w:line="277" w:lineRule="auto"/>
        <w:tabs>
          <w:tab w:leader="none" w:pos="2058"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imposition of any requirements on the other Party to undertake obligations beyond those for which it is responsible, or forgo any rights, under this Agreement;</w:t>
      </w:r>
    </w:p>
    <w:p>
      <w:pPr>
        <w:spacing w:after="0" w:line="62" w:lineRule="exact"/>
        <w:rPr>
          <w:rFonts w:ascii="Arial" w:cs="Arial" w:eastAsia="Arial" w:hAnsi="Arial"/>
          <w:sz w:val="18"/>
          <w:szCs w:val="18"/>
          <w:color w:val="auto"/>
        </w:rPr>
      </w:pPr>
    </w:p>
    <w:p>
      <w:pPr>
        <w:ind w:left="1420" w:firstLine="391"/>
        <w:spacing w:after="0" w:line="308" w:lineRule="auto"/>
        <w:tabs>
          <w:tab w:leader="none" w:pos="2048" w:val="left"/>
        </w:tabs>
        <w:numPr>
          <w:ilvl w:val="0"/>
          <w:numId w:val="378"/>
        </w:numPr>
        <w:rPr>
          <w:rFonts w:ascii="Arial" w:cs="Arial" w:eastAsia="Arial" w:hAnsi="Arial"/>
          <w:sz w:val="17"/>
          <w:szCs w:val="17"/>
          <w:color w:val="auto"/>
        </w:rPr>
      </w:pPr>
      <w:r>
        <w:rPr>
          <w:rFonts w:ascii="Arial" w:cs="Arial" w:eastAsia="Arial" w:hAnsi="Arial"/>
          <w:sz w:val="17"/>
          <w:szCs w:val="17"/>
          <w:color w:val="auto"/>
        </w:rPr>
        <w:t>the imposition of any requirements that the other Party take or decline to take any action that would result in a violation of any Law or any agreement with any Third Party or the infringement of intellectual property rights of Third Parties;</w:t>
      </w:r>
    </w:p>
    <w:p>
      <w:pPr>
        <w:spacing w:after="0" w:line="38" w:lineRule="exact"/>
        <w:rPr>
          <w:rFonts w:ascii="Arial" w:cs="Arial" w:eastAsia="Arial" w:hAnsi="Arial"/>
          <w:sz w:val="17"/>
          <w:szCs w:val="17"/>
          <w:color w:val="auto"/>
        </w:rPr>
      </w:pPr>
    </w:p>
    <w:p>
      <w:pPr>
        <w:ind w:left="2060" w:hanging="249"/>
        <w:spacing w:after="0"/>
        <w:tabs>
          <w:tab w:leader="none" w:pos="206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any matters that would excuse such Party from any of its obligations specifically enumerated under this Agreement; or</w:t>
      </w:r>
    </w:p>
    <w:p>
      <w:pPr>
        <w:spacing w:after="0" w:line="140" w:lineRule="exact"/>
        <w:rPr>
          <w:rFonts w:ascii="Arial" w:cs="Arial" w:eastAsia="Arial" w:hAnsi="Arial"/>
          <w:sz w:val="16"/>
          <w:szCs w:val="16"/>
          <w:color w:val="auto"/>
        </w:rPr>
      </w:pPr>
    </w:p>
    <w:p>
      <w:pPr>
        <w:ind w:left="1420" w:right="260" w:firstLine="391"/>
        <w:spacing w:after="0" w:line="263" w:lineRule="auto"/>
        <w:tabs>
          <w:tab w:leader="none" w:pos="2048" w:val="left"/>
        </w:tabs>
        <w:numPr>
          <w:ilvl w:val="0"/>
          <w:numId w:val="378"/>
        </w:numPr>
        <w:rPr>
          <w:rFonts w:ascii="Arial" w:cs="Arial" w:eastAsia="Arial" w:hAnsi="Arial"/>
          <w:sz w:val="18"/>
          <w:szCs w:val="18"/>
          <w:color w:val="auto"/>
        </w:rPr>
      </w:pPr>
      <w:r>
        <w:rPr>
          <w:rFonts w:ascii="Arial" w:cs="Arial" w:eastAsia="Arial" w:hAnsi="Arial"/>
          <w:sz w:val="18"/>
          <w:szCs w:val="18"/>
          <w:color w:val="auto"/>
        </w:rPr>
        <w:t>modifying the terms of this Agreement or taking any action to expand or narrow the responsibilities of the JSC (but excluding amendments and modifications to any schedules or exhibits to this Agreement that are expressly permitted under this Agreement).</w:t>
      </w:r>
    </w:p>
    <w:p>
      <w:pPr>
        <w:spacing w:after="0" w:line="180" w:lineRule="exact"/>
        <w:rPr>
          <w:sz w:val="20"/>
          <w:szCs w:val="20"/>
          <w:color w:val="auto"/>
        </w:rPr>
      </w:pPr>
    </w:p>
    <w:p>
      <w:pPr>
        <w:ind w:right="260" w:firstLine="440"/>
        <w:spacing w:after="0" w:line="289" w:lineRule="auto"/>
        <w:rPr>
          <w:sz w:val="20"/>
          <w:szCs w:val="20"/>
          <w:color w:val="auto"/>
        </w:rPr>
      </w:pPr>
      <w:r>
        <w:rPr>
          <w:rFonts w:ascii="Arial" w:cs="Arial" w:eastAsia="Arial" w:hAnsi="Arial"/>
          <w:sz w:val="17"/>
          <w:szCs w:val="17"/>
          <w:b w:val="1"/>
          <w:bCs w:val="1"/>
          <w:color w:val="auto"/>
        </w:rPr>
        <w:t xml:space="preserve">8.2. </w:t>
      </w:r>
      <w:r>
        <w:rPr>
          <w:rFonts w:ascii="Arial" w:cs="Arial" w:eastAsia="Arial" w:hAnsi="Arial"/>
          <w:sz w:val="17"/>
          <w:szCs w:val="17"/>
          <w:b w:val="1"/>
          <w:bCs w:val="1"/>
          <w:u w:val="single" w:color="auto"/>
          <w:color w:val="auto"/>
        </w:rPr>
        <w:t>Joint Research Committee</w:t>
      </w:r>
      <w:r>
        <w:rPr>
          <w:rFonts w:ascii="Arial" w:cs="Arial" w:eastAsia="Arial" w:hAnsi="Arial"/>
          <w:sz w:val="17"/>
          <w:szCs w:val="17"/>
          <w:color w:val="auto"/>
        </w:rPr>
        <w:t>. Within [***] after the Effective Date, the Parties will establish a committee to oversee the research of Drug</w:t>
      </w:r>
      <w:r>
        <w:rPr>
          <w:rFonts w:ascii="Arial" w:cs="Arial" w:eastAsia="Arial" w:hAnsi="Arial"/>
          <w:sz w:val="17"/>
          <w:szCs w:val="17"/>
          <w:b w:val="1"/>
          <w:bCs w:val="1"/>
          <w:color w:val="auto"/>
        </w:rPr>
        <w:t xml:space="preserve"> </w:t>
      </w:r>
      <w:r>
        <w:rPr>
          <w:rFonts w:ascii="Arial" w:cs="Arial" w:eastAsia="Arial" w:hAnsi="Arial"/>
          <w:sz w:val="17"/>
          <w:szCs w:val="17"/>
          <w:color w:val="auto"/>
        </w:rPr>
        <w:t>Candidate, Licensed Drug Candidates and Licensed Products in accordance with the Research Plan and to coordinate the research activities of the Parties with respect thereto (the “</w:t>
      </w:r>
      <w:r>
        <w:rPr>
          <w:rFonts w:ascii="Arial" w:cs="Arial" w:eastAsia="Arial" w:hAnsi="Arial"/>
          <w:sz w:val="17"/>
          <w:szCs w:val="17"/>
          <w:b w:val="1"/>
          <w:bCs w:val="1"/>
          <w:color w:val="auto"/>
        </w:rPr>
        <w:t>JRC</w:t>
      </w:r>
      <w:r>
        <w:rPr>
          <w:rFonts w:ascii="Arial" w:cs="Arial" w:eastAsia="Arial" w:hAnsi="Arial"/>
          <w:sz w:val="17"/>
          <w:szCs w:val="17"/>
          <w:color w:val="auto"/>
        </w:rPr>
        <w:t xml:space="preserve">”). The JRC shall be subject to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(Working Groups) and this </w:t>
      </w:r>
      <w:r>
        <w:rPr>
          <w:rFonts w:ascii="Arial" w:cs="Arial" w:eastAsia="Arial" w:hAnsi="Arial"/>
          <w:sz w:val="17"/>
          <w:szCs w:val="17"/>
          <w:u w:val="single" w:color="auto"/>
          <w:color w:val="auto"/>
        </w:rPr>
        <w:t>Section 8.2</w:t>
      </w:r>
      <w:r>
        <w:rPr>
          <w:rFonts w:ascii="Arial" w:cs="Arial" w:eastAsia="Arial" w:hAnsi="Arial"/>
          <w:sz w:val="17"/>
          <w:szCs w:val="17"/>
          <w:color w:val="auto"/>
        </w:rPr>
        <w:t>.</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860"/>
          </w:cols>
          <w:pgMar w:left="440" w:top="273" w:right="599" w:bottom="1440" w:gutter="0" w:footer="0" w:header="0"/>
        </w:sectPr>
      </w:pPr>
    </w:p>
    <w:bookmarkStart w:id="601" w:name="page602"/>
    <w:bookmarkEnd w:id="601"/>
    <w:p>
      <w:pPr>
        <w:ind w:firstLine="423"/>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8.2.1. Composition. </w:t>
      </w:r>
      <w:r>
        <w:rPr>
          <w:rFonts w:ascii="Arial" w:cs="Arial" w:eastAsia="Arial" w:hAnsi="Arial"/>
          <w:sz w:val="16"/>
          <w:szCs w:val="16"/>
          <w:color w:val="auto"/>
        </w:rPr>
        <w:t>Each Party will initially appoint three (3) representatives to the JRC, with each representative having knowledge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expertise in the Development of Compounds and products similar to the Drug Candidates, Licensed Drug Candidates and Licensed Products and having sufficient seniority within the applicable Party to make decisions arising within the scope of the JRC’s responsibilities. The JRC may change its size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JRC will consist at all times of an equal number of representatives of each of Repare and Ono. Each Party may replace its JRC representatives at any time upon written notice to the other Party. The JRC may invite non-members to participate in the discussions and meetings of the JRC,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participants have no voting authority at the JRC and are bound under written obligation of confidentiality no less protective of the Parties’ Confidential Information than those set forth in this Agreement. The JRC will be co-chaired, with one chairperson designated by Repare and one chairperson designated by Ono, whose responsibilities will include conducting meetings, including, when feasible, ensuring that objectives for each meeting are set and achieved. Responsibility for running each meeting of the JRC will alternate between the chairpersons from meeting-to-meeting, with Repare’s chairperson running the first meeting.</w:t>
      </w:r>
    </w:p>
    <w:p>
      <w:pPr>
        <w:spacing w:after="0" w:line="53" w:lineRule="exact"/>
        <w:rPr>
          <w:sz w:val="20"/>
          <w:szCs w:val="20"/>
          <w:color w:val="auto"/>
        </w:rPr>
      </w:pPr>
    </w:p>
    <w:p>
      <w:pPr>
        <w:ind w:firstLine="423"/>
        <w:spacing w:after="0" w:line="286" w:lineRule="auto"/>
        <w:rPr>
          <w:sz w:val="20"/>
          <w:szCs w:val="20"/>
          <w:color w:val="auto"/>
        </w:rPr>
      </w:pPr>
      <w:r>
        <w:rPr>
          <w:rFonts w:ascii="Arial" w:cs="Arial" w:eastAsia="Arial" w:hAnsi="Arial"/>
          <w:sz w:val="16"/>
          <w:szCs w:val="16"/>
          <w:b w:val="1"/>
          <w:bCs w:val="1"/>
          <w:color w:val="auto"/>
        </w:rPr>
        <w:t>8.2.2. Meetings</w:t>
      </w:r>
      <w:r>
        <w:rPr>
          <w:rFonts w:ascii="Arial" w:cs="Arial" w:eastAsia="Arial" w:hAnsi="Arial"/>
          <w:sz w:val="16"/>
          <w:szCs w:val="16"/>
          <w:color w:val="auto"/>
        </w:rPr>
        <w:t>. The JRC will meet [***] per Calendar Quarter, unless the Parties mutually agree in writing to a different frequency. At</w:t>
      </w:r>
      <w:r>
        <w:rPr>
          <w:rFonts w:ascii="Arial" w:cs="Arial" w:eastAsia="Arial" w:hAnsi="Arial"/>
          <w:sz w:val="16"/>
          <w:szCs w:val="16"/>
          <w:b w:val="1"/>
          <w:bCs w:val="1"/>
          <w:color w:val="auto"/>
        </w:rPr>
        <w:t xml:space="preserve"> </w:t>
      </w:r>
      <w:r>
        <w:rPr>
          <w:rFonts w:ascii="Arial" w:cs="Arial" w:eastAsia="Arial" w:hAnsi="Arial"/>
          <w:sz w:val="16"/>
          <w:szCs w:val="16"/>
          <w:color w:val="auto"/>
        </w:rPr>
        <w:t>least [***] meeting per Calendar Year of the JRC shall be conducted in person. The location for the in-person meetings of the JRC shall, respectively, alternate between Repare’s headquarters and Ono’s headquarters (or such other locations as are mutually agreed by the Parties). No later than [***] Business Days prior to any meeting of the JRC (or such shorter time period as the Parties may agree), the Liaisons will prepare and circulate an agenda for such meeting; provided, however, that either Party will be free to propose additional topics to be included on such agenda, either prior to or in the course of such meeting. Either Party may also call a special meeting of the JRC (by videoconference, teleconference or in person) by providing at least [***] Business Days prior written notice to the other Party if such Party reasonably believes that a significant matter shall be addressed prior to the next scheduled meeting, in which event such Party will work with the Liaisons to provide the members of the JRC no later than [***] Business Days prior to the special meeting with an agenda for the meeting and materials reasonably adequate to enable an informed decision. The JRC may meet in person, by videoconference, or by teleconference; provided that the final quarterly meeting of the JRC of each Calendar Year shall be conducted in person. In- person JRC meetings will be held at locations alternately selected by Repare and by Ono or at any other location mutually agreed by the members of the JRC. All JRC meetings shall take place in English. Each Party will report to the JRC on all material issues relating to the research of Drug Candidates or Licensed Drug Candidates promptly after such issues arise. Each Party will bear the expense of its respective JRC members’ participation in JRC meetings. The JRC chairperson will be responsible for preparing reasonably detailed written minutes of JRC meetings that reflect all decisions made and action items identified at such meetings.</w:t>
      </w:r>
    </w:p>
    <w:p>
      <w:pPr>
        <w:spacing w:after="0" w:line="10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20"/>
          </w:cols>
          <w:pgMar w:left="880" w:top="269" w:right="499" w:bottom="1440" w:gutter="0" w:footer="0" w:header="0"/>
        </w:sectPr>
      </w:pPr>
    </w:p>
    <w:bookmarkStart w:id="602" w:name="page603"/>
    <w:bookmarkEnd w:id="6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8.2.3. JRC Responsibilities</w:t>
      </w:r>
      <w:r>
        <w:rPr>
          <w:rFonts w:ascii="Arial" w:cs="Arial" w:eastAsia="Arial" w:hAnsi="Arial"/>
          <w:sz w:val="18"/>
          <w:szCs w:val="18"/>
          <w:color w:val="auto"/>
        </w:rPr>
        <w:t>. During the Research Term, the JRC shall have the following specific responsibilities: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 xml:space="preserve">8.2.3.1. </w:t>
      </w:r>
      <w:r>
        <w:rPr>
          <w:rFonts w:ascii="Arial" w:cs="Arial" w:eastAsia="Arial" w:hAnsi="Arial"/>
          <w:sz w:val="17"/>
          <w:szCs w:val="17"/>
          <w:color w:val="auto"/>
        </w:rPr>
        <w:t>oversee the performance of the Research Plan and coordinate the activities of the Parties under the Research Plan;</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8.2.3.2. </w:t>
      </w:r>
      <w:r>
        <w:rPr>
          <w:rFonts w:ascii="Arial" w:cs="Arial" w:eastAsia="Arial" w:hAnsi="Arial"/>
          <w:sz w:val="18"/>
          <w:szCs w:val="18"/>
          <w:color w:val="auto"/>
        </w:rPr>
        <w:t>report and monitor progress of Research Activities under the Research Plan and discuss any results thereunder;</w:t>
      </w:r>
    </w:p>
    <w:p>
      <w:pPr>
        <w:spacing w:after="0" w:line="117" w:lineRule="exact"/>
        <w:rPr>
          <w:sz w:val="20"/>
          <w:szCs w:val="20"/>
          <w:color w:val="auto"/>
        </w:rPr>
      </w:pPr>
    </w:p>
    <w:p>
      <w:pPr>
        <w:jc w:val="both"/>
        <w:ind w:left="120" w:right="380" w:firstLine="401"/>
        <w:spacing w:after="0" w:line="347" w:lineRule="auto"/>
        <w:rPr>
          <w:sz w:val="20"/>
          <w:szCs w:val="20"/>
          <w:color w:val="auto"/>
        </w:rPr>
      </w:pPr>
      <w:r>
        <w:rPr>
          <w:rFonts w:ascii="Arial" w:cs="Arial" w:eastAsia="Arial" w:hAnsi="Arial"/>
          <w:sz w:val="16"/>
          <w:szCs w:val="16"/>
          <w:b w:val="1"/>
          <w:bCs w:val="1"/>
          <w:color w:val="auto"/>
        </w:rPr>
        <w:t xml:space="preserve">8.2.3.3. </w:t>
      </w:r>
      <w:r>
        <w:rPr>
          <w:rFonts w:ascii="Arial" w:cs="Arial" w:eastAsia="Arial" w:hAnsi="Arial"/>
          <w:sz w:val="16"/>
          <w:szCs w:val="16"/>
          <w:color w:val="auto"/>
        </w:rPr>
        <w:t>review data generated in the course of the Research Service by Repare, including with respect to assay development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results of optimization and screening, and consider and advise on any technical issues that arise in the course of the Research Service;</w:t>
      </w:r>
    </w:p>
    <w:p>
      <w:pPr>
        <w:spacing w:after="0" w:line="8" w:lineRule="exact"/>
        <w:rPr>
          <w:sz w:val="20"/>
          <w:szCs w:val="20"/>
          <w:color w:val="auto"/>
        </w:rPr>
      </w:pPr>
    </w:p>
    <w:p>
      <w:pPr>
        <w:ind w:left="120" w:right="20" w:firstLine="401"/>
        <w:spacing w:after="0" w:line="261" w:lineRule="auto"/>
        <w:rPr>
          <w:sz w:val="20"/>
          <w:szCs w:val="20"/>
          <w:color w:val="auto"/>
        </w:rPr>
      </w:pPr>
      <w:r>
        <w:rPr>
          <w:rFonts w:ascii="Arial" w:cs="Arial" w:eastAsia="Arial" w:hAnsi="Arial"/>
          <w:sz w:val="18"/>
          <w:szCs w:val="18"/>
          <w:b w:val="1"/>
          <w:bCs w:val="1"/>
          <w:color w:val="auto"/>
        </w:rPr>
        <w:t xml:space="preserve">8.2.3.4. </w:t>
      </w:r>
      <w:r>
        <w:rPr>
          <w:rFonts w:ascii="Arial" w:cs="Arial" w:eastAsia="Arial" w:hAnsi="Arial"/>
          <w:sz w:val="18"/>
          <w:szCs w:val="18"/>
          <w:color w:val="auto"/>
        </w:rPr>
        <w:t>review the progress of activities under the Research Plan and review and approve any amendments thereto,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amendments to the Research Plan budget as a result of any amendment to the Research Plan, any other amendment to the Research Plan budget, any amendment to Repare’s FTE requirements, and any amendment to the timelines or activities under the Research Plan;</w:t>
      </w:r>
    </w:p>
    <w:p>
      <w:pPr>
        <w:spacing w:after="0" w:line="72" w:lineRule="exact"/>
        <w:rPr>
          <w:sz w:val="20"/>
          <w:szCs w:val="20"/>
          <w:color w:val="auto"/>
        </w:rPr>
      </w:pPr>
    </w:p>
    <w:p>
      <w:pPr>
        <w:ind w:left="120" w:firstLine="401"/>
        <w:spacing w:after="0" w:line="282" w:lineRule="auto"/>
        <w:rPr>
          <w:sz w:val="20"/>
          <w:szCs w:val="20"/>
          <w:color w:val="auto"/>
        </w:rPr>
      </w:pPr>
      <w:r>
        <w:rPr>
          <w:rFonts w:ascii="Arial" w:cs="Arial" w:eastAsia="Arial" w:hAnsi="Arial"/>
          <w:sz w:val="18"/>
          <w:szCs w:val="18"/>
          <w:b w:val="1"/>
          <w:bCs w:val="1"/>
          <w:color w:val="auto"/>
        </w:rPr>
        <w:t xml:space="preserve">8.2.3.5. </w:t>
      </w:r>
      <w:r>
        <w:rPr>
          <w:rFonts w:ascii="Arial" w:cs="Arial" w:eastAsia="Arial" w:hAnsi="Arial"/>
          <w:sz w:val="18"/>
          <w:szCs w:val="18"/>
          <w:color w:val="auto"/>
        </w:rPr>
        <w:t>overseeing the JRC’s Working Group and ensuring effective participation in each such Working Group’s operations by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members;</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8.2.3.6. </w:t>
      </w:r>
      <w:r>
        <w:rPr>
          <w:rFonts w:ascii="Arial" w:cs="Arial" w:eastAsia="Arial" w:hAnsi="Arial"/>
          <w:sz w:val="18"/>
          <w:szCs w:val="18"/>
          <w:color w:val="auto"/>
        </w:rPr>
        <w:t>resolve disputes arising at the Working Group;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8.2.3.7. </w:t>
      </w:r>
      <w:r>
        <w:rPr>
          <w:rFonts w:ascii="Arial" w:cs="Arial" w:eastAsia="Arial" w:hAnsi="Arial"/>
          <w:sz w:val="18"/>
          <w:szCs w:val="18"/>
          <w:color w:val="auto"/>
        </w:rPr>
        <w:t>select a list of proposed Drug Candidates;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8.2.3.8. </w:t>
      </w:r>
      <w:r>
        <w:rPr>
          <w:rFonts w:ascii="Arial" w:cs="Arial" w:eastAsia="Arial" w:hAnsi="Arial"/>
          <w:sz w:val="18"/>
          <w:szCs w:val="18"/>
          <w:color w:val="auto"/>
        </w:rPr>
        <w:t>resolve any disagreement between the Parties relating to the Research Plan; and</w:t>
      </w:r>
    </w:p>
    <w:p>
      <w:pPr>
        <w:spacing w:after="0" w:line="117" w:lineRule="exact"/>
        <w:rPr>
          <w:sz w:val="20"/>
          <w:szCs w:val="20"/>
          <w:color w:val="auto"/>
        </w:rPr>
      </w:pPr>
    </w:p>
    <w:p>
      <w:pPr>
        <w:ind w:left="120" w:right="580" w:firstLine="401"/>
        <w:spacing w:after="0" w:line="282" w:lineRule="auto"/>
        <w:rPr>
          <w:sz w:val="20"/>
          <w:szCs w:val="20"/>
          <w:color w:val="auto"/>
        </w:rPr>
      </w:pPr>
      <w:r>
        <w:rPr>
          <w:rFonts w:ascii="Arial" w:cs="Arial" w:eastAsia="Arial" w:hAnsi="Arial"/>
          <w:sz w:val="18"/>
          <w:szCs w:val="18"/>
          <w:b w:val="1"/>
          <w:bCs w:val="1"/>
          <w:color w:val="auto"/>
        </w:rPr>
        <w:t xml:space="preserve">8.2.3.9. </w:t>
      </w:r>
      <w:r>
        <w:rPr>
          <w:rFonts w:ascii="Arial" w:cs="Arial" w:eastAsia="Arial" w:hAnsi="Arial"/>
          <w:sz w:val="18"/>
          <w:szCs w:val="18"/>
          <w:color w:val="auto"/>
        </w:rPr>
        <w:t>perform such other activities as the Parties agree in writing shall be the responsibility of the JRC or that are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to the JRC under this Agreement.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8.2.4. JRC Decision-Making</w:t>
      </w:r>
      <w:r>
        <w:rPr>
          <w:rFonts w:ascii="Arial" w:cs="Arial" w:eastAsia="Arial" w:hAnsi="Arial"/>
          <w:sz w:val="18"/>
          <w:szCs w:val="18"/>
          <w:color w:val="auto"/>
        </w:rPr>
        <w:t>.</w:t>
      </w:r>
    </w:p>
    <w:p>
      <w:pPr>
        <w:spacing w:after="0" w:line="117" w:lineRule="exact"/>
        <w:rPr>
          <w:sz w:val="20"/>
          <w:szCs w:val="20"/>
          <w:color w:val="auto"/>
        </w:rPr>
      </w:pPr>
    </w:p>
    <w:p>
      <w:pPr>
        <w:ind w:left="120" w:right="40" w:firstLine="401"/>
        <w:spacing w:after="0" w:line="261" w:lineRule="auto"/>
        <w:rPr>
          <w:sz w:val="20"/>
          <w:szCs w:val="20"/>
          <w:color w:val="auto"/>
        </w:rPr>
      </w:pPr>
      <w:r>
        <w:rPr>
          <w:rFonts w:ascii="Arial" w:cs="Arial" w:eastAsia="Arial" w:hAnsi="Arial"/>
          <w:sz w:val="18"/>
          <w:szCs w:val="18"/>
          <w:b w:val="1"/>
          <w:bCs w:val="1"/>
          <w:color w:val="auto"/>
        </w:rPr>
        <w:t>8.2.4.1. Voting</w:t>
      </w:r>
      <w:r>
        <w:rPr>
          <w:rFonts w:ascii="Arial" w:cs="Arial" w:eastAsia="Arial" w:hAnsi="Arial"/>
          <w:sz w:val="18"/>
          <w:szCs w:val="18"/>
          <w:color w:val="auto"/>
        </w:rPr>
        <w:t>. The representatives of each Party on the JRC shall have collectively one vote on behalf of such Party.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the JRC, the attendance of at least two (2) representatives of each Party shall constitute a quorum. Action on any matter may be taken at a meeting, by teleconference, videoconference or by written agreement. The JRC shall attempt to resolve any and all disputes before it for decision by consensus.</w:t>
      </w:r>
    </w:p>
    <w:p>
      <w:pPr>
        <w:spacing w:after="0" w:line="72" w:lineRule="exact"/>
        <w:rPr>
          <w:sz w:val="20"/>
          <w:szCs w:val="20"/>
          <w:color w:val="auto"/>
        </w:rPr>
      </w:pPr>
    </w:p>
    <w:p>
      <w:pPr>
        <w:ind w:left="120" w:right="80" w:firstLine="401"/>
        <w:spacing w:after="0" w:line="292" w:lineRule="auto"/>
        <w:rPr>
          <w:sz w:val="20"/>
          <w:szCs w:val="20"/>
          <w:color w:val="auto"/>
        </w:rPr>
      </w:pPr>
      <w:r>
        <w:rPr>
          <w:rFonts w:ascii="Arial" w:cs="Arial" w:eastAsia="Arial" w:hAnsi="Arial"/>
          <w:sz w:val="16"/>
          <w:szCs w:val="16"/>
          <w:b w:val="1"/>
          <w:bCs w:val="1"/>
          <w:color w:val="auto"/>
        </w:rPr>
        <w:t xml:space="preserve">8.2.4.2. </w:t>
      </w:r>
      <w:r>
        <w:rPr>
          <w:rFonts w:ascii="Arial" w:cs="Arial" w:eastAsia="Arial" w:hAnsi="Arial"/>
          <w:sz w:val="16"/>
          <w:szCs w:val="16"/>
          <w:b w:val="1"/>
          <w:bCs w:val="1"/>
          <w:u w:val="single" w:color="auto"/>
          <w:color w:val="auto"/>
        </w:rPr>
        <w:t>Escalation</w:t>
      </w:r>
      <w:r>
        <w:rPr>
          <w:rFonts w:ascii="Arial" w:cs="Arial" w:eastAsia="Arial" w:hAnsi="Arial"/>
          <w:sz w:val="16"/>
          <w:szCs w:val="16"/>
          <w:color w:val="auto"/>
        </w:rPr>
        <w:t>. The JRC shall attempt to resolve any and all disputes before it for decision by consensus. If the JRC is unable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reach a consensus with respect to any dispute for a period in excess of [***] (or such other period as the Parties may agree), then the dispute shall be submitted to the Chief Executive Officers of Repare and Corporate Officer of Ono for resolution. If the JRC is unable to reach a consensus with respect to any dispute for a period in excess of [***] following escalation (or such other period as the Parties may agree), then </w:t>
      </w:r>
      <w:r>
        <w:rPr>
          <w:rFonts w:ascii="Arial" w:cs="Arial" w:eastAsia="Arial" w:hAnsi="Arial"/>
          <w:sz w:val="16"/>
          <w:szCs w:val="16"/>
          <w:u w:val="single" w:color="auto"/>
          <w:color w:val="auto"/>
        </w:rPr>
        <w:t>Section 8.2.4.3</w:t>
      </w:r>
      <w:r>
        <w:rPr>
          <w:rFonts w:ascii="Arial" w:cs="Arial" w:eastAsia="Arial" w:hAnsi="Arial"/>
          <w:sz w:val="16"/>
          <w:szCs w:val="16"/>
          <w:color w:val="auto"/>
        </w:rPr>
        <w:t xml:space="preserve"> (Tie-Breaking) shall apply. The phrases “approval by the JRC” and “election by the JRC” and similar phrases used in this Agreement shall mean approval in accordance with </w:t>
      </w:r>
      <w:r>
        <w:rPr>
          <w:rFonts w:ascii="Arial" w:cs="Arial" w:eastAsia="Arial" w:hAnsi="Arial"/>
          <w:sz w:val="16"/>
          <w:szCs w:val="16"/>
          <w:u w:val="single" w:color="auto"/>
          <w:color w:val="auto"/>
        </w:rPr>
        <w:t>Section 8.2.4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8.1.7</w:t>
      </w:r>
      <w:r>
        <w:rPr>
          <w:rFonts w:ascii="Arial" w:cs="Arial" w:eastAsia="Arial" w:hAnsi="Arial"/>
          <w:sz w:val="16"/>
          <w:szCs w:val="16"/>
          <w:color w:val="auto"/>
        </w:rPr>
        <w:t xml:space="preserve"> (Decision Making), including the escalation and tie- breaking provisions provided therein, except as otherwise expressly set forth in this Agreement.</w:t>
      </w:r>
    </w:p>
    <w:p>
      <w:pPr>
        <w:spacing w:after="0" w:line="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160"/>
          </w:cols>
          <w:pgMar w:left="1300" w:top="269" w:right="439" w:bottom="1440" w:gutter="0" w:footer="0" w:header="0"/>
        </w:sectPr>
      </w:pPr>
    </w:p>
    <w:bookmarkStart w:id="603" w:name="page604"/>
    <w:bookmarkEnd w:id="603"/>
    <w:p>
      <w:pPr>
        <w:ind w:left="4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8.2.4.3. </w:t>
      </w:r>
      <w:r>
        <w:rPr>
          <w:rFonts w:ascii="Arial" w:cs="Arial" w:eastAsia="Arial" w:hAnsi="Arial"/>
          <w:sz w:val="16"/>
          <w:szCs w:val="16"/>
          <w:b w:val="1"/>
          <w:bCs w:val="1"/>
          <w:u w:val="single" w:color="auto"/>
          <w:color w:val="auto"/>
        </w:rPr>
        <w:t>Tie-Breaking</w:t>
      </w:r>
      <w:r>
        <w:rPr>
          <w:rFonts w:ascii="Arial" w:cs="Arial" w:eastAsia="Arial" w:hAnsi="Arial"/>
          <w:sz w:val="16"/>
          <w:szCs w:val="16"/>
          <w:color w:val="auto"/>
        </w:rPr>
        <w:t>. If a dispute cannot be resolved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8.2.4.2</w:t>
      </w:r>
      <w:r>
        <w:rPr>
          <w:rFonts w:ascii="Arial" w:cs="Arial" w:eastAsia="Arial" w:hAnsi="Arial"/>
          <w:sz w:val="16"/>
          <w:szCs w:val="16"/>
          <w:b w:val="1"/>
          <w:bCs w:val="1"/>
          <w:color w:val="auto"/>
        </w:rPr>
        <w:t xml:space="preserve"> </w:t>
      </w:r>
      <w:r>
        <w:rPr>
          <w:rFonts w:ascii="Arial" w:cs="Arial" w:eastAsia="Arial" w:hAnsi="Arial"/>
          <w:sz w:val="16"/>
          <w:szCs w:val="16"/>
          <w:color w:val="auto"/>
        </w:rPr>
        <w:t>(Escalation), then,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8.2.4.3(c)</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8.2.4.4</w:t>
      </w:r>
      <w:r>
        <w:rPr>
          <w:rFonts w:ascii="Arial" w:cs="Arial" w:eastAsia="Arial" w:hAnsi="Arial"/>
          <w:sz w:val="18"/>
          <w:szCs w:val="18"/>
          <w:color w:val="auto"/>
        </w:rPr>
        <w:t>:</w:t>
      </w:r>
    </w:p>
    <w:p>
      <w:pPr>
        <w:spacing w:after="0" w:line="103" w:lineRule="exact"/>
        <w:rPr>
          <w:sz w:val="20"/>
          <w:szCs w:val="20"/>
          <w:color w:val="auto"/>
        </w:rPr>
      </w:pPr>
    </w:p>
    <w:p>
      <w:pPr>
        <w:ind w:left="1080" w:hanging="249"/>
        <w:spacing w:after="0"/>
        <w:tabs>
          <w:tab w:leader="none" w:pos="10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80" w:hanging="249"/>
        <w:spacing w:after="0"/>
        <w:tabs>
          <w:tab w:leader="none" w:pos="10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Repare shall have the deciding vote if the dispute relates to: [***];</w:t>
      </w:r>
    </w:p>
    <w:p>
      <w:pPr>
        <w:spacing w:after="0" w:line="117" w:lineRule="exact"/>
        <w:rPr>
          <w:rFonts w:ascii="Arial" w:cs="Arial" w:eastAsia="Arial" w:hAnsi="Arial"/>
          <w:sz w:val="18"/>
          <w:szCs w:val="18"/>
          <w:color w:val="auto"/>
        </w:rPr>
      </w:pPr>
    </w:p>
    <w:p>
      <w:pPr>
        <w:ind w:left="440" w:right="460" w:firstLine="391"/>
        <w:spacing w:after="0" w:line="277" w:lineRule="auto"/>
        <w:tabs>
          <w:tab w:leader="none" w:pos="1068"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w:t>
      </w:r>
      <w:r>
        <w:rPr>
          <w:rFonts w:ascii="Arial" w:cs="Arial" w:eastAsia="Arial" w:hAnsi="Arial"/>
          <w:sz w:val="18"/>
          <w:szCs w:val="18"/>
          <w:u w:val="single" w:color="auto"/>
          <w:color w:val="auto"/>
        </w:rPr>
        <w:t>Section 8.2.4.3</w:t>
      </w:r>
      <w:r>
        <w:rPr>
          <w:rFonts w:ascii="Arial" w:cs="Arial" w:eastAsia="Arial" w:hAnsi="Arial"/>
          <w:sz w:val="18"/>
          <w:szCs w:val="18"/>
          <w:color w:val="auto"/>
        </w:rPr>
        <w:t xml:space="preserve">, neither Party may exercise its deciding vote pursuant to </w:t>
      </w:r>
      <w:r>
        <w:rPr>
          <w:rFonts w:ascii="Arial" w:cs="Arial" w:eastAsia="Arial" w:hAnsi="Arial"/>
          <w:sz w:val="18"/>
          <w:szCs w:val="18"/>
          <w:u w:val="single" w:color="auto"/>
          <w:color w:val="auto"/>
        </w:rPr>
        <w:t>Section 8.2.4.3(a)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8.2.4.3(b)</w:t>
      </w:r>
      <w:r>
        <w:rPr>
          <w:rFonts w:ascii="Arial" w:cs="Arial" w:eastAsia="Arial" w:hAnsi="Arial"/>
          <w:sz w:val="18"/>
          <w:szCs w:val="18"/>
          <w:color w:val="auto"/>
        </w:rPr>
        <w:t>: [***];</w:t>
      </w:r>
    </w:p>
    <w:p>
      <w:pPr>
        <w:spacing w:after="0" w:line="58" w:lineRule="exact"/>
        <w:rPr>
          <w:sz w:val="20"/>
          <w:szCs w:val="20"/>
          <w:color w:val="auto"/>
        </w:rPr>
      </w:pPr>
    </w:p>
    <w:p>
      <w:pPr>
        <w:ind w:right="480" w:firstLine="401"/>
        <w:spacing w:after="0" w:line="282" w:lineRule="auto"/>
        <w:rPr>
          <w:sz w:val="20"/>
          <w:szCs w:val="20"/>
          <w:color w:val="auto"/>
        </w:rPr>
      </w:pPr>
      <w:r>
        <w:rPr>
          <w:rFonts w:ascii="Arial" w:cs="Arial" w:eastAsia="Arial" w:hAnsi="Arial"/>
          <w:sz w:val="18"/>
          <w:szCs w:val="18"/>
          <w:b w:val="1"/>
          <w:bCs w:val="1"/>
          <w:color w:val="auto"/>
        </w:rPr>
        <w:t xml:space="preserve">8.2.4.4. </w:t>
      </w:r>
      <w:r>
        <w:rPr>
          <w:rFonts w:ascii="Arial" w:cs="Arial" w:eastAsia="Arial" w:hAnsi="Arial"/>
          <w:sz w:val="18"/>
          <w:szCs w:val="18"/>
          <w:color w:val="auto"/>
        </w:rPr>
        <w:t>Limitation of Power of JRC. Neither the JRC nor any subcommittee of the JRC shall have decision-making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any of the following matters:</w:t>
      </w:r>
    </w:p>
    <w:p>
      <w:pPr>
        <w:spacing w:after="0" w:line="58" w:lineRule="exact"/>
        <w:rPr>
          <w:sz w:val="20"/>
          <w:szCs w:val="20"/>
          <w:color w:val="auto"/>
        </w:rPr>
      </w:pPr>
    </w:p>
    <w:p>
      <w:pPr>
        <w:ind w:left="1080" w:hanging="249"/>
        <w:spacing w:after="0"/>
        <w:tabs>
          <w:tab w:leader="none" w:pos="10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approval of any amendment of Research Plan;</w:t>
      </w:r>
    </w:p>
    <w:p>
      <w:pPr>
        <w:spacing w:after="0" w:line="117" w:lineRule="exact"/>
        <w:rPr>
          <w:rFonts w:ascii="Arial" w:cs="Arial" w:eastAsia="Arial" w:hAnsi="Arial"/>
          <w:sz w:val="18"/>
          <w:szCs w:val="18"/>
          <w:color w:val="auto"/>
        </w:rPr>
      </w:pPr>
    </w:p>
    <w:p>
      <w:pPr>
        <w:ind w:left="440" w:right="400" w:firstLine="391"/>
        <w:spacing w:after="0" w:line="277" w:lineRule="auto"/>
        <w:tabs>
          <w:tab w:leader="none" w:pos="1078"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xml:space="preserve">any determination whether to discontinue the Polq Program other than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(Polq Program Discontinuation);</w:t>
      </w:r>
    </w:p>
    <w:p>
      <w:pPr>
        <w:spacing w:after="0" w:line="62" w:lineRule="exact"/>
        <w:rPr>
          <w:rFonts w:ascii="Arial" w:cs="Arial" w:eastAsia="Arial" w:hAnsi="Arial"/>
          <w:sz w:val="18"/>
          <w:szCs w:val="18"/>
          <w:color w:val="auto"/>
        </w:rPr>
      </w:pPr>
    </w:p>
    <w:p>
      <w:pPr>
        <w:ind w:left="440" w:right="40" w:firstLine="391"/>
        <w:spacing w:after="0" w:line="277" w:lineRule="auto"/>
        <w:tabs>
          <w:tab w:leader="none" w:pos="1068"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imposition of any requirements on the other Party to undertake obligations beyond those for which it is responsible, or forgo any rights, under this Agreement;</w:t>
      </w:r>
    </w:p>
    <w:p>
      <w:pPr>
        <w:spacing w:after="0" w:line="62" w:lineRule="exact"/>
        <w:rPr>
          <w:rFonts w:ascii="Arial" w:cs="Arial" w:eastAsia="Arial" w:hAnsi="Arial"/>
          <w:sz w:val="18"/>
          <w:szCs w:val="18"/>
          <w:color w:val="auto"/>
        </w:rPr>
      </w:pPr>
    </w:p>
    <w:p>
      <w:pPr>
        <w:ind w:left="440" w:firstLine="391"/>
        <w:spacing w:after="0" w:line="308" w:lineRule="auto"/>
        <w:tabs>
          <w:tab w:leader="none" w:pos="1078" w:val="left"/>
        </w:tabs>
        <w:numPr>
          <w:ilvl w:val="0"/>
          <w:numId w:val="380"/>
        </w:numPr>
        <w:rPr>
          <w:rFonts w:ascii="Arial" w:cs="Arial" w:eastAsia="Arial" w:hAnsi="Arial"/>
          <w:sz w:val="17"/>
          <w:szCs w:val="17"/>
          <w:color w:val="auto"/>
        </w:rPr>
      </w:pPr>
      <w:r>
        <w:rPr>
          <w:rFonts w:ascii="Arial" w:cs="Arial" w:eastAsia="Arial" w:hAnsi="Arial"/>
          <w:sz w:val="17"/>
          <w:szCs w:val="17"/>
          <w:color w:val="auto"/>
        </w:rPr>
        <w:t>the imposition of any requirements that the other Party take or decline to take any action that would result in a violation of any Law or any agreement with any Third Party or the infringement of intellectual property rights of Third Parties;</w:t>
      </w:r>
    </w:p>
    <w:p>
      <w:pPr>
        <w:spacing w:after="0" w:line="38" w:lineRule="exact"/>
        <w:rPr>
          <w:rFonts w:ascii="Arial" w:cs="Arial" w:eastAsia="Arial" w:hAnsi="Arial"/>
          <w:sz w:val="17"/>
          <w:szCs w:val="17"/>
          <w:color w:val="auto"/>
        </w:rPr>
      </w:pPr>
    </w:p>
    <w:p>
      <w:pPr>
        <w:ind w:left="1080" w:hanging="249"/>
        <w:spacing w:after="0"/>
        <w:tabs>
          <w:tab w:leader="none" w:pos="108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any matters that would excuse such Party from any of its obligations specifically enumerated under this Agreement; or</w:t>
      </w:r>
    </w:p>
    <w:p>
      <w:pPr>
        <w:spacing w:after="0" w:line="18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9900"/>
          </w:cols>
          <w:pgMar w:left="1420" w:top="269" w:right="579" w:bottom="1440" w:gutter="0" w:footer="0" w:header="0"/>
        </w:sectPr>
      </w:pPr>
    </w:p>
    <w:bookmarkStart w:id="604" w:name="page605"/>
    <w:bookmarkEnd w:id="604"/>
    <w:p>
      <w:pPr>
        <w:ind w:left="1424" w:right="340" w:firstLine="391"/>
        <w:spacing w:after="0" w:line="263" w:lineRule="auto"/>
        <w:tabs>
          <w:tab w:leader="none" w:pos="2032" w:val="left"/>
        </w:tabs>
        <w:numPr>
          <w:ilvl w:val="0"/>
          <w:numId w:val="3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modifying the terms of this Agreement or taking any action to expand or narrow the responsibilities of the JRC (but excluding amendments and modifications to any schedules or exhibits to this Agreement that are expressly permitted under this Agreement).</w:t>
      </w:r>
    </w:p>
    <w:p>
      <w:pPr>
        <w:spacing w:after="0" w:line="72" w:lineRule="exact"/>
        <w:rPr>
          <w:sz w:val="20"/>
          <w:szCs w:val="20"/>
          <w:color w:val="auto"/>
        </w:rPr>
      </w:pPr>
    </w:p>
    <w:p>
      <w:pPr>
        <w:ind w:left="864"/>
        <w:spacing w:after="0"/>
        <w:rPr>
          <w:sz w:val="20"/>
          <w:szCs w:val="20"/>
          <w:color w:val="auto"/>
        </w:rPr>
      </w:pPr>
      <w:r>
        <w:rPr>
          <w:rFonts w:ascii="Arial" w:cs="Arial" w:eastAsia="Arial" w:hAnsi="Arial"/>
          <w:sz w:val="18"/>
          <w:szCs w:val="18"/>
          <w:b w:val="1"/>
          <w:bCs w:val="1"/>
          <w:color w:val="auto"/>
        </w:rPr>
        <w:t>8.2.5. Term</w:t>
      </w:r>
      <w:r>
        <w:rPr>
          <w:rFonts w:ascii="Arial" w:cs="Arial" w:eastAsia="Arial" w:hAnsi="Arial"/>
          <w:sz w:val="18"/>
          <w:szCs w:val="18"/>
          <w:color w:val="auto"/>
        </w:rPr>
        <w:t>. Either Party shall have the right to terminate the JRC upon the expiration of the Research Term.</w:t>
      </w:r>
    </w:p>
    <w:p>
      <w:pPr>
        <w:spacing w:after="0" w:line="225" w:lineRule="exact"/>
        <w:rPr>
          <w:sz w:val="20"/>
          <w:szCs w:val="20"/>
          <w:color w:val="auto"/>
        </w:rPr>
      </w:pPr>
    </w:p>
    <w:p>
      <w:pPr>
        <w:ind w:left="4" w:firstLine="440"/>
        <w:spacing w:after="0" w:line="281" w:lineRule="auto"/>
        <w:rPr>
          <w:sz w:val="20"/>
          <w:szCs w:val="20"/>
          <w:color w:val="auto"/>
        </w:rPr>
      </w:pPr>
      <w:r>
        <w:rPr>
          <w:rFonts w:ascii="Arial" w:cs="Arial" w:eastAsia="Arial" w:hAnsi="Arial"/>
          <w:sz w:val="17"/>
          <w:szCs w:val="17"/>
          <w:b w:val="1"/>
          <w:bCs w:val="1"/>
          <w:color w:val="auto"/>
        </w:rPr>
        <w:t xml:space="preserve">8.3. </w:t>
      </w:r>
      <w:r>
        <w:rPr>
          <w:rFonts w:ascii="Arial" w:cs="Arial" w:eastAsia="Arial" w:hAnsi="Arial"/>
          <w:sz w:val="17"/>
          <w:szCs w:val="17"/>
          <w:b w:val="1"/>
          <w:bCs w:val="1"/>
          <w:u w:val="single" w:color="auto"/>
          <w:color w:val="auto"/>
        </w:rPr>
        <w:t>Working Groups</w:t>
      </w:r>
      <w:r>
        <w:rPr>
          <w:rFonts w:ascii="Arial" w:cs="Arial" w:eastAsia="Arial" w:hAnsi="Arial"/>
          <w:sz w:val="17"/>
          <w:szCs w:val="17"/>
          <w:color w:val="auto"/>
        </w:rPr>
        <w:t>. Upon mutual agreement, the Parties may establish other committees or working groups (each, a “</w:t>
      </w:r>
      <w:r>
        <w:rPr>
          <w:rFonts w:ascii="Arial" w:cs="Arial" w:eastAsia="Arial" w:hAnsi="Arial"/>
          <w:sz w:val="17"/>
          <w:szCs w:val="17"/>
          <w:b w:val="1"/>
          <w:bCs w:val="1"/>
          <w:color w:val="auto"/>
        </w:rPr>
        <w:t>Working Group</w:t>
      </w:r>
      <w:r>
        <w:rPr>
          <w:rFonts w:ascii="Arial" w:cs="Arial" w:eastAsia="Arial" w:hAnsi="Arial"/>
          <w:sz w:val="17"/>
          <w:szCs w:val="17"/>
          <w:color w:val="auto"/>
        </w:rPr>
        <w:t>”) as</w:t>
      </w:r>
      <w:r>
        <w:rPr>
          <w:rFonts w:ascii="Arial" w:cs="Arial" w:eastAsia="Arial" w:hAnsi="Arial"/>
          <w:sz w:val="17"/>
          <w:szCs w:val="17"/>
          <w:b w:val="1"/>
          <w:bCs w:val="1"/>
          <w:color w:val="auto"/>
        </w:rPr>
        <w:t xml:space="preserve"> </w:t>
      </w:r>
      <w:r>
        <w:rPr>
          <w:rFonts w:ascii="Arial" w:cs="Arial" w:eastAsia="Arial" w:hAnsi="Arial"/>
          <w:sz w:val="17"/>
          <w:szCs w:val="17"/>
          <w:color w:val="auto"/>
        </w:rPr>
        <w:t>they deem appropriate. These Working Groups shall report to the JSC or JRC depending on the subject matter of such Working Group’s oversight. Each Working Group shall have equal number of representatives from each Party. Working Group may be established on an ad hoc basis for purposes of a specific project. In no event shall the authority of a Working Group exceed that of the JSC or JRC.</w:t>
      </w:r>
    </w:p>
    <w:p>
      <w:pPr>
        <w:spacing w:after="0" w:line="165" w:lineRule="exact"/>
        <w:rPr>
          <w:sz w:val="20"/>
          <w:szCs w:val="20"/>
          <w:color w:val="auto"/>
        </w:rPr>
      </w:pPr>
    </w:p>
    <w:p>
      <w:pPr>
        <w:ind w:left="4" w:right="40" w:firstLine="440"/>
        <w:spacing w:after="0" w:line="347" w:lineRule="auto"/>
        <w:rPr>
          <w:sz w:val="20"/>
          <w:szCs w:val="20"/>
          <w:color w:val="auto"/>
        </w:rPr>
      </w:pPr>
      <w:r>
        <w:rPr>
          <w:rFonts w:ascii="Arial" w:cs="Arial" w:eastAsia="Arial" w:hAnsi="Arial"/>
          <w:sz w:val="16"/>
          <w:szCs w:val="16"/>
          <w:b w:val="1"/>
          <w:bCs w:val="1"/>
          <w:color w:val="auto"/>
        </w:rPr>
        <w:t xml:space="preserve">8.4. </w:t>
      </w:r>
      <w:r>
        <w:rPr>
          <w:rFonts w:ascii="Arial" w:cs="Arial" w:eastAsia="Arial" w:hAnsi="Arial"/>
          <w:sz w:val="16"/>
          <w:szCs w:val="16"/>
          <w:b w:val="1"/>
          <w:bCs w:val="1"/>
          <w:u w:val="single" w:color="auto"/>
          <w:color w:val="auto"/>
        </w:rPr>
        <w:t>No Power to Amend</w:t>
      </w:r>
      <w:r>
        <w:rPr>
          <w:rFonts w:ascii="Arial" w:cs="Arial" w:eastAsia="Arial" w:hAnsi="Arial"/>
          <w:sz w:val="16"/>
          <w:szCs w:val="16"/>
          <w:color w:val="auto"/>
        </w:rPr>
        <w:t>. Unless otherwise agreed to by the Parties in writing, the JSC and JRC will have only the powers expressly assigned to</w:t>
      </w:r>
      <w:r>
        <w:rPr>
          <w:rFonts w:ascii="Arial" w:cs="Arial" w:eastAsia="Arial" w:hAnsi="Arial"/>
          <w:sz w:val="16"/>
          <w:szCs w:val="16"/>
          <w:b w:val="1"/>
          <w:bCs w:val="1"/>
          <w:color w:val="auto"/>
        </w:rPr>
        <w:t xml:space="preserve"> </w:t>
      </w:r>
      <w:r>
        <w:rPr>
          <w:rFonts w:ascii="Arial" w:cs="Arial" w:eastAsia="Arial" w:hAnsi="Arial"/>
          <w:sz w:val="16"/>
          <w:szCs w:val="16"/>
          <w:color w:val="auto"/>
        </w:rPr>
        <w:t>it in this Agreement. In no event will any of them have any power to unilaterally amend, modify, or waive compliance with this Agreement.</w:t>
      </w:r>
    </w:p>
    <w:p>
      <w:pPr>
        <w:spacing w:after="0" w:line="116" w:lineRule="exact"/>
        <w:rPr>
          <w:sz w:val="20"/>
          <w:szCs w:val="20"/>
          <w:color w:val="auto"/>
        </w:rPr>
      </w:pPr>
    </w:p>
    <w:p>
      <w:pPr>
        <w:ind w:left="4" w:right="80" w:firstLine="440"/>
        <w:spacing w:after="0" w:line="347" w:lineRule="auto"/>
        <w:rPr>
          <w:sz w:val="20"/>
          <w:szCs w:val="20"/>
          <w:color w:val="auto"/>
        </w:rPr>
      </w:pPr>
      <w:r>
        <w:rPr>
          <w:rFonts w:ascii="Arial" w:cs="Arial" w:eastAsia="Arial" w:hAnsi="Arial"/>
          <w:sz w:val="16"/>
          <w:szCs w:val="16"/>
          <w:b w:val="1"/>
          <w:bCs w:val="1"/>
          <w:color w:val="auto"/>
        </w:rPr>
        <w:t xml:space="preserve">8.5.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All information disclosed by either Party or its representatives to the other Party or its representatives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w:t>
      </w:r>
      <w:r>
        <w:rPr>
          <w:rFonts w:ascii="Arial" w:cs="Arial" w:eastAsia="Arial" w:hAnsi="Arial"/>
          <w:sz w:val="16"/>
          <w:szCs w:val="16"/>
          <w:b w:val="1"/>
          <w:bCs w:val="1"/>
          <w:color w:val="auto"/>
        </w:rPr>
        <w:t xml:space="preserve"> </w:t>
      </w:r>
      <w:r>
        <w:rPr>
          <w:rFonts w:ascii="Arial" w:cs="Arial" w:eastAsia="Arial" w:hAnsi="Arial"/>
          <w:sz w:val="16"/>
          <w:szCs w:val="16"/>
          <w:color w:val="auto"/>
        </w:rPr>
        <w:t>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deemed to be Confidential Information of the disclosing Party and maintained in accordance with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(Confidentiality and Publication).</w:t>
      </w:r>
    </w:p>
    <w:p>
      <w:pPr>
        <w:spacing w:after="0" w:line="116" w:lineRule="exact"/>
        <w:rPr>
          <w:sz w:val="20"/>
          <w:szCs w:val="20"/>
          <w:color w:val="auto"/>
        </w:rPr>
      </w:pPr>
    </w:p>
    <w:p>
      <w:pPr>
        <w:ind w:left="4" w:right="20" w:firstLine="440"/>
        <w:spacing w:after="0" w:line="282" w:lineRule="auto"/>
        <w:rPr>
          <w:sz w:val="20"/>
          <w:szCs w:val="20"/>
          <w:color w:val="auto"/>
        </w:rPr>
      </w:pPr>
      <w:r>
        <w:rPr>
          <w:rFonts w:ascii="Arial" w:cs="Arial" w:eastAsia="Arial" w:hAnsi="Arial"/>
          <w:sz w:val="18"/>
          <w:szCs w:val="18"/>
          <w:b w:val="1"/>
          <w:bCs w:val="1"/>
          <w:color w:val="auto"/>
        </w:rPr>
        <w:t xml:space="preserve">8.6. </w:t>
      </w:r>
      <w:r>
        <w:rPr>
          <w:rFonts w:ascii="Arial" w:cs="Arial" w:eastAsia="Arial" w:hAnsi="Arial"/>
          <w:sz w:val="18"/>
          <w:szCs w:val="18"/>
          <w:b w:val="1"/>
          <w:bCs w:val="1"/>
          <w:u w:val="single" w:color="auto"/>
          <w:color w:val="auto"/>
        </w:rPr>
        <w:t>Modifications</w:t>
      </w:r>
      <w:r>
        <w:rPr>
          <w:rFonts w:ascii="Arial" w:cs="Arial" w:eastAsia="Arial" w:hAnsi="Arial"/>
          <w:sz w:val="18"/>
          <w:szCs w:val="18"/>
          <w:color w:val="auto"/>
        </w:rPr>
        <w:t>. The Parties shall meet from time to time to discuss whether any changes to the governance structure for the Collaboration are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advisable.</w:t>
      </w:r>
    </w:p>
    <w:p>
      <w:pPr>
        <w:spacing w:after="0" w:line="270" w:lineRule="exact"/>
        <w:rPr>
          <w:sz w:val="20"/>
          <w:szCs w:val="20"/>
          <w:color w:val="auto"/>
        </w:rPr>
      </w:pPr>
    </w:p>
    <w:p>
      <w:pPr>
        <w:ind w:left="444" w:right="7300" w:hanging="444"/>
        <w:spacing w:after="0" w:line="375" w:lineRule="auto"/>
        <w:tabs>
          <w:tab w:leader="none" w:pos="184"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CONFIDENTIALITY AND PUBLICATION 9.1. </w:t>
      </w:r>
      <w:r>
        <w:rPr>
          <w:rFonts w:ascii="Arial" w:cs="Arial" w:eastAsia="Arial" w:hAnsi="Arial"/>
          <w:sz w:val="18"/>
          <w:szCs w:val="18"/>
          <w:b w:val="1"/>
          <w:bCs w:val="1"/>
          <w:u w:val="single" w:color="auto"/>
          <w:color w:val="auto"/>
        </w:rPr>
        <w:t>Nondisclosure Obligation</w:t>
      </w:r>
      <w:r>
        <w:rPr>
          <w:rFonts w:ascii="Arial" w:cs="Arial" w:eastAsia="Arial" w:hAnsi="Arial"/>
          <w:sz w:val="18"/>
          <w:szCs w:val="18"/>
          <w:color w:val="auto"/>
        </w:rPr>
        <w:t>.</w:t>
      </w:r>
    </w:p>
    <w:p>
      <w:pPr>
        <w:spacing w:after="0" w:line="1" w:lineRule="exact"/>
        <w:rPr>
          <w:sz w:val="20"/>
          <w:szCs w:val="20"/>
          <w:color w:val="auto"/>
        </w:rPr>
      </w:pPr>
    </w:p>
    <w:p>
      <w:pPr>
        <w:ind w:left="444" w:right="40" w:firstLine="423"/>
        <w:spacing w:after="0" w:line="266" w:lineRule="auto"/>
        <w:rPr>
          <w:sz w:val="20"/>
          <w:szCs w:val="20"/>
          <w:color w:val="auto"/>
        </w:rPr>
      </w:pPr>
      <w:r>
        <w:rPr>
          <w:rFonts w:ascii="Arial" w:cs="Arial" w:eastAsia="Arial" w:hAnsi="Arial"/>
          <w:sz w:val="18"/>
          <w:szCs w:val="18"/>
          <w:b w:val="1"/>
          <w:bCs w:val="1"/>
          <w:color w:val="auto"/>
        </w:rPr>
        <w:t xml:space="preserve">9.1.1. </w:t>
      </w:r>
      <w:r>
        <w:rPr>
          <w:rFonts w:ascii="Arial" w:cs="Arial" w:eastAsia="Arial" w:hAnsi="Arial"/>
          <w:sz w:val="18"/>
          <w:szCs w:val="18"/>
          <w:color w:val="auto"/>
        </w:rPr>
        <w:t>All Confidential Information disclosed by one Party to the other Party under this Agreement shall be maintained in confidence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receiving Party and shall not be disclosed to a Third Party or used for any purpose except as set forth herein without the prior written consent of the disclosing Party, except to the extent that such Confidential Information:</w:t>
      </w:r>
    </w:p>
    <w:p>
      <w:pPr>
        <w:spacing w:after="0" w:line="72" w:lineRule="exact"/>
        <w:rPr>
          <w:sz w:val="20"/>
          <w:szCs w:val="20"/>
          <w:color w:val="auto"/>
        </w:rPr>
      </w:pPr>
    </w:p>
    <w:p>
      <w:pPr>
        <w:ind w:left="984" w:right="340" w:firstLine="910"/>
        <w:spacing w:after="0" w:line="277" w:lineRule="auto"/>
        <w:tabs>
          <w:tab w:leader="none" w:pos="2131"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is known by the receiving Party at the time of its receipt, and not through a prior disclosure by the disclosing Party, as documented by the receiving Party’s business records;</w:t>
      </w:r>
    </w:p>
    <w:p>
      <w:pPr>
        <w:spacing w:after="0" w:line="62" w:lineRule="exact"/>
        <w:rPr>
          <w:rFonts w:ascii="Arial" w:cs="Arial" w:eastAsia="Arial" w:hAnsi="Arial"/>
          <w:sz w:val="18"/>
          <w:szCs w:val="18"/>
          <w:color w:val="auto"/>
        </w:rPr>
      </w:pPr>
    </w:p>
    <w:p>
      <w:pPr>
        <w:ind w:left="984" w:right="140" w:firstLine="910"/>
        <w:spacing w:after="0" w:line="277" w:lineRule="auto"/>
        <w:tabs>
          <w:tab w:leader="none" w:pos="2141"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is known to the public before its receipt from the disclosing Party, or thereafter becomes known to the public through no breach of this Agreement by the receiving Party;</w:t>
      </w:r>
    </w:p>
    <w:p>
      <w:pPr>
        <w:spacing w:after="0" w:line="62" w:lineRule="exact"/>
        <w:rPr>
          <w:rFonts w:ascii="Arial" w:cs="Arial" w:eastAsia="Arial" w:hAnsi="Arial"/>
          <w:sz w:val="18"/>
          <w:szCs w:val="18"/>
          <w:color w:val="auto"/>
        </w:rPr>
      </w:pPr>
    </w:p>
    <w:p>
      <w:pPr>
        <w:ind w:left="984" w:right="160" w:firstLine="910"/>
        <w:spacing w:after="0" w:line="277" w:lineRule="auto"/>
        <w:tabs>
          <w:tab w:leader="none" w:pos="2131"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is subsequently disclosed to the receiving Party by a Third Party who is not known by the receiving Party to be under an obligation of confidentiality to the disclosing Party; or</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44"/>
          </w:cols>
          <w:pgMar w:left="436" w:top="273" w:right="519" w:bottom="1440" w:gutter="0" w:footer="0" w:header="0"/>
        </w:sectPr>
      </w:pPr>
    </w:p>
    <w:bookmarkStart w:id="605" w:name="page606"/>
    <w:bookmarkEnd w:id="605"/>
    <w:p>
      <w:pPr>
        <w:ind w:left="540" w:right="460" w:firstLine="910"/>
        <w:spacing w:after="0" w:line="277" w:lineRule="auto"/>
        <w:tabs>
          <w:tab w:leader="none" w:pos="1697" w:val="left"/>
        </w:tabs>
        <w:numPr>
          <w:ilvl w:val="0"/>
          <w:numId w:val="3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developed by the receiving Party independently of Confidential Information received from the disclosing Party, as documented by the receiving Party’s business records.</w:t>
      </w:r>
    </w:p>
    <w:p>
      <w:pPr>
        <w:spacing w:after="0" w:line="58" w:lineRule="exact"/>
        <w:rPr>
          <w:sz w:val="20"/>
          <w:szCs w:val="20"/>
          <w:color w:val="auto"/>
        </w:rPr>
      </w:pPr>
    </w:p>
    <w:p>
      <w:pPr>
        <w:ind w:firstLine="423"/>
        <w:spacing w:after="0" w:line="284" w:lineRule="auto"/>
        <w:rPr>
          <w:sz w:val="20"/>
          <w:szCs w:val="20"/>
          <w:color w:val="auto"/>
        </w:rPr>
      </w:pPr>
      <w:r>
        <w:rPr>
          <w:rFonts w:ascii="Arial" w:cs="Arial" w:eastAsia="Arial" w:hAnsi="Arial"/>
          <w:sz w:val="16"/>
          <w:szCs w:val="16"/>
          <w:b w:val="1"/>
          <w:bCs w:val="1"/>
          <w:color w:val="auto"/>
        </w:rPr>
        <w:t xml:space="preserve">9.1.2. </w:t>
      </w:r>
      <w:r>
        <w:rPr>
          <w:rFonts w:ascii="Arial" w:cs="Arial" w:eastAsia="Arial" w:hAnsi="Arial"/>
          <w:sz w:val="16"/>
          <w:szCs w:val="16"/>
          <w:color w:val="auto"/>
        </w:rPr>
        <w:t>Notwithstanding the obligations of confidentiality and non-use set forth above and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9.1.3</w:t>
      </w:r>
      <w:r>
        <w:rPr>
          <w:rFonts w:ascii="Arial" w:cs="Arial" w:eastAsia="Arial" w:hAnsi="Arial"/>
          <w:sz w:val="16"/>
          <w:szCs w:val="16"/>
          <w:b w:val="1"/>
          <w:bCs w:val="1"/>
          <w:color w:val="auto"/>
        </w:rPr>
        <w:t xml:space="preserve"> </w:t>
      </w:r>
      <w:r>
        <w:rPr>
          <w:rFonts w:ascii="Arial" w:cs="Arial" w:eastAsia="Arial" w:hAnsi="Arial"/>
          <w:sz w:val="16"/>
          <w:szCs w:val="16"/>
          <w:color w:val="auto"/>
        </w:rPr>
        <w:t>below, a receiving Party may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 Confidential Information disclosed to it, and disclose the existence and terms of this Agreement as may be reasonably required in order to perform its obligations and to exploit its rights under this Agreement, and specifically to (i) Related Parties, and their employees, directors, agents, consultants, advisors or other Third Parties for the performance of its obligations and to exploit its rights hereunder (or for such entities to determine their interest in performing such activities) in accordance with this Agreement in each case who are under an obligation of confidentiality with respect to such information that is no less stringent than the terms of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(ii) Governmental Authorities or other Regulatory Authorities in order to obtain patents or perform its obligations or exploit its rights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Confidential Information shall be disclosed only to the extent reasonably necessary to do so; (iii) the extent required by Law, including by the rules or regulations of the United States Securities and Exchange Commission or similar regulatory agency in a country other than the United States or of any stock exchange or listing entity; (iv) (a) any bona fide actual or prospective underwriters, investors, lenders or Acquirers of a receiving Party and to consultants and advisors of such Third Party, and (b) any bona fide actual or prospective collaborators or strategic partners and to consultants and advisors of such Third Party, in each case of (a) and (b) during bona fide business discussions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receiving party of such information is under an obligation or confidentiality with respect to such information that is no less stringent than the terms of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and (v) to Third Parties to the extent a Party is required to do so pursuant to the terms of an In-License existing as of the Effective Date. If a Party is required by Law to disclose Confidential Information that is subject to the non-disclosure provisions of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such Party shall promptly inform the other Party of the disclosure that is being sought in order to provide the other Party an opportunity to challenge or limit the disclosure. Notwithstanding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Confidential Information that is required to be disclosed by Law shall remain otherwise subject to the confidentiality and non-use provisions of </w:t>
      </w:r>
      <w:r>
        <w:rPr>
          <w:rFonts w:ascii="Arial" w:cs="Arial" w:eastAsia="Arial" w:hAnsi="Arial"/>
          <w:sz w:val="16"/>
          <w:szCs w:val="16"/>
          <w:u w:val="single" w:color="auto"/>
          <w:color w:val="auto"/>
        </w:rPr>
        <w:t>Section 9.1</w:t>
      </w:r>
      <w:r>
        <w:rPr>
          <w:rFonts w:ascii="Arial" w:cs="Arial" w:eastAsia="Arial" w:hAnsi="Arial"/>
          <w:sz w:val="16"/>
          <w:szCs w:val="16"/>
          <w:color w:val="auto"/>
        </w:rPr>
        <w:t>. If either Party concludes that a copy of any of this Agreement shall be filed with the United States Securities and Exchange Commission or similar regulatory agency in a country other than the United States, such Party shall provide the other Party with a copy of such agreement showing any provisions hereof as to which the Party proposes to request confidential treatment, shall provide the other Party with an opportunity to comment on any such proposed redactions and to suggest additional redactions, and shall take such Party’s comments into consideration before filing such agreement.</w:t>
      </w:r>
    </w:p>
    <w:p>
      <w:pPr>
        <w:spacing w:after="0" w:line="288" w:lineRule="exact"/>
        <w:rPr>
          <w:sz w:val="20"/>
          <w:szCs w:val="20"/>
          <w:color w:val="auto"/>
        </w:rPr>
      </w:pPr>
    </w:p>
    <w:p>
      <w:pPr>
        <w:jc w:val="both"/>
        <w:ind w:right="560" w:firstLine="423"/>
        <w:spacing w:after="0" w:line="261" w:lineRule="auto"/>
        <w:rPr>
          <w:sz w:val="20"/>
          <w:szCs w:val="20"/>
          <w:color w:val="auto"/>
        </w:rPr>
      </w:pPr>
      <w:r>
        <w:rPr>
          <w:rFonts w:ascii="Arial" w:cs="Arial" w:eastAsia="Arial" w:hAnsi="Arial"/>
          <w:sz w:val="18"/>
          <w:szCs w:val="18"/>
          <w:b w:val="1"/>
          <w:bCs w:val="1"/>
          <w:color w:val="auto"/>
        </w:rPr>
        <w:t xml:space="preserve">9.1.3. </w:t>
      </w:r>
      <w:r>
        <w:rPr>
          <w:rFonts w:ascii="Arial" w:cs="Arial" w:eastAsia="Arial" w:hAnsi="Arial"/>
          <w:sz w:val="18"/>
          <w:szCs w:val="18"/>
          <w:color w:val="auto"/>
        </w:rPr>
        <w:t>Each Party recognizes that the value to the other Party of the transactions under this Agreement depend, in part, on each Party</w:t>
      </w:r>
      <w:r>
        <w:rPr>
          <w:rFonts w:ascii="Arial" w:cs="Arial" w:eastAsia="Arial" w:hAnsi="Arial"/>
          <w:sz w:val="18"/>
          <w:szCs w:val="18"/>
          <w:b w:val="1"/>
          <w:bCs w:val="1"/>
          <w:color w:val="auto"/>
        </w:rPr>
        <w:t xml:space="preserve"> </w:t>
      </w:r>
      <w:r>
        <w:rPr>
          <w:rFonts w:ascii="Arial" w:cs="Arial" w:eastAsia="Arial" w:hAnsi="Arial"/>
          <w:sz w:val="18"/>
          <w:szCs w:val="18"/>
          <w:color w:val="auto"/>
        </w:rPr>
        <w:t>protecting the secrecy of its Know-How. Therefore, without limiting any Party’s right to license its Know-How, subject to the terms of this Agreement, in any way it chooses, each Party shall use commercially reasonable efforts to protect the confidentiality of its Know- How as determined in such Party’s reasonable business judgment.</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540"/>
          </w:cols>
          <w:pgMar w:left="880" w:top="273" w:right="479" w:bottom="1440" w:gutter="0" w:footer="0" w:header="0"/>
        </w:sectPr>
      </w:pPr>
    </w:p>
    <w:bookmarkStart w:id="606" w:name="page607"/>
    <w:bookmarkEnd w:id="606"/>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9.2. </w:t>
      </w:r>
      <w:r>
        <w:rPr>
          <w:rFonts w:ascii="Arial" w:cs="Arial" w:eastAsia="Arial" w:hAnsi="Arial"/>
          <w:sz w:val="18"/>
          <w:szCs w:val="18"/>
          <w:b w:val="1"/>
          <w:bCs w:val="1"/>
          <w:u w:val="single" w:color="auto"/>
          <w:color w:val="auto"/>
        </w:rPr>
        <w:t>Publication and Publicity</w:t>
      </w:r>
      <w:r>
        <w:rPr>
          <w:rFonts w:ascii="Arial" w:cs="Arial" w:eastAsia="Arial" w:hAnsi="Arial"/>
          <w:sz w:val="18"/>
          <w:szCs w:val="18"/>
          <w:color w:val="auto"/>
        </w:rPr>
        <w:t>.</w:t>
      </w:r>
    </w:p>
    <w:p>
      <w:pPr>
        <w:spacing w:after="0" w:line="117" w:lineRule="exact"/>
        <w:rPr>
          <w:sz w:val="20"/>
          <w:szCs w:val="20"/>
          <w:color w:val="auto"/>
        </w:rPr>
      </w:pPr>
    </w:p>
    <w:p>
      <w:pPr>
        <w:ind w:left="444" w:firstLine="423"/>
        <w:spacing w:after="0" w:line="287" w:lineRule="auto"/>
        <w:rPr>
          <w:sz w:val="20"/>
          <w:szCs w:val="20"/>
          <w:color w:val="auto"/>
        </w:rPr>
      </w:pPr>
      <w:r>
        <w:rPr>
          <w:rFonts w:ascii="Arial" w:cs="Arial" w:eastAsia="Arial" w:hAnsi="Arial"/>
          <w:sz w:val="16"/>
          <w:szCs w:val="16"/>
          <w:b w:val="1"/>
          <w:bCs w:val="1"/>
          <w:color w:val="auto"/>
        </w:rPr>
        <w:t>9.2.1. Publication</w:t>
      </w:r>
      <w:r>
        <w:rPr>
          <w:rFonts w:ascii="Arial" w:cs="Arial" w:eastAsia="Arial" w:hAnsi="Arial"/>
          <w:sz w:val="16"/>
          <w:szCs w:val="16"/>
          <w:color w:val="auto"/>
        </w:rPr>
        <w:t>. Ono and Repare each acknowledge the other Party’s interest in publishing certain key results of the Collaboration. 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Party also recognizes the mutual interest in obtaining valid patent protection and in protecting trade secret information. Consequently, except for disclosures permitted pursuant to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(Nondisclosure Obligation) and </w:t>
      </w:r>
      <w:r>
        <w:rPr>
          <w:rFonts w:ascii="Arial" w:cs="Arial" w:eastAsia="Arial" w:hAnsi="Arial"/>
          <w:sz w:val="16"/>
          <w:szCs w:val="16"/>
          <w:u w:val="single" w:color="auto"/>
          <w:color w:val="auto"/>
        </w:rPr>
        <w:t>9.2.2</w:t>
      </w:r>
      <w:r>
        <w:rPr>
          <w:rFonts w:ascii="Arial" w:cs="Arial" w:eastAsia="Arial" w:hAnsi="Arial"/>
          <w:sz w:val="16"/>
          <w:szCs w:val="16"/>
          <w:color w:val="auto"/>
        </w:rPr>
        <w:t xml:space="preserve"> (Publicity), either Party wishing to make a publication or public presentation regarding any Drug Candidate, Licensed Drug Candidate or Licensed Product or that contains the Confidential Information of the other Party shall deliver to the other Party a copy of the proposed written publication or presentation at least [***] prior to submission for publication or presentation. The reviewing Party shall have the right (i) to require modifications to the publication or presentation for patent reasons, trade secret reasons or business reasons, and the publishing Party shall remove all Confidential Information of the other Party if requested by the reviewing Party, or (ii) to request a reasonable delay in publication or presentation in order to protect patentable information. If the reviewing Party requests a delay, the publishing Party shall delay submission or presentation for a period of [***] to enable the non-publishing Party to file patent applications protecting such Party’s rights in such information. With respect to any proposed publications or disclosures by investigators or academic or non-profit collaborators, such materials shall be subject to review under this </w:t>
      </w:r>
      <w:r>
        <w:rPr>
          <w:rFonts w:ascii="Arial" w:cs="Arial" w:eastAsia="Arial" w:hAnsi="Arial"/>
          <w:sz w:val="16"/>
          <w:szCs w:val="16"/>
          <w:u w:val="single" w:color="auto"/>
          <w:color w:val="auto"/>
        </w:rPr>
        <w:t>Section 9.2.1</w:t>
      </w:r>
      <w:r>
        <w:rPr>
          <w:rFonts w:ascii="Arial" w:cs="Arial" w:eastAsia="Arial" w:hAnsi="Arial"/>
          <w:sz w:val="16"/>
          <w:szCs w:val="16"/>
          <w:color w:val="auto"/>
        </w:rPr>
        <w:t xml:space="preserve"> and any such publication or disclosure by Ono shall include an express acknowledgment of the involvement of Repare.</w:t>
      </w:r>
    </w:p>
    <w:p>
      <w:pPr>
        <w:spacing w:after="0" w:line="60" w:lineRule="exact"/>
        <w:rPr>
          <w:sz w:val="20"/>
          <w:szCs w:val="20"/>
          <w:color w:val="auto"/>
        </w:rPr>
      </w:pPr>
    </w:p>
    <w:p>
      <w:pPr>
        <w:ind w:left="444" w:right="120" w:firstLine="423"/>
        <w:spacing w:after="0" w:line="294" w:lineRule="auto"/>
        <w:rPr>
          <w:sz w:val="20"/>
          <w:szCs w:val="20"/>
          <w:color w:val="auto"/>
        </w:rPr>
      </w:pPr>
      <w:r>
        <w:rPr>
          <w:rFonts w:ascii="Arial" w:cs="Arial" w:eastAsia="Arial" w:hAnsi="Arial"/>
          <w:sz w:val="16"/>
          <w:szCs w:val="16"/>
          <w:b w:val="1"/>
          <w:bCs w:val="1"/>
          <w:color w:val="auto"/>
        </w:rPr>
        <w:t>9.2.2. Publicity</w:t>
      </w:r>
      <w:r>
        <w:rPr>
          <w:rFonts w:ascii="Arial" w:cs="Arial" w:eastAsia="Arial" w:hAnsi="Arial"/>
          <w:sz w:val="16"/>
          <w:szCs w:val="16"/>
          <w:color w:val="auto"/>
        </w:rPr>
        <w:t>. Except as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9.1</w:t>
      </w:r>
      <w:r>
        <w:rPr>
          <w:rFonts w:ascii="Arial" w:cs="Arial" w:eastAsia="Arial" w:hAnsi="Arial"/>
          <w:sz w:val="16"/>
          <w:szCs w:val="16"/>
          <w:b w:val="1"/>
          <w:bCs w:val="1"/>
          <w:color w:val="auto"/>
        </w:rPr>
        <w:t xml:space="preserve"> </w:t>
      </w:r>
      <w:r>
        <w:rPr>
          <w:rFonts w:ascii="Arial" w:cs="Arial" w:eastAsia="Arial" w:hAnsi="Arial"/>
          <w:sz w:val="16"/>
          <w:szCs w:val="16"/>
          <w:color w:val="auto"/>
        </w:rPr>
        <w:t>(Nondisclosure Obligation) 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9.2.1</w:t>
      </w:r>
      <w:r>
        <w:rPr>
          <w:rFonts w:ascii="Arial" w:cs="Arial" w:eastAsia="Arial" w:hAnsi="Arial"/>
          <w:sz w:val="16"/>
          <w:szCs w:val="16"/>
          <w:b w:val="1"/>
          <w:bCs w:val="1"/>
          <w:color w:val="auto"/>
        </w:rPr>
        <w:t xml:space="preserve"> </w:t>
      </w:r>
      <w:r>
        <w:rPr>
          <w:rFonts w:ascii="Arial" w:cs="Arial" w:eastAsia="Arial" w:hAnsi="Arial"/>
          <w:sz w:val="16"/>
          <w:szCs w:val="16"/>
          <w:color w:val="auto"/>
        </w:rPr>
        <w:t>(Publication) above 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9.3</w:t>
      </w:r>
      <w:r>
        <w:rPr>
          <w:rFonts w:ascii="Arial" w:cs="Arial" w:eastAsia="Arial" w:hAnsi="Arial"/>
          <w:sz w:val="16"/>
          <w:szCs w:val="16"/>
          <w:b w:val="1"/>
          <w:bCs w:val="1"/>
          <w:color w:val="auto"/>
        </w:rPr>
        <w:t xml:space="preserve"> </w:t>
      </w:r>
      <w:r>
        <w:rPr>
          <w:rFonts w:ascii="Arial" w:cs="Arial" w:eastAsia="Arial" w:hAnsi="Arial"/>
          <w:sz w:val="16"/>
          <w:szCs w:val="16"/>
          <w:color w:val="auto"/>
        </w:rPr>
        <w:t>(Press</w:t>
      </w:r>
      <w:r>
        <w:rPr>
          <w:rFonts w:ascii="Arial" w:cs="Arial" w:eastAsia="Arial" w:hAnsi="Arial"/>
          <w:sz w:val="16"/>
          <w:szCs w:val="16"/>
          <w:b w:val="1"/>
          <w:bCs w:val="1"/>
          <w:color w:val="auto"/>
        </w:rPr>
        <w:t xml:space="preserve"> </w:t>
      </w:r>
      <w:r>
        <w:rPr>
          <w:rFonts w:ascii="Arial" w:cs="Arial" w:eastAsia="Arial" w:hAnsi="Arial"/>
          <w:sz w:val="16"/>
          <w:szCs w:val="16"/>
          <w:color w:val="auto"/>
        </w:rPr>
        <w:t>Release) below, the terms of any of this Agreement may not be disclosed by either Party, and neither Party shall use the name, Trademark, trade name or logo of the other Party or its employees in any publicity, news release or disclosure relating to any of this Agreement, its subject matter, or the activities of the Parties hereunder without the prior express written permission of the other Party, except as may be required by Law, including by the rules or regulations of the United States Securities and Exchange Commission or similar regulatory agency in any country other than the United States or of any stock exchange or listing entity, or except as expressly permitted by the terms hereof.</w:t>
      </w:r>
    </w:p>
    <w:p>
      <w:pPr>
        <w:spacing w:after="0" w:line="160"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b w:val="1"/>
          <w:bCs w:val="1"/>
          <w:color w:val="auto"/>
        </w:rPr>
        <w:t xml:space="preserve">9.3. </w:t>
      </w:r>
      <w:r>
        <w:rPr>
          <w:rFonts w:ascii="Arial" w:cs="Arial" w:eastAsia="Arial" w:hAnsi="Arial"/>
          <w:sz w:val="16"/>
          <w:szCs w:val="16"/>
          <w:b w:val="1"/>
          <w:bCs w:val="1"/>
          <w:u w:val="single" w:color="auto"/>
          <w:color w:val="auto"/>
        </w:rPr>
        <w:t>Press Release</w:t>
      </w:r>
      <w:r>
        <w:rPr>
          <w:rFonts w:ascii="Arial" w:cs="Arial" w:eastAsia="Arial" w:hAnsi="Arial"/>
          <w:sz w:val="16"/>
          <w:szCs w:val="16"/>
          <w:color w:val="auto"/>
        </w:rPr>
        <w:t>. Following the execution of this Agreement, the Parties shall issue a press release in the form mutually agreed by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After such initial press release, neither Party, shall issue a press release or public announcement relating to this Agreement without the prior written approval of the other Party, except that (i) a Party may, once a press release or other public statement is approved in writing by both Parties, make subsequent public disclosure of the information contained in such press release or other written statement without the further approval of the other Party,</w:t>
      </w:r>
    </w:p>
    <w:p>
      <w:pPr>
        <w:spacing w:after="0" w:line="2" w:lineRule="exact"/>
        <w:rPr>
          <w:sz w:val="20"/>
          <w:szCs w:val="20"/>
          <w:color w:val="auto"/>
        </w:rPr>
      </w:pPr>
    </w:p>
    <w:p>
      <w:pPr>
        <w:ind w:left="4" w:right="100" w:hanging="4"/>
        <w:spacing w:after="0" w:line="253" w:lineRule="auto"/>
        <w:tabs>
          <w:tab w:leader="none" w:pos="269"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xml:space="preserve">a Party may issue a press release or public announcement as required, in the reasonable judgment of the Party, by Law, including by the rules or regulations of the United States Securities and Exchange Commission, or similar regulatory agency in a country other than the United States or of any stock exchange or listing entity, and (iii) a Party may issue a full translation of the press release issued by the other Party. Any press release or public statement pursuant to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(Press Release) shall not disclose Confidential Information of the other Party except in accordance with the terms of </w:t>
      </w:r>
      <w:r>
        <w:rPr>
          <w:rFonts w:ascii="Arial" w:cs="Arial" w:eastAsia="Arial" w:hAnsi="Arial"/>
          <w:sz w:val="18"/>
          <w:szCs w:val="18"/>
          <w:u w:val="single" w:color="auto"/>
          <w:color w:val="auto"/>
        </w:rPr>
        <w:t>Section 9.1</w:t>
      </w:r>
      <w:r>
        <w:rPr>
          <w:rFonts w:ascii="Arial" w:cs="Arial" w:eastAsia="Arial" w:hAnsi="Arial"/>
          <w:sz w:val="18"/>
          <w:szCs w:val="18"/>
          <w:color w:val="auto"/>
        </w:rPr>
        <w:t>. The Party wishing to issue such press</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4"/>
          </w:cols>
          <w:pgMar w:left="436" w:top="269" w:right="459" w:bottom="1440" w:gutter="0" w:footer="0" w:header="0"/>
        </w:sectPr>
      </w:pPr>
    </w:p>
    <w:bookmarkStart w:id="607" w:name="page608"/>
    <w:bookmarkEnd w:id="607"/>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release or make such a public statement shall provide the other Party with such draft at least [***] prior to such press release or public statement for other Party’s review. The reviewing Party shall have the right to propose modifications to such press release or public statement for patent reasons or, trade secret reasons or business reasons, and the publishing Party will remove all Confidential Information of the reviewing Party if requested by the reviewing Party. Notwithstanding the foregoing, a Party may issue such press release or make such a public statement without [***] prior written notice to the other Party in case of (i) and (iii) above, and in case of (ii) above if in the reasonable judgment of such Party, such press release or public statement within the period shorter than [***] is required by Law, provided that the Party shall provide the other Party with a copy of such press release or other public statement no later than when it is issued or released. Restrictions and obligations pertaining to Ono under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(Press Release) shall be binding upon Ono’s Related Parties. Repare shall make reasonable efforts to include provisions in any agreement with a Related Party providing for similar rights and obligations with respect to any press release issued by a Repare Related Party.</w:t>
      </w:r>
    </w:p>
    <w:p>
      <w:pPr>
        <w:spacing w:after="0" w:line="162" w:lineRule="exact"/>
        <w:rPr>
          <w:sz w:val="20"/>
          <w:szCs w:val="20"/>
          <w:color w:val="auto"/>
        </w:rPr>
      </w:pPr>
    </w:p>
    <w:p>
      <w:pPr>
        <w:ind w:right="80" w:firstLine="440"/>
        <w:spacing w:after="0" w:line="312" w:lineRule="auto"/>
        <w:rPr>
          <w:sz w:val="20"/>
          <w:szCs w:val="20"/>
          <w:color w:val="auto"/>
        </w:rPr>
      </w:pPr>
      <w:r>
        <w:rPr>
          <w:rFonts w:ascii="Arial" w:cs="Arial" w:eastAsia="Arial" w:hAnsi="Arial"/>
          <w:sz w:val="17"/>
          <w:szCs w:val="17"/>
          <w:b w:val="1"/>
          <w:bCs w:val="1"/>
          <w:color w:val="auto"/>
        </w:rPr>
        <w:t xml:space="preserve">9.4. </w:t>
      </w:r>
      <w:r>
        <w:rPr>
          <w:rFonts w:ascii="Arial" w:cs="Arial" w:eastAsia="Arial" w:hAnsi="Arial"/>
          <w:sz w:val="17"/>
          <w:szCs w:val="17"/>
          <w:b w:val="1"/>
          <w:bCs w:val="1"/>
          <w:u w:val="single" w:color="auto"/>
          <w:color w:val="auto"/>
        </w:rPr>
        <w:t>Survival</w:t>
      </w:r>
      <w:r>
        <w:rPr>
          <w:rFonts w:ascii="Arial" w:cs="Arial" w:eastAsia="Arial" w:hAnsi="Arial"/>
          <w:sz w:val="17"/>
          <w:szCs w:val="17"/>
          <w:color w:val="auto"/>
        </w:rPr>
        <w:t>. The provisions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9</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the expiration or the termination of this Agreement for a period of [***] thereafter, except</w:t>
      </w:r>
      <w:r>
        <w:rPr>
          <w:rFonts w:ascii="Arial" w:cs="Arial" w:eastAsia="Arial" w:hAnsi="Arial"/>
          <w:sz w:val="17"/>
          <w:szCs w:val="17"/>
          <w:b w:val="1"/>
          <w:bCs w:val="1"/>
          <w:color w:val="auto"/>
        </w:rPr>
        <w:t xml:space="preserve"> </w:t>
      </w:r>
      <w:r>
        <w:rPr>
          <w:rFonts w:ascii="Arial" w:cs="Arial" w:eastAsia="Arial" w:hAnsi="Arial"/>
          <w:sz w:val="17"/>
          <w:szCs w:val="17"/>
          <w:color w:val="auto"/>
        </w:rPr>
        <w:t>that with respect to trade secrets, such provisions and obligations shall survive for as long as the trade secrets remain secret.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LICENSES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License Grants to Ono</w:t>
      </w:r>
      <w:r>
        <w:rPr>
          <w:rFonts w:ascii="Arial" w:cs="Arial" w:eastAsia="Arial" w:hAnsi="Arial"/>
          <w:sz w:val="18"/>
          <w:szCs w:val="18"/>
          <w:color w:val="auto"/>
        </w:rPr>
        <w:t>.</w:t>
      </w:r>
    </w:p>
    <w:p>
      <w:pPr>
        <w:spacing w:after="0" w:line="117" w:lineRule="exact"/>
        <w:rPr>
          <w:sz w:val="20"/>
          <w:szCs w:val="20"/>
          <w:color w:val="auto"/>
        </w:rPr>
      </w:pPr>
    </w:p>
    <w:p>
      <w:pPr>
        <w:ind w:left="440" w:right="60" w:firstLine="423"/>
        <w:spacing w:after="0" w:line="258" w:lineRule="auto"/>
        <w:rPr>
          <w:sz w:val="20"/>
          <w:szCs w:val="20"/>
          <w:color w:val="auto"/>
        </w:rPr>
      </w:pPr>
      <w:r>
        <w:rPr>
          <w:rFonts w:ascii="Arial" w:cs="Arial" w:eastAsia="Arial" w:hAnsi="Arial"/>
          <w:sz w:val="18"/>
          <w:szCs w:val="18"/>
          <w:b w:val="1"/>
          <w:bCs w:val="1"/>
          <w:color w:val="auto"/>
        </w:rPr>
        <w:t>10.1.1. License Grant during the Research Term</w:t>
      </w:r>
      <w:r>
        <w:rPr>
          <w:rFonts w:ascii="Arial" w:cs="Arial" w:eastAsia="Arial" w:hAnsi="Arial"/>
          <w:sz w:val="18"/>
          <w:szCs w:val="18"/>
          <w:color w:val="auto"/>
        </w:rPr>
        <w:t>. Subject to the terms and conditions of this Agreement, effective upon the DC Selection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and continuing until the expiration of the Research Term, Repare hereby grants Ono a non-transferable (except as provided in </w:t>
      </w:r>
      <w:r>
        <w:rPr>
          <w:rFonts w:ascii="Arial" w:cs="Arial" w:eastAsia="Arial" w:hAnsi="Arial"/>
          <w:sz w:val="18"/>
          <w:szCs w:val="18"/>
          <w:u w:val="single" w:color="auto"/>
          <w:color w:val="auto"/>
        </w:rPr>
        <w:t>Section 16.1</w:t>
      </w:r>
      <w:r>
        <w:rPr>
          <w:rFonts w:ascii="Arial" w:cs="Arial" w:eastAsia="Arial" w:hAnsi="Arial"/>
          <w:sz w:val="18"/>
          <w:szCs w:val="18"/>
          <w:color w:val="auto"/>
        </w:rPr>
        <w:t xml:space="preserve"> (Assignment), sublicensable (including through multiple tiers and subject to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(Ono Sublicense Rights)), non-exclusive license under the Repare Technology and Repare’s interest in the Joint Technology to conduct the Research Activities allocated to Ono under the Research Plan for the Polq Program in or for the Ono Territory.</w:t>
      </w:r>
    </w:p>
    <w:p>
      <w:pPr>
        <w:spacing w:after="0" w:line="75"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b w:val="1"/>
          <w:bCs w:val="1"/>
          <w:color w:val="auto"/>
        </w:rPr>
        <w:t>10.1.2. Exclusive License Grant during the Term</w:t>
      </w:r>
      <w:r>
        <w:rPr>
          <w:rFonts w:ascii="Arial" w:cs="Arial" w:eastAsia="Arial" w:hAnsi="Arial"/>
          <w:sz w:val="17"/>
          <w:szCs w:val="17"/>
          <w:color w:val="auto"/>
        </w:rPr>
        <w:t>. Subject to the terms and conditions of this Agreement, effective upon the DC Selection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Date, Repare hereby grants Ono a non-transferable (except as provided in </w:t>
      </w:r>
      <w:r>
        <w:rPr>
          <w:rFonts w:ascii="Arial" w:cs="Arial" w:eastAsia="Arial" w:hAnsi="Arial"/>
          <w:sz w:val="17"/>
          <w:szCs w:val="17"/>
          <w:u w:val="single" w:color="auto"/>
          <w:color w:val="auto"/>
        </w:rPr>
        <w:t>Section 16.1</w:t>
      </w:r>
      <w:r>
        <w:rPr>
          <w:rFonts w:ascii="Arial" w:cs="Arial" w:eastAsia="Arial" w:hAnsi="Arial"/>
          <w:sz w:val="17"/>
          <w:szCs w:val="17"/>
          <w:color w:val="auto"/>
        </w:rPr>
        <w:t xml:space="preserve"> (Assignment), sublicensable (including through multiple tiers and subject to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(Ono Sublicense Rights)), exclusive (even as to Repare, except as required for Repare to exercise its rights and perform its obligations hereunder, for example with respect to the Manufacture of Licensed Drug Candidates and Licensed Products) license in the Ono Territory under the Repare Technology and Repare’s interest in the Joint Technology to research (other than Research Activities as set forth in </w:t>
      </w:r>
      <w:r>
        <w:rPr>
          <w:rFonts w:ascii="Arial" w:cs="Arial" w:eastAsia="Arial" w:hAnsi="Arial"/>
          <w:sz w:val="17"/>
          <w:szCs w:val="17"/>
          <w:u w:val="single" w:color="auto"/>
          <w:color w:val="auto"/>
        </w:rPr>
        <w:t>Section 10.1.1</w:t>
      </w:r>
      <w:r>
        <w:rPr>
          <w:rFonts w:ascii="Arial" w:cs="Arial" w:eastAsia="Arial" w:hAnsi="Arial"/>
          <w:sz w:val="17"/>
          <w:szCs w:val="17"/>
          <w:color w:val="auto"/>
        </w:rPr>
        <w:t>), Develop, Manufacture, have Manufactured, use, Commercialize, sell, distribute, market, promote, offer for sale, export and import Licensed Drug Candidates, including but not limited to back-up and follow-on Drug Candidates created by Repare after expiration of the Research Term, and Licensed Products in or for the Ono Territory. The exclusive license granted hereunder shall be royalty- bearing for the Royalty Term applicable to each Licensed Product in each country in the Ono Territory, and, upon expiration of the Royalty Term applicable to such Licensed Product in such country, shall convert to a fully-paid-up, irrevocable, perpetual exclusive license (even as to Repare), sublicensable without restriction in such country.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3" w:right="439" w:bottom="1440" w:gutter="0" w:footer="0" w:header="0"/>
        </w:sectPr>
      </w:pPr>
    </w:p>
    <w:bookmarkStart w:id="608" w:name="page609"/>
    <w:bookmarkEnd w:id="608"/>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10.1.3. Ono Sublicense Rights</w:t>
      </w:r>
      <w:r>
        <w:rPr>
          <w:rFonts w:ascii="Arial" w:cs="Arial" w:eastAsia="Arial" w:hAnsi="Arial"/>
          <w:sz w:val="18"/>
          <w:szCs w:val="18"/>
          <w:color w:val="auto"/>
        </w:rPr>
        <w:t>.</w:t>
      </w:r>
    </w:p>
    <w:p>
      <w:pPr>
        <w:spacing w:after="0" w:line="121" w:lineRule="exact"/>
        <w:rPr>
          <w:sz w:val="20"/>
          <w:szCs w:val="20"/>
          <w:color w:val="auto"/>
        </w:rPr>
      </w:pPr>
    </w:p>
    <w:p>
      <w:pPr>
        <w:ind w:left="540" w:firstLine="408"/>
        <w:spacing w:after="0" w:line="287" w:lineRule="auto"/>
        <w:tabs>
          <w:tab w:leader="none" w:pos="1185" w:val="left"/>
        </w:tabs>
        <w:numPr>
          <w:ilvl w:val="0"/>
          <w:numId w:val="386"/>
        </w:numPr>
        <w:rPr>
          <w:rFonts w:ascii="Arial" w:cs="Arial" w:eastAsia="Arial" w:hAnsi="Arial"/>
          <w:sz w:val="16"/>
          <w:szCs w:val="16"/>
          <w:color w:val="auto"/>
        </w:rPr>
      </w:pPr>
      <w:r>
        <w:rPr>
          <w:rFonts w:ascii="Arial" w:cs="Arial" w:eastAsia="Arial" w:hAnsi="Arial"/>
          <w:sz w:val="16"/>
          <w:szCs w:val="16"/>
          <w:color w:val="auto"/>
        </w:rPr>
        <w:t xml:space="preserve">Ono shall have the right to sublicense any of its rights under </w:t>
      </w:r>
      <w:r>
        <w:rPr>
          <w:rFonts w:ascii="Arial" w:cs="Arial" w:eastAsia="Arial" w:hAnsi="Arial"/>
          <w:sz w:val="16"/>
          <w:szCs w:val="16"/>
          <w:u w:val="single" w:color="auto"/>
          <w:color w:val="auto"/>
        </w:rPr>
        <w:t>Section 10.1.1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10.1.2</w:t>
      </w:r>
      <w:r>
        <w:rPr>
          <w:rFonts w:ascii="Arial" w:cs="Arial" w:eastAsia="Arial" w:hAnsi="Arial"/>
          <w:sz w:val="16"/>
          <w:szCs w:val="16"/>
          <w:color w:val="auto"/>
        </w:rPr>
        <w:t xml:space="preserve"> to any of its Affiliates or to any Third Party without the prior consent of Repare, subject to the requirements of this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(Ono Sublicense Rights). Each sublicense granted by Ono pursuant to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(Sublicense Rights) shall be subject and subordinate to the terms of this Agreement and shall contain provisions consistent with those in this Agreement. Ono shall promptly provide Repare with a copy of the fully executed sublicense agreement with its Sublicensee covering any sublicense granted hereunder (which copy may be redacted to remove provisions which are not necessary to monitor compliance with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(Ono Sublicense Rights)), and each such sublicense agreement shall contain the following provisions: (i) a requirement that the Sublicensee comply with the confidentiality and non-use provisions 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(Confidentiality and Publication) with respect to Repare’s Confidential Information and (ii) if such sublicense agreement contains a sublicense of Licensed Product Commercialization rights, such sublicense agreement shall also contain a requirement that the Sublicensee submit applicable sales or other reports to Ono to the extent necessary or relevant to the reports required to be made or records required to be maintained under this Agreement. Notwithstanding any sublicense, Ono shall remain primarily liable to Repare for the performance of all of Ono’s obligations under, and Ono’s compliance with all provisions of, this Agreement.</w:t>
      </w:r>
    </w:p>
    <w:p>
      <w:pPr>
        <w:spacing w:after="0" w:line="59" w:lineRule="exact"/>
        <w:rPr>
          <w:rFonts w:ascii="Arial" w:cs="Arial" w:eastAsia="Arial" w:hAnsi="Arial"/>
          <w:sz w:val="16"/>
          <w:szCs w:val="16"/>
          <w:color w:val="auto"/>
        </w:rPr>
      </w:pPr>
    </w:p>
    <w:p>
      <w:pPr>
        <w:ind w:left="540" w:right="80" w:firstLine="408"/>
        <w:spacing w:after="0" w:line="254" w:lineRule="auto"/>
        <w:tabs>
          <w:tab w:leader="none" w:pos="119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Ono shall cause every Sublicensee of Ono, as part of the relevant sublicense or other agreement, to grant to Ono a perpetual, fully- paid, worldwide, fully sublicensable (through multiple tiers) exclusive (other than with respect to such Sublicensee’s background technology) license back to Ono under and to, any Know-How or Patent Rights made, developed or Invented by such Sublicensee that are necessary or useful for the research, Development, Manufacture, have Manufactured or Commercialization of the Drug Candidates, Licensed Drug Candidates or Licensed Products in the Field (the “</w:t>
      </w:r>
      <w:r>
        <w:rPr>
          <w:rFonts w:ascii="Arial" w:cs="Arial" w:eastAsia="Arial" w:hAnsi="Arial"/>
          <w:sz w:val="18"/>
          <w:szCs w:val="18"/>
          <w:b w:val="1"/>
          <w:bCs w:val="1"/>
          <w:color w:val="auto"/>
        </w:rPr>
        <w:t>Ono Licensed Back Improvements</w:t>
      </w:r>
      <w:r>
        <w:rPr>
          <w:rFonts w:ascii="Arial" w:cs="Arial" w:eastAsia="Arial" w:hAnsi="Arial"/>
          <w:sz w:val="18"/>
          <w:szCs w:val="18"/>
          <w:color w:val="auto"/>
        </w:rPr>
        <w:t>”). Solely in the event that Ono acquires the Ono Licensed Back Improvements from a Sublicensee, may Ono grant such Sublicensee a license to the Repare Licensed Back Improvements.</w:t>
      </w:r>
    </w:p>
    <w:p>
      <w:pPr>
        <w:spacing w:after="0" w:line="83" w:lineRule="exact"/>
        <w:rPr>
          <w:sz w:val="20"/>
          <w:szCs w:val="20"/>
          <w:color w:val="auto"/>
        </w:rPr>
      </w:pPr>
    </w:p>
    <w:p>
      <w:pPr>
        <w:ind w:right="60" w:firstLine="423"/>
        <w:spacing w:after="0" w:line="294" w:lineRule="auto"/>
        <w:rPr>
          <w:sz w:val="20"/>
          <w:szCs w:val="20"/>
          <w:color w:val="auto"/>
        </w:rPr>
      </w:pPr>
      <w:r>
        <w:rPr>
          <w:rFonts w:ascii="Arial" w:cs="Arial" w:eastAsia="Arial" w:hAnsi="Arial"/>
          <w:sz w:val="16"/>
          <w:szCs w:val="16"/>
          <w:b w:val="1"/>
          <w:bCs w:val="1"/>
          <w:color w:val="auto"/>
        </w:rPr>
        <w:t xml:space="preserve">10.1.4. </w:t>
      </w:r>
      <w:r>
        <w:rPr>
          <w:rFonts w:ascii="Arial" w:cs="Arial" w:eastAsia="Arial" w:hAnsi="Arial"/>
          <w:sz w:val="16"/>
          <w:szCs w:val="16"/>
          <w:b w:val="1"/>
          <w:bCs w:val="1"/>
          <w:u w:val="single" w:color="auto"/>
          <w:color w:val="auto"/>
        </w:rPr>
        <w:t>Sen-yo Jisshiken Tohroku</w:t>
      </w:r>
      <w:r>
        <w:rPr>
          <w:rFonts w:ascii="Arial" w:cs="Arial" w:eastAsia="Arial" w:hAnsi="Arial"/>
          <w:sz w:val="16"/>
          <w:szCs w:val="16"/>
          <w:b w:val="1"/>
          <w:bCs w:val="1"/>
          <w:color w:val="auto"/>
        </w:rPr>
        <w:t xml:space="preserve">. </w:t>
      </w:r>
      <w:r>
        <w:rPr>
          <w:rFonts w:ascii="Arial" w:cs="Arial" w:eastAsia="Arial" w:hAnsi="Arial"/>
          <w:sz w:val="16"/>
          <w:szCs w:val="16"/>
          <w:color w:val="auto"/>
        </w:rPr>
        <w:t>Upon Ono’s request, Repare agrees that Ono shall be entitled to register, at Ono’s sole expense, Ono’s</w:t>
      </w:r>
      <w:r>
        <w:rPr>
          <w:rFonts w:ascii="Arial" w:cs="Arial" w:eastAsia="Arial" w:hAnsi="Arial"/>
          <w:sz w:val="16"/>
          <w:szCs w:val="16"/>
          <w:b w:val="1"/>
          <w:bCs w:val="1"/>
          <w:color w:val="auto"/>
        </w:rPr>
        <w:t xml:space="preserve"> </w:t>
      </w:r>
      <w:r>
        <w:rPr>
          <w:rFonts w:ascii="Arial" w:cs="Arial" w:eastAsia="Arial" w:hAnsi="Arial"/>
          <w:sz w:val="16"/>
          <w:szCs w:val="16"/>
          <w:color w:val="auto"/>
        </w:rPr>
        <w:t>license with respect to the Repare Patent Right and Joint Patent Right in the Ono Territory (“</w:t>
      </w:r>
      <w:r>
        <w:rPr>
          <w:rFonts w:ascii="Arial" w:cs="Arial" w:eastAsia="Arial" w:hAnsi="Arial"/>
          <w:sz w:val="16"/>
          <w:szCs w:val="16"/>
          <w:b w:val="1"/>
          <w:bCs w:val="1"/>
          <w:color w:val="auto"/>
        </w:rPr>
        <w:t>Sen- yo Jisshiken Tohroku</w:t>
      </w:r>
      <w:r>
        <w:rPr>
          <w:rFonts w:ascii="Arial" w:cs="Arial" w:eastAsia="Arial" w:hAnsi="Arial"/>
          <w:sz w:val="16"/>
          <w:szCs w:val="16"/>
          <w:color w:val="auto"/>
        </w:rPr>
        <w:t xml:space="preserve">”) in accordance with the Patent Law of Japan or any corresponding patent Laws in other countries in the Ono Territory; provided that such registration is not intended to, and shall not, affect the allocation of prosecution and enforcement rights and obligations set forth in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below. At Ono’s request and expense, Repare agrees to render reasonable assistance for such registration by Ono, including providing Ono with any documents duly signed by authorized personnel of Repare which are reasonably requested by Ono and necessary to effect such registration.</w:t>
      </w:r>
    </w:p>
    <w:p>
      <w:pPr>
        <w:spacing w:after="0" w:line="9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60"/>
          </w:cols>
          <w:pgMar w:left="880" w:top="271" w:right="459" w:bottom="1440" w:gutter="0" w:footer="0" w:header="0"/>
        </w:sectPr>
      </w:pPr>
    </w:p>
    <w:bookmarkStart w:id="609" w:name="page610"/>
    <w:bookmarkEnd w:id="6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10.2. </w:t>
      </w:r>
      <w:r>
        <w:rPr>
          <w:rFonts w:ascii="Arial" w:cs="Arial" w:eastAsia="Arial" w:hAnsi="Arial"/>
          <w:sz w:val="18"/>
          <w:szCs w:val="18"/>
          <w:b w:val="1"/>
          <w:bCs w:val="1"/>
          <w:u w:val="single" w:color="auto"/>
          <w:color w:val="auto"/>
        </w:rPr>
        <w:t>License Grants to Repare</w:t>
      </w:r>
      <w:r>
        <w:rPr>
          <w:rFonts w:ascii="Arial" w:cs="Arial" w:eastAsia="Arial" w:hAnsi="Arial"/>
          <w:sz w:val="18"/>
          <w:szCs w:val="18"/>
          <w:color w:val="auto"/>
        </w:rPr>
        <w:t>.</w:t>
      </w:r>
    </w:p>
    <w:p>
      <w:pPr>
        <w:spacing w:after="0" w:line="117" w:lineRule="exact"/>
        <w:rPr>
          <w:sz w:val="20"/>
          <w:szCs w:val="20"/>
          <w:color w:val="auto"/>
        </w:rPr>
      </w:pPr>
    </w:p>
    <w:p>
      <w:pPr>
        <w:ind w:right="20" w:firstLine="423"/>
        <w:spacing w:after="0" w:line="281" w:lineRule="auto"/>
        <w:rPr>
          <w:sz w:val="20"/>
          <w:szCs w:val="20"/>
          <w:color w:val="auto"/>
        </w:rPr>
      </w:pPr>
      <w:r>
        <w:rPr>
          <w:rFonts w:ascii="Arial" w:cs="Arial" w:eastAsia="Arial" w:hAnsi="Arial"/>
          <w:sz w:val="17"/>
          <w:szCs w:val="17"/>
          <w:b w:val="1"/>
          <w:bCs w:val="1"/>
          <w:color w:val="auto"/>
        </w:rPr>
        <w:t>10.2.1. License Grants during the Research Term</w:t>
      </w:r>
      <w:r>
        <w:rPr>
          <w:rFonts w:ascii="Arial" w:cs="Arial" w:eastAsia="Arial" w:hAnsi="Arial"/>
          <w:sz w:val="17"/>
          <w:szCs w:val="17"/>
          <w:color w:val="auto"/>
        </w:rPr>
        <w:t>. Subject to the terms and conditions of this Agreement, effective upon the DC Selection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Date and during the Research Term, Ono hereby grants Repare a non-transferable (except as provided in </w:t>
      </w:r>
      <w:r>
        <w:rPr>
          <w:rFonts w:ascii="Arial" w:cs="Arial" w:eastAsia="Arial" w:hAnsi="Arial"/>
          <w:sz w:val="17"/>
          <w:szCs w:val="17"/>
          <w:u w:val="single" w:color="auto"/>
          <w:color w:val="auto"/>
        </w:rPr>
        <w:t>Section 16.1</w:t>
      </w:r>
      <w:r>
        <w:rPr>
          <w:rFonts w:ascii="Arial" w:cs="Arial" w:eastAsia="Arial" w:hAnsi="Arial"/>
          <w:sz w:val="17"/>
          <w:szCs w:val="17"/>
          <w:color w:val="auto"/>
        </w:rPr>
        <w:t xml:space="preserve"> (Assignment), non-sublicensable, non-exclusive license under the Ono Technology and Ono’s interest in the Joint Technology to conduct the Research Activities allocated to Repare under the Research Plan for the Polq Program in the Field in the Repare Territory.</w:t>
      </w:r>
    </w:p>
    <w:p>
      <w:pPr>
        <w:spacing w:after="0" w:line="57" w:lineRule="exact"/>
        <w:rPr>
          <w:sz w:val="20"/>
          <w:szCs w:val="20"/>
          <w:color w:val="auto"/>
        </w:rPr>
      </w:pPr>
    </w:p>
    <w:p>
      <w:pPr>
        <w:ind w:right="220" w:firstLine="423"/>
        <w:spacing w:after="0" w:line="274" w:lineRule="auto"/>
        <w:rPr>
          <w:sz w:val="20"/>
          <w:szCs w:val="20"/>
          <w:color w:val="auto"/>
        </w:rPr>
      </w:pPr>
      <w:r>
        <w:rPr>
          <w:rFonts w:ascii="Arial" w:cs="Arial" w:eastAsia="Arial" w:hAnsi="Arial"/>
          <w:sz w:val="17"/>
          <w:szCs w:val="17"/>
          <w:b w:val="1"/>
          <w:bCs w:val="1"/>
          <w:color w:val="auto"/>
        </w:rPr>
        <w:t>10.2.2. License Grant for Repare Territory during the Term</w:t>
      </w:r>
      <w:r>
        <w:rPr>
          <w:rFonts w:ascii="Arial" w:cs="Arial" w:eastAsia="Arial" w:hAnsi="Arial"/>
          <w:sz w:val="17"/>
          <w:szCs w:val="17"/>
          <w:color w:val="auto"/>
        </w:rPr>
        <w:t>. Subject to the terms and conditions of this Agreement, effective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DC Selection Date, Ono hereby grants Repare a non-transferable (except as provided in </w:t>
      </w:r>
      <w:r>
        <w:rPr>
          <w:rFonts w:ascii="Arial" w:cs="Arial" w:eastAsia="Arial" w:hAnsi="Arial"/>
          <w:sz w:val="17"/>
          <w:szCs w:val="17"/>
          <w:u w:val="single" w:color="auto"/>
          <w:color w:val="auto"/>
        </w:rPr>
        <w:t>Section 16.1</w:t>
      </w:r>
      <w:r>
        <w:rPr>
          <w:rFonts w:ascii="Arial" w:cs="Arial" w:eastAsia="Arial" w:hAnsi="Arial"/>
          <w:sz w:val="17"/>
          <w:szCs w:val="17"/>
          <w:color w:val="auto"/>
        </w:rPr>
        <w:t xml:space="preserve"> (Assignment), sublicensable (including through multiple tiers and subject to </w:t>
      </w:r>
      <w:r>
        <w:rPr>
          <w:rFonts w:ascii="Arial" w:cs="Arial" w:eastAsia="Arial" w:hAnsi="Arial"/>
          <w:sz w:val="17"/>
          <w:szCs w:val="17"/>
          <w:u w:val="single" w:color="auto"/>
          <w:color w:val="auto"/>
        </w:rPr>
        <w:t>Section 10.2.3</w:t>
      </w:r>
      <w:r>
        <w:rPr>
          <w:rFonts w:ascii="Arial" w:cs="Arial" w:eastAsia="Arial" w:hAnsi="Arial"/>
          <w:sz w:val="17"/>
          <w:szCs w:val="17"/>
          <w:color w:val="auto"/>
        </w:rPr>
        <w:t xml:space="preserve"> (Repare Sublicense Rights)), non-exclusive, royalty-free license under the Ono Technology and Ono’s interest in the Joint Technology to research (other than the Research Activities as set forth in </w:t>
      </w:r>
      <w:r>
        <w:rPr>
          <w:rFonts w:ascii="Arial" w:cs="Arial" w:eastAsia="Arial" w:hAnsi="Arial"/>
          <w:sz w:val="17"/>
          <w:szCs w:val="17"/>
          <w:u w:val="single" w:color="auto"/>
          <w:color w:val="auto"/>
        </w:rPr>
        <w:t>Section 10.2.1</w:t>
      </w:r>
      <w:r>
        <w:rPr>
          <w:rFonts w:ascii="Arial" w:cs="Arial" w:eastAsia="Arial" w:hAnsi="Arial"/>
          <w:sz w:val="17"/>
          <w:szCs w:val="17"/>
          <w:color w:val="auto"/>
        </w:rPr>
        <w:t>), Develop, Manufacture, have Manufactured, use, Commercialize, sell, distribute, market, promote, offer for sale, export and import Licensed Drug Candidates and Licensed Products in the Field in or for the Repare Territory.</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10.2.3. Repare Sublicense Rights</w:t>
      </w:r>
      <w:r>
        <w:rPr>
          <w:rFonts w:ascii="Arial" w:cs="Arial" w:eastAsia="Arial" w:hAnsi="Arial"/>
          <w:sz w:val="18"/>
          <w:szCs w:val="18"/>
          <w:color w:val="auto"/>
        </w:rPr>
        <w:t>.</w:t>
      </w:r>
    </w:p>
    <w:p>
      <w:pPr>
        <w:spacing w:after="0" w:line="121" w:lineRule="exact"/>
        <w:rPr>
          <w:sz w:val="20"/>
          <w:szCs w:val="20"/>
          <w:color w:val="auto"/>
        </w:rPr>
      </w:pPr>
    </w:p>
    <w:p>
      <w:pPr>
        <w:ind w:left="540" w:right="20" w:firstLine="408"/>
        <w:spacing w:after="0" w:line="269" w:lineRule="auto"/>
        <w:tabs>
          <w:tab w:leader="none" w:pos="1185" w:val="left"/>
        </w:tabs>
        <w:numPr>
          <w:ilvl w:val="0"/>
          <w:numId w:val="387"/>
        </w:numPr>
        <w:rPr>
          <w:rFonts w:ascii="Arial" w:cs="Arial" w:eastAsia="Arial" w:hAnsi="Arial"/>
          <w:sz w:val="17"/>
          <w:szCs w:val="17"/>
          <w:color w:val="auto"/>
        </w:rPr>
      </w:pPr>
      <w:r>
        <w:rPr>
          <w:rFonts w:ascii="Arial" w:cs="Arial" w:eastAsia="Arial" w:hAnsi="Arial"/>
          <w:sz w:val="17"/>
          <w:szCs w:val="17"/>
          <w:color w:val="auto"/>
        </w:rPr>
        <w:t xml:space="preserve">Repare shall have the right to sublicense any of its rights under </w:t>
      </w:r>
      <w:r>
        <w:rPr>
          <w:rFonts w:ascii="Arial" w:cs="Arial" w:eastAsia="Arial" w:hAnsi="Arial"/>
          <w:sz w:val="17"/>
          <w:szCs w:val="17"/>
          <w:u w:val="single" w:color="auto"/>
          <w:color w:val="auto"/>
        </w:rPr>
        <w:t>Section 10.2.2</w:t>
      </w:r>
      <w:r>
        <w:rPr>
          <w:rFonts w:ascii="Arial" w:cs="Arial" w:eastAsia="Arial" w:hAnsi="Arial"/>
          <w:sz w:val="17"/>
          <w:szCs w:val="17"/>
          <w:color w:val="auto"/>
        </w:rPr>
        <w:t xml:space="preserve"> (License Grant for Repare Territory) to any of its Affiliates or to any Third Party without the prior consent of Ono, subject to the requirements of </w:t>
      </w:r>
      <w:r>
        <w:rPr>
          <w:rFonts w:ascii="Arial" w:cs="Arial" w:eastAsia="Arial" w:hAnsi="Arial"/>
          <w:sz w:val="17"/>
          <w:szCs w:val="17"/>
          <w:u w:val="single" w:color="auto"/>
          <w:color w:val="auto"/>
        </w:rPr>
        <w:t>Section 10.2.3</w:t>
      </w:r>
      <w:r>
        <w:rPr>
          <w:rFonts w:ascii="Arial" w:cs="Arial" w:eastAsia="Arial" w:hAnsi="Arial"/>
          <w:sz w:val="17"/>
          <w:szCs w:val="17"/>
          <w:color w:val="auto"/>
        </w:rPr>
        <w:t xml:space="preserve"> (Repare Sublicense Rights). Each sublicense granted by Repare pursuant to </w:t>
      </w:r>
      <w:r>
        <w:rPr>
          <w:rFonts w:ascii="Arial" w:cs="Arial" w:eastAsia="Arial" w:hAnsi="Arial"/>
          <w:sz w:val="17"/>
          <w:szCs w:val="17"/>
          <w:u w:val="single" w:color="auto"/>
          <w:color w:val="auto"/>
        </w:rPr>
        <w:t>Section 10.2.3</w:t>
      </w:r>
      <w:r>
        <w:rPr>
          <w:rFonts w:ascii="Arial" w:cs="Arial" w:eastAsia="Arial" w:hAnsi="Arial"/>
          <w:sz w:val="17"/>
          <w:szCs w:val="17"/>
          <w:color w:val="auto"/>
        </w:rPr>
        <w:t xml:space="preserve"> (Repare Sublicense Rights) shall be subject and subordinate to this Agreement and shall contain provisions consistent with those in this Agreement. Repare shall promptly provide Ono with a copy of the fully executed sublicense agreement with its Sublicensee covering any sublicense granted hereunder (which copy may be redacted to remove provisions which are not necessary to monitor compliance with </w:t>
      </w:r>
      <w:r>
        <w:rPr>
          <w:rFonts w:ascii="Arial" w:cs="Arial" w:eastAsia="Arial" w:hAnsi="Arial"/>
          <w:sz w:val="17"/>
          <w:szCs w:val="17"/>
          <w:u w:val="single" w:color="auto"/>
          <w:color w:val="auto"/>
        </w:rPr>
        <w:t>Section 10.2.3</w:t>
      </w:r>
      <w:r>
        <w:rPr>
          <w:rFonts w:ascii="Arial" w:cs="Arial" w:eastAsia="Arial" w:hAnsi="Arial"/>
          <w:sz w:val="17"/>
          <w:szCs w:val="17"/>
          <w:color w:val="auto"/>
        </w:rPr>
        <w:t xml:space="preserve"> (Repare Sublicense Rights)), and each such sublicense agreement shall contain a requirement that the Sublicensee comply with the confidentiality and non-use provisions of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(Confidentiality and Publication) of this Agreement with respect to Ono’s Confidential Information. Notwithstanding any sublicense, Repare shall remain primarily liable to Ono for the performance of all of Repare’s obligations under, and Repare’s compliance with all provisions of, this Agreement.</w:t>
      </w:r>
    </w:p>
    <w:p>
      <w:pPr>
        <w:spacing w:after="0" w:line="77" w:lineRule="exact"/>
        <w:rPr>
          <w:rFonts w:ascii="Arial" w:cs="Arial" w:eastAsia="Arial" w:hAnsi="Arial"/>
          <w:sz w:val="17"/>
          <w:szCs w:val="17"/>
          <w:color w:val="auto"/>
        </w:rPr>
      </w:pPr>
    </w:p>
    <w:p>
      <w:pPr>
        <w:ind w:left="540" w:firstLine="408"/>
        <w:spacing w:after="0" w:line="272" w:lineRule="auto"/>
        <w:tabs>
          <w:tab w:leader="none" w:pos="1196" w:val="left"/>
        </w:tabs>
        <w:numPr>
          <w:ilvl w:val="0"/>
          <w:numId w:val="387"/>
        </w:numPr>
        <w:rPr>
          <w:rFonts w:ascii="Arial" w:cs="Arial" w:eastAsia="Arial" w:hAnsi="Arial"/>
          <w:sz w:val="17"/>
          <w:szCs w:val="17"/>
          <w:color w:val="auto"/>
        </w:rPr>
      </w:pPr>
      <w:r>
        <w:rPr>
          <w:rFonts w:ascii="Arial" w:cs="Arial" w:eastAsia="Arial" w:hAnsi="Arial"/>
          <w:sz w:val="17"/>
          <w:szCs w:val="17"/>
          <w:color w:val="auto"/>
        </w:rPr>
        <w:t>Repare shall use Commercially Reasonable Efforts to cause any Sublicensee of Repare, as part of the relevant sublicense or other agreement, to provide a perpetual, fully-paid, worldwide, fully sublicensable (through multiple tiers) exclusive (other than with respect to such Sublicensee’s background technology) license back to Repare under and to, any Know-How or Patent Rights made, developed or Invented by such Sublicensee that are necessary or useful for the research, Development, Manufacture, having Manufactured or Commercialization of the Drug Candidates, Licensed Drug Candidates or Licensed Products in the Field (“</w:t>
      </w:r>
      <w:r>
        <w:rPr>
          <w:rFonts w:ascii="Arial" w:cs="Arial" w:eastAsia="Arial" w:hAnsi="Arial"/>
          <w:sz w:val="17"/>
          <w:szCs w:val="17"/>
          <w:b w:val="1"/>
          <w:bCs w:val="1"/>
          <w:color w:val="auto"/>
        </w:rPr>
        <w:t>Repare Licensed Back</w:t>
      </w:r>
      <w:r>
        <w:rPr>
          <w:rFonts w:ascii="Arial" w:cs="Arial" w:eastAsia="Arial" w:hAnsi="Arial"/>
          <w:sz w:val="17"/>
          <w:szCs w:val="17"/>
          <w:color w:val="auto"/>
        </w:rPr>
        <w:t xml:space="preserve"> </w:t>
      </w:r>
      <w:r>
        <w:rPr>
          <w:rFonts w:ascii="Arial" w:cs="Arial" w:eastAsia="Arial" w:hAnsi="Arial"/>
          <w:sz w:val="17"/>
          <w:szCs w:val="17"/>
          <w:b w:val="1"/>
          <w:bCs w:val="1"/>
          <w:color w:val="auto"/>
        </w:rPr>
        <w:t>Improvements</w:t>
      </w:r>
      <w:r>
        <w:rPr>
          <w:rFonts w:ascii="Arial" w:cs="Arial" w:eastAsia="Arial" w:hAnsi="Arial"/>
          <w:sz w:val="17"/>
          <w:szCs w:val="17"/>
          <w:color w:val="auto"/>
        </w:rPr>
        <w:t>”). Solely in the event that Repare acquires the Repare Licensed Back Improvements from a Sublicensee, may Repare grant</w:t>
      </w:r>
      <w:r>
        <w:rPr>
          <w:rFonts w:ascii="Arial" w:cs="Arial" w:eastAsia="Arial" w:hAnsi="Arial"/>
          <w:sz w:val="17"/>
          <w:szCs w:val="17"/>
          <w:b w:val="1"/>
          <w:bCs w:val="1"/>
          <w:color w:val="auto"/>
        </w:rPr>
        <w:t xml:space="preserve"> </w:t>
      </w:r>
      <w:r>
        <w:rPr>
          <w:rFonts w:ascii="Arial" w:cs="Arial" w:eastAsia="Arial" w:hAnsi="Arial"/>
          <w:sz w:val="17"/>
          <w:szCs w:val="17"/>
          <w:color w:val="auto"/>
        </w:rPr>
        <w:t>such Sublicensee a license to the Ono Licensed Back Improvements.</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560"/>
          </w:cols>
          <w:pgMar w:left="880" w:top="270" w:right="459" w:bottom="1440" w:gutter="0" w:footer="0" w:header="0"/>
        </w:sectPr>
      </w:pPr>
    </w:p>
    <w:bookmarkStart w:id="610" w:name="page611"/>
    <w:bookmarkEnd w:id="610"/>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10.3. </w:t>
      </w:r>
      <w:r>
        <w:rPr>
          <w:rFonts w:ascii="Arial" w:cs="Arial" w:eastAsia="Arial" w:hAnsi="Arial"/>
          <w:sz w:val="17"/>
          <w:szCs w:val="17"/>
          <w:b w:val="1"/>
          <w:bCs w:val="1"/>
          <w:u w:val="single" w:color="auto"/>
          <w:color w:val="auto"/>
        </w:rPr>
        <w:t>Compliance with In-Licenses</w:t>
      </w:r>
      <w:r>
        <w:rPr>
          <w:rFonts w:ascii="Arial" w:cs="Arial" w:eastAsia="Arial" w:hAnsi="Arial"/>
          <w:sz w:val="17"/>
          <w:szCs w:val="17"/>
          <w:b w:val="1"/>
          <w:bCs w:val="1"/>
          <w:color w:val="auto"/>
        </w:rPr>
        <w:t xml:space="preserve">. </w:t>
      </w:r>
      <w:r>
        <w:rPr>
          <w:rFonts w:ascii="Arial" w:cs="Arial" w:eastAsia="Arial" w:hAnsi="Arial"/>
          <w:sz w:val="17"/>
          <w:szCs w:val="17"/>
          <w:color w:val="auto"/>
        </w:rPr>
        <w:t>All licenses and other rights granted by one Party (the “</w:t>
      </w:r>
      <w:r>
        <w:rPr>
          <w:rFonts w:ascii="Arial" w:cs="Arial" w:eastAsia="Arial" w:hAnsi="Arial"/>
          <w:sz w:val="17"/>
          <w:szCs w:val="17"/>
          <w:b w:val="1"/>
          <w:bCs w:val="1"/>
          <w:color w:val="auto"/>
        </w:rPr>
        <w:t>Granting Party</w:t>
      </w:r>
      <w:r>
        <w:rPr>
          <w:rFonts w:ascii="Arial" w:cs="Arial" w:eastAsia="Arial" w:hAnsi="Arial"/>
          <w:sz w:val="17"/>
          <w:szCs w:val="17"/>
          <w:color w:val="auto"/>
        </w:rPr>
        <w:t>”) to the other Party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Non-Granting Party</w:t>
      </w:r>
      <w:r>
        <w:rPr>
          <w:rFonts w:ascii="Arial" w:cs="Arial" w:eastAsia="Arial" w:hAnsi="Arial"/>
          <w:sz w:val="16"/>
          <w:szCs w:val="16"/>
          <w:color w:val="auto"/>
        </w:rPr>
        <w:t>”) under this Agreement are subject to the rights and obligations of the Granting Party under such Granting Party’s In-Licenses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 as of the Effective Date. The Non-Granting Party shall comply with all applicable provisions of such Granting Party’s In-Licenses of which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 Granting Party has been informed of in writing by the Granting Party, and shall perform and take such actions as may be required to allow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Granting Party to comply with its obligations thereunder, including obligations relating to sublicensing, patent matters, confidentiality, reporting, audit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rights, indemnification and diligence. Without limiting the foregoing, the obligations set forth on </w:t>
      </w:r>
      <w:r>
        <w:rPr>
          <w:rFonts w:ascii="Arial" w:cs="Arial" w:eastAsia="Arial" w:hAnsi="Arial"/>
          <w:sz w:val="17"/>
          <w:szCs w:val="17"/>
          <w:u w:val="single" w:color="auto"/>
          <w:color w:val="auto"/>
        </w:rPr>
        <w:t>Schedule 10.3</w:t>
      </w:r>
      <w:r>
        <w:rPr>
          <w:rFonts w:ascii="Arial" w:cs="Arial" w:eastAsia="Arial" w:hAnsi="Arial"/>
          <w:sz w:val="17"/>
          <w:szCs w:val="17"/>
          <w:color w:val="auto"/>
        </w:rPr>
        <w:t xml:space="preserve"> with respect to the NYU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shall be binding upon Ono as if Ono were a party to the NYU Agreement; provided, however, that if Ono’s indemnification is attributed to the cause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Repare or its Sublicensee, Repare shall and shall cause its Sublicensee, as the case maybe, to compensate Ono’s damages incurred by such Ono’s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indemnification, and Repare shall be responsible for all royalty and other payment obligations under the NYU Agreement. Further, the Non-Granting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Party shall prepare and deliver to the Granting Party any additional reports required under such Granting Party’s In-Licenses in effect as of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and requested by the Granting Party, in each case sufficiently in advance to enable the Granting Party to comply with its obligations under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In-Licenses.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shall survive termination as it relates to any license granted by one Party to the other pursuant to </w:t>
      </w:r>
      <w:r>
        <w:rPr>
          <w:rFonts w:ascii="Arial" w:cs="Arial" w:eastAsia="Arial" w:hAnsi="Arial"/>
          <w:sz w:val="16"/>
          <w:szCs w:val="16"/>
          <w:u w:val="single" w:color="auto"/>
          <w:color w:val="auto"/>
        </w:rPr>
        <w:t>Section 15.3</w:t>
      </w:r>
      <w:r>
        <w:rPr>
          <w:rFonts w:ascii="Arial" w:cs="Arial" w:eastAsia="Arial" w:hAnsi="Arial"/>
          <w:sz w:val="16"/>
          <w:szCs w:val="16"/>
          <w:color w:val="auto"/>
        </w:rPr>
        <w:t xml:space="preserve"> (Effect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Termination).</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10.4. Pol</w:t>
      </w:r>
      <w:r>
        <w:rPr>
          <w:rFonts w:ascii="Arial" w:cs="Arial" w:eastAsia="Arial" w:hAnsi="Arial"/>
          <w:sz w:val="18"/>
          <w:szCs w:val="18"/>
          <w:color w:val="auto"/>
        </w:rPr>
        <w:t>q</w:t>
      </w:r>
      <w:r>
        <w:rPr>
          <w:rFonts w:ascii="Arial" w:cs="Arial" w:eastAsia="Arial" w:hAnsi="Arial"/>
          <w:sz w:val="18"/>
          <w:szCs w:val="18"/>
          <w:b w:val="1"/>
          <w:bCs w:val="1"/>
          <w:color w:val="auto"/>
        </w:rPr>
        <w:t xml:space="preserve"> Non-Specific IP.</w:t>
      </w:r>
    </w:p>
    <w:p>
      <w:pPr>
        <w:spacing w:after="0" w:line="117" w:lineRule="exact"/>
        <w:rPr>
          <w:sz w:val="20"/>
          <w:szCs w:val="20"/>
          <w:color w:val="auto"/>
        </w:rPr>
      </w:pPr>
    </w:p>
    <w:p>
      <w:pPr>
        <w:ind w:left="440" w:right="140" w:firstLine="423"/>
        <w:spacing w:after="0" w:line="272" w:lineRule="auto"/>
        <w:rPr>
          <w:sz w:val="20"/>
          <w:szCs w:val="20"/>
          <w:color w:val="auto"/>
        </w:rPr>
      </w:pPr>
      <w:r>
        <w:rPr>
          <w:rFonts w:ascii="Arial" w:cs="Arial" w:eastAsia="Arial" w:hAnsi="Arial"/>
          <w:sz w:val="17"/>
          <w:szCs w:val="17"/>
          <w:b w:val="1"/>
          <w:bCs w:val="1"/>
          <w:color w:val="auto"/>
        </w:rPr>
        <w:t xml:space="preserve">10.4.1. </w:t>
      </w:r>
      <w:r>
        <w:rPr>
          <w:rFonts w:ascii="Arial" w:cs="Arial" w:eastAsia="Arial" w:hAnsi="Arial"/>
          <w:sz w:val="17"/>
          <w:szCs w:val="17"/>
          <w:color w:val="auto"/>
        </w:rPr>
        <w:t>If a Party becomes aware after the Effective Date that research, Development, Manufacturing, having Manufactured or</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Commercialization of Drug Candidates, Licensed Drug Candidates and Licensed Products in the Field in its Territory would infringe or misappropriate Know-How or Patent Right of the other Party which is non-public and not expressly licensed to such Party under this Agreement (the “</w:t>
      </w:r>
      <w:r>
        <w:rPr>
          <w:rFonts w:ascii="Arial" w:cs="Arial" w:eastAsia="Arial" w:hAnsi="Arial"/>
          <w:sz w:val="17"/>
          <w:szCs w:val="17"/>
          <w:b w:val="1"/>
          <w:bCs w:val="1"/>
          <w:color w:val="auto"/>
        </w:rPr>
        <w:t>Pol</w:t>
      </w:r>
      <w:r>
        <w:rPr>
          <w:rFonts w:ascii="Arial" w:cs="Arial" w:eastAsia="Arial" w:hAnsi="Arial"/>
          <w:sz w:val="17"/>
          <w:szCs w:val="17"/>
          <w:color w:val="auto"/>
        </w:rPr>
        <w:t xml:space="preserve">q </w:t>
      </w:r>
      <w:r>
        <w:rPr>
          <w:rFonts w:ascii="Arial" w:cs="Arial" w:eastAsia="Arial" w:hAnsi="Arial"/>
          <w:sz w:val="17"/>
          <w:szCs w:val="17"/>
          <w:b w:val="1"/>
          <w:bCs w:val="1"/>
          <w:color w:val="auto"/>
        </w:rPr>
        <w:t>Non-Specific IP</w:t>
      </w:r>
      <w:r>
        <w:rPr>
          <w:rFonts w:ascii="Arial" w:cs="Arial" w:eastAsia="Arial" w:hAnsi="Arial"/>
          <w:sz w:val="17"/>
          <w:szCs w:val="17"/>
          <w:color w:val="auto"/>
        </w:rPr>
        <w:t>”), then the other Party grants to such Party non-exclusive, irrevocable and royalty-free license under such Polq Non-Specific IP to research, Development, Manufacturing, having Manufactured or Commercialization of Drug Candidates, Licensed Drug Candidates and Licensed Products in the Field in or for its Territory in accordance with the terms of this Agreement. For example, the Polq Non-Specific IP that is to be covered by the non- exclusive license includes formulation IP that is not specific to Polq but excludes compositions of matter or Compounds that are not expressly covered by this Agreement.</w:t>
      </w:r>
    </w:p>
    <w:p>
      <w:pPr>
        <w:spacing w:after="0" w:line="64" w:lineRule="exact"/>
        <w:rPr>
          <w:sz w:val="20"/>
          <w:szCs w:val="20"/>
          <w:color w:val="auto"/>
        </w:rPr>
      </w:pPr>
    </w:p>
    <w:p>
      <w:pPr>
        <w:ind w:left="440" w:firstLine="423"/>
        <w:spacing w:after="0" w:line="289" w:lineRule="auto"/>
        <w:rPr>
          <w:sz w:val="20"/>
          <w:szCs w:val="20"/>
          <w:color w:val="auto"/>
        </w:rPr>
      </w:pPr>
      <w:r>
        <w:rPr>
          <w:rFonts w:ascii="Arial" w:cs="Arial" w:eastAsia="Arial" w:hAnsi="Arial"/>
          <w:sz w:val="17"/>
          <w:szCs w:val="17"/>
          <w:b w:val="1"/>
          <w:bCs w:val="1"/>
          <w:color w:val="auto"/>
        </w:rPr>
        <w:t xml:space="preserve">10.4.2. </w:t>
      </w:r>
      <w:r>
        <w:rPr>
          <w:rFonts w:ascii="Arial" w:cs="Arial" w:eastAsia="Arial" w:hAnsi="Arial"/>
          <w:sz w:val="17"/>
          <w:szCs w:val="17"/>
          <w:color w:val="auto"/>
        </w:rPr>
        <w:t>Except otherwise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10.4.1</w:t>
      </w:r>
      <w:r>
        <w:rPr>
          <w:rFonts w:ascii="Arial" w:cs="Arial" w:eastAsia="Arial" w:hAnsi="Arial"/>
          <w:sz w:val="17"/>
          <w:szCs w:val="17"/>
          <w:color w:val="auto"/>
        </w:rPr>
        <w:t>, in case a Party requests the other Party for a license under Polq Non-Specific IP to</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Develop, Commercialize, Manufacture and have Manufactured of Drug Candidates, Licensed Drug Candidates and Licensed Products in the Field in its Territory, then both Parties will negotiate in good faith towards such license grant.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440" w:top="271" w:right="479" w:bottom="1440" w:gutter="0" w:footer="0" w:header="0"/>
        </w:sectPr>
      </w:pPr>
    </w:p>
    <w:bookmarkStart w:id="611" w:name="page612"/>
    <w:bookmarkEnd w:id="611"/>
    <w:p>
      <w:pPr>
        <w:ind w:firstLine="440"/>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10.5. </w:t>
      </w:r>
      <w:r>
        <w:rPr>
          <w:rFonts w:ascii="Arial" w:cs="Arial" w:eastAsia="Arial" w:hAnsi="Arial"/>
          <w:sz w:val="16"/>
          <w:szCs w:val="16"/>
          <w:b w:val="1"/>
          <w:bCs w:val="1"/>
          <w:u w:val="single" w:color="auto"/>
          <w:color w:val="auto"/>
        </w:rPr>
        <w:t>Bankruptcy and Bankruptcy Code</w:t>
      </w:r>
      <w:r>
        <w:rPr>
          <w:rFonts w:ascii="Arial" w:cs="Arial" w:eastAsia="Arial" w:hAnsi="Arial"/>
          <w:sz w:val="16"/>
          <w:szCs w:val="16"/>
          <w:color w:val="auto"/>
        </w:rPr>
        <w:t>. All rights and licenses granted under or pursuant to this Agreement by a Party to the other,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those set forth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(Licenses), are and shall otherwise be deemed to be licenses of right to “intellectual property” as defined under Bankruptcy Code. The Parties agree that the Parties and their respective Sublicensees, as sublicensees of such rights under this Agreement, shall retain and may fully exercise all of their rights and elections under the Bankruptcy Code. The Parties further agree that upon commencement of a proceeding by or against a Party (the “</w:t>
      </w:r>
      <w:r>
        <w:rPr>
          <w:rFonts w:ascii="Arial" w:cs="Arial" w:eastAsia="Arial" w:hAnsi="Arial"/>
          <w:sz w:val="16"/>
          <w:szCs w:val="16"/>
          <w:b w:val="1"/>
          <w:bCs w:val="1"/>
          <w:color w:val="auto"/>
        </w:rPr>
        <w:t>Bankrupt Party</w:t>
      </w:r>
      <w:r>
        <w:rPr>
          <w:rFonts w:ascii="Arial" w:cs="Arial" w:eastAsia="Arial" w:hAnsi="Arial"/>
          <w:sz w:val="16"/>
          <w:szCs w:val="16"/>
          <w:color w:val="auto"/>
        </w:rPr>
        <w:t>”) under the Bankruptcy Code, the other Party (the “</w:t>
      </w:r>
      <w:r>
        <w:rPr>
          <w:rFonts w:ascii="Arial" w:cs="Arial" w:eastAsia="Arial" w:hAnsi="Arial"/>
          <w:sz w:val="16"/>
          <w:szCs w:val="16"/>
          <w:b w:val="1"/>
          <w:bCs w:val="1"/>
          <w:color w:val="auto"/>
        </w:rPr>
        <w:t>Non-Bankrupt Party</w:t>
      </w:r>
      <w:r>
        <w:rPr>
          <w:rFonts w:ascii="Arial" w:cs="Arial" w:eastAsia="Arial" w:hAnsi="Arial"/>
          <w:sz w:val="16"/>
          <w:szCs w:val="16"/>
          <w:color w:val="auto"/>
        </w:rPr>
        <w:t>”) will be entitled to a complete duplicate of, or complete access to (as the Non-Bankrupt Party deems appropriate), all such intellectual property and all embodiments of such intellectual property. Such intellectual property and all embodiments of such intellectual property will be promptly delivered to the Non-Bankrupt Party (a) upon any such commencement of a proceeding and upon written request by the Non-Bankrupt Party, unless the Bankrupt Party elects to continue to perform all of its obligations under this Agreement, or (b) if not delivered under (a) above, upon the rejection of this Agreement by or on behalf of the Bankrupt Party and upon written request by the Non-Bankrupt Party. All rights, powers and remedies of a Non-Bankrupt Party hereunder are in addition to and not in substitution for any and all other rights, powers and remedies now or hereafter existing at Law in the event of the commencement of a proceeding under a Bankruptcy Code with respect to the Bankrupt Party. The Parties agree that, in addition to the foregoing rights, they intend for the right to contract directly with any Third Party to perform any obligations of the Bankrupted Party hereunder and complete such contracted work to apply to the maximum extent permitted by law and to be enforceable under the Bankruptcy Code. This Agreement shall be effective before, during and after the commencement of any bankruptcy or insolvency proceeding under the Bankruptcy Code. The provisions of this Agreement shall be binding on any receiver, receiver-manager, proposal trustee, trustee, monitor or Person acting in similar capacity (an “</w:t>
      </w:r>
      <w:r>
        <w:rPr>
          <w:rFonts w:ascii="Arial" w:cs="Arial" w:eastAsia="Arial" w:hAnsi="Arial"/>
          <w:sz w:val="16"/>
          <w:szCs w:val="16"/>
          <w:b w:val="1"/>
          <w:bCs w:val="1"/>
          <w:color w:val="auto"/>
        </w:rPr>
        <w:t>Insolvency Officer</w:t>
      </w:r>
      <w:r>
        <w:rPr>
          <w:rFonts w:ascii="Arial" w:cs="Arial" w:eastAsia="Arial" w:hAnsi="Arial"/>
          <w:sz w:val="16"/>
          <w:szCs w:val="16"/>
          <w:color w:val="auto"/>
        </w:rPr>
        <w:t>”) for Repare or over Repare’s business, undertaking, property or assets in any bankruptcy or insolvency proceeding under the Bankruptcy Code, and all references to Repare under this Agreement shall be deemed to include any Insolvency Officer.</w:t>
      </w:r>
    </w:p>
    <w:p>
      <w:pPr>
        <w:spacing w:after="0" w:line="171" w:lineRule="exact"/>
        <w:rPr>
          <w:sz w:val="20"/>
          <w:szCs w:val="20"/>
          <w:color w:val="auto"/>
        </w:rPr>
      </w:pPr>
    </w:p>
    <w:p>
      <w:pPr>
        <w:ind w:right="400" w:firstLine="440"/>
        <w:spacing w:after="0" w:line="261" w:lineRule="auto"/>
        <w:rPr>
          <w:sz w:val="20"/>
          <w:szCs w:val="20"/>
          <w:color w:val="auto"/>
        </w:rPr>
      </w:pPr>
      <w:r>
        <w:rPr>
          <w:rFonts w:ascii="Arial" w:cs="Arial" w:eastAsia="Arial" w:hAnsi="Arial"/>
          <w:sz w:val="18"/>
          <w:szCs w:val="18"/>
          <w:b w:val="1"/>
          <w:bCs w:val="1"/>
          <w:color w:val="auto"/>
        </w:rPr>
        <w:t xml:space="preserve">10.6. </w:t>
      </w:r>
      <w:r>
        <w:rPr>
          <w:rFonts w:ascii="Arial" w:cs="Arial" w:eastAsia="Arial" w:hAnsi="Arial"/>
          <w:sz w:val="18"/>
          <w:szCs w:val="18"/>
          <w:b w:val="1"/>
          <w:bCs w:val="1"/>
          <w:u w:val="single" w:color="auto"/>
          <w:color w:val="auto"/>
        </w:rPr>
        <w:t>No Other Rights</w:t>
      </w:r>
      <w:r>
        <w:rPr>
          <w:rFonts w:ascii="Arial" w:cs="Arial" w:eastAsia="Arial" w:hAnsi="Arial"/>
          <w:sz w:val="18"/>
          <w:szCs w:val="18"/>
          <w:color w:val="auto"/>
        </w:rPr>
        <w:t>. Except as otherwise expressly provided in this Agreement, under no circumstances shall a Party, as a result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obtain any ownership interest or other right in any Know-How, Patent Rights or other intellectual property rights of the other Party, including items owned, controlled or developed by the other Party, or provided by the other Party to the receiving Party at any time pursuant to this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TERMS; ROYALTY REPORTS; PAYMENTS AND AUDITS</w:t>
      </w:r>
    </w:p>
    <w:p>
      <w:pPr>
        <w:spacing w:after="0" w:line="117"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b w:val="1"/>
          <w:bCs w:val="1"/>
          <w:u w:val="single" w:color="auto"/>
          <w:color w:val="auto"/>
        </w:rPr>
        <w:t>Upfront Fee</w:t>
      </w:r>
      <w:r>
        <w:rPr>
          <w:rFonts w:ascii="Arial" w:cs="Arial" w:eastAsia="Arial" w:hAnsi="Arial"/>
          <w:sz w:val="18"/>
          <w:szCs w:val="18"/>
          <w:b w:val="1"/>
          <w:bCs w:val="1"/>
          <w:color w:val="auto"/>
        </w:rPr>
        <w:t xml:space="preserve">. </w:t>
      </w:r>
      <w:r>
        <w:rPr>
          <w:rFonts w:ascii="Arial" w:cs="Arial" w:eastAsia="Arial" w:hAnsi="Arial"/>
          <w:sz w:val="18"/>
          <w:szCs w:val="18"/>
          <w:color w:val="auto"/>
        </w:rPr>
        <w:t>Ono shall pay to Repare a non-refundable, non-creditable upfront fee equal to One Hundred Ten Million Japanese Yen (JPY</w:t>
      </w:r>
      <w:r>
        <w:rPr>
          <w:rFonts w:ascii="Arial" w:cs="Arial" w:eastAsia="Arial" w:hAnsi="Arial"/>
          <w:sz w:val="18"/>
          <w:szCs w:val="18"/>
          <w:b w:val="1"/>
          <w:bCs w:val="1"/>
          <w:color w:val="auto"/>
        </w:rPr>
        <w:t xml:space="preserve"> </w:t>
      </w:r>
      <w:r>
        <w:rPr>
          <w:rFonts w:ascii="Arial" w:cs="Arial" w:eastAsia="Arial" w:hAnsi="Arial"/>
          <w:sz w:val="18"/>
          <w:szCs w:val="18"/>
          <w:color w:val="auto"/>
        </w:rPr>
        <w:t>110,000,000) within fifteen (15) Business Days of receipt by Ono of invoice for such upfront fee and the Taxation Documents delivered from Repare to Ono.</w:t>
      </w:r>
    </w:p>
    <w:p>
      <w:pPr>
        <w:spacing w:after="0" w:line="176"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 xml:space="preserve">11.2. </w:t>
      </w:r>
      <w:r>
        <w:rPr>
          <w:rFonts w:ascii="Arial" w:cs="Arial" w:eastAsia="Arial" w:hAnsi="Arial"/>
          <w:sz w:val="17"/>
          <w:szCs w:val="17"/>
          <w:b w:val="1"/>
          <w:bCs w:val="1"/>
          <w:u w:val="single" w:color="auto"/>
          <w:color w:val="auto"/>
        </w:rPr>
        <w:t>Development Milestone Payments</w:t>
      </w:r>
      <w:r>
        <w:rPr>
          <w:rFonts w:ascii="Arial" w:cs="Arial" w:eastAsia="Arial" w:hAnsi="Arial"/>
          <w:sz w:val="17"/>
          <w:szCs w:val="17"/>
          <w:color w:val="auto"/>
        </w:rPr>
        <w:t>. Ono will provide Repare with written notice of the achievement by Ono or any of its Related Parties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development milestone event set forth in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within [***] after such event has occurred. Repare shall invoice Ono within [***] of receipt of such written notice, and Ono shall pay the associated milestone payment within [***] of the receipt of such invoice and the Taxation Documents delivered from Repare to Ono. Each milestone payment shall be payable only once as applicable, upon the first occurrence of the corresponding milestone event without regard to subsequent achievements of such milestones by any other Compound (including back-up or follow-on Compound) or another indication of the first Licensed Drug Candidate.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0" w:right="459" w:bottom="1440" w:gutter="0" w:footer="0" w:header="0"/>
        </w:sectPr>
      </w:pPr>
    </w:p>
    <w:bookmarkStart w:id="612" w:name="page613"/>
    <w:bookmarkEnd w:id="612"/>
    <w:tbl>
      <w:tblPr>
        <w:tblLayout w:type="fixed"/>
        <w:tblInd w:w="0" w:type="dxa"/>
        <w:tblCellMar>
          <w:top w:w="0" w:type="dxa"/>
          <w:left w:w="0" w:type="dxa"/>
          <w:bottom w:w="0" w:type="dxa"/>
          <w:right w:w="0" w:type="dxa"/>
        </w:tblCellMar>
      </w:tblPr>
      <w:tr>
        <w:trPr>
          <w:trHeight w:val="16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Development Milestone Event</w:t>
            </w:r>
          </w:p>
        </w:tc>
        <w:tc>
          <w:tcPr>
            <w:tcW w:w="3140" w:type="dxa"/>
            <w:vAlign w:val="bottom"/>
          </w:tcPr>
          <w:p>
            <w:pPr>
              <w:ind w:left="1960"/>
              <w:spacing w:after="0"/>
              <w:rPr>
                <w:sz w:val="20"/>
                <w:szCs w:val="20"/>
                <w:color w:val="auto"/>
              </w:rPr>
            </w:pPr>
            <w:r>
              <w:rPr>
                <w:rFonts w:ascii="Arial" w:cs="Arial" w:eastAsia="Arial" w:hAnsi="Arial"/>
                <w:sz w:val="14"/>
                <w:szCs w:val="14"/>
                <w:b w:val="1"/>
                <w:bCs w:val="1"/>
                <w:color w:val="auto"/>
                <w:w w:val="91"/>
              </w:rPr>
              <w:t>Milestone Payment</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3620" w:type="dxa"/>
            <w:vAlign w:val="bottom"/>
          </w:tcPr>
          <w:p>
            <w:pPr>
              <w:ind w:left="20"/>
              <w:spacing w:after="0"/>
              <w:rPr>
                <w:sz w:val="20"/>
                <w:szCs w:val="20"/>
                <w:color w:val="auto"/>
              </w:rPr>
            </w:pPr>
            <w:r>
              <w:rPr>
                <w:rFonts w:ascii="Arial" w:cs="Arial" w:eastAsia="Arial" w:hAnsi="Arial"/>
                <w:sz w:val="18"/>
                <w:szCs w:val="18"/>
                <w:color w:val="auto"/>
              </w:rPr>
              <w:t>Upon [***].</w:t>
            </w:r>
          </w:p>
        </w:tc>
        <w:tc>
          <w:tcPr>
            <w:tcW w:w="3140" w:type="dxa"/>
            <w:vAlign w:val="bottom"/>
          </w:tcPr>
          <w:p>
            <w:pPr>
              <w:ind w:left="1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3620" w:type="dxa"/>
            <w:vAlign w:val="bottom"/>
          </w:tcPr>
          <w:p>
            <w:pPr>
              <w:ind w:left="20"/>
              <w:spacing w:after="0"/>
              <w:rPr>
                <w:sz w:val="20"/>
                <w:szCs w:val="20"/>
                <w:color w:val="auto"/>
              </w:rPr>
            </w:pPr>
            <w:r>
              <w:rPr>
                <w:rFonts w:ascii="Arial" w:cs="Arial" w:eastAsia="Arial" w:hAnsi="Arial"/>
                <w:sz w:val="18"/>
                <w:szCs w:val="18"/>
                <w:color w:val="auto"/>
              </w:rPr>
              <w:t>[***].</w:t>
            </w:r>
          </w:p>
        </w:tc>
        <w:tc>
          <w:tcPr>
            <w:tcW w:w="3140" w:type="dxa"/>
            <w:vAlign w:val="bottom"/>
          </w:tcPr>
          <w:p>
            <w:pPr>
              <w:ind w:left="1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3.</w:t>
            </w:r>
          </w:p>
        </w:tc>
        <w:tc>
          <w:tcPr>
            <w:tcW w:w="3620" w:type="dxa"/>
            <w:vAlign w:val="bottom"/>
          </w:tcPr>
          <w:p>
            <w:pPr>
              <w:ind w:left="20"/>
              <w:spacing w:after="0"/>
              <w:rPr>
                <w:sz w:val="20"/>
                <w:szCs w:val="20"/>
                <w:color w:val="auto"/>
              </w:rPr>
            </w:pPr>
            <w:r>
              <w:rPr>
                <w:rFonts w:ascii="Arial" w:cs="Arial" w:eastAsia="Arial" w:hAnsi="Arial"/>
                <w:sz w:val="18"/>
                <w:szCs w:val="18"/>
                <w:color w:val="auto"/>
              </w:rPr>
              <w:t>[***].</w:t>
            </w:r>
          </w:p>
        </w:tc>
        <w:tc>
          <w:tcPr>
            <w:tcW w:w="3140" w:type="dxa"/>
            <w:vAlign w:val="bottom"/>
          </w:tcPr>
          <w:p>
            <w:pPr>
              <w:ind w:left="1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3620" w:type="dxa"/>
            <w:vAlign w:val="bottom"/>
          </w:tcPr>
          <w:p>
            <w:pPr>
              <w:ind w:left="20"/>
              <w:spacing w:after="0"/>
              <w:rPr>
                <w:sz w:val="20"/>
                <w:szCs w:val="20"/>
                <w:color w:val="auto"/>
              </w:rPr>
            </w:pPr>
            <w:r>
              <w:rPr>
                <w:rFonts w:ascii="Arial" w:cs="Arial" w:eastAsia="Arial" w:hAnsi="Arial"/>
                <w:sz w:val="18"/>
                <w:szCs w:val="18"/>
                <w:color w:val="auto"/>
              </w:rPr>
              <w:t>[***].</w:t>
            </w:r>
          </w:p>
        </w:tc>
        <w:tc>
          <w:tcPr>
            <w:tcW w:w="3140" w:type="dxa"/>
            <w:vAlign w:val="bottom"/>
          </w:tcPr>
          <w:p>
            <w:pPr>
              <w:ind w:left="1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5.</w:t>
            </w:r>
          </w:p>
        </w:tc>
        <w:tc>
          <w:tcPr>
            <w:tcW w:w="3620" w:type="dxa"/>
            <w:vAlign w:val="bottom"/>
          </w:tcPr>
          <w:p>
            <w:pPr>
              <w:ind w:left="20"/>
              <w:spacing w:after="0"/>
              <w:rPr>
                <w:sz w:val="20"/>
                <w:szCs w:val="20"/>
                <w:color w:val="auto"/>
              </w:rPr>
            </w:pPr>
            <w:r>
              <w:rPr>
                <w:rFonts w:ascii="Arial" w:cs="Arial" w:eastAsia="Arial" w:hAnsi="Arial"/>
                <w:sz w:val="18"/>
                <w:szCs w:val="18"/>
                <w:color w:val="auto"/>
              </w:rPr>
              <w:t>Upon [***].</w:t>
            </w:r>
          </w:p>
        </w:tc>
        <w:tc>
          <w:tcPr>
            <w:tcW w:w="3140" w:type="dxa"/>
            <w:vAlign w:val="bottom"/>
          </w:tcPr>
          <w:p>
            <w:pPr>
              <w:ind w:left="1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34"/>
        </w:trPr>
        <w:tc>
          <w:tcPr>
            <w:tcW w:w="160" w:type="dxa"/>
            <w:vAlign w:val="bottom"/>
          </w:tcPr>
          <w:p>
            <w:pPr>
              <w:spacing w:after="0"/>
              <w:rPr>
                <w:sz w:val="20"/>
                <w:szCs w:val="20"/>
                <w:color w:val="auto"/>
              </w:rPr>
            </w:pPr>
            <w:r>
              <w:rPr>
                <w:rFonts w:ascii="Arial" w:cs="Arial" w:eastAsia="Arial" w:hAnsi="Arial"/>
                <w:sz w:val="18"/>
                <w:szCs w:val="18"/>
                <w:color w:val="auto"/>
                <w:w w:val="92"/>
              </w:rPr>
              <w:t>6.</w:t>
            </w:r>
          </w:p>
        </w:tc>
        <w:tc>
          <w:tcPr>
            <w:tcW w:w="3620" w:type="dxa"/>
            <w:vAlign w:val="bottom"/>
          </w:tcPr>
          <w:p>
            <w:pPr>
              <w:ind w:left="20"/>
              <w:spacing w:after="0"/>
              <w:rPr>
                <w:sz w:val="20"/>
                <w:szCs w:val="20"/>
                <w:color w:val="auto"/>
              </w:rPr>
            </w:pPr>
            <w:r>
              <w:rPr>
                <w:rFonts w:ascii="Arial" w:cs="Arial" w:eastAsia="Arial" w:hAnsi="Arial"/>
                <w:sz w:val="18"/>
                <w:szCs w:val="18"/>
                <w:color w:val="auto"/>
              </w:rPr>
              <w:t>Upon [***].</w:t>
            </w:r>
          </w:p>
        </w:tc>
        <w:tc>
          <w:tcPr>
            <w:tcW w:w="3140" w:type="dxa"/>
            <w:vAlign w:val="bottom"/>
          </w:tcPr>
          <w:p>
            <w:pPr>
              <w:ind w:left="1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right="260"/>
        <w:spacing w:after="0" w:line="277" w:lineRule="auto"/>
        <w:rPr>
          <w:sz w:val="20"/>
          <w:szCs w:val="20"/>
          <w:color w:val="auto"/>
        </w:rPr>
      </w:pPr>
      <w:r>
        <w:rPr>
          <w:rFonts w:ascii="Arial" w:cs="Arial" w:eastAsia="Arial" w:hAnsi="Arial"/>
          <w:sz w:val="18"/>
          <w:szCs w:val="18"/>
          <w:color w:val="auto"/>
        </w:rPr>
        <w:t xml:space="preserve">The total amount of the development milestone payments to be paid by Ono to Repare under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shall not exceed Five Billion and One Hundred Ten Million Japanese Yen (¥5, 110,000,000). [***].</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11.3. Sales Milestones. </w:t>
      </w:r>
      <w:r>
        <w:rPr>
          <w:rFonts w:ascii="Arial" w:cs="Arial" w:eastAsia="Arial" w:hAnsi="Arial"/>
          <w:sz w:val="17"/>
          <w:szCs w:val="17"/>
          <w:color w:val="auto"/>
        </w:rPr>
        <w:t>Ono shall provide Repare with written notice of the achievement during the Royalty Term by Ono or any of its Related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any sales milestone event set fo1th below in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within [***] after the end of the Calendar Quarter in which such event has occurred. Repare shall invoice Ono within [***] of receipt of such written notice by Ono, and Ono shall remit the associated milestone payment within [***] of the receipt of such invoice and the Taxation Documents described in </w:t>
      </w:r>
      <w:r>
        <w:rPr>
          <w:rFonts w:ascii="Arial" w:cs="Arial" w:eastAsia="Arial" w:hAnsi="Arial"/>
          <w:sz w:val="17"/>
          <w:szCs w:val="17"/>
          <w:u w:val="single" w:color="auto"/>
          <w:color w:val="auto"/>
        </w:rPr>
        <w:t>Section 11.10</w:t>
      </w:r>
      <w:r>
        <w:rPr>
          <w:rFonts w:ascii="Arial" w:cs="Arial" w:eastAsia="Arial" w:hAnsi="Arial"/>
          <w:sz w:val="17"/>
          <w:szCs w:val="17"/>
          <w:color w:val="auto"/>
        </w:rPr>
        <w:t xml:space="preserve"> delivered from Repare to Ono. Notwithstanding the foregoing, in the event that more than one of the sales milestone events are achieved simultaneously by a Licensed Product, Ono will make only one sales milestone payment at such time, which will be for the sales milestone event requiring the highest sales milestone payment, and payment for achievement of the lower sales milestone shall be due in the next Calendar Year. Each sales milestone payment set forth below shall be payable only once, regardless of the number of times a sales milestone event is achieved.</w:t>
      </w:r>
    </w:p>
    <w:p>
      <w:pPr>
        <w:sectPr>
          <w:pgSz w:w="11900" w:h="16838" w:orient="portrait"/>
          <w:cols w:equalWidth="0" w:num="1">
            <w:col w:w="10940"/>
          </w:cols>
          <w:pgMar w:left="440" w:top="258" w:right="51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Milestone Event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Milestone Payment</w:t>
      </w:r>
    </w:p>
    <w:p>
      <w:pPr>
        <w:spacing w:after="0" w:line="42" w:lineRule="exact"/>
        <w:rPr>
          <w:sz w:val="20"/>
          <w:szCs w:val="20"/>
          <w:color w:val="auto"/>
        </w:rPr>
      </w:pPr>
    </w:p>
    <w:p>
      <w:pPr>
        <w:sectPr>
          <w:pgSz w:w="11900" w:h="16838" w:orient="portrait"/>
          <w:cols w:equalWidth="0" w:num="2">
            <w:col w:w="5020" w:space="720"/>
            <w:col w:w="5200"/>
          </w:cols>
          <w:pgMar w:left="440" w:top="258" w:right="519" w:bottom="1440" w:gutter="0" w:footer="0" w:header="0"/>
          <w:type w:val="continuous"/>
        </w:sectPr>
      </w:pPr>
    </w:p>
    <w:p>
      <w:pPr>
        <w:spacing w:after="0"/>
        <w:rPr>
          <w:sz w:val="20"/>
          <w:szCs w:val="20"/>
          <w:color w:val="auto"/>
        </w:rPr>
      </w:pPr>
      <w:r>
        <w:rPr>
          <w:rFonts w:ascii="Arial" w:cs="Arial" w:eastAsia="Arial" w:hAnsi="Arial"/>
          <w:sz w:val="18"/>
          <w:szCs w:val="18"/>
          <w:color w:val="auto"/>
        </w:rPr>
        <w:t>1. Upon [***].</w:t>
      </w:r>
    </w:p>
    <w:p>
      <w:pPr>
        <w:spacing w:after="0"/>
        <w:rPr>
          <w:sz w:val="20"/>
          <w:szCs w:val="20"/>
          <w:color w:val="auto"/>
        </w:rPr>
      </w:pPr>
      <w:r>
        <w:rPr>
          <w:rFonts w:ascii="Arial" w:cs="Arial" w:eastAsia="Arial" w:hAnsi="Arial"/>
          <w:sz w:val="18"/>
          <w:szCs w:val="18"/>
          <w:color w:val="auto"/>
        </w:rPr>
        <w:t>2. Upon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Upon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020" w:space="720"/>
            <w:col w:w="5200"/>
          </w:cols>
          <w:pgMar w:left="440" w:top="258" w:right="519" w:bottom="1440" w:gutter="0" w:footer="0" w:header="0"/>
          <w:type w:val="continuous"/>
        </w:sectPr>
      </w:pPr>
    </w:p>
    <w:p>
      <w:pPr>
        <w:spacing w:after="0" w:line="1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 xml:space="preserve">Each milestone payment shall be payable only once as applicable, upon the first occurrence of the corresponding milestone event without regard to subsequent achievements of such milestones. The total amount of the sales milestone payments to be paid by Ono to Repare under this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shall not exceed Twelve Billion and One Hundred Million Japanese Yen (¥12,100,000,000).</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40"/>
          </w:cols>
          <w:pgMar w:left="440" w:top="258" w:right="519" w:bottom="1440" w:gutter="0" w:footer="0" w:header="0"/>
          <w:type w:val="continuous"/>
        </w:sectPr>
      </w:pPr>
    </w:p>
    <w:bookmarkStart w:id="613" w:name="page614"/>
    <w:bookmarkEnd w:id="613"/>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11.4. </w:t>
      </w:r>
      <w:r>
        <w:rPr>
          <w:rFonts w:ascii="Arial" w:cs="Arial" w:eastAsia="Arial" w:hAnsi="Arial"/>
          <w:sz w:val="18"/>
          <w:szCs w:val="18"/>
          <w:b w:val="1"/>
          <w:bCs w:val="1"/>
          <w:u w:val="single" w:color="auto"/>
          <w:color w:val="auto"/>
        </w:rPr>
        <w:t>Royalties Payable to Repare</w:t>
      </w:r>
      <w:r>
        <w:rPr>
          <w:rFonts w:ascii="Arial" w:cs="Arial" w:eastAsia="Arial" w:hAnsi="Arial"/>
          <w:sz w:val="18"/>
          <w:szCs w:val="18"/>
          <w:b w:val="1"/>
          <w:bCs w:val="1"/>
          <w:color w:val="auto"/>
        </w:rPr>
        <w:t>.</w:t>
      </w:r>
    </w:p>
    <w:p>
      <w:pPr>
        <w:spacing w:after="0" w:line="117" w:lineRule="exact"/>
        <w:rPr>
          <w:sz w:val="20"/>
          <w:szCs w:val="20"/>
          <w:color w:val="auto"/>
        </w:rPr>
      </w:pPr>
    </w:p>
    <w:p>
      <w:pPr>
        <w:ind w:left="440" w:right="40" w:firstLine="423"/>
        <w:spacing w:after="0" w:line="282" w:lineRule="auto"/>
        <w:rPr>
          <w:sz w:val="20"/>
          <w:szCs w:val="20"/>
          <w:color w:val="auto"/>
        </w:rPr>
      </w:pPr>
      <w:r>
        <w:rPr>
          <w:rFonts w:ascii="Arial" w:cs="Arial" w:eastAsia="Arial" w:hAnsi="Arial"/>
          <w:sz w:val="18"/>
          <w:szCs w:val="18"/>
          <w:b w:val="1"/>
          <w:bCs w:val="1"/>
          <w:color w:val="auto"/>
        </w:rPr>
        <w:t xml:space="preserve">11.4.1. Royalty Rates. </w:t>
      </w:r>
      <w:r>
        <w:rPr>
          <w:rFonts w:ascii="Arial" w:cs="Arial" w:eastAsia="Arial" w:hAnsi="Arial"/>
          <w:sz w:val="18"/>
          <w:szCs w:val="18"/>
          <w:color w:val="auto"/>
        </w:rPr>
        <w:t>Subject to the terms and conditions of this Agreement, Ono shall pay to Repare royalties on annual Net Sales by Ono</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Related Parties of Licensed Products during the Royalty Term,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Annual Net Sales (during Ono Fiscal</w:t>
            </w:r>
          </w:p>
        </w:tc>
        <w:tc>
          <w:tcPr>
            <w:tcW w:w="5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Royalty (as a percentage of</w:t>
            </w:r>
          </w:p>
        </w:tc>
        <w:tc>
          <w:tcPr>
            <w:tcW w:w="0" w:type="dxa"/>
            <w:vAlign w:val="bottom"/>
          </w:tcPr>
          <w:p>
            <w:pPr>
              <w:spacing w:after="0"/>
              <w:rPr>
                <w:sz w:val="1"/>
                <w:szCs w:val="1"/>
                <w:color w:val="auto"/>
              </w:rPr>
            </w:pPr>
          </w:p>
        </w:tc>
      </w:tr>
      <w:tr>
        <w:trPr>
          <w:trHeight w:val="148"/>
        </w:trPr>
        <w:tc>
          <w:tcPr>
            <w:tcW w:w="5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Year) of a Licensed Product in the</w:t>
            </w:r>
          </w:p>
        </w:tc>
        <w:tc>
          <w:tcPr>
            <w:tcW w:w="5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Ono Territory</w:t>
            </w: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1"/>
              </w:rPr>
              <w:t>Net Sales)</w:t>
            </w:r>
          </w:p>
        </w:tc>
        <w:tc>
          <w:tcPr>
            <w:tcW w:w="0" w:type="dxa"/>
            <w:vAlign w:val="bottom"/>
          </w:tcPr>
          <w:p>
            <w:pPr>
              <w:spacing w:after="0"/>
              <w:rPr>
                <w:sz w:val="1"/>
                <w:szCs w:val="1"/>
                <w:color w:val="auto"/>
              </w:rPr>
            </w:pPr>
          </w:p>
        </w:tc>
      </w:tr>
      <w:tr>
        <w:trPr>
          <w:trHeight w:val="195"/>
        </w:trPr>
        <w:tc>
          <w:tcPr>
            <w:tcW w:w="5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5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firstLine="423"/>
        <w:spacing w:after="0" w:line="281" w:lineRule="auto"/>
        <w:rPr>
          <w:sz w:val="20"/>
          <w:szCs w:val="20"/>
          <w:color w:val="auto"/>
        </w:rPr>
      </w:pPr>
      <w:r>
        <w:rPr>
          <w:rFonts w:ascii="Arial" w:cs="Arial" w:eastAsia="Arial" w:hAnsi="Arial"/>
          <w:sz w:val="17"/>
          <w:szCs w:val="17"/>
          <w:b w:val="1"/>
          <w:bCs w:val="1"/>
          <w:color w:val="auto"/>
        </w:rPr>
        <w:t>11.4.2. Royalty Term</w:t>
      </w:r>
      <w:r>
        <w:rPr>
          <w:rFonts w:ascii="Arial" w:cs="Arial" w:eastAsia="Arial" w:hAnsi="Arial"/>
          <w:sz w:val="17"/>
          <w:szCs w:val="17"/>
          <w:color w:val="auto"/>
        </w:rPr>
        <w:t>. The period during which the royalties set fo1t 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11.4.1</w:t>
      </w:r>
      <w:r>
        <w:rPr>
          <w:rFonts w:ascii="Arial" w:cs="Arial" w:eastAsia="Arial" w:hAnsi="Arial"/>
          <w:sz w:val="17"/>
          <w:szCs w:val="17"/>
          <w:b w:val="1"/>
          <w:bCs w:val="1"/>
          <w:color w:val="auto"/>
        </w:rPr>
        <w:t xml:space="preserve"> </w:t>
      </w:r>
      <w:r>
        <w:rPr>
          <w:rFonts w:ascii="Arial" w:cs="Arial" w:eastAsia="Arial" w:hAnsi="Arial"/>
          <w:sz w:val="17"/>
          <w:szCs w:val="17"/>
          <w:color w:val="auto"/>
        </w:rPr>
        <w:t>(Royalty Rates), on a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Product-by-Licensed Product and country-by-country basis, shall commence with the First Commercial Sale of a Licensed Product in a country in the Ono Territory and continue until the latest of (a) the expiration of the last Valid Claim of such Licensed Product in such country or (b) the tenth (10th) anniversary of the First Commercial Sale of such Licensed Product in such country (each such period, a “Royalty Term”).</w:t>
      </w:r>
    </w:p>
    <w:p>
      <w:pPr>
        <w:spacing w:after="0" w:line="57" w:lineRule="exact"/>
        <w:rPr>
          <w:sz w:val="20"/>
          <w:szCs w:val="20"/>
          <w:color w:val="auto"/>
        </w:rPr>
      </w:pPr>
    </w:p>
    <w:p>
      <w:pPr>
        <w:ind w:left="440" w:right="40" w:firstLine="423"/>
        <w:spacing w:after="0" w:line="294" w:lineRule="auto"/>
        <w:rPr>
          <w:sz w:val="20"/>
          <w:szCs w:val="20"/>
          <w:color w:val="auto"/>
        </w:rPr>
      </w:pPr>
      <w:r>
        <w:rPr>
          <w:rFonts w:ascii="Arial" w:cs="Arial" w:eastAsia="Arial" w:hAnsi="Arial"/>
          <w:sz w:val="16"/>
          <w:szCs w:val="16"/>
          <w:b w:val="1"/>
          <w:bCs w:val="1"/>
          <w:color w:val="auto"/>
        </w:rPr>
        <w:t xml:space="preserve">11.4.3. Third Party Royalty Offsets. </w:t>
      </w:r>
      <w:r>
        <w:rPr>
          <w:rFonts w:ascii="Arial" w:cs="Arial" w:eastAsia="Arial" w:hAnsi="Arial"/>
          <w:sz w:val="16"/>
          <w:szCs w:val="16"/>
          <w:color w:val="auto"/>
        </w:rPr>
        <w:t>Ono may reduce the amount of royalties payable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11.4</w:t>
      </w:r>
      <w:r>
        <w:rPr>
          <w:rFonts w:ascii="Arial" w:cs="Arial" w:eastAsia="Arial" w:hAnsi="Arial"/>
          <w:sz w:val="16"/>
          <w:szCs w:val="16"/>
          <w:b w:val="1"/>
          <w:bCs w:val="1"/>
          <w:color w:val="auto"/>
        </w:rPr>
        <w:t xml:space="preserve"> </w:t>
      </w:r>
      <w:r>
        <w:rPr>
          <w:rFonts w:ascii="Arial" w:cs="Arial" w:eastAsia="Arial" w:hAnsi="Arial"/>
          <w:sz w:val="16"/>
          <w:szCs w:val="16"/>
          <w:color w:val="auto"/>
        </w:rPr>
        <w:t>(Royalties Payable to Repare)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respect to any Licensed Product on a country-by-country basis by [***] of the [***] payable by Ono to any Third Party in consideration for a license, granted after the Effective Date, to any Patent Right which claim, or cover or would be practiced by Development, Manufacture, having Manufactured or Commercialization of such Licensed Product in such country;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royalties payable under </w:t>
      </w:r>
      <w:r>
        <w:rPr>
          <w:rFonts w:ascii="Arial" w:cs="Arial" w:eastAsia="Arial" w:hAnsi="Arial"/>
          <w:sz w:val="16"/>
          <w:szCs w:val="16"/>
          <w:u w:val="single" w:color="auto"/>
          <w:color w:val="auto"/>
        </w:rPr>
        <w:t>Section 11.4.1</w:t>
      </w:r>
      <w:r>
        <w:rPr>
          <w:rFonts w:ascii="Arial" w:cs="Arial" w:eastAsia="Arial" w:hAnsi="Arial"/>
          <w:sz w:val="16"/>
          <w:szCs w:val="16"/>
          <w:color w:val="auto"/>
        </w:rPr>
        <w:t xml:space="preserve"> (Royalty Rates) with respect to such Licensed Product on a country-by-country basis shall not be reduced in any such event below [***] of the amounts set forth in </w:t>
      </w:r>
      <w:r>
        <w:rPr>
          <w:rFonts w:ascii="Arial" w:cs="Arial" w:eastAsia="Arial" w:hAnsi="Arial"/>
          <w:sz w:val="16"/>
          <w:szCs w:val="16"/>
          <w:u w:val="single" w:color="auto"/>
          <w:color w:val="auto"/>
        </w:rPr>
        <w:t>Section 11.4.1</w:t>
      </w:r>
      <w:r>
        <w:rPr>
          <w:rFonts w:ascii="Arial" w:cs="Arial" w:eastAsia="Arial" w:hAnsi="Arial"/>
          <w:sz w:val="16"/>
          <w:szCs w:val="16"/>
          <w:color w:val="auto"/>
        </w:rPr>
        <w:t xml:space="preserve"> (Royalty Rates) by applying the reduction set forth in this </w:t>
      </w:r>
      <w:r>
        <w:rPr>
          <w:rFonts w:ascii="Arial" w:cs="Arial" w:eastAsia="Arial" w:hAnsi="Arial"/>
          <w:sz w:val="16"/>
          <w:szCs w:val="16"/>
          <w:u w:val="single" w:color="auto"/>
          <w:color w:val="auto"/>
        </w:rPr>
        <w:t>Section 11.4.3;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w:t>
      </w:r>
    </w:p>
    <w:p>
      <w:pPr>
        <w:spacing w:after="0" w:line="52" w:lineRule="exact"/>
        <w:rPr>
          <w:sz w:val="20"/>
          <w:szCs w:val="20"/>
          <w:color w:val="auto"/>
        </w:rPr>
      </w:pPr>
    </w:p>
    <w:p>
      <w:pPr>
        <w:jc w:val="both"/>
        <w:ind w:left="440" w:right="60" w:firstLine="423"/>
        <w:spacing w:after="0" w:line="289" w:lineRule="auto"/>
        <w:rPr>
          <w:sz w:val="20"/>
          <w:szCs w:val="20"/>
          <w:color w:val="auto"/>
        </w:rPr>
      </w:pPr>
      <w:r>
        <w:rPr>
          <w:rFonts w:ascii="Arial" w:cs="Arial" w:eastAsia="Arial" w:hAnsi="Arial"/>
          <w:sz w:val="16"/>
          <w:szCs w:val="16"/>
          <w:b w:val="1"/>
          <w:bCs w:val="1"/>
          <w:color w:val="auto"/>
        </w:rPr>
        <w:t xml:space="preserve">11.4.4. Reduction for Generic Competition. </w:t>
      </w:r>
      <w:r>
        <w:rPr>
          <w:rFonts w:ascii="Arial" w:cs="Arial" w:eastAsia="Arial" w:hAnsi="Arial"/>
          <w:sz w:val="16"/>
          <w:szCs w:val="16"/>
          <w:color w:val="auto"/>
        </w:rPr>
        <w:t>Notwithstanding the foregoing, on a country-by-country basis in the Territory ,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royalty rates for Net Sales of a Licensed Product set forth in </w:t>
      </w:r>
      <w:r>
        <w:rPr>
          <w:rFonts w:ascii="Arial" w:cs="Arial" w:eastAsia="Arial" w:hAnsi="Arial"/>
          <w:sz w:val="16"/>
          <w:szCs w:val="16"/>
          <w:u w:val="single" w:color="auto"/>
          <w:color w:val="auto"/>
        </w:rPr>
        <w:t>Section 11.4.1</w:t>
      </w:r>
      <w:r>
        <w:rPr>
          <w:rFonts w:ascii="Arial" w:cs="Arial" w:eastAsia="Arial" w:hAnsi="Arial"/>
          <w:sz w:val="16"/>
          <w:szCs w:val="16"/>
          <w:color w:val="auto"/>
        </w:rPr>
        <w:t xml:space="preserve"> (Royalty Rates) will be reduced by [***] of the royalty rates stipulated in </w:t>
      </w:r>
      <w:r>
        <w:rPr>
          <w:rFonts w:ascii="Arial" w:cs="Arial" w:eastAsia="Arial" w:hAnsi="Arial"/>
          <w:sz w:val="16"/>
          <w:szCs w:val="16"/>
          <w:u w:val="single" w:color="auto"/>
          <w:color w:val="auto"/>
        </w:rPr>
        <w:t>Section 11.4.1</w:t>
      </w:r>
      <w:r>
        <w:rPr>
          <w:rFonts w:ascii="Arial" w:cs="Arial" w:eastAsia="Arial" w:hAnsi="Arial"/>
          <w:sz w:val="16"/>
          <w:szCs w:val="16"/>
          <w:color w:val="auto"/>
        </w:rPr>
        <w:t xml:space="preserve"> (Royalty Rates) following a launch of a Generic Product in such country. For clarity, if the royalty reductions set fort h in both</w:t>
      </w:r>
    </w:p>
    <w:p>
      <w:pPr>
        <w:spacing w:after="0" w:line="2" w:lineRule="exact"/>
        <w:rPr>
          <w:sz w:val="20"/>
          <w:szCs w:val="20"/>
          <w:color w:val="auto"/>
        </w:rPr>
      </w:pPr>
    </w:p>
    <w:p>
      <w:pPr>
        <w:ind w:left="440" w:right="120" w:hanging="4"/>
        <w:spacing w:after="0" w:line="260" w:lineRule="auto"/>
        <w:tabs>
          <w:tab w:leader="none" w:pos="685"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11.4.4</w:t>
      </w:r>
      <w:r>
        <w:rPr>
          <w:rFonts w:ascii="Arial" w:cs="Arial" w:eastAsia="Arial" w:hAnsi="Arial"/>
          <w:sz w:val="18"/>
          <w:szCs w:val="18"/>
          <w:color w:val="auto"/>
        </w:rPr>
        <w:t xml:space="preserve"> and (b) </w:t>
      </w:r>
      <w:r>
        <w:rPr>
          <w:rFonts w:ascii="Arial" w:cs="Arial" w:eastAsia="Arial" w:hAnsi="Arial"/>
          <w:sz w:val="18"/>
          <w:szCs w:val="18"/>
          <w:u w:val="single" w:color="auto"/>
          <w:color w:val="auto"/>
        </w:rPr>
        <w:t>Section 11.4.5</w:t>
      </w:r>
      <w:r>
        <w:rPr>
          <w:rFonts w:ascii="Arial" w:cs="Arial" w:eastAsia="Arial" w:hAnsi="Arial"/>
          <w:sz w:val="18"/>
          <w:szCs w:val="18"/>
          <w:color w:val="auto"/>
        </w:rPr>
        <w:t xml:space="preserve"> apply, the applicable royalty will be reduced to [***] of the royalty rates stipulated in </w:t>
      </w:r>
      <w:r>
        <w:rPr>
          <w:rFonts w:ascii="Arial" w:cs="Arial" w:eastAsia="Arial" w:hAnsi="Arial"/>
          <w:sz w:val="18"/>
          <w:szCs w:val="18"/>
          <w:u w:val="single" w:color="auto"/>
          <w:color w:val="auto"/>
        </w:rPr>
        <w:t>Section 11.4.1</w:t>
      </w:r>
      <w:r>
        <w:rPr>
          <w:rFonts w:ascii="Arial" w:cs="Arial" w:eastAsia="Arial" w:hAnsi="Arial"/>
          <w:sz w:val="18"/>
          <w:szCs w:val="18"/>
          <w:color w:val="auto"/>
        </w:rPr>
        <w:t xml:space="preserve"> (Royalty Rates); provided that in no event shall the royalty rates be reduced below [***].</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70" w:right="439" w:bottom="1440" w:gutter="0" w:footer="0" w:header="0"/>
        </w:sectPr>
      </w:pPr>
    </w:p>
    <w:bookmarkStart w:id="614" w:name="page615"/>
    <w:bookmarkEnd w:id="614"/>
    <w:p>
      <w:pPr>
        <w:ind w:left="444" w:right="20" w:firstLine="423"/>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11.4.5. Royalty Adjustment for No Repare Patent Rights</w:t>
      </w:r>
      <w:r>
        <w:rPr>
          <w:rFonts w:ascii="Arial" w:cs="Arial" w:eastAsia="Arial" w:hAnsi="Arial"/>
          <w:sz w:val="17"/>
          <w:szCs w:val="17"/>
          <w:color w:val="auto"/>
        </w:rPr>
        <w:t>. If, on a country-by-country and Licensed Product-by-Licensed Product basis 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time during the Royalty Term, the Development, Manufacture, having Manufactured, Commercialize, use, offer for sale, sale or importation of a Licensed Product is not covered by any Valid Claim in such country, then the royalties payable pursuant to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(Royalties Payable to Repare) on the Net Sales of such Licensed Product in such country shall thereafter be reduced to [***] of the amounts otherwise payable pursuant to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(Royalties Payable to Repare) with respect to such Licensed Product in such country.</w:t>
      </w:r>
    </w:p>
    <w:p>
      <w:pPr>
        <w:spacing w:after="0" w:line="60" w:lineRule="exact"/>
        <w:rPr>
          <w:sz w:val="20"/>
          <w:szCs w:val="20"/>
          <w:color w:val="auto"/>
        </w:rPr>
      </w:pPr>
    </w:p>
    <w:p>
      <w:pPr>
        <w:ind w:left="444" w:right="80" w:firstLine="423"/>
        <w:spacing w:after="0" w:line="258" w:lineRule="auto"/>
        <w:rPr>
          <w:sz w:val="20"/>
          <w:szCs w:val="20"/>
          <w:color w:val="auto"/>
        </w:rPr>
      </w:pPr>
      <w:r>
        <w:rPr>
          <w:rFonts w:ascii="Arial" w:cs="Arial" w:eastAsia="Arial" w:hAnsi="Arial"/>
          <w:sz w:val="18"/>
          <w:szCs w:val="18"/>
          <w:b w:val="1"/>
          <w:bCs w:val="1"/>
          <w:color w:val="auto"/>
        </w:rPr>
        <w:t xml:space="preserve">11.4.6. Royalty Floor. </w:t>
      </w:r>
      <w:r>
        <w:rPr>
          <w:rFonts w:ascii="Arial" w:cs="Arial" w:eastAsia="Arial" w:hAnsi="Arial"/>
          <w:sz w:val="18"/>
          <w:szCs w:val="18"/>
          <w:color w:val="auto"/>
        </w:rPr>
        <w:t>Notwithstanding anything to the contrary herein, in no event during the applicable Royalty Term for a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Product in a country of the Ono Territory shall the royalties payable to Repare hereunder for such Licensed Product in such country for any Calendar Quarter be reduced, by the application of the reductions or credits described in </w:t>
      </w:r>
      <w:r>
        <w:rPr>
          <w:rFonts w:ascii="Arial" w:cs="Arial" w:eastAsia="Arial" w:hAnsi="Arial"/>
          <w:sz w:val="18"/>
          <w:szCs w:val="18"/>
          <w:u w:val="single" w:color="auto"/>
          <w:color w:val="auto"/>
        </w:rPr>
        <w:t>Sections 11.4.3</w:t>
      </w:r>
      <w:r>
        <w:rPr>
          <w:rFonts w:ascii="Arial" w:cs="Arial" w:eastAsia="Arial" w:hAnsi="Arial"/>
          <w:sz w:val="18"/>
          <w:szCs w:val="18"/>
          <w:color w:val="auto"/>
        </w:rPr>
        <w:t xml:space="preserve"> (Third Party Royalty Offsets), </w:t>
      </w:r>
      <w:r>
        <w:rPr>
          <w:rFonts w:ascii="Arial" w:cs="Arial" w:eastAsia="Arial" w:hAnsi="Arial"/>
          <w:sz w:val="18"/>
          <w:szCs w:val="18"/>
          <w:u w:val="single" w:color="auto"/>
          <w:color w:val="auto"/>
        </w:rPr>
        <w:t>11.4.4</w:t>
      </w:r>
      <w:r>
        <w:rPr>
          <w:rFonts w:ascii="Arial" w:cs="Arial" w:eastAsia="Arial" w:hAnsi="Arial"/>
          <w:sz w:val="18"/>
          <w:szCs w:val="18"/>
          <w:color w:val="auto"/>
        </w:rPr>
        <w:t xml:space="preserve"> (Reduction for Generic Competition) and </w:t>
      </w:r>
      <w:r>
        <w:rPr>
          <w:rFonts w:ascii="Arial" w:cs="Arial" w:eastAsia="Arial" w:hAnsi="Arial"/>
          <w:sz w:val="18"/>
          <w:szCs w:val="18"/>
          <w:u w:val="single" w:color="auto"/>
          <w:color w:val="auto"/>
        </w:rPr>
        <w:t>11.4.5</w:t>
      </w:r>
      <w:r>
        <w:rPr>
          <w:rFonts w:ascii="Arial" w:cs="Arial" w:eastAsia="Arial" w:hAnsi="Arial"/>
          <w:sz w:val="18"/>
          <w:szCs w:val="18"/>
          <w:color w:val="auto"/>
        </w:rPr>
        <w:t xml:space="preserve"> (Royalty Adjustments for No Repare Patent Rights), whether taken together or separately, below [***].</w:t>
      </w:r>
    </w:p>
    <w:p>
      <w:pPr>
        <w:spacing w:after="0" w:line="183"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b w:val="1"/>
          <w:bCs w:val="1"/>
          <w:color w:val="auto"/>
        </w:rPr>
        <w:t xml:space="preserve">11.5. </w:t>
      </w:r>
      <w:r>
        <w:rPr>
          <w:rFonts w:ascii="Arial" w:cs="Arial" w:eastAsia="Arial" w:hAnsi="Arial"/>
          <w:sz w:val="16"/>
          <w:szCs w:val="16"/>
          <w:b w:val="1"/>
          <w:bCs w:val="1"/>
          <w:u w:val="single" w:color="auto"/>
          <w:color w:val="auto"/>
        </w:rPr>
        <w:t>Reports; Payment of Royalty</w:t>
      </w:r>
      <w:r>
        <w:rPr>
          <w:rFonts w:ascii="Arial" w:cs="Arial" w:eastAsia="Arial" w:hAnsi="Arial"/>
          <w:sz w:val="16"/>
          <w:szCs w:val="16"/>
          <w:color w:val="auto"/>
        </w:rPr>
        <w:t>. During the Term, following the First Commercial Sale of any Licensed Product in any country in the Ono</w:t>
      </w:r>
      <w:r>
        <w:rPr>
          <w:rFonts w:ascii="Arial" w:cs="Arial" w:eastAsia="Arial" w:hAnsi="Arial"/>
          <w:sz w:val="16"/>
          <w:szCs w:val="16"/>
          <w:b w:val="1"/>
          <w:bCs w:val="1"/>
          <w:color w:val="auto"/>
        </w:rPr>
        <w:t xml:space="preserve"> </w:t>
      </w:r>
      <w:r>
        <w:rPr>
          <w:rFonts w:ascii="Arial" w:cs="Arial" w:eastAsia="Arial" w:hAnsi="Arial"/>
          <w:sz w:val="16"/>
          <w:szCs w:val="16"/>
          <w:color w:val="auto"/>
        </w:rPr>
        <w:t>Territory, Ono shall furnish to Repare (a) an estimate within [***] after the end of each Calendar Quarter of the Net Sales of each Licensed Product in each country of the Ono Territory and the royalties payable under this Agreement; and (b) a written report (each, a “</w:t>
      </w:r>
      <w:r>
        <w:rPr>
          <w:rFonts w:ascii="Arial" w:cs="Arial" w:eastAsia="Arial" w:hAnsi="Arial"/>
          <w:sz w:val="16"/>
          <w:szCs w:val="16"/>
          <w:b w:val="1"/>
          <w:bCs w:val="1"/>
          <w:color w:val="auto"/>
        </w:rPr>
        <w:t>Royalty Report</w:t>
      </w:r>
      <w:r>
        <w:rPr>
          <w:rFonts w:ascii="Arial" w:cs="Arial" w:eastAsia="Arial" w:hAnsi="Arial"/>
          <w:sz w:val="16"/>
          <w:szCs w:val="16"/>
          <w:color w:val="auto"/>
        </w:rPr>
        <w:t xml:space="preserve">”) within [***] after the end of each Calendar Quarter showing, on a Licensed Product-by-Licensed Product and country-by-country basis, the Net Sales of each Licensed Product in each country of the Ono Territory and the royalties payable under this Agreement, along with (i) gross sales of the Licensed Product in the Ono Territory in the relevant Calendar Quarter on a country-by-country basis, (ii) Net Sales in the relevant Calendar Quarter on a country-by-country basis, (iii) all relevant exchange rate conversions in accordance with </w:t>
      </w:r>
      <w:r>
        <w:rPr>
          <w:rFonts w:ascii="Arial" w:cs="Arial" w:eastAsia="Arial" w:hAnsi="Arial"/>
          <w:sz w:val="16"/>
          <w:szCs w:val="16"/>
          <w:u w:val="single" w:color="auto"/>
          <w:color w:val="auto"/>
        </w:rPr>
        <w:t>Section 11.7.3</w:t>
      </w:r>
      <w:r>
        <w:rPr>
          <w:rFonts w:ascii="Arial" w:cs="Arial" w:eastAsia="Arial" w:hAnsi="Arial"/>
          <w:sz w:val="16"/>
          <w:szCs w:val="16"/>
          <w:color w:val="auto"/>
        </w:rPr>
        <w:t xml:space="preserve">, (iv) all deductions in accordance with </w:t>
      </w:r>
      <w:r>
        <w:rPr>
          <w:rFonts w:ascii="Arial" w:cs="Arial" w:eastAsia="Arial" w:hAnsi="Arial"/>
          <w:sz w:val="16"/>
          <w:szCs w:val="16"/>
          <w:u w:val="single" w:color="auto"/>
          <w:color w:val="auto"/>
        </w:rPr>
        <w:t>Sections 1.87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11.4</w:t>
      </w:r>
      <w:r>
        <w:rPr>
          <w:rFonts w:ascii="Arial" w:cs="Arial" w:eastAsia="Arial" w:hAnsi="Arial"/>
          <w:sz w:val="16"/>
          <w:szCs w:val="16"/>
          <w:color w:val="auto"/>
        </w:rPr>
        <w:t xml:space="preserve"> and</w:t>
      </w:r>
    </w:p>
    <w:p>
      <w:pPr>
        <w:spacing w:after="0" w:line="1" w:lineRule="exact"/>
        <w:rPr>
          <w:sz w:val="20"/>
          <w:szCs w:val="20"/>
          <w:color w:val="auto"/>
        </w:rPr>
      </w:pPr>
    </w:p>
    <w:p>
      <w:pPr>
        <w:jc w:val="both"/>
        <w:ind w:left="4" w:hanging="4"/>
        <w:spacing w:after="0" w:line="253" w:lineRule="auto"/>
        <w:tabs>
          <w:tab w:leader="none" w:pos="259"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the amount of any payment due from Ono to Repare, calculated in accordance with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Simultaneously with the delivery of each such Royalty Report, Ono shall pay to Repare the total amounts due under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for the period covered by such Royalty Report subject to Ono’s receipt of Taxation Documents. Ono and its Related Parties involved in Commercializing Licensed Products shall keep complete and accurate records in sufficient detail to enable the royalties and other payments payable hereunder to be determined.</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4"/>
          </w:cols>
          <w:pgMar w:left="436" w:top="271" w:right="479" w:bottom="1440" w:gutter="0" w:footer="0" w:header="0"/>
        </w:sectPr>
      </w:pPr>
    </w:p>
    <w:bookmarkStart w:id="615" w:name="page616"/>
    <w:bookmarkEnd w:id="6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11.6. </w:t>
      </w:r>
      <w:r>
        <w:rPr>
          <w:rFonts w:ascii="Arial" w:cs="Arial" w:eastAsia="Arial" w:hAnsi="Arial"/>
          <w:sz w:val="18"/>
          <w:szCs w:val="18"/>
          <w:b w:val="1"/>
          <w:bCs w:val="1"/>
          <w:u w:val="single" w:color="auto"/>
          <w:color w:val="auto"/>
        </w:rPr>
        <w:t>Audits</w:t>
      </w:r>
      <w:r>
        <w:rPr>
          <w:rFonts w:ascii="Arial" w:cs="Arial" w:eastAsia="Arial" w:hAnsi="Arial"/>
          <w:sz w:val="18"/>
          <w:szCs w:val="18"/>
          <w:color w:val="auto"/>
        </w:rPr>
        <w:t>.</w:t>
      </w:r>
    </w:p>
    <w:p>
      <w:pPr>
        <w:spacing w:after="0" w:line="117" w:lineRule="exact"/>
        <w:rPr>
          <w:sz w:val="20"/>
          <w:szCs w:val="20"/>
          <w:color w:val="auto"/>
        </w:rPr>
      </w:pPr>
    </w:p>
    <w:p>
      <w:pPr>
        <w:ind w:firstLine="423"/>
        <w:spacing w:after="0" w:line="292" w:lineRule="auto"/>
        <w:rPr>
          <w:sz w:val="20"/>
          <w:szCs w:val="20"/>
          <w:color w:val="auto"/>
        </w:rPr>
      </w:pPr>
      <w:r>
        <w:rPr>
          <w:rFonts w:ascii="Arial" w:cs="Arial" w:eastAsia="Arial" w:hAnsi="Arial"/>
          <w:sz w:val="16"/>
          <w:szCs w:val="16"/>
          <w:b w:val="1"/>
          <w:bCs w:val="1"/>
          <w:color w:val="auto"/>
        </w:rPr>
        <w:t xml:space="preserve">11.6.1. </w:t>
      </w:r>
      <w:r>
        <w:rPr>
          <w:rFonts w:ascii="Arial" w:cs="Arial" w:eastAsia="Arial" w:hAnsi="Arial"/>
          <w:sz w:val="16"/>
          <w:szCs w:val="16"/>
          <w:color w:val="auto"/>
        </w:rPr>
        <w:t>Upon the written request of a Party and not more than once in each Calendar Year, the other Party and its Related Parties shall permit</w:t>
      </w:r>
      <w:r>
        <w:rPr>
          <w:rFonts w:ascii="Arial" w:cs="Arial" w:eastAsia="Arial" w:hAnsi="Arial"/>
          <w:sz w:val="16"/>
          <w:szCs w:val="16"/>
          <w:b w:val="1"/>
          <w:bCs w:val="1"/>
          <w:color w:val="auto"/>
        </w:rPr>
        <w:t xml:space="preserve"> </w:t>
      </w:r>
      <w:r>
        <w:rPr>
          <w:rFonts w:ascii="Arial" w:cs="Arial" w:eastAsia="Arial" w:hAnsi="Arial"/>
          <w:sz w:val="16"/>
          <w:szCs w:val="16"/>
          <w:color w:val="auto"/>
        </w:rPr>
        <w:t>an independent certified public accounting firm of internationally-recognized standing selected by the requesting Party and reasonably acceptable to the other Party, at the requesting Party’s expense except as set forth below, to have access during normal business hours to such of the records of the other Party as may be reasonably necessary to verify the accuracy of the royalty and other amounts payable or reports under this Agreement (including Research Services Payments and Cost of Goods) for any year ending not more than [***] prior to the date of such request for the sole purpose of verifying the basis and accuracy of payments made and compliance with the financial terms of this Agreement. Notwithstanding the foregoing, a Party may not make more than one (1) such request in a Calendar Year.</w:t>
      </w:r>
    </w:p>
    <w:p>
      <w:pPr>
        <w:spacing w:after="0" w:line="53" w:lineRule="exact"/>
        <w:rPr>
          <w:sz w:val="20"/>
          <w:szCs w:val="20"/>
          <w:color w:val="auto"/>
        </w:rPr>
      </w:pPr>
    </w:p>
    <w:p>
      <w:pPr>
        <w:ind w:right="80" w:firstLine="423"/>
        <w:spacing w:after="0" w:line="277" w:lineRule="auto"/>
        <w:rPr>
          <w:sz w:val="20"/>
          <w:szCs w:val="20"/>
          <w:color w:val="auto"/>
        </w:rPr>
      </w:pPr>
      <w:r>
        <w:rPr>
          <w:rFonts w:ascii="Arial" w:cs="Arial" w:eastAsia="Arial" w:hAnsi="Arial"/>
          <w:sz w:val="17"/>
          <w:szCs w:val="17"/>
          <w:b w:val="1"/>
          <w:bCs w:val="1"/>
          <w:color w:val="auto"/>
        </w:rPr>
        <w:t xml:space="preserve">11.6.2. </w:t>
      </w:r>
      <w:r>
        <w:rPr>
          <w:rFonts w:ascii="Arial" w:cs="Arial" w:eastAsia="Arial" w:hAnsi="Arial"/>
          <w:sz w:val="17"/>
          <w:szCs w:val="17"/>
          <w:color w:val="auto"/>
        </w:rPr>
        <w:t>If such accounting firm identifies a discrepancy made during such period, the appropriate Party shall pay the other Party the amount</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discrepancy, within [***] after the date the requesting Party delivers to the other Party such accounting firm’s written report so concluding, or as otherwise agreed by the Parties in writing. The fees charged by such accounting firm shall be paid by the requesting Party, unless such discrepancy represents (a) an underpayment by the other Party or (b) an overcharge by the other Party, in each case (a) and (b) above, of at least [***] of the payments due in the audited period, in which case such fees shall be paid by the other Party.</w:t>
      </w:r>
    </w:p>
    <w:p>
      <w:pPr>
        <w:spacing w:after="0" w:line="60" w:lineRule="exact"/>
        <w:rPr>
          <w:sz w:val="20"/>
          <w:szCs w:val="20"/>
          <w:color w:val="auto"/>
        </w:rPr>
      </w:pPr>
    </w:p>
    <w:p>
      <w:pPr>
        <w:ind w:right="100" w:firstLine="423"/>
        <w:spacing w:after="0" w:line="261" w:lineRule="auto"/>
        <w:rPr>
          <w:sz w:val="20"/>
          <w:szCs w:val="20"/>
          <w:color w:val="auto"/>
        </w:rPr>
      </w:pPr>
      <w:r>
        <w:rPr>
          <w:rFonts w:ascii="Arial" w:cs="Arial" w:eastAsia="Arial" w:hAnsi="Arial"/>
          <w:sz w:val="18"/>
          <w:szCs w:val="18"/>
          <w:b w:val="1"/>
          <w:bCs w:val="1"/>
          <w:color w:val="auto"/>
        </w:rPr>
        <w:t xml:space="preserve">11.6.3. </w:t>
      </w:r>
      <w:r>
        <w:rPr>
          <w:rFonts w:ascii="Arial" w:cs="Arial" w:eastAsia="Arial" w:hAnsi="Arial"/>
          <w:sz w:val="18"/>
          <w:szCs w:val="18"/>
          <w:color w:val="auto"/>
        </w:rPr>
        <w:t>Unless an audit for such year has been commenced prior to and is ongoing upon the [***] of the end of such year, the calculation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royalties, expense reimbursement and other payments payable with respect to such year shall be binding and conclusive upon both Parties, and each Party and its Related Parties shall be released from any further liability or accountability with respect to such royalties or expense reimbursement for such year.</w:t>
      </w:r>
    </w:p>
    <w:p>
      <w:pPr>
        <w:spacing w:after="0" w:line="72" w:lineRule="exact"/>
        <w:rPr>
          <w:sz w:val="20"/>
          <w:szCs w:val="20"/>
          <w:color w:val="auto"/>
        </w:rPr>
      </w:pPr>
    </w:p>
    <w:p>
      <w:pPr>
        <w:ind w:right="20" w:firstLine="423"/>
        <w:spacing w:after="0" w:line="256" w:lineRule="auto"/>
        <w:rPr>
          <w:sz w:val="20"/>
          <w:szCs w:val="20"/>
          <w:color w:val="auto"/>
        </w:rPr>
      </w:pPr>
      <w:r>
        <w:rPr>
          <w:rFonts w:ascii="Arial" w:cs="Arial" w:eastAsia="Arial" w:hAnsi="Arial"/>
          <w:sz w:val="18"/>
          <w:szCs w:val="18"/>
          <w:b w:val="1"/>
          <w:bCs w:val="1"/>
          <w:color w:val="auto"/>
        </w:rPr>
        <w:t xml:space="preserve">11.6.4. </w:t>
      </w:r>
      <w:r>
        <w:rPr>
          <w:rFonts w:ascii="Arial" w:cs="Arial" w:eastAsia="Arial" w:hAnsi="Arial"/>
          <w:sz w:val="18"/>
          <w:szCs w:val="18"/>
          <w:color w:val="auto"/>
        </w:rPr>
        <w:t>Each Party shall treat all financial information subject to review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11.6</w:t>
      </w:r>
      <w:r>
        <w:rPr>
          <w:rFonts w:ascii="Arial" w:cs="Arial" w:eastAsia="Arial" w:hAnsi="Arial"/>
          <w:sz w:val="18"/>
          <w:szCs w:val="18"/>
          <w:b w:val="1"/>
          <w:bCs w:val="1"/>
          <w:color w:val="auto"/>
        </w:rPr>
        <w:t xml:space="preserve"> </w:t>
      </w:r>
      <w:r>
        <w:rPr>
          <w:rFonts w:ascii="Arial" w:cs="Arial" w:eastAsia="Arial" w:hAnsi="Arial"/>
          <w:sz w:val="18"/>
          <w:szCs w:val="18"/>
          <w:color w:val="auto"/>
        </w:rPr>
        <w:t>or under any sublicense agreement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the confidentiality and non-use provisions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(Confidentiality and Publication), and shall cause its accounting firm to enter into a confidentiality agreement with the other Party or its Related Parties obligating it to retain all such information in confidence pursuant to such confidentiality agreement, which terms shall be no less stringent than the provisions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(Confidentiality and Publication). The accounting firm shall only share the results of the audit, not the underlying records, with the auditing Party. Any final audit report shall be shared by the auditing Party with the other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b w:val="1"/>
          <w:bCs w:val="1"/>
          <w:u w:val="single" w:color="auto"/>
          <w:color w:val="auto"/>
        </w:rPr>
        <w:t>Payment Exchange Rate</w:t>
      </w:r>
      <w:r>
        <w:rPr>
          <w:rFonts w:ascii="Arial" w:cs="Arial" w:eastAsia="Arial" w:hAnsi="Arial"/>
          <w:sz w:val="18"/>
          <w:szCs w:val="18"/>
          <w:color w:val="auto"/>
        </w:rPr>
        <w:t>.</w:t>
      </w:r>
    </w:p>
    <w:p>
      <w:pPr>
        <w:spacing w:after="0" w:line="117" w:lineRule="exact"/>
        <w:rPr>
          <w:sz w:val="20"/>
          <w:szCs w:val="20"/>
          <w:color w:val="auto"/>
        </w:rPr>
      </w:pPr>
    </w:p>
    <w:p>
      <w:pPr>
        <w:ind w:right="340" w:firstLine="423"/>
        <w:spacing w:after="0" w:line="266" w:lineRule="auto"/>
        <w:rPr>
          <w:sz w:val="20"/>
          <w:szCs w:val="20"/>
          <w:color w:val="auto"/>
        </w:rPr>
      </w:pPr>
      <w:r>
        <w:rPr>
          <w:rFonts w:ascii="Arial" w:cs="Arial" w:eastAsia="Arial" w:hAnsi="Arial"/>
          <w:sz w:val="18"/>
          <w:szCs w:val="18"/>
          <w:b w:val="1"/>
          <w:bCs w:val="1"/>
          <w:color w:val="auto"/>
        </w:rPr>
        <w:t xml:space="preserve">11.7.1. Payment Method. </w:t>
      </w:r>
      <w:r>
        <w:rPr>
          <w:rFonts w:ascii="Arial" w:cs="Arial" w:eastAsia="Arial" w:hAnsi="Arial"/>
          <w:sz w:val="18"/>
          <w:szCs w:val="18"/>
          <w:color w:val="auto"/>
        </w:rPr>
        <w:t>All payments to be made by Ono under this Agreement shall be made by bank wire transfer in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funds to bank account as may be designated in writing by from time to time. The first designated bank account of Repare shall be as follows: [***]</w:t>
      </w:r>
    </w:p>
    <w:p>
      <w:pPr>
        <w:spacing w:after="0" w:line="11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540"/>
          </w:cols>
          <w:pgMar w:left="880" w:top="270" w:right="479" w:bottom="1440" w:gutter="0" w:footer="0" w:header="0"/>
        </w:sectPr>
      </w:pPr>
    </w:p>
    <w:bookmarkStart w:id="616" w:name="page617"/>
    <w:bookmarkEnd w:id="616"/>
    <w:p>
      <w:pPr>
        <w:ind w:left="440" w:right="40" w:firstLine="423"/>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11.7.2. Currency Conversion. </w:t>
      </w:r>
      <w:r>
        <w:rPr>
          <w:rFonts w:ascii="Arial" w:cs="Arial" w:eastAsia="Arial" w:hAnsi="Arial"/>
          <w:sz w:val="16"/>
          <w:szCs w:val="16"/>
          <w:color w:val="auto"/>
        </w:rPr>
        <w:t>All amounts specified in this Agreement are in Japanese Yen. All payments hereunder shall be made in</w:t>
      </w:r>
      <w:r>
        <w:rPr>
          <w:rFonts w:ascii="Arial" w:cs="Arial" w:eastAsia="Arial" w:hAnsi="Arial"/>
          <w:sz w:val="16"/>
          <w:szCs w:val="16"/>
          <w:b w:val="1"/>
          <w:bCs w:val="1"/>
          <w:color w:val="auto"/>
        </w:rPr>
        <w:t xml:space="preserve"> </w:t>
      </w:r>
      <w:r>
        <w:rPr>
          <w:rFonts w:ascii="Arial" w:cs="Arial" w:eastAsia="Arial" w:hAnsi="Arial"/>
          <w:sz w:val="16"/>
          <w:szCs w:val="16"/>
          <w:color w:val="auto"/>
        </w:rPr>
        <w:t>United States dollars. In the case Ono makes payment under this Agreement, all such payment shall be converted into United States dollars at the exchange rate (TTS rate) for the conversion of Japanese Yen into United States dollars posted by the MUFG Bank, Ltd., on the date on which Ono will make the applicable payment hereunder, provided that no deduction from any amount shall be made in respect of bank fees or charges.</w:t>
      </w:r>
    </w:p>
    <w:p>
      <w:pPr>
        <w:spacing w:after="0" w:line="43" w:lineRule="exact"/>
        <w:rPr>
          <w:sz w:val="20"/>
          <w:szCs w:val="20"/>
          <w:color w:val="auto"/>
        </w:rPr>
      </w:pPr>
    </w:p>
    <w:p>
      <w:pPr>
        <w:ind w:left="440" w:firstLine="423"/>
        <w:spacing w:after="0" w:line="256" w:lineRule="auto"/>
        <w:rPr>
          <w:sz w:val="20"/>
          <w:szCs w:val="20"/>
          <w:color w:val="auto"/>
        </w:rPr>
      </w:pPr>
      <w:r>
        <w:rPr>
          <w:rFonts w:ascii="Arial" w:cs="Arial" w:eastAsia="Arial" w:hAnsi="Arial"/>
          <w:sz w:val="18"/>
          <w:szCs w:val="18"/>
          <w:b w:val="1"/>
          <w:bCs w:val="1"/>
          <w:color w:val="auto"/>
        </w:rPr>
        <w:t xml:space="preserve">11.7.3. Conversion of Net Sales. </w:t>
      </w:r>
      <w:r>
        <w:rPr>
          <w:rFonts w:ascii="Arial" w:cs="Arial" w:eastAsia="Arial" w:hAnsi="Arial"/>
          <w:sz w:val="18"/>
          <w:szCs w:val="18"/>
          <w:color w:val="auto"/>
        </w:rPr>
        <w:t>In the case of Net Sales made in one or more currencies other than Japanese Yen during a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(each a “</w:t>
      </w:r>
      <w:r>
        <w:rPr>
          <w:rFonts w:ascii="Arial" w:cs="Arial" w:eastAsia="Arial" w:hAnsi="Arial"/>
          <w:sz w:val="18"/>
          <w:szCs w:val="18"/>
          <w:b w:val="1"/>
          <w:bCs w:val="1"/>
          <w:color w:val="auto"/>
        </w:rPr>
        <w:t>Third- Country Currency</w:t>
      </w:r>
      <w:r>
        <w:rPr>
          <w:rFonts w:ascii="Arial" w:cs="Arial" w:eastAsia="Arial" w:hAnsi="Arial"/>
          <w:sz w:val="18"/>
          <w:szCs w:val="18"/>
          <w:color w:val="auto"/>
        </w:rPr>
        <w:t xml:space="preserve">”). The amount of Net Sales made during any Calendar Quarter shall be determined by converting the portion of such Net Sales made in each Third- Country Currency into Japanese Yen, using the exchange rate for the conversion of foreign currency into Japanese Yen posted by the MUFG Bank, Ltd., between the relevant Third-Country Currency, on the one hand, and Japanese Yen, on the other hand. All currency conversions described in this </w:t>
      </w:r>
      <w:r>
        <w:rPr>
          <w:rFonts w:ascii="Arial" w:cs="Arial" w:eastAsia="Arial" w:hAnsi="Arial"/>
          <w:sz w:val="18"/>
          <w:szCs w:val="18"/>
          <w:u w:val="single" w:color="auto"/>
          <w:color w:val="auto"/>
        </w:rPr>
        <w:t>Section 11.7.3</w:t>
      </w:r>
      <w:r>
        <w:rPr>
          <w:rFonts w:ascii="Arial" w:cs="Arial" w:eastAsia="Arial" w:hAnsi="Arial"/>
          <w:sz w:val="18"/>
          <w:szCs w:val="18"/>
          <w:color w:val="auto"/>
        </w:rPr>
        <w:t xml:space="preserve"> shall be made in accordance with IFRS, to the extent reasonable and consistently applied.</w:t>
      </w:r>
    </w:p>
    <w:p>
      <w:pPr>
        <w:spacing w:after="0" w:line="187"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b w:val="1"/>
          <w:bCs w:val="1"/>
          <w:u w:val="single" w:color="auto"/>
          <w:color w:val="auto"/>
        </w:rPr>
        <w:t>Late Payments</w:t>
      </w:r>
      <w:r>
        <w:rPr>
          <w:rFonts w:ascii="Arial" w:cs="Arial" w:eastAsia="Arial" w:hAnsi="Arial"/>
          <w:sz w:val="18"/>
          <w:szCs w:val="18"/>
          <w:color w:val="auto"/>
        </w:rPr>
        <w:t>. If a Party does not receive payment of any sum due to it on or before the due date therefor, simple interest shall thereafter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accrue on the sum due to such Party from the due date until the date of payment at a per-annum rate of [***], or the maximum rate allowable by applicable Law, whichever is less.</w:t>
      </w:r>
    </w:p>
    <w:p>
      <w:pPr>
        <w:spacing w:after="0" w:line="176"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b w:val="1"/>
          <w:bCs w:val="1"/>
          <w:color w:val="auto"/>
        </w:rPr>
        <w:t xml:space="preserve">11.9. </w:t>
      </w:r>
      <w:r>
        <w:rPr>
          <w:rFonts w:ascii="Arial" w:cs="Arial" w:eastAsia="Arial" w:hAnsi="Arial"/>
          <w:sz w:val="16"/>
          <w:szCs w:val="16"/>
          <w:b w:val="1"/>
          <w:bCs w:val="1"/>
          <w:u w:val="single" w:color="auto"/>
          <w:color w:val="auto"/>
        </w:rPr>
        <w:t>Blocked Payments</w:t>
      </w:r>
      <w:r>
        <w:rPr>
          <w:rFonts w:ascii="Arial" w:cs="Arial" w:eastAsia="Arial" w:hAnsi="Arial"/>
          <w:sz w:val="16"/>
          <w:szCs w:val="16"/>
          <w:color w:val="auto"/>
        </w:rPr>
        <w:t>. If, by reason of Laws in any jurisdiction in a Party’s Territory, it becomes impossible or illegal for a Party to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milestone payments, royalties or other payments under this Agreement to the other Party, (a) the payor shall promptly notify the payee; and (b) the payor shall pay the payee the amounts due from an account in another jurisdiction in the payor’s Territory;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there is no jurisdiction in the payor’s Territory from which it is legal for the payor to transfer payments to the payee (i) the payor shall deposit such payments in local currency in the relevant jurisdiction to the credit of the payee in a recognized banking institution designated by the payee or, if none is designated by the payee within a period of [***], in a recognized banking institution selected by the payor and identified in a written notice given to the payee, and (ii) the payee may terminate this Agreement if payor is not permitted by Law to transfer payments to payee for a period of [***].</w:t>
      </w:r>
    </w:p>
    <w:p>
      <w:pPr>
        <w:spacing w:after="0" w:line="161"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b w:val="1"/>
          <w:bCs w:val="1"/>
          <w:color w:val="auto"/>
        </w:rPr>
        <w:t xml:space="preserve">11.10. </w:t>
      </w: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In the event that Ono is required to withhold and pay over any tax to the Governmental Authorities in any country in the Ono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Territory in respect of any payment to Repare, the amount thereof shall be deducted from the payment to be made by Ono and timely and properly paid over to such Governmental Authorities;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Ono shall furnish Repare with copies of receipts and other documentation evidencing such withholding. Repare shall provide to Ono any Taxation Documents. Without limiting the foregoing, the Parties shall exercise their reasonable efforts to ensure that any withholding taxes imposed are reduced as far as possible under the provisions of any applicable tax treaty, and shall cooperate in filing any forms required for such reduction. Each Party shall cooperate with the other and furnish the other Party with appropriate documents to secure application of the most favorable rate of withholding tax under applicable Law (or exemption from such withholding tax payments, as applicable). If withholding tax leakage with respect to any payments from Ono to Repare under this Agreement is pointed out through the tax inspection by tax authority, Repare shall bear any and all additional tax cost including but not limited to the withholding tax and additional tax for no return after due date. Within [***] after Repare’s receipt of Ono’s invoice for such additional tax cost, Repare shall reimburse such any and all additional tax cost by bank wire transfer in immediately available funds to bank account designated by Ono.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440" w:top="271" w:right="439" w:bottom="1440" w:gutter="0" w:footer="0" w:header="0"/>
        </w:sectPr>
      </w:pPr>
    </w:p>
    <w:bookmarkStart w:id="617" w:name="page618"/>
    <w:bookmarkEnd w:id="617"/>
    <w:p>
      <w:pPr>
        <w:ind w:right="260" w:firstLine="440"/>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11.11. </w:t>
      </w:r>
      <w:r>
        <w:rPr>
          <w:rFonts w:ascii="Arial" w:cs="Arial" w:eastAsia="Arial" w:hAnsi="Arial"/>
          <w:sz w:val="17"/>
          <w:szCs w:val="17"/>
          <w:b w:val="1"/>
          <w:bCs w:val="1"/>
          <w:u w:val="single" w:color="auto"/>
          <w:color w:val="auto"/>
        </w:rPr>
        <w:t>Payment of Back Royalties</w:t>
      </w:r>
      <w:r>
        <w:rPr>
          <w:rFonts w:ascii="Arial" w:cs="Arial" w:eastAsia="Arial" w:hAnsi="Arial"/>
          <w:sz w:val="17"/>
          <w:szCs w:val="17"/>
          <w:color w:val="auto"/>
        </w:rPr>
        <w:t>. If Ono would owe a royalty payment to Repare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Terms; Royalty Reports;</w:t>
      </w:r>
      <w:r>
        <w:rPr>
          <w:rFonts w:ascii="Arial" w:cs="Arial" w:eastAsia="Arial" w:hAnsi="Arial"/>
          <w:sz w:val="17"/>
          <w:szCs w:val="17"/>
          <w:b w:val="1"/>
          <w:bCs w:val="1"/>
          <w:color w:val="auto"/>
        </w:rPr>
        <w:t xml:space="preserve"> </w:t>
      </w:r>
      <w:r>
        <w:rPr>
          <w:rFonts w:ascii="Arial" w:cs="Arial" w:eastAsia="Arial" w:hAnsi="Arial"/>
          <w:sz w:val="17"/>
          <w:szCs w:val="17"/>
          <w:color w:val="auto"/>
        </w:rPr>
        <w:t>Payments and Audits) but for a decision by a court or other governmental agency of competent jurisdiction holding a patent claim unenforceable, unpatentable or invalid and if such decision is later vacated or reversed by a final nonappealable decision by a court or other governmental agency of competent jurisdiction, Repare may invoice Ono for such unpaid royalty payments after such decision is vacated or reversed and Ono shall make any such unpaid royalty payments to Repare within [***] after receipt of such invoice.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REPRESENTATIONS, WARRANTIES AND COVENANTS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12.1. </w:t>
      </w:r>
      <w:r>
        <w:rPr>
          <w:rFonts w:ascii="Arial" w:cs="Arial" w:eastAsia="Arial" w:hAnsi="Arial"/>
          <w:sz w:val="16"/>
          <w:szCs w:val="16"/>
          <w:b w:val="1"/>
          <w:bCs w:val="1"/>
          <w:u w:val="single" w:color="auto"/>
          <w:color w:val="auto"/>
        </w:rPr>
        <w:t>Mutual Representations and Warranties as of the Effective Date</w:t>
      </w:r>
      <w:r>
        <w:rPr>
          <w:rFonts w:ascii="Arial" w:cs="Arial" w:eastAsia="Arial" w:hAnsi="Arial"/>
          <w:sz w:val="16"/>
          <w:szCs w:val="16"/>
          <w:color w:val="auto"/>
        </w:rPr>
        <w:t>. Each Party represents and warrants to the other Party that, as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99" w:lineRule="exact"/>
        <w:rPr>
          <w:sz w:val="20"/>
          <w:szCs w:val="20"/>
          <w:color w:val="auto"/>
        </w:rPr>
      </w:pPr>
    </w:p>
    <w:p>
      <w:pPr>
        <w:ind w:left="440" w:right="140" w:firstLine="423"/>
        <w:spacing w:after="0" w:line="282" w:lineRule="auto"/>
        <w:rPr>
          <w:sz w:val="20"/>
          <w:szCs w:val="20"/>
          <w:color w:val="auto"/>
        </w:rPr>
      </w:pPr>
      <w:r>
        <w:rPr>
          <w:rFonts w:ascii="Arial" w:cs="Arial" w:eastAsia="Arial" w:hAnsi="Arial"/>
          <w:sz w:val="18"/>
          <w:szCs w:val="18"/>
          <w:b w:val="1"/>
          <w:bCs w:val="1"/>
          <w:color w:val="auto"/>
        </w:rPr>
        <w:t xml:space="preserve">12.1.1. </w:t>
      </w:r>
      <w:r>
        <w:rPr>
          <w:rFonts w:ascii="Arial" w:cs="Arial" w:eastAsia="Arial" w:hAnsi="Arial"/>
          <w:sz w:val="18"/>
          <w:szCs w:val="18"/>
          <w:color w:val="auto"/>
        </w:rPr>
        <w:t>Such Party is a corporation duly organized, validly existing and in good standing under the Laws of its jurisdiction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formation.</w:t>
      </w:r>
    </w:p>
    <w:p>
      <w:pPr>
        <w:spacing w:after="0" w:line="54" w:lineRule="exact"/>
        <w:rPr>
          <w:sz w:val="20"/>
          <w:szCs w:val="20"/>
          <w:color w:val="auto"/>
        </w:rPr>
      </w:pPr>
    </w:p>
    <w:p>
      <w:pPr>
        <w:ind w:left="440" w:right="400" w:firstLine="423"/>
        <w:spacing w:after="0" w:line="282" w:lineRule="auto"/>
        <w:rPr>
          <w:sz w:val="20"/>
          <w:szCs w:val="20"/>
          <w:color w:val="auto"/>
        </w:rPr>
      </w:pPr>
      <w:r>
        <w:rPr>
          <w:rFonts w:ascii="Arial" w:cs="Arial" w:eastAsia="Arial" w:hAnsi="Arial"/>
          <w:sz w:val="18"/>
          <w:szCs w:val="18"/>
          <w:b w:val="1"/>
          <w:bCs w:val="1"/>
          <w:color w:val="auto"/>
        </w:rPr>
        <w:t xml:space="preserve">12.1.2. </w:t>
      </w:r>
      <w:r>
        <w:rPr>
          <w:rFonts w:ascii="Arial" w:cs="Arial" w:eastAsia="Arial" w:hAnsi="Arial"/>
          <w:sz w:val="18"/>
          <w:szCs w:val="18"/>
          <w:color w:val="auto"/>
        </w:rPr>
        <w:t>Such Party has all requisite corporate power and corporate authority to enter into this Agreement and to carry out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w:t>
      </w:r>
    </w:p>
    <w:p>
      <w:pPr>
        <w:spacing w:after="0" w:line="54" w:lineRule="exact"/>
        <w:rPr>
          <w:sz w:val="20"/>
          <w:szCs w:val="20"/>
          <w:color w:val="auto"/>
        </w:rPr>
      </w:pPr>
    </w:p>
    <w:p>
      <w:pPr>
        <w:ind w:left="440" w:right="40" w:firstLine="423"/>
        <w:spacing w:after="0" w:line="266" w:lineRule="auto"/>
        <w:rPr>
          <w:sz w:val="20"/>
          <w:szCs w:val="20"/>
          <w:color w:val="auto"/>
        </w:rPr>
      </w:pPr>
      <w:r>
        <w:rPr>
          <w:rFonts w:ascii="Arial" w:cs="Arial" w:eastAsia="Arial" w:hAnsi="Arial"/>
          <w:sz w:val="18"/>
          <w:szCs w:val="18"/>
          <w:b w:val="1"/>
          <w:bCs w:val="1"/>
          <w:color w:val="auto"/>
        </w:rPr>
        <w:t xml:space="preserve">12.1.3. </w:t>
      </w:r>
      <w:r>
        <w:rPr>
          <w:rFonts w:ascii="Arial" w:cs="Arial" w:eastAsia="Arial" w:hAnsi="Arial"/>
          <w:sz w:val="18"/>
          <w:szCs w:val="18"/>
          <w:color w:val="auto"/>
        </w:rPr>
        <w:t>All requisite corporate action on the part of such Party, its directors and stockholders required by applicable Law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execution and delivery by such Party of this Agreement, and the performance of all obligations of such Party under this Agreement, has been taken.</w:t>
      </w:r>
    </w:p>
    <w:p>
      <w:pPr>
        <w:spacing w:after="0" w:line="68" w:lineRule="exact"/>
        <w:rPr>
          <w:sz w:val="20"/>
          <w:szCs w:val="20"/>
          <w:color w:val="auto"/>
        </w:rPr>
      </w:pPr>
    </w:p>
    <w:p>
      <w:pPr>
        <w:ind w:left="440" w:firstLine="423"/>
        <w:spacing w:after="0" w:line="294" w:lineRule="auto"/>
        <w:rPr>
          <w:sz w:val="20"/>
          <w:szCs w:val="20"/>
          <w:color w:val="auto"/>
        </w:rPr>
      </w:pPr>
      <w:r>
        <w:rPr>
          <w:rFonts w:ascii="Arial" w:cs="Arial" w:eastAsia="Arial" w:hAnsi="Arial"/>
          <w:sz w:val="16"/>
          <w:szCs w:val="16"/>
          <w:b w:val="1"/>
          <w:bCs w:val="1"/>
          <w:color w:val="auto"/>
        </w:rPr>
        <w:t xml:space="preserve">12.1.4. </w:t>
      </w:r>
      <w:r>
        <w:rPr>
          <w:rFonts w:ascii="Arial" w:cs="Arial" w:eastAsia="Arial" w:hAnsi="Arial"/>
          <w:sz w:val="16"/>
          <w:szCs w:val="16"/>
          <w:color w:val="auto"/>
        </w:rPr>
        <w:t>The execution, delivery and performance of this Agreement, and compliance with the provisions of this Agreement, by such Party do</w:t>
      </w:r>
      <w:r>
        <w:rPr>
          <w:rFonts w:ascii="Arial" w:cs="Arial" w:eastAsia="Arial" w:hAnsi="Arial"/>
          <w:sz w:val="16"/>
          <w:szCs w:val="16"/>
          <w:b w:val="1"/>
          <w:bCs w:val="1"/>
          <w:color w:val="auto"/>
        </w:rPr>
        <w:t xml:space="preserve"> </w:t>
      </w:r>
      <w:r>
        <w:rPr>
          <w:rFonts w:ascii="Arial" w:cs="Arial" w:eastAsia="Arial" w:hAnsi="Arial"/>
          <w:sz w:val="16"/>
          <w:szCs w:val="16"/>
          <w:color w:val="auto"/>
        </w:rPr>
        <w:t>not and shall not: (a) violate any provision of applicable Law or any ruling, writ, injunction, order, permit, judgment or decree of any Governmental Authority, (b) constitute a breach of, or default under (or an event which, with notice or lapse of time or both, would become a default under) or conflict with, or give rise to any right of termination, cancellation or acceleration of, any agreement, arrangement or instrument, whether written or oral, by which such Party or any of its assets are bound, or (c) violate or conflict with any of the provisions of such Party’s organizational documents (including any articles or memoranda of organization or association, charter, bylaws or similar documents).</w:t>
      </w:r>
    </w:p>
    <w:p>
      <w:pPr>
        <w:spacing w:after="0" w:line="52" w:lineRule="exact"/>
        <w:rPr>
          <w:sz w:val="20"/>
          <w:szCs w:val="20"/>
          <w:color w:val="auto"/>
        </w:rPr>
      </w:pPr>
    </w:p>
    <w:p>
      <w:pPr>
        <w:ind w:left="440" w:right="40" w:firstLine="423"/>
        <w:spacing w:after="0" w:line="347" w:lineRule="auto"/>
        <w:rPr>
          <w:sz w:val="20"/>
          <w:szCs w:val="20"/>
          <w:color w:val="auto"/>
        </w:rPr>
      </w:pPr>
      <w:r>
        <w:rPr>
          <w:rFonts w:ascii="Arial" w:cs="Arial" w:eastAsia="Arial" w:hAnsi="Arial"/>
          <w:sz w:val="16"/>
          <w:szCs w:val="16"/>
          <w:b w:val="1"/>
          <w:bCs w:val="1"/>
          <w:color w:val="auto"/>
        </w:rPr>
        <w:t xml:space="preserve">12.1.5. </w:t>
      </w:r>
      <w:r>
        <w:rPr>
          <w:rFonts w:ascii="Arial" w:cs="Arial" w:eastAsia="Arial" w:hAnsi="Arial"/>
          <w:sz w:val="16"/>
          <w:szCs w:val="16"/>
          <w:color w:val="auto"/>
        </w:rPr>
        <w:t>No consent, approval, authorization or other order of, or filing with, or notice to, any Governmental Authority or other Third Party is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be obtained or made by such Party in connection with the authorization, execution and delivery by such Party of this Agreement.</w:t>
      </w:r>
    </w:p>
    <w:p>
      <w:pPr>
        <w:spacing w:after="0" w:line="8" w:lineRule="exact"/>
        <w:rPr>
          <w:sz w:val="20"/>
          <w:szCs w:val="20"/>
          <w:color w:val="auto"/>
        </w:rPr>
      </w:pPr>
    </w:p>
    <w:p>
      <w:pPr>
        <w:ind w:left="440" w:right="120" w:firstLine="423"/>
        <w:spacing w:after="0" w:line="282" w:lineRule="auto"/>
        <w:rPr>
          <w:sz w:val="20"/>
          <w:szCs w:val="20"/>
          <w:color w:val="auto"/>
        </w:rPr>
      </w:pPr>
      <w:r>
        <w:rPr>
          <w:rFonts w:ascii="Arial" w:cs="Arial" w:eastAsia="Arial" w:hAnsi="Arial"/>
          <w:sz w:val="18"/>
          <w:szCs w:val="18"/>
          <w:b w:val="1"/>
          <w:bCs w:val="1"/>
          <w:color w:val="auto"/>
        </w:rPr>
        <w:t xml:space="preserve">12.1.6. </w:t>
      </w:r>
      <w:r>
        <w:rPr>
          <w:rFonts w:ascii="Arial" w:cs="Arial" w:eastAsia="Arial" w:hAnsi="Arial"/>
          <w:sz w:val="18"/>
          <w:szCs w:val="18"/>
          <w:color w:val="auto"/>
        </w:rPr>
        <w:t>Such Party has not entered into any agreement with any Third Party that grants such Third Party any rights that would be in conflict</w:t>
      </w:r>
      <w:r>
        <w:rPr>
          <w:rFonts w:ascii="Arial" w:cs="Arial" w:eastAsia="Arial" w:hAnsi="Arial"/>
          <w:sz w:val="18"/>
          <w:szCs w:val="18"/>
          <w:b w:val="1"/>
          <w:bCs w:val="1"/>
          <w:color w:val="auto"/>
        </w:rPr>
        <w:t xml:space="preserve"> </w:t>
      </w:r>
      <w:r>
        <w:rPr>
          <w:rFonts w:ascii="Arial" w:cs="Arial" w:eastAsia="Arial" w:hAnsi="Arial"/>
          <w:sz w:val="18"/>
          <w:szCs w:val="18"/>
          <w:color w:val="auto"/>
        </w:rPr>
        <w:t>with a given Drug Candidate becoming a Licensed Drug Candidate or Licensed Product under this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0" w:right="459" w:bottom="1440" w:gutter="0" w:footer="0" w:header="0"/>
        </w:sectPr>
      </w:pPr>
    </w:p>
    <w:bookmarkStart w:id="618" w:name="page619"/>
    <w:bookmarkEnd w:id="618"/>
    <w:p>
      <w:pPr>
        <w:ind w:left="4" w:right="280" w:firstLine="423"/>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12.1.7. </w:t>
      </w:r>
      <w:r>
        <w:rPr>
          <w:rFonts w:ascii="Arial" w:cs="Arial" w:eastAsia="Arial" w:hAnsi="Arial"/>
          <w:sz w:val="17"/>
          <w:szCs w:val="17"/>
          <w:color w:val="auto"/>
        </w:rPr>
        <w:t>This Agreement is legally binding upon it and enforceable in accordance with its terms, subject to the general principles of equity</w:t>
      </w:r>
      <w:r>
        <w:rPr>
          <w:rFonts w:ascii="Arial" w:cs="Arial" w:eastAsia="Arial" w:hAnsi="Arial"/>
          <w:sz w:val="17"/>
          <w:szCs w:val="17"/>
          <w:b w:val="1"/>
          <w:bCs w:val="1"/>
          <w:color w:val="auto"/>
        </w:rPr>
        <w:t xml:space="preserve"> </w:t>
      </w:r>
      <w:r>
        <w:rPr>
          <w:rFonts w:ascii="Arial" w:cs="Arial" w:eastAsia="Arial" w:hAnsi="Arial"/>
          <w:sz w:val="17"/>
          <w:szCs w:val="17"/>
          <w:color w:val="auto"/>
        </w:rPr>
        <w:t>and to bankruptcy, insolvency, moratorium and other similar Law affecting the enforcement of creditors’ rights generally.</w:t>
      </w:r>
    </w:p>
    <w:p>
      <w:pPr>
        <w:spacing w:after="0" w:line="32" w:lineRule="exact"/>
        <w:rPr>
          <w:sz w:val="20"/>
          <w:szCs w:val="20"/>
          <w:color w:val="auto"/>
        </w:rPr>
      </w:pPr>
    </w:p>
    <w:p>
      <w:pPr>
        <w:ind w:left="4" w:firstLine="423"/>
        <w:spacing w:after="0" w:line="281" w:lineRule="auto"/>
        <w:rPr>
          <w:sz w:val="20"/>
          <w:szCs w:val="20"/>
          <w:color w:val="auto"/>
        </w:rPr>
      </w:pPr>
      <w:r>
        <w:rPr>
          <w:rFonts w:ascii="Arial" w:cs="Arial" w:eastAsia="Arial" w:hAnsi="Arial"/>
          <w:sz w:val="17"/>
          <w:szCs w:val="17"/>
          <w:b w:val="1"/>
          <w:bCs w:val="1"/>
          <w:color w:val="auto"/>
        </w:rPr>
        <w:t xml:space="preserve">12.1.8. </w:t>
      </w:r>
      <w:r>
        <w:rPr>
          <w:rFonts w:ascii="Arial" w:cs="Arial" w:eastAsia="Arial" w:hAnsi="Arial"/>
          <w:sz w:val="17"/>
          <w:szCs w:val="17"/>
          <w:color w:val="auto"/>
        </w:rPr>
        <w:t>Neither it nor any of its Affiliates have been debarred or are subject to debarment and neither Party nor any of its Affiliates have used</w:t>
      </w:r>
      <w:r>
        <w:rPr>
          <w:rFonts w:ascii="Arial" w:cs="Arial" w:eastAsia="Arial" w:hAnsi="Arial"/>
          <w:sz w:val="17"/>
          <w:szCs w:val="17"/>
          <w:b w:val="1"/>
          <w:bCs w:val="1"/>
          <w:color w:val="auto"/>
        </w:rPr>
        <w:t xml:space="preserve"> </w:t>
      </w:r>
      <w:r>
        <w:rPr>
          <w:rFonts w:ascii="Arial" w:cs="Arial" w:eastAsia="Arial" w:hAnsi="Arial"/>
          <w:sz w:val="17"/>
          <w:szCs w:val="17"/>
          <w:color w:val="auto"/>
        </w:rPr>
        <w:t>in any capacity, in connection with its Development of a given Drug Candidate becoming a Licensed Drug Candidate or a Licensed Product, any Person that has been debarred pursuant to Section 306 of the U.S. Federal Food, Drug, and Cosmetic Act, as amended, or any comparable Law in any country, or that is the subject of a conviction described in such section or any comparable Law in any country.</w:t>
      </w:r>
    </w:p>
    <w:p>
      <w:pPr>
        <w:spacing w:after="0" w:line="57" w:lineRule="exact"/>
        <w:rPr>
          <w:sz w:val="20"/>
          <w:szCs w:val="20"/>
          <w:color w:val="auto"/>
        </w:rPr>
      </w:pPr>
    </w:p>
    <w:p>
      <w:pPr>
        <w:ind w:left="424"/>
        <w:spacing w:after="0"/>
        <w:rPr>
          <w:sz w:val="20"/>
          <w:szCs w:val="20"/>
          <w:color w:val="auto"/>
        </w:rPr>
      </w:pPr>
      <w:r>
        <w:rPr>
          <w:rFonts w:ascii="Arial" w:cs="Arial" w:eastAsia="Arial" w:hAnsi="Arial"/>
          <w:sz w:val="17"/>
          <w:szCs w:val="17"/>
          <w:b w:val="1"/>
          <w:bCs w:val="1"/>
          <w:color w:val="auto"/>
        </w:rPr>
        <w:t xml:space="preserve">12.1.9. </w:t>
      </w:r>
      <w:r>
        <w:rPr>
          <w:rFonts w:ascii="Arial" w:cs="Arial" w:eastAsia="Arial" w:hAnsi="Arial"/>
          <w:sz w:val="17"/>
          <w:szCs w:val="17"/>
          <w:color w:val="auto"/>
        </w:rPr>
        <w:t>Neither it nor its Affiliates, nor any of its or their respective directors, officers, employees or agents have (a) committed an act,</w:t>
      </w:r>
    </w:p>
    <w:p>
      <w:pPr>
        <w:spacing w:after="0" w:line="39" w:lineRule="exact"/>
        <w:rPr>
          <w:sz w:val="20"/>
          <w:szCs w:val="20"/>
          <w:color w:val="auto"/>
        </w:rPr>
      </w:pPr>
    </w:p>
    <w:p>
      <w:pPr>
        <w:ind w:left="4" w:right="100" w:hanging="4"/>
        <w:spacing w:after="0" w:line="269" w:lineRule="auto"/>
        <w:tabs>
          <w:tab w:leader="none" w:pos="258" w:val="left"/>
        </w:tabs>
        <w:numPr>
          <w:ilvl w:val="0"/>
          <w:numId w:val="390"/>
        </w:numPr>
        <w:rPr>
          <w:rFonts w:ascii="Arial" w:cs="Arial" w:eastAsia="Arial" w:hAnsi="Arial"/>
          <w:sz w:val="17"/>
          <w:szCs w:val="17"/>
          <w:color w:val="auto"/>
        </w:rPr>
      </w:pPr>
      <w:r>
        <w:rPr>
          <w:rFonts w:ascii="Arial" w:cs="Arial" w:eastAsia="Arial" w:hAnsi="Arial"/>
          <w:sz w:val="17"/>
          <w:szCs w:val="17"/>
          <w:color w:val="auto"/>
        </w:rPr>
        <w:t>made a statement or (c) failed to act or make statement, in any case ((a), (b) or (c)), that (x) would be or create an untrue statement of material fact or fraudulent statement to the FDA or any other Regulatory Authority with respect to the Development, Manufacture, having Manufactured, use or Commercialization of a given Drug Candidate becoming a Licensed Drug Candidate or a Licensed Product or (y) could reasonably be expected to provide a basis for the FDA, MHLW or any other Regulatory Authority to invoke its policy respecting “Fraud, Untrue Statements of Material Facts, Bribery and Illegal Gratuities”, set forth in 56 Fed. Reg. 46191 (September 10, 1991) and any amendments thereto or any analogous Laws or policies, with respect to the Development, Manufacture, having Manufactured, use or Commercialization of a given Drug Candidate becoming a Licensed Drug Candidate or a Licensed Product.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 xml:space="preserve">12.2. </w:t>
      </w:r>
      <w:r>
        <w:rPr>
          <w:rFonts w:ascii="Arial" w:cs="Arial" w:eastAsia="Arial" w:hAnsi="Arial"/>
          <w:sz w:val="17"/>
          <w:szCs w:val="17"/>
          <w:b w:val="1"/>
          <w:bCs w:val="1"/>
          <w:u w:val="single" w:color="auto"/>
          <w:color w:val="auto"/>
        </w:rPr>
        <w:t>Additional Representations and Warranties of Repare</w:t>
      </w:r>
      <w:r>
        <w:rPr>
          <w:rFonts w:ascii="Arial" w:cs="Arial" w:eastAsia="Arial" w:hAnsi="Arial"/>
          <w:sz w:val="17"/>
          <w:szCs w:val="17"/>
          <w:color w:val="auto"/>
        </w:rPr>
        <w:t>. Repare represent and warrants to Ono that, as of the Effective Date:</w:t>
      </w:r>
    </w:p>
    <w:p>
      <w:pPr>
        <w:spacing w:after="0" w:line="129" w:lineRule="exact"/>
        <w:rPr>
          <w:sz w:val="20"/>
          <w:szCs w:val="20"/>
          <w:color w:val="auto"/>
        </w:rPr>
      </w:pPr>
    </w:p>
    <w:p>
      <w:pPr>
        <w:ind w:left="424"/>
        <w:spacing w:after="0"/>
        <w:rPr>
          <w:sz w:val="20"/>
          <w:szCs w:val="20"/>
          <w:color w:val="auto"/>
        </w:rPr>
      </w:pPr>
      <w:r>
        <w:rPr>
          <w:rFonts w:ascii="Arial" w:cs="Arial" w:eastAsia="Arial" w:hAnsi="Arial"/>
          <w:sz w:val="17"/>
          <w:szCs w:val="17"/>
          <w:b w:val="1"/>
          <w:bCs w:val="1"/>
          <w:color w:val="auto"/>
        </w:rPr>
        <w:t xml:space="preserve">12.2.1. </w:t>
      </w:r>
      <w:r>
        <w:rPr>
          <w:rFonts w:ascii="Arial" w:cs="Arial" w:eastAsia="Arial" w:hAnsi="Arial"/>
          <w:sz w:val="17"/>
          <w:szCs w:val="17"/>
          <w:color w:val="auto"/>
        </w:rPr>
        <w:t>Repare is the sole and exclusive owner of, or otherwise Controls pursuant to a Repare In-License, the Repare Technology.</w:t>
      </w:r>
    </w:p>
    <w:p>
      <w:pPr>
        <w:spacing w:after="0" w:line="129" w:lineRule="exact"/>
        <w:rPr>
          <w:sz w:val="20"/>
          <w:szCs w:val="20"/>
          <w:color w:val="auto"/>
        </w:rPr>
      </w:pPr>
    </w:p>
    <w:p>
      <w:pPr>
        <w:ind w:left="4" w:right="100" w:firstLine="423"/>
        <w:spacing w:after="0" w:line="266" w:lineRule="auto"/>
        <w:rPr>
          <w:sz w:val="20"/>
          <w:szCs w:val="20"/>
          <w:color w:val="auto"/>
        </w:rPr>
      </w:pPr>
      <w:r>
        <w:rPr>
          <w:rFonts w:ascii="Arial" w:cs="Arial" w:eastAsia="Arial" w:hAnsi="Arial"/>
          <w:sz w:val="18"/>
          <w:szCs w:val="18"/>
          <w:b w:val="1"/>
          <w:bCs w:val="1"/>
          <w:color w:val="auto"/>
        </w:rPr>
        <w:t xml:space="preserve">12.2.2. </w:t>
      </w:r>
      <w:r>
        <w:rPr>
          <w:rFonts w:ascii="Arial" w:cs="Arial" w:eastAsia="Arial" w:hAnsi="Arial"/>
          <w:sz w:val="18"/>
          <w:szCs w:val="18"/>
          <w:color w:val="auto"/>
        </w:rPr>
        <w:t>Repare has sufficient legal or beneficial title and ownership of, or sufficient license rights under, the Repare Technology to grant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licenses under such Repare Technology to Ono pursuant to this Agreement and Repare has not granted to any Third Party any rights or licenses under the Repare Technology that would conflict with the licenses granted to Ono hereunder.</w:t>
      </w:r>
    </w:p>
    <w:p>
      <w:pPr>
        <w:spacing w:after="0" w:line="68" w:lineRule="exact"/>
        <w:rPr>
          <w:sz w:val="20"/>
          <w:szCs w:val="20"/>
          <w:color w:val="auto"/>
        </w:rPr>
      </w:pPr>
    </w:p>
    <w:p>
      <w:pPr>
        <w:ind w:left="4" w:right="20" w:firstLine="423"/>
        <w:spacing w:after="0" w:line="273" w:lineRule="auto"/>
        <w:rPr>
          <w:sz w:val="20"/>
          <w:szCs w:val="20"/>
          <w:color w:val="auto"/>
        </w:rPr>
      </w:pPr>
      <w:r>
        <w:rPr>
          <w:rFonts w:ascii="Arial" w:cs="Arial" w:eastAsia="Arial" w:hAnsi="Arial"/>
          <w:sz w:val="17"/>
          <w:szCs w:val="17"/>
          <w:b w:val="1"/>
          <w:bCs w:val="1"/>
          <w:color w:val="auto"/>
        </w:rPr>
        <w:t xml:space="preserve">12.2.3. </w:t>
      </w:r>
      <w:r>
        <w:rPr>
          <w:rFonts w:ascii="Arial" w:cs="Arial" w:eastAsia="Arial" w:hAnsi="Arial"/>
          <w:sz w:val="17"/>
          <w:szCs w:val="17"/>
          <w:color w:val="auto"/>
        </w:rPr>
        <w:t>(a)</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12.2.3</w:t>
      </w:r>
      <w:r>
        <w:rPr>
          <w:rFonts w:ascii="Arial" w:cs="Arial" w:eastAsia="Arial" w:hAnsi="Arial"/>
          <w:sz w:val="17"/>
          <w:szCs w:val="17"/>
          <w:b w:val="1"/>
          <w:bCs w:val="1"/>
          <w:color w:val="auto"/>
        </w:rPr>
        <w:t xml:space="preserve"> </w:t>
      </w:r>
      <w:r>
        <w:rPr>
          <w:rFonts w:ascii="Arial" w:cs="Arial" w:eastAsia="Arial" w:hAnsi="Arial"/>
          <w:sz w:val="17"/>
          <w:szCs w:val="17"/>
          <w:color w:val="auto"/>
        </w:rPr>
        <w:t>(Repare Patent Rights) sets forth (i) a complete and accurate list of the Repare Patent Rights owned, either solely</w:t>
      </w:r>
      <w:r>
        <w:rPr>
          <w:rFonts w:ascii="Arial" w:cs="Arial" w:eastAsia="Arial" w:hAnsi="Arial"/>
          <w:sz w:val="17"/>
          <w:szCs w:val="17"/>
          <w:b w:val="1"/>
          <w:bCs w:val="1"/>
          <w:color w:val="auto"/>
        </w:rPr>
        <w:t xml:space="preserve"> </w:t>
      </w:r>
      <w:r>
        <w:rPr>
          <w:rFonts w:ascii="Arial" w:cs="Arial" w:eastAsia="Arial" w:hAnsi="Arial"/>
          <w:sz w:val="17"/>
          <w:szCs w:val="17"/>
          <w:color w:val="auto"/>
        </w:rPr>
        <w:t>or jointly, by Repare, (ii) a complete and accurate list of the Repare Patent Rights sublicensable (including through multiple tiers) and licensed exclusively (even as to the licensor) to Repare and (iii) to the best knowledge of Repare and its Affiliates, a complete and accurate list of the Repare Patent Rights licensed nonexclusively to Repare, (b) to the best knowledge of Repare and its Affiliates, the Repare Patent Rights are, or, upon issuance, will be, valid and enforceable patents and no Third Party has challenged or threatened to challenge the scope, validity or enforceability of any Repare Patent Rights (including, by way of example, through opposition or the institution or written threat of institution of interference, nullity or similar invalidity proceedings before the</w:t>
      </w:r>
    </w:p>
    <w:p>
      <w:pPr>
        <w:spacing w:after="0" w:line="10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564"/>
          </w:cols>
          <w:pgMar w:left="876" w:top="271" w:right="459" w:bottom="1440" w:gutter="0" w:footer="0" w:header="0"/>
        </w:sectPr>
      </w:pPr>
    </w:p>
    <w:bookmarkStart w:id="619" w:name="page620"/>
    <w:bookmarkEnd w:id="61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United States Patent and Trademark Office or any analogous foreign Governmental Authority), and as to each patent application, has not lapsed in the case of a provisional patent application, or been cancelled, withdrawn or abandoned without the possibility of revival, and (c) Repare or its Affiliates have timely paid all filing and renewal fees payable with respect to such Repare Patent Rights for which Repare controls prosecution and maintenance. </w:t>
      </w:r>
      <w:r>
        <w:rPr>
          <w:rFonts w:ascii="Arial" w:cs="Arial" w:eastAsia="Arial" w:hAnsi="Arial"/>
          <w:sz w:val="18"/>
          <w:szCs w:val="18"/>
          <w:u w:val="single" w:color="auto"/>
          <w:color w:val="auto"/>
        </w:rPr>
        <w:t>Schedule 12.2.3</w:t>
      </w:r>
      <w:r>
        <w:rPr>
          <w:rFonts w:ascii="Arial" w:cs="Arial" w:eastAsia="Arial" w:hAnsi="Arial"/>
          <w:sz w:val="18"/>
          <w:szCs w:val="18"/>
          <w:color w:val="auto"/>
        </w:rPr>
        <w:t xml:space="preserve"> (Repare Patent Rights) indicates whether each Repare Patent Right is owned exclusively by Repare, is owned jointly by Repare and one or more Third Parties, or is licensed to Repare.</w:t>
      </w:r>
    </w:p>
    <w:p>
      <w:pPr>
        <w:spacing w:after="0" w:line="76" w:lineRule="exact"/>
        <w:rPr>
          <w:sz w:val="20"/>
          <w:szCs w:val="20"/>
          <w:color w:val="auto"/>
        </w:rPr>
      </w:pPr>
    </w:p>
    <w:p>
      <w:pPr>
        <w:ind w:right="80" w:firstLine="423"/>
        <w:spacing w:after="0" w:line="274" w:lineRule="auto"/>
        <w:rPr>
          <w:sz w:val="20"/>
          <w:szCs w:val="20"/>
          <w:color w:val="auto"/>
        </w:rPr>
      </w:pPr>
      <w:r>
        <w:rPr>
          <w:rFonts w:ascii="Arial" w:cs="Arial" w:eastAsia="Arial" w:hAnsi="Arial"/>
          <w:sz w:val="17"/>
          <w:szCs w:val="17"/>
          <w:b w:val="1"/>
          <w:bCs w:val="1"/>
          <w:color w:val="auto"/>
        </w:rPr>
        <w:t xml:space="preserve">12.2.4. </w:t>
      </w:r>
      <w:r>
        <w:rPr>
          <w:rFonts w:ascii="Arial" w:cs="Arial" w:eastAsia="Arial" w:hAnsi="Arial"/>
          <w:sz w:val="17"/>
          <w:szCs w:val="17"/>
          <w:u w:val="single" w:color="auto"/>
          <w:color w:val="auto"/>
        </w:rPr>
        <w:t>Schedule 12.2.4</w:t>
      </w:r>
      <w:r>
        <w:rPr>
          <w:rFonts w:ascii="Arial" w:cs="Arial" w:eastAsia="Arial" w:hAnsi="Arial"/>
          <w:sz w:val="17"/>
          <w:szCs w:val="17"/>
          <w:b w:val="1"/>
          <w:bCs w:val="1"/>
          <w:color w:val="auto"/>
        </w:rPr>
        <w:t xml:space="preserve"> </w:t>
      </w:r>
      <w:r>
        <w:rPr>
          <w:rFonts w:ascii="Arial" w:cs="Arial" w:eastAsia="Arial" w:hAnsi="Arial"/>
          <w:sz w:val="17"/>
          <w:szCs w:val="17"/>
          <w:color w:val="auto"/>
        </w:rPr>
        <w:t>(Repare In-Licenses) sets forth a complete and accurate list of all agreements between Repare and a Third Party</w:t>
      </w:r>
      <w:r>
        <w:rPr>
          <w:rFonts w:ascii="Arial" w:cs="Arial" w:eastAsia="Arial" w:hAnsi="Arial"/>
          <w:sz w:val="17"/>
          <w:szCs w:val="17"/>
          <w:b w:val="1"/>
          <w:bCs w:val="1"/>
          <w:color w:val="auto"/>
        </w:rPr>
        <w:t xml:space="preserve"> </w:t>
      </w:r>
      <w:r>
        <w:rPr>
          <w:rFonts w:ascii="Arial" w:cs="Arial" w:eastAsia="Arial" w:hAnsi="Arial"/>
          <w:sz w:val="17"/>
          <w:szCs w:val="17"/>
          <w:color w:val="auto"/>
        </w:rPr>
        <w:t>entered into prior to the Effective Date pursuant to which Repare Controls (or has the right to obtain Control of) Know-How or Patent Rights that are reasonably necessary to Develop, Manufacture, have Manufactured or Commercialize Drug Candidates, Licensed Drug Candidates and Licensed Products in the Field. Repare has provided Ono with true and correct copies of each of the Repare In-Licenses. Without limiting the generality of the foregoing, Repare has obtained all necessary consents and fulfilled all necessary conditions, if any, to sublicense to Ono under this Agreement such Know- How and Patent Rights licensed to Repare under Repare In-Licenses.</w:t>
      </w:r>
    </w:p>
    <w:p>
      <w:pPr>
        <w:spacing w:after="0" w:line="65" w:lineRule="exact"/>
        <w:rPr>
          <w:sz w:val="20"/>
          <w:szCs w:val="20"/>
          <w:color w:val="auto"/>
        </w:rPr>
      </w:pPr>
    </w:p>
    <w:p>
      <w:pPr>
        <w:ind w:right="140" w:firstLine="423"/>
        <w:spacing w:after="0" w:line="312" w:lineRule="auto"/>
        <w:rPr>
          <w:sz w:val="20"/>
          <w:szCs w:val="20"/>
          <w:color w:val="auto"/>
        </w:rPr>
      </w:pPr>
      <w:r>
        <w:rPr>
          <w:rFonts w:ascii="Arial" w:cs="Arial" w:eastAsia="Arial" w:hAnsi="Arial"/>
          <w:sz w:val="17"/>
          <w:szCs w:val="17"/>
          <w:b w:val="1"/>
          <w:bCs w:val="1"/>
          <w:color w:val="auto"/>
        </w:rPr>
        <w:t xml:space="preserve">12.2.5. </w:t>
      </w:r>
      <w:r>
        <w:rPr>
          <w:rFonts w:ascii="Arial" w:cs="Arial" w:eastAsia="Arial" w:hAnsi="Arial"/>
          <w:sz w:val="17"/>
          <w:szCs w:val="17"/>
          <w:color w:val="auto"/>
        </w:rPr>
        <w:t>To the best knowledge of Repare and its Affiliates, Repare and its Affiliates have complied with all applicable Laws, including any</w:t>
      </w:r>
      <w:r>
        <w:rPr>
          <w:rFonts w:ascii="Arial" w:cs="Arial" w:eastAsia="Arial" w:hAnsi="Arial"/>
          <w:sz w:val="17"/>
          <w:szCs w:val="17"/>
          <w:b w:val="1"/>
          <w:bCs w:val="1"/>
          <w:color w:val="auto"/>
        </w:rPr>
        <w:t xml:space="preserve"> </w:t>
      </w:r>
      <w:r>
        <w:rPr>
          <w:rFonts w:ascii="Arial" w:cs="Arial" w:eastAsia="Arial" w:hAnsi="Arial"/>
          <w:sz w:val="17"/>
          <w:szCs w:val="17"/>
          <w:color w:val="auto"/>
        </w:rPr>
        <w:t>duties of candor to applicable patent offices, in connection with the filing, prosecution and maintenance of the Repare Patent Rights.</w:t>
      </w:r>
    </w:p>
    <w:p>
      <w:pPr>
        <w:spacing w:after="0" w:line="32" w:lineRule="exact"/>
        <w:rPr>
          <w:sz w:val="20"/>
          <w:szCs w:val="20"/>
          <w:color w:val="auto"/>
        </w:rPr>
      </w:pPr>
    </w:p>
    <w:p>
      <w:pPr>
        <w:ind w:right="140" w:firstLine="423"/>
        <w:spacing w:after="0" w:line="266" w:lineRule="auto"/>
        <w:rPr>
          <w:sz w:val="20"/>
          <w:szCs w:val="20"/>
          <w:color w:val="auto"/>
        </w:rPr>
      </w:pPr>
      <w:r>
        <w:rPr>
          <w:rFonts w:ascii="Arial" w:cs="Arial" w:eastAsia="Arial" w:hAnsi="Arial"/>
          <w:sz w:val="18"/>
          <w:szCs w:val="18"/>
          <w:b w:val="1"/>
          <w:bCs w:val="1"/>
          <w:color w:val="auto"/>
        </w:rPr>
        <w:t xml:space="preserve">12.2.6. </w:t>
      </w:r>
      <w:r>
        <w:rPr>
          <w:rFonts w:ascii="Arial" w:cs="Arial" w:eastAsia="Arial" w:hAnsi="Arial"/>
          <w:sz w:val="18"/>
          <w:szCs w:val="18"/>
          <w:color w:val="auto"/>
        </w:rPr>
        <w:t>To the best knowledge of Repare and its Affiliates, neither Repare nor its Affiliates are in breach or default under any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Repare In-License, and neither Repare nor its Affiliates have received any written notice of breach or default with respect to any existing Repare In-License.</w:t>
      </w:r>
    </w:p>
    <w:p>
      <w:pPr>
        <w:spacing w:after="0" w:line="68" w:lineRule="exact"/>
        <w:rPr>
          <w:sz w:val="20"/>
          <w:szCs w:val="20"/>
          <w:color w:val="auto"/>
        </w:rPr>
      </w:pPr>
    </w:p>
    <w:p>
      <w:pPr>
        <w:ind w:right="780" w:firstLine="423"/>
        <w:spacing w:after="0" w:line="347" w:lineRule="auto"/>
        <w:rPr>
          <w:sz w:val="20"/>
          <w:szCs w:val="20"/>
          <w:color w:val="auto"/>
        </w:rPr>
      </w:pPr>
      <w:r>
        <w:rPr>
          <w:rFonts w:ascii="Arial" w:cs="Arial" w:eastAsia="Arial" w:hAnsi="Arial"/>
          <w:sz w:val="16"/>
          <w:szCs w:val="16"/>
          <w:b w:val="1"/>
          <w:bCs w:val="1"/>
          <w:color w:val="auto"/>
        </w:rPr>
        <w:t xml:space="preserve">12.2.7. </w:t>
      </w:r>
      <w:r>
        <w:rPr>
          <w:rFonts w:ascii="Arial" w:cs="Arial" w:eastAsia="Arial" w:hAnsi="Arial"/>
          <w:sz w:val="16"/>
          <w:szCs w:val="16"/>
          <w:color w:val="auto"/>
        </w:rPr>
        <w:t>Repare or its Affiliates have obtained from all inventors of Repare Technology owned by Repare or its Affiliates valid and</w:t>
      </w:r>
      <w:r>
        <w:rPr>
          <w:rFonts w:ascii="Arial" w:cs="Arial" w:eastAsia="Arial" w:hAnsi="Arial"/>
          <w:sz w:val="16"/>
          <w:szCs w:val="16"/>
          <w:b w:val="1"/>
          <w:bCs w:val="1"/>
          <w:color w:val="auto"/>
        </w:rPr>
        <w:t xml:space="preserve"> </w:t>
      </w:r>
      <w:r>
        <w:rPr>
          <w:rFonts w:ascii="Arial" w:cs="Arial" w:eastAsia="Arial" w:hAnsi="Arial"/>
          <w:sz w:val="16"/>
          <w:szCs w:val="16"/>
          <w:color w:val="auto"/>
        </w:rPr>
        <w:t>enforceable agreements assigning to Repare each such inventor’s entire right, title and interest in and to all such Repare Technology.</w:t>
      </w:r>
    </w:p>
    <w:p>
      <w:pPr>
        <w:spacing w:after="0" w:line="8" w:lineRule="exact"/>
        <w:rPr>
          <w:sz w:val="20"/>
          <w:szCs w:val="20"/>
          <w:color w:val="auto"/>
        </w:rPr>
      </w:pPr>
    </w:p>
    <w:p>
      <w:pPr>
        <w:ind w:right="100" w:firstLine="423"/>
        <w:spacing w:after="0" w:line="314" w:lineRule="auto"/>
        <w:rPr>
          <w:sz w:val="20"/>
          <w:szCs w:val="20"/>
          <w:color w:val="auto"/>
        </w:rPr>
      </w:pPr>
      <w:r>
        <w:rPr>
          <w:rFonts w:ascii="Arial" w:cs="Arial" w:eastAsia="Arial" w:hAnsi="Arial"/>
          <w:sz w:val="16"/>
          <w:szCs w:val="16"/>
          <w:b w:val="1"/>
          <w:bCs w:val="1"/>
          <w:color w:val="auto"/>
        </w:rPr>
        <w:t xml:space="preserve">12.2.8. </w:t>
      </w:r>
      <w:r>
        <w:rPr>
          <w:rFonts w:ascii="Arial" w:cs="Arial" w:eastAsia="Arial" w:hAnsi="Arial"/>
          <w:sz w:val="16"/>
          <w:szCs w:val="16"/>
          <w:color w:val="auto"/>
        </w:rPr>
        <w:t>There is no (a) claim, demand, suit, proceeding, arbitration, inquiry, investigation or other legal action of any nature, civil, criminal,</w:t>
      </w:r>
      <w:r>
        <w:rPr>
          <w:rFonts w:ascii="Arial" w:cs="Arial" w:eastAsia="Arial" w:hAnsi="Arial"/>
          <w:sz w:val="16"/>
          <w:szCs w:val="16"/>
          <w:b w:val="1"/>
          <w:bCs w:val="1"/>
          <w:color w:val="auto"/>
        </w:rPr>
        <w:t xml:space="preserve"> </w:t>
      </w:r>
      <w:r>
        <w:rPr>
          <w:rFonts w:ascii="Arial" w:cs="Arial" w:eastAsia="Arial" w:hAnsi="Arial"/>
          <w:sz w:val="16"/>
          <w:szCs w:val="16"/>
          <w:color w:val="auto"/>
        </w:rPr>
        <w:t>regulatory or otherwise, pending or, to the best knowledge of Repare and its Affiliates, threatened against Repare or any of its Affiliates or (b) judgment or settlement against or owed by Repare or any of its Affiliates, in each case in connection with the Repare Technology.</w:t>
      </w:r>
    </w:p>
    <w:p>
      <w:pPr>
        <w:spacing w:after="0" w:line="34" w:lineRule="exact"/>
        <w:rPr>
          <w:sz w:val="20"/>
          <w:szCs w:val="20"/>
          <w:color w:val="auto"/>
        </w:rPr>
      </w:pPr>
    </w:p>
    <w:p>
      <w:pPr>
        <w:ind w:right="20" w:firstLine="423"/>
        <w:spacing w:after="0" w:line="298" w:lineRule="auto"/>
        <w:rPr>
          <w:sz w:val="20"/>
          <w:szCs w:val="20"/>
          <w:color w:val="auto"/>
        </w:rPr>
      </w:pPr>
      <w:r>
        <w:rPr>
          <w:rFonts w:ascii="Arial" w:cs="Arial" w:eastAsia="Arial" w:hAnsi="Arial"/>
          <w:sz w:val="16"/>
          <w:szCs w:val="16"/>
          <w:b w:val="1"/>
          <w:bCs w:val="1"/>
          <w:color w:val="auto"/>
        </w:rPr>
        <w:t xml:space="preserve">12.2.9. </w:t>
      </w:r>
      <w:r>
        <w:rPr>
          <w:rFonts w:ascii="Arial" w:cs="Arial" w:eastAsia="Arial" w:hAnsi="Arial"/>
          <w:sz w:val="16"/>
          <w:szCs w:val="16"/>
          <w:color w:val="auto"/>
        </w:rPr>
        <w:t>To the best knowledge of Repare and its Affiliates, the use, Development, Manufacture, having Manufactured or Commercialization</w:t>
      </w:r>
      <w:r>
        <w:rPr>
          <w:rFonts w:ascii="Arial" w:cs="Arial" w:eastAsia="Arial" w:hAnsi="Arial"/>
          <w:sz w:val="16"/>
          <w:szCs w:val="16"/>
          <w:b w:val="1"/>
          <w:bCs w:val="1"/>
          <w:color w:val="auto"/>
        </w:rPr>
        <w:t xml:space="preserve"> </w:t>
      </w:r>
      <w:r>
        <w:rPr>
          <w:rFonts w:ascii="Arial" w:cs="Arial" w:eastAsia="Arial" w:hAnsi="Arial"/>
          <w:sz w:val="16"/>
          <w:szCs w:val="16"/>
          <w:color w:val="auto"/>
        </w:rPr>
        <w:t>by Repare or Ono (or their respective Related Parties) of a given Drug Candidate becoming a Licensed Drug Candidate or a Licensed Product as formulated and manufactured as of the Effective Date, or as intended to be formulated and manufactured as of the Effective Date, but in each case excluding any potential Combination Products, (a) does not and will not infringe any issued patent of any Third Party and (b) will not infringe the claims of any published Third Party patent application when and if such claims were to issue in their current form.</w:t>
      </w:r>
    </w:p>
    <w:p>
      <w:pPr>
        <w:spacing w:after="0" w:line="9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540"/>
          </w:cols>
          <w:pgMar w:left="880" w:top="274" w:right="479" w:bottom="1440" w:gutter="0" w:footer="0" w:header="0"/>
        </w:sectPr>
      </w:pPr>
    </w:p>
    <w:bookmarkStart w:id="620" w:name="page621"/>
    <w:bookmarkEnd w:id="620"/>
    <w:p>
      <w:pPr>
        <w:ind w:left="440" w:firstLine="423"/>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12.2.10. </w:t>
      </w:r>
      <w:r>
        <w:rPr>
          <w:rFonts w:ascii="Arial" w:cs="Arial" w:eastAsia="Arial" w:hAnsi="Arial"/>
          <w:sz w:val="18"/>
          <w:szCs w:val="18"/>
          <w:color w:val="auto"/>
        </w:rPr>
        <w:t>True and complete copies of (a) the agreements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12.2.4</w:t>
      </w:r>
      <w:r>
        <w:rPr>
          <w:rFonts w:ascii="Arial" w:cs="Arial" w:eastAsia="Arial" w:hAnsi="Arial"/>
          <w:sz w:val="18"/>
          <w:szCs w:val="18"/>
          <w:b w:val="1"/>
          <w:bCs w:val="1"/>
          <w:color w:val="auto"/>
        </w:rPr>
        <w:t xml:space="preserve"> </w:t>
      </w:r>
      <w:r>
        <w:rPr>
          <w:rFonts w:ascii="Arial" w:cs="Arial" w:eastAsia="Arial" w:hAnsi="Arial"/>
          <w:sz w:val="18"/>
          <w:szCs w:val="18"/>
          <w:color w:val="auto"/>
        </w:rPr>
        <w:t>(Repare In-Licenses), (b) all of the agreements relating</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Polq Program and (c) any funding agreement between Repare and any government or Governmental Authority or any other agreement to which Repare is a party under which requirements and obligations will apply to Ono under this Agreement, in each case (a) – (c) have been made available to Ono through an electronic data room.</w:t>
      </w:r>
    </w:p>
    <w:p>
      <w:pPr>
        <w:spacing w:after="0" w:line="72" w:lineRule="exact"/>
        <w:rPr>
          <w:sz w:val="20"/>
          <w:szCs w:val="20"/>
          <w:color w:val="auto"/>
        </w:rPr>
      </w:pPr>
    </w:p>
    <w:p>
      <w:pPr>
        <w:ind w:left="440" w:right="40" w:firstLine="423"/>
        <w:spacing w:after="0" w:line="282" w:lineRule="auto"/>
        <w:rPr>
          <w:sz w:val="20"/>
          <w:szCs w:val="20"/>
          <w:color w:val="auto"/>
        </w:rPr>
      </w:pPr>
      <w:r>
        <w:rPr>
          <w:rFonts w:ascii="Arial" w:cs="Arial" w:eastAsia="Arial" w:hAnsi="Arial"/>
          <w:sz w:val="18"/>
          <w:szCs w:val="18"/>
          <w:b w:val="1"/>
          <w:bCs w:val="1"/>
          <w:color w:val="auto"/>
        </w:rPr>
        <w:t xml:space="preserve">12.2.11. </w:t>
      </w:r>
      <w:r>
        <w:rPr>
          <w:rFonts w:ascii="Arial" w:cs="Arial" w:eastAsia="Arial" w:hAnsi="Arial"/>
          <w:sz w:val="18"/>
          <w:szCs w:val="18"/>
          <w:color w:val="auto"/>
        </w:rPr>
        <w:t>Neither Repare nor any of its Affiliates have knowledge of any infringement or misappropriation of any Repare Technology by any</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Party.</w:t>
      </w:r>
    </w:p>
    <w:p>
      <w:pPr>
        <w:spacing w:after="0" w:line="54" w:lineRule="exact"/>
        <w:rPr>
          <w:sz w:val="20"/>
          <w:szCs w:val="20"/>
          <w:color w:val="auto"/>
        </w:rPr>
      </w:pPr>
    </w:p>
    <w:p>
      <w:pPr>
        <w:ind w:left="440" w:right="200" w:firstLine="423"/>
        <w:spacing w:after="0" w:line="282" w:lineRule="auto"/>
        <w:rPr>
          <w:sz w:val="20"/>
          <w:szCs w:val="20"/>
          <w:color w:val="auto"/>
        </w:rPr>
      </w:pPr>
      <w:r>
        <w:rPr>
          <w:rFonts w:ascii="Arial" w:cs="Arial" w:eastAsia="Arial" w:hAnsi="Arial"/>
          <w:sz w:val="18"/>
          <w:szCs w:val="18"/>
          <w:b w:val="1"/>
          <w:bCs w:val="1"/>
          <w:color w:val="auto"/>
        </w:rPr>
        <w:t xml:space="preserve">12.2.12. </w:t>
      </w:r>
      <w:r>
        <w:rPr>
          <w:rFonts w:ascii="Arial" w:cs="Arial" w:eastAsia="Arial" w:hAnsi="Arial"/>
          <w:sz w:val="18"/>
          <w:szCs w:val="18"/>
          <w:color w:val="auto"/>
        </w:rPr>
        <w:t>Any Repare Technology is free and clear of liens, charges or encumbrances other than licenses granted to or by Third Parties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not inconsistent with the rights and licenses granted to Ono hereunder.</w:t>
      </w:r>
    </w:p>
    <w:p>
      <w:pPr>
        <w:spacing w:after="0" w:line="54" w:lineRule="exact"/>
        <w:rPr>
          <w:sz w:val="20"/>
          <w:szCs w:val="20"/>
          <w:color w:val="auto"/>
        </w:rPr>
      </w:pPr>
    </w:p>
    <w:p>
      <w:pPr>
        <w:ind w:left="440" w:right="260" w:firstLine="423"/>
        <w:spacing w:after="0" w:line="261" w:lineRule="auto"/>
        <w:rPr>
          <w:sz w:val="20"/>
          <w:szCs w:val="20"/>
          <w:color w:val="auto"/>
        </w:rPr>
      </w:pPr>
      <w:r>
        <w:rPr>
          <w:rFonts w:ascii="Arial" w:cs="Arial" w:eastAsia="Arial" w:hAnsi="Arial"/>
          <w:sz w:val="18"/>
          <w:szCs w:val="18"/>
          <w:b w:val="1"/>
          <w:bCs w:val="1"/>
          <w:color w:val="auto"/>
        </w:rPr>
        <w:t xml:space="preserve">12.2.13. </w:t>
      </w:r>
      <w:r>
        <w:rPr>
          <w:rFonts w:ascii="Arial" w:cs="Arial" w:eastAsia="Arial" w:hAnsi="Arial"/>
          <w:sz w:val="18"/>
          <w:szCs w:val="18"/>
          <w:color w:val="auto"/>
        </w:rPr>
        <w:t>Repare and its Affiliates have taken all commercially reasonable steps to protect, preserve and maintain the confidentiality of all</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or non- public information included in Repare Know-How, including by disclosing such Repare Know-How to Third Parties only under terms of confidentiality. To the best knowledge of Repare and its Affiliates, no breach of such confidentiality obligations has been committed by any Third Party.</w:t>
      </w:r>
    </w:p>
    <w:p>
      <w:pPr>
        <w:spacing w:after="0" w:line="18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b w:val="1"/>
          <w:bCs w:val="1"/>
          <w:u w:val="single" w:color="auto"/>
          <w:color w:val="auto"/>
        </w:rPr>
        <w:t>Warranty Disclaimer</w:t>
      </w:r>
      <w:r>
        <w:rPr>
          <w:rFonts w:ascii="Arial" w:cs="Arial" w:eastAsia="Arial" w:hAnsi="Arial"/>
          <w:sz w:val="18"/>
          <w:szCs w:val="18"/>
          <w:color w:val="auto"/>
        </w:rPr>
        <w:t>. EXCEPT AS OTHERWISE EXPRESSLY PROVIDED IN THIS AGREEMENT, NEITHER PARTY MAKES ANY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 OR EXTENDS ANY WARRANTY OF ANY KIND, EITHER EXPRESS OR IMPLIED, TO THE OTHER PARTY WITH RESPECT TO ANY TECHNOLOGY, ONO TECHNOLOGY (WITH RESPECT TO ONO), REPARE TECHNOLOGY (WITH RESPECT TO REPARE), PRODUCT, PROGRAM, GOODS, SERVICES, RIGHTS OR OTHER SUBJECT MATTER OF THE AGREEMENT AND HEREBY DISCLAIMS ALL IMPLIED WARRANTIES OF MERCHANTABILITY, FITNESS FOR A PARTICULAR PURPOSE AND NON-INFRINGEMENT WITH RESPECT TO ANY AND ALL OF THE FOREGOING. EACH PARTY HEREBY DISCLAIMS ANY REPRESENTATION OR WARRANTY THAT THE DEVELOPMENT, MANUFACTURE OR COMMERCIALIZATION OF ANY LICENSED DRUG CANDIDATE OR LICENSED PRODUCT PURSUANT TO THE AGREEMENT SHALL BE SUCCESSFUL OR THAT ANY PARTICULAR SALES LEVEL WITH RESPECT TO ANY LICENSED PRODUCT SHALL BE ACHIEVED.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b w:val="1"/>
          <w:bCs w:val="1"/>
          <w:u w:val="single" w:color="auto"/>
          <w:color w:val="auto"/>
        </w:rPr>
        <w:t>Exclusivity</w:t>
      </w:r>
      <w:r>
        <w:rPr>
          <w:rFonts w:ascii="Arial" w:cs="Arial" w:eastAsia="Arial" w:hAnsi="Arial"/>
          <w:sz w:val="18"/>
          <w:szCs w:val="18"/>
          <w:color w:val="auto"/>
        </w:rPr>
        <w:t>.</w:t>
      </w:r>
    </w:p>
    <w:p>
      <w:pPr>
        <w:spacing w:after="0" w:line="117" w:lineRule="exact"/>
        <w:rPr>
          <w:sz w:val="20"/>
          <w:szCs w:val="20"/>
          <w:color w:val="auto"/>
        </w:rPr>
      </w:pPr>
    </w:p>
    <w:p>
      <w:pPr>
        <w:ind w:left="440" w:right="100" w:firstLine="423"/>
        <w:spacing w:after="0" w:line="273" w:lineRule="auto"/>
        <w:rPr>
          <w:sz w:val="20"/>
          <w:szCs w:val="20"/>
          <w:color w:val="auto"/>
        </w:rPr>
      </w:pPr>
      <w:r>
        <w:rPr>
          <w:rFonts w:ascii="Arial" w:cs="Arial" w:eastAsia="Arial" w:hAnsi="Arial"/>
          <w:sz w:val="17"/>
          <w:szCs w:val="17"/>
          <w:b w:val="1"/>
          <w:bCs w:val="1"/>
          <w:color w:val="auto"/>
        </w:rPr>
        <w:t xml:space="preserve">12.4.1. </w:t>
      </w:r>
      <w:r>
        <w:rPr>
          <w:rFonts w:ascii="Arial" w:cs="Arial" w:eastAsia="Arial" w:hAnsi="Arial"/>
          <w:sz w:val="17"/>
          <w:szCs w:val="17"/>
          <w:color w:val="auto"/>
        </w:rPr>
        <w:t>During the term of the Agreement, Repare and its Affiliates may work outside of the Ono Territory on any Compound or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any product which relies upon the inhibition or modulation Polq to achieve its primary therapeutic effect, either alone or with Third Parties, but shall not and shall cause its Affiliates not to, either alone or with Third Parties, (a) research or Develop any product that it reasonably believes relies on the inhibition or modulation of Polq to achieve its primary therapeutic effect in the Ono Territory, and (b) submit materials to any Regulatory Authority for the purpose of obtaining Regulatory Approval to Manufacture for commercial purpose, or Commercialize, sell, distribute, market, promote, offer for sale, export or import any product that it reasonably believes relies on the inhibition or modulation of Polq¸ to achieve its primary therapeutic effect in the Ono Territory.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440" w:top="271" w:right="479" w:bottom="1440" w:gutter="0" w:footer="0" w:header="0"/>
        </w:sectPr>
      </w:pPr>
    </w:p>
    <w:bookmarkStart w:id="621" w:name="page622"/>
    <w:bookmarkEnd w:id="621"/>
    <w:p>
      <w:pPr>
        <w:ind w:right="340" w:firstLine="423"/>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12.4.2. </w:t>
      </w:r>
      <w:r>
        <w:rPr>
          <w:rFonts w:ascii="Arial" w:cs="Arial" w:eastAsia="Arial" w:hAnsi="Arial"/>
          <w:sz w:val="16"/>
          <w:szCs w:val="16"/>
          <w:color w:val="auto"/>
        </w:rPr>
        <w:t>During the term of the Agreement, Ono shall not and shall cause its Affiliates not to, either alone or with Third Parties,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Develop, Manufacture or Commercialize any product that it reasonably believes relies on the inhibition or modulation of Polq to achieve its primary therapeutic effect other than the Drug Candidates, Licensed Drug Candidate or Licensed Product anywhere in the Ono Territory.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b w:val="1"/>
          <w:bCs w:val="1"/>
          <w:u w:val="single" w:color="auto"/>
          <w:color w:val="auto"/>
        </w:rPr>
        <w:t>Certain Other Covenants</w:t>
      </w:r>
      <w:r>
        <w:rPr>
          <w:rFonts w:ascii="Arial" w:cs="Arial" w:eastAsia="Arial" w:hAnsi="Arial"/>
          <w:sz w:val="18"/>
          <w:szCs w:val="18"/>
          <w:color w:val="auto"/>
        </w:rPr>
        <w:t>.</w:t>
      </w:r>
    </w:p>
    <w:p>
      <w:pPr>
        <w:spacing w:after="0" w:line="117" w:lineRule="exact"/>
        <w:rPr>
          <w:sz w:val="20"/>
          <w:szCs w:val="20"/>
          <w:color w:val="auto"/>
        </w:rPr>
      </w:pPr>
    </w:p>
    <w:p>
      <w:pPr>
        <w:ind w:right="140" w:firstLine="423"/>
        <w:spacing w:after="0" w:line="266" w:lineRule="auto"/>
        <w:rPr>
          <w:sz w:val="20"/>
          <w:szCs w:val="20"/>
          <w:color w:val="auto"/>
        </w:rPr>
      </w:pPr>
      <w:r>
        <w:rPr>
          <w:rFonts w:ascii="Arial" w:cs="Arial" w:eastAsia="Arial" w:hAnsi="Arial"/>
          <w:sz w:val="18"/>
          <w:szCs w:val="18"/>
          <w:b w:val="1"/>
          <w:bCs w:val="1"/>
          <w:color w:val="auto"/>
        </w:rPr>
        <w:t>12.5.1. Compliance</w:t>
      </w:r>
      <w:r>
        <w:rPr>
          <w:rFonts w:ascii="Arial" w:cs="Arial" w:eastAsia="Arial" w:hAnsi="Arial"/>
          <w:sz w:val="18"/>
          <w:szCs w:val="18"/>
          <w:color w:val="auto"/>
        </w:rPr>
        <w:t>. Each Party and its Related Parties shall conduct the Collaboration and the Development, Manufacture, having</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Manufactured and Commercialization of the Drug Candidates, Licensed Drug Candidates and Licensed Products in material compliance with all applicable Laws, including current governmental regulations concerning GLP, GCP and cGMP.</w:t>
      </w:r>
    </w:p>
    <w:p>
      <w:pPr>
        <w:spacing w:after="0" w:line="68" w:lineRule="exact"/>
        <w:rPr>
          <w:sz w:val="20"/>
          <w:szCs w:val="20"/>
          <w:color w:val="auto"/>
        </w:rPr>
      </w:pPr>
    </w:p>
    <w:p>
      <w:pPr>
        <w:ind w:right="140" w:firstLine="423"/>
        <w:spacing w:after="0" w:line="303" w:lineRule="auto"/>
        <w:rPr>
          <w:sz w:val="20"/>
          <w:szCs w:val="20"/>
          <w:color w:val="auto"/>
        </w:rPr>
      </w:pPr>
      <w:r>
        <w:rPr>
          <w:rFonts w:ascii="Arial" w:cs="Arial" w:eastAsia="Arial" w:hAnsi="Arial"/>
          <w:sz w:val="16"/>
          <w:szCs w:val="16"/>
          <w:b w:val="1"/>
          <w:bCs w:val="1"/>
          <w:color w:val="auto"/>
        </w:rPr>
        <w:t>12.5.2. Know-How</w:t>
      </w:r>
      <w:r>
        <w:rPr>
          <w:rFonts w:ascii="Arial" w:cs="Arial" w:eastAsia="Arial" w:hAnsi="Arial"/>
          <w:sz w:val="16"/>
          <w:szCs w:val="16"/>
          <w:color w:val="auto"/>
        </w:rPr>
        <w:t>. Repare and its Affiliates shall not use any Know-How that it does not Control in the Development or Manufacture of</w:t>
      </w:r>
      <w:r>
        <w:rPr>
          <w:rFonts w:ascii="Arial" w:cs="Arial" w:eastAsia="Arial" w:hAnsi="Arial"/>
          <w:sz w:val="16"/>
          <w:szCs w:val="16"/>
          <w:b w:val="1"/>
          <w:bCs w:val="1"/>
          <w:color w:val="auto"/>
        </w:rPr>
        <w:t xml:space="preserve"> </w:t>
      </w:r>
      <w:r>
        <w:rPr>
          <w:rFonts w:ascii="Arial" w:cs="Arial" w:eastAsia="Arial" w:hAnsi="Arial"/>
          <w:sz w:val="16"/>
          <w:szCs w:val="16"/>
          <w:color w:val="auto"/>
        </w:rPr>
        <w:t>Drug Candidate, Licensed Drug Candidates or Licensed Products. Repare shall obtain sufficient legal or beneficial title and ownership of, or sufficient rights under, any Know-How that is used by Repare or its Affiliates in the Development or Manufacture of Drug Candidates, Licensed Drug Candidates or Licensed Products to grant the licenses and rights to such Know-How that would be granted to Ono under this Agreement.</w:t>
      </w:r>
    </w:p>
    <w:p>
      <w:pPr>
        <w:spacing w:after="0" w:line="43" w:lineRule="exact"/>
        <w:rPr>
          <w:sz w:val="20"/>
          <w:szCs w:val="20"/>
          <w:color w:val="auto"/>
        </w:rPr>
      </w:pPr>
    </w:p>
    <w:p>
      <w:pPr>
        <w:ind w:right="80" w:firstLine="423"/>
        <w:spacing w:after="0" w:line="289" w:lineRule="auto"/>
        <w:rPr>
          <w:sz w:val="20"/>
          <w:szCs w:val="20"/>
          <w:color w:val="auto"/>
        </w:rPr>
      </w:pPr>
      <w:r>
        <w:rPr>
          <w:rFonts w:ascii="Arial" w:cs="Arial" w:eastAsia="Arial" w:hAnsi="Arial"/>
          <w:sz w:val="16"/>
          <w:szCs w:val="16"/>
          <w:b w:val="1"/>
          <w:bCs w:val="1"/>
          <w:color w:val="auto"/>
        </w:rPr>
        <w:t>12.5.3. Repare In-Licenses</w:t>
      </w:r>
      <w:r>
        <w:rPr>
          <w:rFonts w:ascii="Arial" w:cs="Arial" w:eastAsia="Arial" w:hAnsi="Arial"/>
          <w:sz w:val="16"/>
          <w:szCs w:val="16"/>
          <w:color w:val="auto"/>
        </w:rPr>
        <w:t>. Repare shall maintain Control of all Know- How and Patent Rights licensed to Repare under the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Repare In-Licenses that are reasonably necessary for Ono to Develop, Manufacture, have Manufactured or Commercialize any Licensed Drug Candidates and Licensed Products in the Field in or for the Ono Territory. For clarity, with regard to any Drug Candidate, Licensed Drug Candidate and Licensed Product, any Patent Right comprising a Valid Claim that covers such Drug Candidate, Licensed Drug Candidate or Licensed Product, including whether it is an “Improvement” or an “IDD” as defined in NYU Agreement, is deemed to be a necessary Patent Right, and Repare shall Control such Patent Right. Repare shall not materially breach or be in material default under any of its obligations under any Repare In-License, subject to applicable cure process made by Repare (not by Ono) under any such Repare In-License and provided that, Repare shall not be deemed to have materially breached or be in material default under any Repare In-License if such breach or default is a result of Ono’s or one of Ono’s Related Parties’ acts or omissions. Repare will not voluntarily amend or terminate any Repare In-License in a manner that would increase the royalty floor under </w:t>
      </w:r>
      <w:r>
        <w:rPr>
          <w:rFonts w:ascii="Arial" w:cs="Arial" w:eastAsia="Arial" w:hAnsi="Arial"/>
          <w:sz w:val="16"/>
          <w:szCs w:val="16"/>
          <w:u w:val="single" w:color="auto"/>
          <w:color w:val="auto"/>
        </w:rPr>
        <w:t>Section 11.4.6</w:t>
      </w:r>
      <w:r>
        <w:rPr>
          <w:rFonts w:ascii="Arial" w:cs="Arial" w:eastAsia="Arial" w:hAnsi="Arial"/>
          <w:sz w:val="16"/>
          <w:szCs w:val="16"/>
          <w:color w:val="auto"/>
        </w:rPr>
        <w:t xml:space="preserve"> (Royalty Floor) or terminate rights sublicensed to Ono under this Agreement.</w:t>
      </w:r>
    </w:p>
    <w:p>
      <w:pPr>
        <w:spacing w:after="0" w:line="53" w:lineRule="exact"/>
        <w:rPr>
          <w:sz w:val="20"/>
          <w:szCs w:val="20"/>
          <w:color w:val="auto"/>
        </w:rPr>
      </w:pPr>
    </w:p>
    <w:p>
      <w:pPr>
        <w:ind w:firstLine="423"/>
        <w:spacing w:after="0" w:line="256" w:lineRule="auto"/>
        <w:rPr>
          <w:sz w:val="20"/>
          <w:szCs w:val="20"/>
          <w:color w:val="auto"/>
        </w:rPr>
      </w:pPr>
      <w:r>
        <w:rPr>
          <w:rFonts w:ascii="Arial" w:cs="Arial" w:eastAsia="Arial" w:hAnsi="Arial"/>
          <w:sz w:val="18"/>
          <w:szCs w:val="18"/>
          <w:b w:val="1"/>
          <w:bCs w:val="1"/>
          <w:color w:val="auto"/>
        </w:rPr>
        <w:t>12.5.4. Additional In</w:t>
      </w:r>
      <w:r>
        <w:rPr>
          <w:rFonts w:ascii="Arial" w:cs="Arial" w:eastAsia="Arial" w:hAnsi="Arial"/>
          <w:sz w:val="18"/>
          <w:szCs w:val="18"/>
          <w:color w:val="auto"/>
        </w:rPr>
        <w:t>-</w:t>
      </w:r>
      <w:r>
        <w:rPr>
          <w:rFonts w:ascii="Arial" w:cs="Arial" w:eastAsia="Arial" w:hAnsi="Arial"/>
          <w:sz w:val="18"/>
          <w:szCs w:val="18"/>
          <w:b w:val="1"/>
          <w:bCs w:val="1"/>
          <w:color w:val="auto"/>
        </w:rPr>
        <w:t>Licenses</w:t>
      </w:r>
      <w:r>
        <w:rPr>
          <w:rFonts w:ascii="Arial" w:cs="Arial" w:eastAsia="Arial" w:hAnsi="Arial"/>
          <w:sz w:val="18"/>
          <w:szCs w:val="18"/>
          <w:color w:val="auto"/>
        </w:rPr>
        <w:t>. During the Term, neither Party shall enter into a license agreement with a Third Party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Drug Candidate, Licensed Drug Candidate or any Licensed Products in the other Party’s Territory without the prior written consent of such other Party; provided that Repare may do so if Repare makes the intellectual property rights under such license agreement available to Ono pursuant to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(License Grants to Ono). Notwithstanding the foregoing, nothing in this </w:t>
      </w:r>
      <w:r>
        <w:rPr>
          <w:rFonts w:ascii="Arial" w:cs="Arial" w:eastAsia="Arial" w:hAnsi="Arial"/>
          <w:sz w:val="18"/>
          <w:szCs w:val="18"/>
          <w:u w:val="single" w:color="auto"/>
          <w:color w:val="auto"/>
        </w:rPr>
        <w:t>Section 12.5.4</w:t>
      </w:r>
      <w:r>
        <w:rPr>
          <w:rFonts w:ascii="Arial" w:cs="Arial" w:eastAsia="Arial" w:hAnsi="Arial"/>
          <w:sz w:val="18"/>
          <w:szCs w:val="18"/>
          <w:color w:val="auto"/>
        </w:rPr>
        <w:t xml:space="preserve"> shall restrict either Party’s right to enter into a license agreement with a Third Party for any intellectual property rights that may be reasonably necessary or useful for any other product or program of such Party.</w:t>
      </w:r>
    </w:p>
    <w:p>
      <w:pPr>
        <w:spacing w:after="0" w:line="12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540"/>
          </w:cols>
          <w:pgMar w:left="880" w:top="270" w:right="479" w:bottom="1440" w:gutter="0" w:footer="0" w:header="0"/>
        </w:sectPr>
      </w:pPr>
    </w:p>
    <w:bookmarkStart w:id="622" w:name="page623"/>
    <w:bookmarkEnd w:id="622"/>
    <w:p>
      <w:pPr>
        <w:ind w:left="440" w:right="200" w:firstLine="423"/>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12.5.5. Conflicting Agreements</w:t>
      </w:r>
      <w:r>
        <w:rPr>
          <w:rFonts w:ascii="Arial" w:cs="Arial" w:eastAsia="Arial" w:hAnsi="Arial"/>
          <w:sz w:val="18"/>
          <w:szCs w:val="18"/>
          <w:color w:val="auto"/>
        </w:rPr>
        <w:t>. During the Term, neither Party shall enter into any agreement with any Third Party that would conflict</w:t>
      </w:r>
      <w:r>
        <w:rPr>
          <w:rFonts w:ascii="Arial" w:cs="Arial" w:eastAsia="Arial" w:hAnsi="Arial"/>
          <w:sz w:val="18"/>
          <w:szCs w:val="18"/>
          <w:b w:val="1"/>
          <w:bCs w:val="1"/>
          <w:color w:val="auto"/>
        </w:rPr>
        <w:t xml:space="preserve"> </w:t>
      </w:r>
      <w:r>
        <w:rPr>
          <w:rFonts w:ascii="Arial" w:cs="Arial" w:eastAsia="Arial" w:hAnsi="Arial"/>
          <w:sz w:val="18"/>
          <w:szCs w:val="18"/>
          <w:color w:val="auto"/>
        </w:rPr>
        <w:t>with, limit or restrict such Party’s ability to comply with this Agreement nor shall grant any right to any Third Party that would conflict with the rights granted to the other Party hereunder.</w:t>
      </w:r>
    </w:p>
    <w:p>
      <w:pPr>
        <w:spacing w:after="0" w:line="68" w:lineRule="exact"/>
        <w:rPr>
          <w:sz w:val="20"/>
          <w:szCs w:val="20"/>
          <w:color w:val="auto"/>
        </w:rPr>
      </w:pPr>
    </w:p>
    <w:p>
      <w:pPr>
        <w:ind w:left="440" w:right="20" w:firstLine="423"/>
        <w:spacing w:after="0" w:line="254" w:lineRule="auto"/>
        <w:rPr>
          <w:sz w:val="20"/>
          <w:szCs w:val="20"/>
          <w:color w:val="auto"/>
        </w:rPr>
      </w:pPr>
      <w:r>
        <w:rPr>
          <w:rFonts w:ascii="Arial" w:cs="Arial" w:eastAsia="Arial" w:hAnsi="Arial"/>
          <w:sz w:val="18"/>
          <w:szCs w:val="18"/>
          <w:b w:val="1"/>
          <w:bCs w:val="1"/>
          <w:color w:val="auto"/>
        </w:rPr>
        <w:t>12.5.6. No Debarment</w:t>
      </w:r>
      <w:r>
        <w:rPr>
          <w:rFonts w:ascii="Arial" w:cs="Arial" w:eastAsia="Arial" w:hAnsi="Arial"/>
          <w:sz w:val="18"/>
          <w:szCs w:val="18"/>
          <w:color w:val="auto"/>
        </w:rPr>
        <w:t>. Each Party shall use commercially reasonable efforts to not use, in any capacity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or the performance of its obligations under this Agreement, any Person that has been debarred pursuant to Section 306 of the FD&amp;C Act, or that is the subject of a conviction described in such section. Each Party agrees to inform the other Party in writing immediately if it or any Person that is performing activities in the Collaboration or under this Agreement, is debarred or is subject to debarment or is the subject of a conviction described in Section 306, or if any action, suit, claim, investigation or legal or administrative proceeding is pending or, to the best of the notifying Party’s knowledge, is threatened, relating to the debarment or conviction of the notifying Party or any Person or entity used in any capacity by such Party or any of its Affiliates in connection with the Collaboration or the performance of its other obligations under this Agreement.</w:t>
      </w:r>
    </w:p>
    <w:p>
      <w:pPr>
        <w:spacing w:after="0" w:line="84" w:lineRule="exact"/>
        <w:rPr>
          <w:sz w:val="20"/>
          <w:szCs w:val="20"/>
          <w:color w:val="auto"/>
        </w:rPr>
      </w:pPr>
    </w:p>
    <w:p>
      <w:pPr>
        <w:ind w:left="440" w:right="120" w:firstLine="423"/>
        <w:spacing w:after="0" w:line="256" w:lineRule="auto"/>
        <w:rPr>
          <w:sz w:val="20"/>
          <w:szCs w:val="20"/>
          <w:color w:val="auto"/>
        </w:rPr>
      </w:pPr>
      <w:r>
        <w:rPr>
          <w:rFonts w:ascii="Arial" w:cs="Arial" w:eastAsia="Arial" w:hAnsi="Arial"/>
          <w:sz w:val="18"/>
          <w:szCs w:val="18"/>
          <w:b w:val="1"/>
          <w:bCs w:val="1"/>
          <w:color w:val="auto"/>
        </w:rPr>
        <w:t>12.5.7. Stand-by Licenses</w:t>
      </w:r>
      <w:r>
        <w:rPr>
          <w:rFonts w:ascii="Arial" w:cs="Arial" w:eastAsia="Arial" w:hAnsi="Arial"/>
          <w:sz w:val="18"/>
          <w:szCs w:val="18"/>
          <w:color w:val="auto"/>
        </w:rPr>
        <w:t>. During the Term, the Non-Granting Party may reasonably request that the Granting Party reasonably cooperate</w:t>
      </w:r>
      <w:r>
        <w:rPr>
          <w:rFonts w:ascii="Arial" w:cs="Arial" w:eastAsia="Arial" w:hAnsi="Arial"/>
          <w:sz w:val="18"/>
          <w:szCs w:val="18"/>
          <w:b w:val="1"/>
          <w:bCs w:val="1"/>
          <w:color w:val="auto"/>
        </w:rPr>
        <w:t xml:space="preserve"> </w:t>
      </w:r>
      <w:r>
        <w:rPr>
          <w:rFonts w:ascii="Arial" w:cs="Arial" w:eastAsia="Arial" w:hAnsi="Arial"/>
          <w:sz w:val="18"/>
          <w:szCs w:val="18"/>
          <w:color w:val="auto"/>
        </w:rPr>
        <w:t>in good faith with the Non-Granting Party’s efforts to obtain stand-by license agreements with respect to the Granting Party’s In-Licenses, pursuant to which, upon termination of the relevant In- License, the Non-Granting Party would receive a direct license from the applicable Third Party licensor under any Patent Rights or Know-How that are sublicensed to the Non-Granting Party pursuant to this Agreement. Any costs incurred by the Granting Party in cooperating with the Non-Granting Party’s efforts to obtain any such stand- by license agreement shall be reimbursed by the Non-Granting Party.</w:t>
      </w:r>
    </w:p>
    <w:p>
      <w:pPr>
        <w:spacing w:after="0" w:line="79" w:lineRule="exact"/>
        <w:rPr>
          <w:sz w:val="20"/>
          <w:szCs w:val="20"/>
          <w:color w:val="auto"/>
        </w:rPr>
      </w:pPr>
    </w:p>
    <w:p>
      <w:pPr>
        <w:ind w:left="440" w:right="60" w:firstLine="423"/>
        <w:spacing w:after="0" w:line="266" w:lineRule="auto"/>
        <w:rPr>
          <w:sz w:val="20"/>
          <w:szCs w:val="20"/>
          <w:color w:val="auto"/>
        </w:rPr>
      </w:pPr>
      <w:r>
        <w:rPr>
          <w:rFonts w:ascii="Arial" w:cs="Arial" w:eastAsia="Arial" w:hAnsi="Arial"/>
          <w:sz w:val="18"/>
          <w:szCs w:val="18"/>
          <w:b w:val="1"/>
          <w:bCs w:val="1"/>
          <w:color w:val="auto"/>
        </w:rPr>
        <w:t xml:space="preserve">12.5.8. </w:t>
      </w:r>
      <w:r>
        <w:rPr>
          <w:rFonts w:ascii="Arial" w:cs="Arial" w:eastAsia="Arial" w:hAnsi="Arial"/>
          <w:sz w:val="18"/>
          <w:szCs w:val="18"/>
          <w:color w:val="auto"/>
        </w:rPr>
        <w:t>Repare covenants to Ono that Repare will avoid or terminate any liens, charges or encumbrances on the Repare Technology that</w:t>
      </w:r>
      <w:r>
        <w:rPr>
          <w:rFonts w:ascii="Arial" w:cs="Arial" w:eastAsia="Arial" w:hAnsi="Arial"/>
          <w:sz w:val="18"/>
          <w:szCs w:val="18"/>
          <w:b w:val="1"/>
          <w:bCs w:val="1"/>
          <w:color w:val="auto"/>
        </w:rPr>
        <w:t xml:space="preserve"> </w:t>
      </w:r>
      <w:r>
        <w:rPr>
          <w:rFonts w:ascii="Arial" w:cs="Arial" w:eastAsia="Arial" w:hAnsi="Arial"/>
          <w:sz w:val="18"/>
          <w:szCs w:val="18"/>
          <w:color w:val="auto"/>
        </w:rPr>
        <w:t>would materially impair the rights and license granted to Ono hereunder other than licenses granted to or by Third Parties that are not inconsistent with the rights and licenses granted to Ono hereunder.</w:t>
      </w:r>
    </w:p>
    <w:p>
      <w:pPr>
        <w:spacing w:after="0" w:line="68" w:lineRule="exact"/>
        <w:rPr>
          <w:sz w:val="20"/>
          <w:szCs w:val="20"/>
          <w:color w:val="auto"/>
        </w:rPr>
      </w:pPr>
    </w:p>
    <w:p>
      <w:pPr>
        <w:ind w:left="440" w:right="120" w:firstLine="423"/>
        <w:spacing w:after="0" w:line="314" w:lineRule="auto"/>
        <w:rPr>
          <w:sz w:val="20"/>
          <w:szCs w:val="20"/>
          <w:color w:val="auto"/>
        </w:rPr>
      </w:pPr>
      <w:r>
        <w:rPr>
          <w:rFonts w:ascii="Arial" w:cs="Arial" w:eastAsia="Arial" w:hAnsi="Arial"/>
          <w:sz w:val="16"/>
          <w:szCs w:val="16"/>
          <w:b w:val="1"/>
          <w:bCs w:val="1"/>
          <w:color w:val="auto"/>
        </w:rPr>
        <w:t xml:space="preserve">12.5.9. </w:t>
      </w:r>
      <w:r>
        <w:rPr>
          <w:rFonts w:ascii="Arial" w:cs="Arial" w:eastAsia="Arial" w:hAnsi="Arial"/>
          <w:sz w:val="16"/>
          <w:szCs w:val="16"/>
          <w:color w:val="auto"/>
        </w:rPr>
        <w:t>Each Party will generate, prepare, maintain and retain all data and Regulatory Materials in accordance with good laboratory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clinical practice and applicable Law and will conduct, (and each of their respective contractors and consultants will conduct), all Development of the Drug Candidate, Licensed Drug Candidate or Licensed Product in accordance with good laboratory and clinical practice and applicable Law.</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INDEMNIFICATION; LIMITATION OF LIABILITY; INSURANCE</w:t>
      </w:r>
    </w:p>
    <w:p>
      <w:pPr>
        <w:spacing w:after="0" w:line="117"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b w:val="1"/>
          <w:bCs w:val="1"/>
          <w:u w:val="single" w:color="auto"/>
          <w:color w:val="auto"/>
        </w:rPr>
        <w:t>General Indemnification by Ono</w:t>
      </w:r>
      <w:r>
        <w:rPr>
          <w:rFonts w:ascii="Arial" w:cs="Arial" w:eastAsia="Arial" w:hAnsi="Arial"/>
          <w:sz w:val="18"/>
          <w:szCs w:val="18"/>
          <w:color w:val="auto"/>
        </w:rPr>
        <w:t>. Ono shall indemnify, hold harmless and defend Repare, its Related Parties, and their respective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employees and agents (“</w:t>
      </w:r>
      <w:r>
        <w:rPr>
          <w:rFonts w:ascii="Arial" w:cs="Arial" w:eastAsia="Arial" w:hAnsi="Arial"/>
          <w:sz w:val="18"/>
          <w:szCs w:val="18"/>
          <w:b w:val="1"/>
          <w:bCs w:val="1"/>
          <w:color w:val="auto"/>
        </w:rPr>
        <w:t>Repare Indemnitees</w:t>
      </w:r>
      <w:r>
        <w:rPr>
          <w:rFonts w:ascii="Arial" w:cs="Arial" w:eastAsia="Arial" w:hAnsi="Arial"/>
          <w:sz w:val="18"/>
          <w:szCs w:val="18"/>
          <w:color w:val="auto"/>
        </w:rPr>
        <w:t>”) from and against any and all Third Party claims, suits, losses, liabilities, damages, costs, fees and expenses (including reasonable attorneys’ fees and litigation expenses) (collectively, “</w:t>
      </w:r>
      <w:r>
        <w:rPr>
          <w:rFonts w:ascii="Arial" w:cs="Arial" w:eastAsia="Arial" w:hAnsi="Arial"/>
          <w:sz w:val="18"/>
          <w:szCs w:val="18"/>
          <w:b w:val="1"/>
          <w:bCs w:val="1"/>
          <w:color w:val="auto"/>
        </w:rPr>
        <w:t>Losses</w:t>
      </w:r>
      <w:r>
        <w:rPr>
          <w:rFonts w:ascii="Arial" w:cs="Arial" w:eastAsia="Arial" w:hAnsi="Arial"/>
          <w:sz w:val="18"/>
          <w:szCs w:val="18"/>
          <w:color w:val="auto"/>
        </w:rPr>
        <w:t>”) arising out of or resulting from, directly or indirectly, (a) any breach of, or inaccuracy in, any representation or warranty made by Ono in this Agreement, any breach or violation of any covenant or agreement of Ono in or in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1" w:right="459" w:bottom="1440" w:gutter="0" w:footer="0" w:header="0"/>
        </w:sectPr>
      </w:pPr>
    </w:p>
    <w:bookmarkStart w:id="623" w:name="page624"/>
    <w:bookmarkEnd w:id="623"/>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performance of this Agreement or any other agreement between the Parties, or (b) the negligence or willful misconduct by or of Ono and its Related Parties, and their respective directors, officers, employees and agents in the performance of Ono’s obligations under this Agreement or any other agreement between the Parties. Ono shall have no obligation to indemnify the Repare Indemnitees to the extent that the Losses arise out of or result from, directly or indirectly, any breach of, or inaccuracy in, any representation or warranty made by Repare in this Agreement, or any breach or violation of any covenant or agreement of Repare in or in the performance of this Agreement or any other agreement, or the negligence or willful misconduct by or of any of the Repare Indemnitees, or matters for which Repare is obligated to indemnify Ono under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(General Indemnification by Repare) or </w:t>
      </w:r>
      <w:r>
        <w:rPr>
          <w:rFonts w:ascii="Arial" w:cs="Arial" w:eastAsia="Arial" w:hAnsi="Arial"/>
          <w:sz w:val="18"/>
          <w:szCs w:val="18"/>
          <w:u w:val="single" w:color="auto"/>
          <w:color w:val="auto"/>
        </w:rPr>
        <w:t>13.3</w:t>
      </w:r>
      <w:r>
        <w:rPr>
          <w:rFonts w:ascii="Arial" w:cs="Arial" w:eastAsia="Arial" w:hAnsi="Arial"/>
          <w:sz w:val="18"/>
          <w:szCs w:val="18"/>
          <w:color w:val="auto"/>
        </w:rPr>
        <w:t xml:space="preserve"> (Product Liability).</w:t>
      </w:r>
    </w:p>
    <w:p>
      <w:pPr>
        <w:spacing w:after="0" w:line="191"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b w:val="1"/>
          <w:bCs w:val="1"/>
          <w:color w:val="auto"/>
        </w:rPr>
        <w:t xml:space="preserve">13.2. </w:t>
      </w:r>
      <w:r>
        <w:rPr>
          <w:rFonts w:ascii="Arial" w:cs="Arial" w:eastAsia="Arial" w:hAnsi="Arial"/>
          <w:sz w:val="17"/>
          <w:szCs w:val="17"/>
          <w:b w:val="1"/>
          <w:bCs w:val="1"/>
          <w:u w:val="single" w:color="auto"/>
          <w:color w:val="auto"/>
        </w:rPr>
        <w:t>General Indemnification by Repare</w:t>
      </w:r>
      <w:r>
        <w:rPr>
          <w:rFonts w:ascii="Arial" w:cs="Arial" w:eastAsia="Arial" w:hAnsi="Arial"/>
          <w:sz w:val="17"/>
          <w:szCs w:val="17"/>
          <w:color w:val="auto"/>
        </w:rPr>
        <w:t>. Repare shall indemnify, hold harmless, and defend Ono, its Related Parties and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officers, employees and agents (“</w:t>
      </w:r>
      <w:r>
        <w:rPr>
          <w:rFonts w:ascii="Arial" w:cs="Arial" w:eastAsia="Arial" w:hAnsi="Arial"/>
          <w:sz w:val="17"/>
          <w:szCs w:val="17"/>
          <w:b w:val="1"/>
          <w:bCs w:val="1"/>
          <w:color w:val="auto"/>
        </w:rPr>
        <w:t>Ono Indemnitees</w:t>
      </w:r>
      <w:r>
        <w:rPr>
          <w:rFonts w:ascii="Arial" w:cs="Arial" w:eastAsia="Arial" w:hAnsi="Arial"/>
          <w:sz w:val="17"/>
          <w:szCs w:val="17"/>
          <w:color w:val="auto"/>
        </w:rPr>
        <w:t xml:space="preserve">”) from and against any and all Losses arising out of or resulting from, directly or indirectly, (a) any breach of, or inaccuracy in, any representation or warranty made by Repare in this Agreement, or any breach or violation of any covenant or agreement of Repare in or in the performance of this Agreement or any other agreement between the Parties, or (b) the negligence or willful misconduct by or of Repare and its Related Parties, and their respective directors, officers, employees and agents in the performance of Repare’s obligations under this Agreement or any other agreement. Repare shall have no obligation to indemnify the Ono Indemnitees to the extent that the Losses arise out of or result from, directly or indirectly, any breach of, or inaccuracy in, any representation or warranty made by Ono in this Agreement, or any breach or violation of any covenant or agreement of Ono in or in the performance of this Agreement or any other agreement between the Parties, or the negligence or willful misconduct by or of any of the Ono Indemnitees, or matters for which Ono is obligated to indemnify Repare under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(General Indemnification by Ono).</w:t>
      </w:r>
    </w:p>
    <w:p>
      <w:pPr>
        <w:spacing w:after="0" w:line="177"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b w:val="1"/>
          <w:bCs w:val="1"/>
          <w:color w:val="auto"/>
        </w:rPr>
        <w:t xml:space="preserve">13.3. </w:t>
      </w:r>
      <w:r>
        <w:rPr>
          <w:rFonts w:ascii="Arial" w:cs="Arial" w:eastAsia="Arial" w:hAnsi="Arial"/>
          <w:sz w:val="17"/>
          <w:szCs w:val="17"/>
          <w:b w:val="1"/>
          <w:bCs w:val="1"/>
          <w:u w:val="single" w:color="auto"/>
          <w:color w:val="auto"/>
        </w:rPr>
        <w:t>Product Liability</w:t>
      </w:r>
      <w:r>
        <w:rPr>
          <w:rFonts w:ascii="Arial" w:cs="Arial" w:eastAsia="Arial" w:hAnsi="Arial"/>
          <w:sz w:val="17"/>
          <w:szCs w:val="17"/>
          <w:color w:val="auto"/>
        </w:rPr>
        <w:t>. Subject to any Supply Agreements, any Losses arising out of Third Party product liability claims arising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Development or Commercialization of Licensed Drug Candidates and Licensed Products shall be (a) borne by Ono, to the extent such Losses were incurred with respect to the Development or Commercialization by or on behalf of Ono or its Related Parties of a Drug Candidate, Licensed Drug Candidate and a Licensed Product in or for the Ono Territory and (b) borne by Repare, to the extent such Losses were incurred with respect to Development or Commercialization of a Drug Candidate, Licensed Drug Candidate and a Licensed Product in or for the Repare Territory by or on behalf of Repare and its Related Parties. The Party required to bear such Losses in accordance with this </w:t>
      </w:r>
      <w:r>
        <w:rPr>
          <w:rFonts w:ascii="Arial" w:cs="Arial" w:eastAsia="Arial" w:hAnsi="Arial"/>
          <w:sz w:val="17"/>
          <w:szCs w:val="17"/>
          <w:u w:val="single" w:color="auto"/>
          <w:color w:val="auto"/>
        </w:rPr>
        <w:t>Section 13.3</w:t>
      </w:r>
      <w:r>
        <w:rPr>
          <w:rFonts w:ascii="Arial" w:cs="Arial" w:eastAsia="Arial" w:hAnsi="Arial"/>
          <w:sz w:val="17"/>
          <w:szCs w:val="17"/>
          <w:color w:val="auto"/>
        </w:rPr>
        <w:t xml:space="preserve"> shall indemnify, hold harmless and defend the other Party and its Related Parties and their respective directors, officers, employees and agents from and against such Losses. Each shall have no obligation to bear such Losses nor indemnify the Indemnitees of the other Party to the extent that the Losses arise out of or result from, directly or indirectly, matters for which the other Party is obligated to indemnify such Party under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(General Indemnification by Ono) or </w:t>
      </w:r>
      <w:r>
        <w:rPr>
          <w:rFonts w:ascii="Arial" w:cs="Arial" w:eastAsia="Arial" w:hAnsi="Arial"/>
          <w:sz w:val="17"/>
          <w:szCs w:val="17"/>
          <w:u w:val="single" w:color="auto"/>
          <w:color w:val="auto"/>
        </w:rPr>
        <w:t>Section 13.2</w:t>
      </w:r>
      <w:r>
        <w:rPr>
          <w:rFonts w:ascii="Arial" w:cs="Arial" w:eastAsia="Arial" w:hAnsi="Arial"/>
          <w:sz w:val="17"/>
          <w:szCs w:val="17"/>
          <w:color w:val="auto"/>
        </w:rPr>
        <w:t xml:space="preserve"> (General Indemnification by Repare).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13.4. </w:t>
      </w:r>
      <w:r>
        <w:rPr>
          <w:rFonts w:ascii="Arial" w:cs="Arial" w:eastAsia="Arial" w:hAnsi="Arial"/>
          <w:sz w:val="17"/>
          <w:szCs w:val="17"/>
          <w:b w:val="1"/>
          <w:bCs w:val="1"/>
          <w:u w:val="single" w:color="auto"/>
          <w:color w:val="auto"/>
        </w:rPr>
        <w:t>Indemnification Procedure</w:t>
      </w:r>
      <w:r>
        <w:rPr>
          <w:rFonts w:ascii="Arial" w:cs="Arial" w:eastAsia="Arial" w:hAnsi="Arial"/>
          <w:sz w:val="17"/>
          <w:szCs w:val="17"/>
          <w:color w:val="auto"/>
        </w:rPr>
        <w:t>. In the event of any such claim against any Ono Indemnitee or Repare Indemnitee (individually, an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Indemnitee</w:t>
      </w:r>
      <w:r>
        <w:rPr>
          <w:rFonts w:ascii="Arial" w:cs="Arial" w:eastAsia="Arial" w:hAnsi="Arial"/>
          <w:sz w:val="16"/>
          <w:szCs w:val="16"/>
          <w:color w:val="auto"/>
        </w:rPr>
        <w:t>”), the indemnified Party shall promptly notify the other Party in writing of the claim and the indemnifying Party shall manage and control,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its sole expense, the defense of the claim and its settlement.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4" w:right="439" w:bottom="1440" w:gutter="0" w:footer="0" w:header="0"/>
        </w:sectPr>
      </w:pPr>
    </w:p>
    <w:bookmarkStart w:id="624" w:name="page625"/>
    <w:bookmarkEnd w:id="624"/>
    <w:p>
      <w:pPr>
        <w:ind w:left="4"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Indemnitee shall cooperate with the indemnifying Party and may, at its option and expense, be represented in any such action or proceeding. The indemnifying Party shall not be liable for any settlements, litigation costs or expenses incurred by any Indemnitee without the indemnifying Party’s written authorization. Notwithstanding the foregoing, if the indemnifying Party believes that any of the exceptions to its obligation of indemnification of the Indemnitees set forth in </w:t>
      </w:r>
      <w:r>
        <w:rPr>
          <w:rFonts w:ascii="Arial" w:cs="Arial" w:eastAsia="Arial" w:hAnsi="Arial"/>
          <w:sz w:val="17"/>
          <w:szCs w:val="17"/>
          <w:u w:val="single" w:color="auto"/>
          <w:color w:val="auto"/>
        </w:rPr>
        <w:t>Sections 13.1</w:t>
      </w:r>
      <w:r>
        <w:rPr>
          <w:rFonts w:ascii="Arial" w:cs="Arial" w:eastAsia="Arial" w:hAnsi="Arial"/>
          <w:sz w:val="17"/>
          <w:szCs w:val="17"/>
          <w:color w:val="auto"/>
        </w:rPr>
        <w:t xml:space="preserve"> (General Indemnification by Ono), </w:t>
      </w:r>
      <w:r>
        <w:rPr>
          <w:rFonts w:ascii="Arial" w:cs="Arial" w:eastAsia="Arial" w:hAnsi="Arial"/>
          <w:sz w:val="17"/>
          <w:szCs w:val="17"/>
          <w:u w:val="single" w:color="auto"/>
          <w:color w:val="auto"/>
        </w:rPr>
        <w:t>13.2</w:t>
      </w:r>
      <w:r>
        <w:rPr>
          <w:rFonts w:ascii="Arial" w:cs="Arial" w:eastAsia="Arial" w:hAnsi="Arial"/>
          <w:sz w:val="17"/>
          <w:szCs w:val="17"/>
          <w:color w:val="auto"/>
        </w:rPr>
        <w:t xml:space="preserve"> (General Indemnification by Repare) or </w:t>
      </w:r>
      <w:r>
        <w:rPr>
          <w:rFonts w:ascii="Arial" w:cs="Arial" w:eastAsia="Arial" w:hAnsi="Arial"/>
          <w:sz w:val="17"/>
          <w:szCs w:val="17"/>
          <w:u w:val="single" w:color="auto"/>
          <w:color w:val="auto"/>
        </w:rPr>
        <w:t>13.3</w:t>
      </w:r>
      <w:r>
        <w:rPr>
          <w:rFonts w:ascii="Arial" w:cs="Arial" w:eastAsia="Arial" w:hAnsi="Arial"/>
          <w:sz w:val="17"/>
          <w:szCs w:val="17"/>
          <w:color w:val="auto"/>
        </w:rPr>
        <w:t xml:space="preserve"> (Product Liability) may apply, the indemnifying Party shall promptly notify the Indemnitees, which shall then have the right to be represented in any such action or proceeding by separate counsel at their expense,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indemnifying Party shall be responsible for payment of such expenses if the Indemnitees are ultimately determined to be entitled to indemnification from the indemnifying Party for the matters to which the indemnifying Party notified the Indemnitees that such exception(s) may apply.</w:t>
      </w:r>
    </w:p>
    <w:p>
      <w:pPr>
        <w:spacing w:after="0" w:line="174"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 NEITHER PARTY HERETO SHALL BE LIABLE FOR SPECIAL, INCIDENTAL, CONSEQUENTIAL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PUNITIVE DAMAGES ARISING OUT OF THIS AGREEMENT OR THE EXERCISE OF ITS RIGHTS HEREUNDER, INCLUDING LOST PROFITS ARISING FROM OR RELATING TO ANY BREACH OF THE AGREEMENT, REGARDLESS OF ANY NOTICE OF SUCH DAMAGES, EXCEPT AS A RESULT OF A PARTY’S WILLFUL MISCONDUCT, GROSS NEGLIGENCE OR A BREACH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(CONFIDENTIALITY AND PUBLICATION), THE EXCLUSIVITY TERMS OR THE LICENSES GRANTED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(LICENSES) OR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(REPRESENTATIONS, WARRANTIES AND COVENANTS). NOTHING IN THIS </w:t>
      </w:r>
      <w:r>
        <w:rPr>
          <w:rFonts w:ascii="Arial" w:cs="Arial" w:eastAsia="Arial" w:hAnsi="Arial"/>
          <w:sz w:val="18"/>
          <w:szCs w:val="18"/>
          <w:u w:val="single" w:color="auto"/>
          <w:color w:val="auto"/>
        </w:rPr>
        <w:t>SECTION 13.5</w:t>
      </w:r>
      <w:r>
        <w:rPr>
          <w:rFonts w:ascii="Arial" w:cs="Arial" w:eastAsia="Arial" w:hAnsi="Arial"/>
          <w:sz w:val="18"/>
          <w:szCs w:val="18"/>
          <w:color w:val="auto"/>
        </w:rPr>
        <w:t xml:space="preserve"> IS INTENDED TO LIMIT OR RESTRICT THE INDEMNIFICATION RIGHTS OR OBLIGATIONS OF EITHER PARTY.</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13.6. </w:t>
      </w: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 Prior to initiation of any Clinical Study, Repare shall obtain and maintain insurance during the Term and for a period of at least</w:t>
      </w:r>
    </w:p>
    <w:p>
      <w:pPr>
        <w:spacing w:after="0" w:line="50" w:lineRule="exact"/>
        <w:rPr>
          <w:sz w:val="20"/>
          <w:szCs w:val="20"/>
          <w:color w:val="auto"/>
        </w:rPr>
      </w:pPr>
    </w:p>
    <w:p>
      <w:pPr>
        <w:ind w:left="4" w:right="180" w:hanging="4"/>
        <w:spacing w:after="0" w:line="255" w:lineRule="auto"/>
        <w:tabs>
          <w:tab w:leader="none" w:pos="439"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after the last commercial sale of any Licensed Product generated under the Collaboration, with a reputable, solvent insurer in an amount appropriate for its business and products of the type that are the subject of this Agreement, and for its obligations under this Agreement. Upon request, Repare shall provide Ono with evidence of the existence and maintenance of such insurance coverage.</w:t>
      </w:r>
    </w:p>
    <w:p>
      <w:pPr>
        <w:spacing w:after="0" w:line="294" w:lineRule="exact"/>
        <w:rPr>
          <w:sz w:val="20"/>
          <w:szCs w:val="20"/>
          <w:color w:val="auto"/>
        </w:rPr>
      </w:pPr>
    </w:p>
    <w:p>
      <w:pPr>
        <w:ind w:left="444" w:right="3600" w:hanging="444"/>
        <w:spacing w:after="0" w:line="375" w:lineRule="auto"/>
        <w:tabs>
          <w:tab w:leader="none" w:pos="273"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INTELLECTUAL PROPERTY OWNERSHIP, PROTECTION AND RELATED MATTERS 14.1. </w:t>
      </w:r>
      <w:r>
        <w:rPr>
          <w:rFonts w:ascii="Arial" w:cs="Arial" w:eastAsia="Arial" w:hAnsi="Arial"/>
          <w:sz w:val="18"/>
          <w:szCs w:val="18"/>
          <w:b w:val="1"/>
          <w:bCs w:val="1"/>
          <w:u w:val="single" w:color="auto"/>
          <w:color w:val="auto"/>
        </w:rPr>
        <w:t>Inventorship; Ownership</w:t>
      </w:r>
      <w:r>
        <w:rPr>
          <w:rFonts w:ascii="Arial" w:cs="Arial" w:eastAsia="Arial" w:hAnsi="Arial"/>
          <w:sz w:val="18"/>
          <w:szCs w:val="18"/>
          <w:color w:val="auto"/>
        </w:rPr>
        <w:t>.</w:t>
      </w:r>
    </w:p>
    <w:p>
      <w:pPr>
        <w:spacing w:after="0" w:line="1" w:lineRule="exact"/>
        <w:rPr>
          <w:sz w:val="20"/>
          <w:szCs w:val="20"/>
          <w:color w:val="auto"/>
        </w:rPr>
      </w:pPr>
    </w:p>
    <w:p>
      <w:pPr>
        <w:ind w:left="444" w:right="200" w:firstLine="423"/>
        <w:spacing w:after="0" w:line="261" w:lineRule="auto"/>
        <w:rPr>
          <w:sz w:val="20"/>
          <w:szCs w:val="20"/>
          <w:color w:val="auto"/>
        </w:rPr>
      </w:pPr>
      <w:r>
        <w:rPr>
          <w:rFonts w:ascii="Arial" w:cs="Arial" w:eastAsia="Arial" w:hAnsi="Arial"/>
          <w:sz w:val="18"/>
          <w:szCs w:val="18"/>
          <w:b w:val="1"/>
          <w:bCs w:val="1"/>
          <w:color w:val="auto"/>
        </w:rPr>
        <w:t>14.1.1. Inventorship</w:t>
      </w:r>
      <w:r>
        <w:rPr>
          <w:rFonts w:ascii="Arial" w:cs="Arial" w:eastAsia="Arial" w:hAnsi="Arial"/>
          <w:sz w:val="18"/>
          <w:szCs w:val="18"/>
          <w:color w:val="auto"/>
        </w:rPr>
        <w:t>. Inventorship for inventions made during the course of the performance of the Collaboration shall be determined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United States patent laws for determining inventorship, provided it does not interfere with any local patent laws in a given country or territory (each a “</w:t>
      </w:r>
      <w:r>
        <w:rPr>
          <w:rFonts w:ascii="Arial" w:cs="Arial" w:eastAsia="Arial" w:hAnsi="Arial"/>
          <w:sz w:val="18"/>
          <w:szCs w:val="18"/>
          <w:b w:val="1"/>
          <w:bCs w:val="1"/>
          <w:color w:val="auto"/>
        </w:rPr>
        <w:t>Local Law</w:t>
      </w:r>
      <w:r>
        <w:rPr>
          <w:rFonts w:ascii="Arial" w:cs="Arial" w:eastAsia="Arial" w:hAnsi="Arial"/>
          <w:sz w:val="18"/>
          <w:szCs w:val="18"/>
          <w:color w:val="auto"/>
        </w:rPr>
        <w:t>”) and in such case, the Parties will seek to adapt to such Local Law with a view to providing the Parties with the best patent protection available.</w:t>
      </w:r>
    </w:p>
    <w:p>
      <w:pPr>
        <w:spacing w:after="0" w:line="72" w:lineRule="exact"/>
        <w:rPr>
          <w:sz w:val="20"/>
          <w:szCs w:val="20"/>
          <w:color w:val="auto"/>
        </w:rPr>
      </w:pPr>
    </w:p>
    <w:p>
      <w:pPr>
        <w:ind w:left="444" w:right="240" w:firstLine="423"/>
        <w:spacing w:after="0" w:line="282" w:lineRule="auto"/>
        <w:rPr>
          <w:sz w:val="20"/>
          <w:szCs w:val="20"/>
          <w:color w:val="auto"/>
        </w:rPr>
      </w:pPr>
      <w:r>
        <w:rPr>
          <w:rFonts w:ascii="Arial" w:cs="Arial" w:eastAsia="Arial" w:hAnsi="Arial"/>
          <w:sz w:val="18"/>
          <w:szCs w:val="18"/>
          <w:b w:val="1"/>
          <w:bCs w:val="1"/>
          <w:color w:val="auto"/>
        </w:rPr>
        <w:t>14.1.2. Ownership of Technology</w:t>
      </w:r>
      <w:r>
        <w:rPr>
          <w:rFonts w:ascii="Arial" w:cs="Arial" w:eastAsia="Arial" w:hAnsi="Arial"/>
          <w:sz w:val="18"/>
          <w:szCs w:val="18"/>
          <w:color w:val="auto"/>
        </w:rPr>
        <w:t>. Repare shall own the entire right, title and interest in and to all Repare Technology. Ono shall own the</w:t>
      </w:r>
      <w:r>
        <w:rPr>
          <w:rFonts w:ascii="Arial" w:cs="Arial" w:eastAsia="Arial" w:hAnsi="Arial"/>
          <w:sz w:val="18"/>
          <w:szCs w:val="18"/>
          <w:b w:val="1"/>
          <w:bCs w:val="1"/>
          <w:color w:val="auto"/>
        </w:rPr>
        <w:t xml:space="preserve"> </w:t>
      </w:r>
      <w:r>
        <w:rPr>
          <w:rFonts w:ascii="Arial" w:cs="Arial" w:eastAsia="Arial" w:hAnsi="Arial"/>
          <w:sz w:val="18"/>
          <w:szCs w:val="18"/>
          <w:color w:val="auto"/>
        </w:rPr>
        <w:t>entire right, title and interest in and to all Ono Technology. The Parties shall jointly own any Joint Technology.</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4"/>
          </w:cols>
          <w:pgMar w:left="436" w:top="275" w:right="439" w:bottom="1440" w:gutter="0" w:footer="0" w:header="0"/>
        </w:sectPr>
      </w:pPr>
    </w:p>
    <w:bookmarkStart w:id="625" w:name="page626"/>
    <w:bookmarkEnd w:id="625"/>
    <w:p>
      <w:pPr>
        <w:ind w:right="80" w:firstLine="423"/>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14.1.3. Employee Assignment</w:t>
      </w:r>
      <w:r>
        <w:rPr>
          <w:rFonts w:ascii="Arial" w:cs="Arial" w:eastAsia="Arial" w:hAnsi="Arial"/>
          <w:sz w:val="16"/>
          <w:szCs w:val="16"/>
          <w:color w:val="auto"/>
        </w:rPr>
        <w:t>. Each Party shall ensure that all of its employees and all of its Affiliates’ employees acting under its or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authority in the performance of this Agreement assign to such Party under a binding written agreement all Know-How and Patent Rights discovered, made, conceived by such employee as a result of such employee’s employment. In the case of all Third Parties acting in the performance a Party’s obligations under this Agreement, such as consultants, subcontractors, licensees, Sublicensees, outside contractors, clinical investigators, agents, or non-employees working for non-profit academic institutions, the Party that engages such Third Party shall ensure that such Third Party is also so obligated under such an agreement, unless otherwise approved by the Parties.</w:t>
      </w:r>
    </w:p>
    <w:p>
      <w:pPr>
        <w:spacing w:after="0" w:line="52" w:lineRule="exact"/>
        <w:rPr>
          <w:sz w:val="20"/>
          <w:szCs w:val="20"/>
          <w:color w:val="auto"/>
        </w:rPr>
      </w:pPr>
    </w:p>
    <w:p>
      <w:pPr>
        <w:ind w:firstLine="423"/>
        <w:spacing w:after="0" w:line="256" w:lineRule="auto"/>
        <w:rPr>
          <w:sz w:val="20"/>
          <w:szCs w:val="20"/>
          <w:color w:val="auto"/>
        </w:rPr>
      </w:pPr>
      <w:r>
        <w:rPr>
          <w:rFonts w:ascii="Arial" w:cs="Arial" w:eastAsia="Arial" w:hAnsi="Arial"/>
          <w:sz w:val="18"/>
          <w:szCs w:val="18"/>
          <w:b w:val="1"/>
          <w:bCs w:val="1"/>
          <w:color w:val="auto"/>
        </w:rPr>
        <w:t>14.1.4. Right to Practice Joint Technology</w:t>
      </w:r>
      <w:r>
        <w:rPr>
          <w:rFonts w:ascii="Arial" w:cs="Arial" w:eastAsia="Arial" w:hAnsi="Arial"/>
          <w:sz w:val="18"/>
          <w:szCs w:val="18"/>
          <w:color w:val="auto"/>
        </w:rPr>
        <w:t>. Subject to the rights and licenses granted to, and the obligations (including royalty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and the exclusivity obligations set forth in </w:t>
      </w:r>
      <w:r>
        <w:rPr>
          <w:rFonts w:ascii="Arial" w:cs="Arial" w:eastAsia="Arial" w:hAnsi="Arial"/>
          <w:sz w:val="18"/>
          <w:szCs w:val="18"/>
          <w:u w:val="single" w:color="auto"/>
          <w:color w:val="auto"/>
        </w:rPr>
        <w:t>Section 12.4</w:t>
      </w:r>
      <w:r>
        <w:rPr>
          <w:rFonts w:ascii="Arial" w:cs="Arial" w:eastAsia="Arial" w:hAnsi="Arial"/>
          <w:sz w:val="18"/>
          <w:szCs w:val="18"/>
          <w:color w:val="auto"/>
        </w:rPr>
        <w:t>) of each Party, either Party is entitled to practice Joint Technology for all purposes on a worldwide basis and license Joint Technology without consent of and without a duty of accounting to the other Party. Each Party will grant and hereby does grant all permissions, consents and waivers with respect to, and all licenses under, the Joint Technology, throughout the world, necessary to provide the other Party with such rights of use and exploitation of the Joint Technology, and will execute documents as necessary to accomplish the foregoing.</w:t>
      </w:r>
    </w:p>
    <w:p>
      <w:pPr>
        <w:spacing w:after="0" w:line="79" w:lineRule="exact"/>
        <w:rPr>
          <w:sz w:val="20"/>
          <w:szCs w:val="20"/>
          <w:color w:val="auto"/>
        </w:rPr>
      </w:pPr>
    </w:p>
    <w:p>
      <w:pPr>
        <w:jc w:val="both"/>
        <w:ind w:right="80" w:firstLine="423"/>
        <w:spacing w:after="0" w:line="266" w:lineRule="auto"/>
        <w:rPr>
          <w:sz w:val="20"/>
          <w:szCs w:val="20"/>
          <w:color w:val="auto"/>
        </w:rPr>
      </w:pPr>
      <w:r>
        <w:rPr>
          <w:rFonts w:ascii="Arial" w:cs="Arial" w:eastAsia="Arial" w:hAnsi="Arial"/>
          <w:sz w:val="18"/>
          <w:szCs w:val="18"/>
          <w:b w:val="1"/>
          <w:bCs w:val="1"/>
          <w:color w:val="auto"/>
        </w:rPr>
        <w:t xml:space="preserve">14.1.5. Disclosure. </w:t>
      </w:r>
      <w:r>
        <w:rPr>
          <w:rFonts w:ascii="Arial" w:cs="Arial" w:eastAsia="Arial" w:hAnsi="Arial"/>
          <w:sz w:val="18"/>
          <w:szCs w:val="18"/>
          <w:color w:val="auto"/>
        </w:rPr>
        <w:t>Each Party shall promptly disclose to the other Party any invention, whether patentable or not, made in the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of its Collaboration under this Agreement and the Parties shall discuss and determine each Party’s sharing of the costs and expenses, and interest of Joint Patent Rights.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b w:val="1"/>
          <w:bCs w:val="1"/>
          <w:u w:val="single" w:color="auto"/>
          <w:color w:val="auto"/>
        </w:rPr>
        <w:t>Prosecution and Maintenance of Patent Rights</w:t>
      </w:r>
      <w:r>
        <w:rPr>
          <w:rFonts w:ascii="Arial" w:cs="Arial" w:eastAsia="Arial" w:hAnsi="Arial"/>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14.2.1. Prosecution of Repare Patent Rights and Joint Patent Rights</w:t>
      </w:r>
      <w:r>
        <w:rPr>
          <w:rFonts w:ascii="Arial" w:cs="Arial" w:eastAsia="Arial" w:hAnsi="Arial"/>
          <w:sz w:val="18"/>
          <w:szCs w:val="18"/>
          <w:color w:val="auto"/>
        </w:rPr>
        <w:t>.</w:t>
      </w:r>
    </w:p>
    <w:p>
      <w:pPr>
        <w:spacing w:after="0" w:line="117" w:lineRule="exact"/>
        <w:rPr>
          <w:sz w:val="20"/>
          <w:szCs w:val="20"/>
          <w:color w:val="auto"/>
        </w:rPr>
      </w:pPr>
    </w:p>
    <w:p>
      <w:pPr>
        <w:jc w:val="both"/>
        <w:ind w:left="540" w:right="460" w:firstLine="401"/>
        <w:spacing w:after="0" w:line="347" w:lineRule="auto"/>
        <w:rPr>
          <w:sz w:val="20"/>
          <w:szCs w:val="20"/>
          <w:color w:val="auto"/>
        </w:rPr>
      </w:pPr>
      <w:r>
        <w:rPr>
          <w:rFonts w:ascii="Arial" w:cs="Arial" w:eastAsia="Arial" w:hAnsi="Arial"/>
          <w:sz w:val="16"/>
          <w:szCs w:val="16"/>
          <w:b w:val="1"/>
          <w:bCs w:val="1"/>
          <w:color w:val="auto"/>
        </w:rPr>
        <w:t xml:space="preserve">14.2.1.1. </w:t>
      </w:r>
      <w:r>
        <w:rPr>
          <w:rFonts w:ascii="Arial" w:cs="Arial" w:eastAsia="Arial" w:hAnsi="Arial"/>
          <w:sz w:val="16"/>
          <w:szCs w:val="16"/>
          <w:color w:val="auto"/>
        </w:rPr>
        <w:t>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14.2.1.3</w:t>
      </w:r>
      <w:r>
        <w:rPr>
          <w:rFonts w:ascii="Arial" w:cs="Arial" w:eastAsia="Arial" w:hAnsi="Arial"/>
          <w:sz w:val="16"/>
          <w:szCs w:val="16"/>
          <w:color w:val="auto"/>
        </w:rPr>
        <w:t>, Repare has the sole responsibility to, at Repare’s discretion and at Repare’s sole cost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file, prosecute, and maintain all Repare Patent Rights throughout the world, and Joint Patent Rights in the Repare Territory.</w:t>
      </w:r>
    </w:p>
    <w:p>
      <w:pPr>
        <w:spacing w:after="0" w:line="8" w:lineRule="exact"/>
        <w:rPr>
          <w:sz w:val="20"/>
          <w:szCs w:val="20"/>
          <w:color w:val="auto"/>
        </w:rPr>
      </w:pPr>
    </w:p>
    <w:p>
      <w:pPr>
        <w:ind w:left="540" w:right="60" w:firstLine="401"/>
        <w:spacing w:after="0" w:line="289" w:lineRule="auto"/>
        <w:rPr>
          <w:sz w:val="20"/>
          <w:szCs w:val="20"/>
          <w:color w:val="auto"/>
        </w:rPr>
      </w:pPr>
      <w:r>
        <w:rPr>
          <w:rFonts w:ascii="Arial" w:cs="Arial" w:eastAsia="Arial" w:hAnsi="Arial"/>
          <w:sz w:val="16"/>
          <w:szCs w:val="16"/>
          <w:b w:val="1"/>
          <w:bCs w:val="1"/>
          <w:color w:val="auto"/>
        </w:rPr>
        <w:t xml:space="preserve">14.2.1.2. </w:t>
      </w:r>
      <w:r>
        <w:rPr>
          <w:rFonts w:ascii="Arial" w:cs="Arial" w:eastAsia="Arial" w:hAnsi="Arial"/>
          <w:sz w:val="16"/>
          <w:szCs w:val="16"/>
          <w:color w:val="auto"/>
        </w:rPr>
        <w:t>Repare shall furnish to Ono, via electronic mail or such other method as mutually agreed by the Parties, copies of</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received from outside counsel in the course of filing, prosecution or maintenance of or copies of documents filed with, or material communications with, the relevant national or regional patent offices with respect to the filing, prosecution, and maintenance of all Repare Patent Rights in the Ono Territory, and Joint Patent Rights in the Repare Territory, within a reasonable time after the receipt or filing of such documents. Repare shall provide Ono and its patent counsel with a reasonable opportunity to consult with and provide comments to Repare and its patent counsel regarding the filing and contents of any such application, amendment, submission or response. All timely advice and suggestions of Ono and its patent counsel shall be taken into consideration in good faith by Repare and its patent counsel in connection with such filing. Repare shall pursue in good faith all reasonable claims requested by Ono in the prosecution of any Repare Patent Rights throughout the world, or Joint Patent Rights in the Repare Territory.</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540"/>
          </w:cols>
          <w:pgMar w:left="880" w:top="270" w:right="479" w:bottom="1440" w:gutter="0" w:footer="0" w:header="0"/>
        </w:sectPr>
      </w:pPr>
    </w:p>
    <w:bookmarkStart w:id="626" w:name="page627"/>
    <w:bookmarkEnd w:id="626"/>
    <w:p>
      <w:pPr>
        <w:ind w:left="120" w:right="20" w:firstLine="401"/>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14.2.1.3. </w:t>
      </w:r>
      <w:r>
        <w:rPr>
          <w:rFonts w:ascii="Arial" w:cs="Arial" w:eastAsia="Arial" w:hAnsi="Arial"/>
          <w:sz w:val="16"/>
          <w:szCs w:val="16"/>
          <w:color w:val="auto"/>
        </w:rPr>
        <w:t>In the event that Repare elects not to maintain patent protection on any Repare Patent Rights in the Ono Territory, or Joint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Patent Rights in the Repare Territory, Repare shall notify Ono at least [***] before any such Patent Rights would become abandoned or otherwise forfeited, and subject to the provisions of any applicable Repare In-License, Repare shall assign all of its right, title and interest in and to such Repare Patent Rights or Joint Patent Rights to Ono at Ono’s sole cost and expense, and such Repare Patent Rights or Joint Patent Rights shall become Ono Patent Rights or Ono Know-How,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assignment is not possible, then Ono shall have the right (but not the obligation), at its sole cost and expense, to prosecute and maintain in any country in the Ono Territory or the Repare Territory, as applicable, patent protection on such Repare Patent Rights or Joint Patent Right in the name of Repare. Repare shall use commercially reasonable efforts to make available to Ono its authorized attorneys, agents or representatives, or such of its employees as are reasonably necessary to assist Ono in maintaining and defending the patent protection described under this</w:t>
      </w:r>
    </w:p>
    <w:p>
      <w:pPr>
        <w:spacing w:after="0" w:line="3"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u w:val="single" w:color="auto"/>
          <w:color w:val="auto"/>
        </w:rPr>
        <w:t>Section 14.2.1.3</w:t>
      </w:r>
      <w:r>
        <w:rPr>
          <w:rFonts w:ascii="Arial" w:cs="Arial" w:eastAsia="Arial" w:hAnsi="Arial"/>
          <w:sz w:val="18"/>
          <w:szCs w:val="18"/>
          <w:color w:val="auto"/>
        </w:rPr>
        <w:t>. Repare shall sign or use commercially reasonable efforts to have signed all legal documents as are reasonably necessary to maintain, prosecute and defend such patents and patent applications.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14.2.2. Prosecution and Maintenance of Ono Patent Rights and Joint Patent Rights</w:t>
      </w:r>
      <w:r>
        <w:rPr>
          <w:rFonts w:ascii="Arial" w:cs="Arial" w:eastAsia="Arial" w:hAnsi="Arial"/>
          <w:sz w:val="18"/>
          <w:szCs w:val="18"/>
          <w:color w:val="auto"/>
        </w:rPr>
        <w:t>.</w:t>
      </w:r>
    </w:p>
    <w:p>
      <w:pPr>
        <w:spacing w:after="0" w:line="117" w:lineRule="exact"/>
        <w:rPr>
          <w:sz w:val="20"/>
          <w:szCs w:val="20"/>
          <w:color w:val="auto"/>
        </w:rPr>
      </w:pPr>
    </w:p>
    <w:p>
      <w:pPr>
        <w:ind w:left="120" w:right="640" w:firstLine="401"/>
        <w:spacing w:after="0" w:line="312" w:lineRule="auto"/>
        <w:rPr>
          <w:sz w:val="20"/>
          <w:szCs w:val="20"/>
          <w:color w:val="auto"/>
        </w:rPr>
      </w:pPr>
      <w:r>
        <w:rPr>
          <w:rFonts w:ascii="Arial" w:cs="Arial" w:eastAsia="Arial" w:hAnsi="Arial"/>
          <w:sz w:val="17"/>
          <w:szCs w:val="17"/>
          <w:b w:val="1"/>
          <w:bCs w:val="1"/>
          <w:color w:val="auto"/>
        </w:rPr>
        <w:t xml:space="preserve">14.2.2.1. </w:t>
      </w:r>
      <w:r>
        <w:rPr>
          <w:rFonts w:ascii="Arial" w:cs="Arial" w:eastAsia="Arial" w:hAnsi="Arial"/>
          <w:sz w:val="17"/>
          <w:szCs w:val="17"/>
          <w:color w:val="auto"/>
        </w:rPr>
        <w:t>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14.2.2.3</w:t>
      </w:r>
      <w:r>
        <w:rPr>
          <w:rFonts w:ascii="Arial" w:cs="Arial" w:eastAsia="Arial" w:hAnsi="Arial"/>
          <w:sz w:val="17"/>
          <w:szCs w:val="17"/>
          <w:color w:val="auto"/>
        </w:rPr>
        <w:t>, Ono shall have the sole responsibility to, at Ono’s discretion and at Ono’s sole cost and</w:t>
      </w:r>
      <w:r>
        <w:rPr>
          <w:rFonts w:ascii="Arial" w:cs="Arial" w:eastAsia="Arial" w:hAnsi="Arial"/>
          <w:sz w:val="17"/>
          <w:szCs w:val="17"/>
          <w:b w:val="1"/>
          <w:bCs w:val="1"/>
          <w:color w:val="auto"/>
        </w:rPr>
        <w:t xml:space="preserve"> </w:t>
      </w:r>
      <w:r>
        <w:rPr>
          <w:rFonts w:ascii="Arial" w:cs="Arial" w:eastAsia="Arial" w:hAnsi="Arial"/>
          <w:sz w:val="17"/>
          <w:szCs w:val="17"/>
          <w:color w:val="auto"/>
        </w:rPr>
        <w:t>expense, file, prosecute, and maintain all Ono Patent Rights, and the Joint Patent Rights in the Ono Territory.</w:t>
      </w:r>
    </w:p>
    <w:p>
      <w:pPr>
        <w:spacing w:after="0" w:line="32" w:lineRule="exact"/>
        <w:rPr>
          <w:sz w:val="20"/>
          <w:szCs w:val="20"/>
          <w:color w:val="auto"/>
        </w:rPr>
      </w:pPr>
    </w:p>
    <w:p>
      <w:pPr>
        <w:ind w:left="120" w:right="20" w:firstLine="401"/>
        <w:spacing w:after="0" w:line="271" w:lineRule="auto"/>
        <w:rPr>
          <w:sz w:val="20"/>
          <w:szCs w:val="20"/>
          <w:color w:val="auto"/>
        </w:rPr>
      </w:pPr>
      <w:r>
        <w:rPr>
          <w:rFonts w:ascii="Arial" w:cs="Arial" w:eastAsia="Arial" w:hAnsi="Arial"/>
          <w:sz w:val="17"/>
          <w:szCs w:val="17"/>
          <w:b w:val="1"/>
          <w:bCs w:val="1"/>
          <w:color w:val="auto"/>
        </w:rPr>
        <w:t xml:space="preserve">14.2.2.2. </w:t>
      </w:r>
      <w:r>
        <w:rPr>
          <w:rFonts w:ascii="Arial" w:cs="Arial" w:eastAsia="Arial" w:hAnsi="Arial"/>
          <w:sz w:val="17"/>
          <w:szCs w:val="17"/>
          <w:color w:val="auto"/>
        </w:rPr>
        <w:t>Ono shall furnish to Repare, via electronic mail or such other method as mutually agreed by the Parties, copies of</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received from outside counsel in the course of filing, prosecution or maintenance of or copies of documents filed with, or material communications with, the relevant national patent offices with respect to the filing, prosecution, and maintenance of all Ono Patent Rights in the Repare Territory, and Joint Patent Rights in the Ono Territory, within a reasonable time after the receipt or filing of such documents. Ono shall provide Repare and its patent counsel with a reasonable opportunity to consult with and provide comments to Ono and its patent counsel regarding the filing and contents of any such application, amendment, submission or response. All timely advice and suggestions of Repare and its patent counsel shall be taken into consideration in good faith by Ono and its patent counsel in connection with such filing. Ono shall pursue in good faith all reasonable claims requested by Repare in the prosecution of any Ono Patent Rights in the Repare Territory or Joint Patent Rights in the Ono Territory.</w:t>
      </w:r>
    </w:p>
    <w:p>
      <w:pPr>
        <w:spacing w:after="0" w:line="66" w:lineRule="exact"/>
        <w:rPr>
          <w:sz w:val="20"/>
          <w:szCs w:val="20"/>
          <w:color w:val="auto"/>
        </w:rPr>
      </w:pPr>
    </w:p>
    <w:p>
      <w:pPr>
        <w:ind w:left="120" w:firstLine="401"/>
        <w:spacing w:after="0" w:line="303" w:lineRule="auto"/>
        <w:rPr>
          <w:sz w:val="20"/>
          <w:szCs w:val="20"/>
          <w:color w:val="auto"/>
        </w:rPr>
      </w:pPr>
      <w:r>
        <w:rPr>
          <w:rFonts w:ascii="Arial" w:cs="Arial" w:eastAsia="Arial" w:hAnsi="Arial"/>
          <w:sz w:val="16"/>
          <w:szCs w:val="16"/>
          <w:b w:val="1"/>
          <w:bCs w:val="1"/>
          <w:color w:val="auto"/>
        </w:rPr>
        <w:t xml:space="preserve">14.2.2.3. </w:t>
      </w:r>
      <w:r>
        <w:rPr>
          <w:rFonts w:ascii="Arial" w:cs="Arial" w:eastAsia="Arial" w:hAnsi="Arial"/>
          <w:sz w:val="16"/>
          <w:szCs w:val="16"/>
          <w:color w:val="auto"/>
        </w:rPr>
        <w:t>In the event that Ono elects not to maintain patent protection on any Ono Patent Rights in the Repare Territory, or Joint</w:t>
      </w:r>
      <w:r>
        <w:rPr>
          <w:rFonts w:ascii="Arial" w:cs="Arial" w:eastAsia="Arial" w:hAnsi="Arial"/>
          <w:sz w:val="16"/>
          <w:szCs w:val="16"/>
          <w:b w:val="1"/>
          <w:bCs w:val="1"/>
          <w:color w:val="auto"/>
        </w:rPr>
        <w:t xml:space="preserve"> </w:t>
      </w:r>
      <w:r>
        <w:rPr>
          <w:rFonts w:ascii="Arial" w:cs="Arial" w:eastAsia="Arial" w:hAnsi="Arial"/>
          <w:sz w:val="16"/>
          <w:szCs w:val="16"/>
          <w:color w:val="auto"/>
        </w:rPr>
        <w:t>Patent Rights in the Ono Territory, Ono shall notify Repare at least [***] before any such Patent Rights would become abandoned or otherwise forfeited, and subject to the provisions of any applicable Ono In-License, Ono shall assign all of its right, title and interest in and to such Ono Patent Rights or Joint Patent Rights to Repare at Repare’s sole cost and expense, and such Ono Patent Rights</w:t>
      </w:r>
    </w:p>
    <w:p>
      <w:pPr>
        <w:spacing w:after="0" w:line="8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140"/>
          </w:cols>
          <w:pgMar w:left="1300" w:top="271" w:right="459" w:bottom="1440" w:gutter="0" w:footer="0" w:header="0"/>
        </w:sectPr>
      </w:pPr>
    </w:p>
    <w:bookmarkStart w:id="627" w:name="page628"/>
    <w:bookmarkEnd w:id="627"/>
    <w:p>
      <w:pPr>
        <w:ind w:left="5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 Joint Patent Rights shall become Repare Patent Rights; provided that, if such assignment is not possible, then Repare shall have the right (but not the obligation), at its sole cost and expense, to maintain in any country in the Repare Territory or the Ono Territory, as applicable, patent protection on such Ono Patent Rights or Joint Patent Rights in the name of Ono. Ono shall use commercially reasonable efforts to make available to Repare its authorized attorneys, agents or representatives, or such of its employees as are reasonably necessary to assist Repare in maintaining and defending the patent protection described under this </w:t>
      </w:r>
      <w:r>
        <w:rPr>
          <w:rFonts w:ascii="Arial" w:cs="Arial" w:eastAsia="Arial" w:hAnsi="Arial"/>
          <w:sz w:val="18"/>
          <w:szCs w:val="18"/>
          <w:u w:val="single" w:color="auto"/>
          <w:color w:val="auto"/>
        </w:rPr>
        <w:t>Section 14.2.2.3</w:t>
      </w:r>
      <w:r>
        <w:rPr>
          <w:rFonts w:ascii="Arial" w:cs="Arial" w:eastAsia="Arial" w:hAnsi="Arial"/>
          <w:sz w:val="18"/>
          <w:szCs w:val="18"/>
          <w:color w:val="auto"/>
        </w:rPr>
        <w:t>. Ono shall sign or use commercially reasonable efforts to have signed all legal documents as are reasonably necessary to maintain, prosecute and defend such patents and patent applications.</w:t>
      </w:r>
    </w:p>
    <w:p>
      <w:pPr>
        <w:spacing w:after="0" w:line="83" w:lineRule="exact"/>
        <w:rPr>
          <w:sz w:val="20"/>
          <w:szCs w:val="20"/>
          <w:color w:val="auto"/>
        </w:rPr>
      </w:pPr>
    </w:p>
    <w:p>
      <w:pPr>
        <w:ind w:left="540" w:right="120" w:firstLine="401"/>
        <w:spacing w:after="0" w:line="274" w:lineRule="auto"/>
        <w:rPr>
          <w:sz w:val="20"/>
          <w:szCs w:val="20"/>
          <w:color w:val="auto"/>
        </w:rPr>
      </w:pPr>
      <w:r>
        <w:rPr>
          <w:rFonts w:ascii="Arial" w:cs="Arial" w:eastAsia="Arial" w:hAnsi="Arial"/>
          <w:sz w:val="17"/>
          <w:szCs w:val="17"/>
          <w:b w:val="1"/>
          <w:bCs w:val="1"/>
          <w:color w:val="auto"/>
        </w:rPr>
        <w:t>14.2.3. Cooperation</w:t>
      </w:r>
      <w:r>
        <w:rPr>
          <w:rFonts w:ascii="Arial" w:cs="Arial" w:eastAsia="Arial" w:hAnsi="Arial"/>
          <w:sz w:val="17"/>
          <w:szCs w:val="17"/>
          <w:color w:val="auto"/>
        </w:rPr>
        <w:t>. Each Party hereby agrees: (a) to make its employees, agents and consultants reasonably available to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 (or to the other Party’s authorized attorneys, agents or representatives), to the extent reasonably necessary to enable such Party to undertake patent prosecution as contemplated by this Agreement; (b) to cooperate, if necessary and appropriate, with the other Party in gaining patent term extensions wherever applicable to patents that are subject to this Agreement; and (c) to endeavor in good faith to coordinate its efforts with the other Party to minimize or avoid interference with the prosecution and maintenance of the other Party’s patent applications that are subject to this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b w:val="1"/>
          <w:bCs w:val="1"/>
          <w:u w:val="single" w:color="auto"/>
          <w:color w:val="auto"/>
        </w:rPr>
        <w:t>Third Party Infringement</w:t>
      </w:r>
      <w:r>
        <w:rPr>
          <w:rFonts w:ascii="Arial" w:cs="Arial" w:eastAsia="Arial" w:hAnsi="Arial"/>
          <w:sz w:val="18"/>
          <w:szCs w:val="18"/>
          <w:b w:val="1"/>
          <w:bCs w:val="1"/>
          <w:color w:val="auto"/>
        </w:rPr>
        <w:t>.</w:t>
      </w:r>
    </w:p>
    <w:p>
      <w:pPr>
        <w:spacing w:after="0" w:line="117" w:lineRule="exact"/>
        <w:rPr>
          <w:sz w:val="20"/>
          <w:szCs w:val="20"/>
          <w:color w:val="auto"/>
        </w:rPr>
      </w:pPr>
    </w:p>
    <w:p>
      <w:pPr>
        <w:ind w:right="60" w:firstLine="423"/>
        <w:spacing w:after="0" w:line="258" w:lineRule="auto"/>
        <w:rPr>
          <w:sz w:val="20"/>
          <w:szCs w:val="20"/>
          <w:color w:val="auto"/>
        </w:rPr>
      </w:pPr>
      <w:r>
        <w:rPr>
          <w:rFonts w:ascii="Arial" w:cs="Arial" w:eastAsia="Arial" w:hAnsi="Arial"/>
          <w:sz w:val="18"/>
          <w:szCs w:val="18"/>
          <w:b w:val="1"/>
          <w:bCs w:val="1"/>
          <w:color w:val="auto"/>
        </w:rPr>
        <w:t>14.3.1. Notice of Infringement</w:t>
      </w:r>
      <w:r>
        <w:rPr>
          <w:rFonts w:ascii="Arial" w:cs="Arial" w:eastAsia="Arial" w:hAnsi="Arial"/>
          <w:sz w:val="18"/>
          <w:szCs w:val="18"/>
          <w:color w:val="auto"/>
        </w:rPr>
        <w:t>. During the Term, each Party will promptly notify the other Party in writing of any known or suspected</w:t>
      </w:r>
      <w:r>
        <w:rPr>
          <w:rFonts w:ascii="Arial" w:cs="Arial" w:eastAsia="Arial" w:hAnsi="Arial"/>
          <w:sz w:val="18"/>
          <w:szCs w:val="18"/>
          <w:b w:val="1"/>
          <w:bCs w:val="1"/>
          <w:color w:val="auto"/>
        </w:rPr>
        <w:t xml:space="preserve"> </w:t>
      </w:r>
      <w:r>
        <w:rPr>
          <w:rFonts w:ascii="Arial" w:cs="Arial" w:eastAsia="Arial" w:hAnsi="Arial"/>
          <w:sz w:val="18"/>
          <w:szCs w:val="18"/>
          <w:color w:val="auto"/>
        </w:rPr>
        <w:t>infringement or unauthorized use or misappropriation by a Third Party of Ono Technology, Repare Technology, or Joint Technology concerning any product intended for use in any Field (including development, manufacture, or commercialization) (such infringement or unauthorized use or misappropriation, “</w:t>
      </w:r>
      <w:r>
        <w:rPr>
          <w:rFonts w:ascii="Arial" w:cs="Arial" w:eastAsia="Arial" w:hAnsi="Arial"/>
          <w:sz w:val="18"/>
          <w:szCs w:val="18"/>
          <w:b w:val="1"/>
          <w:bCs w:val="1"/>
          <w:color w:val="auto"/>
        </w:rPr>
        <w:t>Competing Infringement</w:t>
      </w:r>
      <w:r>
        <w:rPr>
          <w:rFonts w:ascii="Arial" w:cs="Arial" w:eastAsia="Arial" w:hAnsi="Arial"/>
          <w:sz w:val="18"/>
          <w:szCs w:val="18"/>
          <w:color w:val="auto"/>
        </w:rPr>
        <w:t>”) of which such Party becomes aware. The notifying Party will provide the other Party with all evidence available to it supporting its belief that there is Competing Infringement.</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14.3.2. Ono’s Right to Enforce and Defend</w:t>
      </w:r>
      <w:r>
        <w:rPr>
          <w:rFonts w:ascii="Arial" w:cs="Arial" w:eastAsia="Arial" w:hAnsi="Arial"/>
          <w:sz w:val="18"/>
          <w:szCs w:val="18"/>
          <w:color w:val="auto"/>
        </w:rPr>
        <w:t>.</w:t>
      </w:r>
    </w:p>
    <w:p>
      <w:pPr>
        <w:spacing w:after="0" w:line="117" w:lineRule="exact"/>
        <w:rPr>
          <w:sz w:val="20"/>
          <w:szCs w:val="20"/>
          <w:color w:val="auto"/>
        </w:rPr>
      </w:pPr>
    </w:p>
    <w:p>
      <w:pPr>
        <w:ind w:left="540" w:right="20" w:firstLine="401"/>
        <w:spacing w:after="0" w:line="269" w:lineRule="auto"/>
        <w:rPr>
          <w:sz w:val="20"/>
          <w:szCs w:val="20"/>
          <w:color w:val="auto"/>
        </w:rPr>
      </w:pPr>
      <w:r>
        <w:rPr>
          <w:rFonts w:ascii="Arial" w:cs="Arial" w:eastAsia="Arial" w:hAnsi="Arial"/>
          <w:sz w:val="17"/>
          <w:szCs w:val="17"/>
          <w:b w:val="1"/>
          <w:bCs w:val="1"/>
          <w:color w:val="auto"/>
        </w:rPr>
        <w:t xml:space="preserve">14.3.2.1. </w:t>
      </w:r>
      <w:r>
        <w:rPr>
          <w:rFonts w:ascii="Arial" w:cs="Arial" w:eastAsia="Arial" w:hAnsi="Arial"/>
          <w:sz w:val="17"/>
          <w:szCs w:val="17"/>
          <w:u w:val="single" w:color="auto"/>
          <w:color w:val="auto"/>
        </w:rPr>
        <w:t>Infringement Actions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Ono shall have (i) the sole and exclusive right, but not the obligation, to take any reasonable</w:t>
      </w:r>
      <w:r>
        <w:rPr>
          <w:rFonts w:ascii="Arial" w:cs="Arial" w:eastAsia="Arial" w:hAnsi="Arial"/>
          <w:sz w:val="17"/>
          <w:szCs w:val="17"/>
          <w:b w:val="1"/>
          <w:bCs w:val="1"/>
          <w:color w:val="auto"/>
        </w:rPr>
        <w:t xml:space="preserve"> </w:t>
      </w:r>
      <w:r>
        <w:rPr>
          <w:rFonts w:ascii="Arial" w:cs="Arial" w:eastAsia="Arial" w:hAnsi="Arial"/>
          <w:sz w:val="17"/>
          <w:szCs w:val="17"/>
          <w:color w:val="auto"/>
        </w:rPr>
        <w:t>measures it deems appropriate with respect to any Third Party’s activities concerning any Competing Infringement in the Ono Territory of any Ono Technology and (ii) subject to the provisions of any Repare In-License, a first right, but not the obligation, to take any reasonable measures it deems appropriate with respect to any Third Party’s activities concerning any Competing Infringement in the Ono Territory of any Repare Technology. Such measures may include (a) initiating or prosecuting an infringement, misappropriation or other appropriate suit or action (each an “</w:t>
      </w:r>
      <w:r>
        <w:rPr>
          <w:rFonts w:ascii="Arial" w:cs="Arial" w:eastAsia="Arial" w:hAnsi="Arial"/>
          <w:sz w:val="17"/>
          <w:szCs w:val="17"/>
          <w:b w:val="1"/>
          <w:bCs w:val="1"/>
          <w:color w:val="auto"/>
        </w:rPr>
        <w:t>Infringement Action</w:t>
      </w:r>
      <w:r>
        <w:rPr>
          <w:rFonts w:ascii="Arial" w:cs="Arial" w:eastAsia="Arial" w:hAnsi="Arial"/>
          <w:sz w:val="17"/>
          <w:szCs w:val="17"/>
          <w:color w:val="auto"/>
        </w:rPr>
        <w:t xml:space="preserve">”) in the Ono Territory, or (b) subject to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(Ono Sublicense Rights), granting adequate rights and licenses to any Third Party necessary to render continued Competitive Infringement in the Ono Territory non-infringing. Notwithstanding the foregoing, if Ono does not inform Repare that it intends to either initiate such an Infringement Action or grant adequate rights and licenses to such Third Party within [***] after Ono’s receipt of a notice of infringement pursuant to </w:t>
      </w:r>
      <w:r>
        <w:rPr>
          <w:rFonts w:ascii="Arial" w:cs="Arial" w:eastAsia="Arial" w:hAnsi="Arial"/>
          <w:sz w:val="17"/>
          <w:szCs w:val="17"/>
          <w:u w:val="single" w:color="auto"/>
          <w:color w:val="auto"/>
        </w:rPr>
        <w:t>Section 14.3.1</w:t>
      </w:r>
      <w:r>
        <w:rPr>
          <w:rFonts w:ascii="Arial" w:cs="Arial" w:eastAsia="Arial" w:hAnsi="Arial"/>
          <w:sz w:val="17"/>
          <w:szCs w:val="17"/>
          <w:color w:val="auto"/>
        </w:rPr>
        <w:t xml:space="preserve"> (Notice of Infringement), then Repare will have the second right to initiate such Infringement Action, but solely with respect to any Repare Technology.</w:t>
      </w:r>
    </w:p>
    <w:p>
      <w:pPr>
        <w:spacing w:after="0" w:line="11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520"/>
          </w:cols>
          <w:pgMar w:left="880" w:top="274" w:right="499" w:bottom="1440" w:gutter="0" w:footer="0" w:header="0"/>
        </w:sectPr>
      </w:pPr>
    </w:p>
    <w:bookmarkStart w:id="628" w:name="page629"/>
    <w:bookmarkEnd w:id="628"/>
    <w:p>
      <w:pPr>
        <w:jc w:val="both"/>
        <w:ind w:left="120" w:right="40" w:firstLine="401"/>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14.3.2.2. </w:t>
      </w:r>
      <w:r>
        <w:rPr>
          <w:rFonts w:ascii="Arial" w:cs="Arial" w:eastAsia="Arial" w:hAnsi="Arial"/>
          <w:sz w:val="17"/>
          <w:szCs w:val="17"/>
          <w:u w:val="single" w:color="auto"/>
          <w:color w:val="auto"/>
        </w:rPr>
        <w:t>Challenge Actions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Ono shall have the first right, but not the obligation, to defend any Challenge Action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Repare Technology or Ono Technology, in the Ono Territory in each case, that covers the applicable Licensed Product which is the subject of such Challenge Action. Notwithstanding the foregoing, if Ono does not inform Repare that it intends to defend such a Challenge Action with respect to any Repare Technology within [***] of such Challenge Action being filed, then Repare will have the second right, but not the obligation, to defend such Challenge Action with respect to any Repare Technology.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14.3.3. Repare’s Right to Enforce and Defend</w:t>
      </w:r>
      <w:r>
        <w:rPr>
          <w:rFonts w:ascii="Arial" w:cs="Arial" w:eastAsia="Arial" w:hAnsi="Arial"/>
          <w:sz w:val="18"/>
          <w:szCs w:val="18"/>
          <w:color w:val="auto"/>
        </w:rPr>
        <w:t>.</w:t>
      </w:r>
    </w:p>
    <w:p>
      <w:pPr>
        <w:spacing w:after="0" w:line="117" w:lineRule="exact"/>
        <w:rPr>
          <w:sz w:val="20"/>
          <w:szCs w:val="20"/>
          <w:color w:val="auto"/>
        </w:rPr>
      </w:pPr>
    </w:p>
    <w:p>
      <w:pPr>
        <w:ind w:left="120" w:firstLine="401"/>
        <w:spacing w:after="0" w:line="270" w:lineRule="auto"/>
        <w:rPr>
          <w:sz w:val="20"/>
          <w:szCs w:val="20"/>
          <w:color w:val="auto"/>
        </w:rPr>
      </w:pPr>
      <w:r>
        <w:rPr>
          <w:rFonts w:ascii="Arial" w:cs="Arial" w:eastAsia="Arial" w:hAnsi="Arial"/>
          <w:sz w:val="17"/>
          <w:szCs w:val="17"/>
          <w:b w:val="1"/>
          <w:bCs w:val="1"/>
          <w:color w:val="auto"/>
        </w:rPr>
        <w:t xml:space="preserve">14.3.3.1. </w:t>
      </w:r>
      <w:r>
        <w:rPr>
          <w:rFonts w:ascii="Arial" w:cs="Arial" w:eastAsia="Arial" w:hAnsi="Arial"/>
          <w:sz w:val="17"/>
          <w:szCs w:val="17"/>
          <w:u w:val="single" w:color="auto"/>
          <w:color w:val="auto"/>
        </w:rPr>
        <w:t>Infringement Actions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Repare shall have (i) the sole and exclusive right, but not the obligation, to take any reasonable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measures it deems appropriate with respect to any Third Party’s activities concerning any Competing Infringement in the Repare Territory of any Repare Technology and (ii) subject to the provisions of any Ono In-License, a first right, but not the obligation, to take any reasonable measures it deems appropriate with respect to any Third Party’s activities concerning any Competing Infringement in the Repare Territory of any Ono Technology. Such measures may include (a) initiating or prosecuting an Infringement Action, or (b) subject to </w:t>
      </w:r>
      <w:r>
        <w:rPr>
          <w:rFonts w:ascii="Arial" w:cs="Arial" w:eastAsia="Arial" w:hAnsi="Arial"/>
          <w:sz w:val="17"/>
          <w:szCs w:val="17"/>
          <w:u w:val="single" w:color="auto"/>
          <w:color w:val="auto"/>
        </w:rPr>
        <w:t>Section 10.2.3</w:t>
      </w:r>
      <w:r>
        <w:rPr>
          <w:rFonts w:ascii="Arial" w:cs="Arial" w:eastAsia="Arial" w:hAnsi="Arial"/>
          <w:sz w:val="17"/>
          <w:szCs w:val="17"/>
          <w:color w:val="auto"/>
        </w:rPr>
        <w:t xml:space="preserve"> (Repare Sublicense Rights), granting adequate rights and licenses to any Third Party necessary to render continued Competing Infringement in the Repare Territory non-infringing. Notwithstanding the foregoing, if Repare does not inform Ono that it intends to either initiate such an Infringement Action or grant adequate rights and licenses to such Third Party within [***] after Repare’s receipt of a notice of infringement pursuant to </w:t>
      </w:r>
      <w:r>
        <w:rPr>
          <w:rFonts w:ascii="Arial" w:cs="Arial" w:eastAsia="Arial" w:hAnsi="Arial"/>
          <w:sz w:val="17"/>
          <w:szCs w:val="17"/>
          <w:u w:val="single" w:color="auto"/>
          <w:color w:val="auto"/>
        </w:rPr>
        <w:t>Section 14.3.1</w:t>
      </w:r>
      <w:r>
        <w:rPr>
          <w:rFonts w:ascii="Arial" w:cs="Arial" w:eastAsia="Arial" w:hAnsi="Arial"/>
          <w:sz w:val="17"/>
          <w:szCs w:val="17"/>
          <w:color w:val="auto"/>
        </w:rPr>
        <w:t xml:space="preserve"> (Notice of Infringement), then Ono will have the second right to initiate such Infringement Action, but solely with respect to any Ono Technology.</w:t>
      </w:r>
    </w:p>
    <w:p>
      <w:pPr>
        <w:spacing w:after="0" w:line="69" w:lineRule="exact"/>
        <w:rPr>
          <w:sz w:val="20"/>
          <w:szCs w:val="20"/>
          <w:color w:val="auto"/>
        </w:rPr>
      </w:pPr>
    </w:p>
    <w:p>
      <w:pPr>
        <w:ind w:left="120" w:right="20" w:firstLine="401"/>
        <w:spacing w:after="0" w:line="277" w:lineRule="auto"/>
        <w:rPr>
          <w:sz w:val="20"/>
          <w:szCs w:val="20"/>
          <w:color w:val="auto"/>
        </w:rPr>
      </w:pPr>
      <w:r>
        <w:rPr>
          <w:rFonts w:ascii="Arial" w:cs="Arial" w:eastAsia="Arial" w:hAnsi="Arial"/>
          <w:sz w:val="17"/>
          <w:szCs w:val="17"/>
          <w:b w:val="1"/>
          <w:bCs w:val="1"/>
          <w:color w:val="auto"/>
        </w:rPr>
        <w:t xml:space="preserve">14.3.3.2. </w:t>
      </w:r>
      <w:r>
        <w:rPr>
          <w:rFonts w:ascii="Arial" w:cs="Arial" w:eastAsia="Arial" w:hAnsi="Arial"/>
          <w:sz w:val="17"/>
          <w:szCs w:val="17"/>
          <w:u w:val="single" w:color="auto"/>
          <w:color w:val="auto"/>
        </w:rPr>
        <w:t>Challenge Actions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Repare shall have the first right, but not the obligation, to defend any Challenge Action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Repare Technology or Ono Technology, in the Repare Territory in each case, that covers the applicable Licensed Product which is the subject of such Challenge Action. Notwithstanding the foregoing, if Repare does not inform Ono that it intends to defend such a Challenge Action with respect to any Ono Technology within [***] of such Challenge Action being filed, then Ono will have the second right, but not the obligation, to defend such Challenge Action with respect to any Ono Technology.</w:t>
      </w:r>
    </w:p>
    <w:p>
      <w:pPr>
        <w:spacing w:after="0" w:line="60" w:lineRule="exact"/>
        <w:rPr>
          <w:sz w:val="20"/>
          <w:szCs w:val="20"/>
          <w:color w:val="auto"/>
        </w:rPr>
      </w:pPr>
    </w:p>
    <w:p>
      <w:pPr>
        <w:ind w:left="120" w:right="320" w:firstLine="401"/>
        <w:spacing w:after="0" w:line="347" w:lineRule="auto"/>
        <w:rPr>
          <w:sz w:val="20"/>
          <w:szCs w:val="20"/>
          <w:color w:val="auto"/>
        </w:rPr>
      </w:pPr>
      <w:r>
        <w:rPr>
          <w:rFonts w:ascii="Arial" w:cs="Arial" w:eastAsia="Arial" w:hAnsi="Arial"/>
          <w:sz w:val="16"/>
          <w:szCs w:val="16"/>
          <w:b w:val="1"/>
          <w:bCs w:val="1"/>
          <w:color w:val="auto"/>
        </w:rPr>
        <w:t xml:space="preserve">14.3.3.3. </w:t>
      </w:r>
      <w:r>
        <w:rPr>
          <w:rFonts w:ascii="Arial" w:cs="Arial" w:eastAsia="Arial" w:hAnsi="Arial"/>
          <w:sz w:val="16"/>
          <w:szCs w:val="16"/>
          <w:u w:val="single" w:color="auto"/>
          <w:color w:val="auto"/>
        </w:rPr>
        <w:t>Rights to Enforce and Defend with respect to the Joint Patents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shall discuss in good faith as to which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will become a Responsible Party in case of any Infringement Action and Challenge Action with respect to Joint Patents.</w:t>
      </w:r>
    </w:p>
    <w:p>
      <w:pPr>
        <w:spacing w:after="0" w:line="5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140"/>
          </w:cols>
          <w:pgMar w:left="1300" w:top="271" w:right="459" w:bottom="1440" w:gutter="0" w:footer="0" w:header="0"/>
        </w:sectPr>
      </w:pPr>
    </w:p>
    <w:bookmarkStart w:id="629" w:name="page630"/>
    <w:bookmarkEnd w:id="629"/>
    <w:p>
      <w:pPr>
        <w:ind w:left="440" w:firstLine="423"/>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14.3.4. Control; Cooperation</w:t>
      </w:r>
      <w:r>
        <w:rPr>
          <w:rFonts w:ascii="Arial" w:cs="Arial" w:eastAsia="Arial" w:hAnsi="Arial"/>
          <w:sz w:val="18"/>
          <w:szCs w:val="18"/>
          <w:color w:val="auto"/>
        </w:rPr>
        <w:t>. The Party initiating any Infringement Action or defending any Challenge Action with respect thereto (such</w:t>
      </w:r>
      <w:r>
        <w:rPr>
          <w:rFonts w:ascii="Arial" w:cs="Arial" w:eastAsia="Arial" w:hAnsi="Arial"/>
          <w:sz w:val="18"/>
          <w:szCs w:val="18"/>
          <w:b w:val="1"/>
          <w:bCs w:val="1"/>
          <w:color w:val="auto"/>
        </w:rPr>
        <w:t xml:space="preserve"> </w:t>
      </w:r>
      <w:r>
        <w:rPr>
          <w:rFonts w:ascii="Arial" w:cs="Arial" w:eastAsia="Arial" w:hAnsi="Arial"/>
          <w:sz w:val="18"/>
          <w:szCs w:val="18"/>
          <w:color w:val="auto"/>
        </w:rPr>
        <w:t>Party, the “</w:t>
      </w:r>
      <w:r>
        <w:rPr>
          <w:rFonts w:ascii="Arial" w:cs="Arial" w:eastAsia="Arial" w:hAnsi="Arial"/>
          <w:sz w:val="18"/>
          <w:szCs w:val="18"/>
          <w:b w:val="1"/>
          <w:bCs w:val="1"/>
          <w:color w:val="auto"/>
        </w:rPr>
        <w:t>Responsible Party</w:t>
      </w:r>
      <w:r>
        <w:rPr>
          <w:rFonts w:ascii="Arial" w:cs="Arial" w:eastAsia="Arial" w:hAnsi="Arial"/>
          <w:sz w:val="18"/>
          <w:szCs w:val="18"/>
          <w:color w:val="auto"/>
        </w:rPr>
        <w:t>”) shall have the right to control the initiation and prosecution of any Infringement Action or defense of any Challenge Action, including the right to select counsel therefor, at its own expense. If requested by the Responsible Party, the other Party shall join as a party to such Infringement Action or Challenge Action and will execute and cause its Affiliates to execute all documents necessary for the Responsible Party to initiate, prosecute, maintain or defend such action or proceeding. In addition, at the Responsible Party’s request, the other Party shall provide reasonable assistance to the Responsible Party in connection with an Infringement Action or Challenge Action at no charge to the Responsible Party except for reimbursement by the Responsible Party of reasonable Out-of-Pocket Costs incurred in rendering such assistance.</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14.3.5. Sharing of Recoveries</w:t>
      </w:r>
      <w:r>
        <w:rPr>
          <w:rFonts w:ascii="Arial" w:cs="Arial" w:eastAsia="Arial" w:hAnsi="Arial"/>
          <w:sz w:val="18"/>
          <w:szCs w:val="18"/>
          <w:color w:val="auto"/>
        </w:rPr>
        <w:t>.</w:t>
      </w:r>
    </w:p>
    <w:p>
      <w:pPr>
        <w:spacing w:after="0" w:line="117" w:lineRule="exact"/>
        <w:rPr>
          <w:sz w:val="20"/>
          <w:szCs w:val="20"/>
          <w:color w:val="auto"/>
        </w:rPr>
      </w:pPr>
    </w:p>
    <w:p>
      <w:pPr>
        <w:ind w:left="980" w:right="80" w:firstLine="401"/>
        <w:spacing w:after="0" w:line="298" w:lineRule="auto"/>
        <w:rPr>
          <w:sz w:val="20"/>
          <w:szCs w:val="20"/>
          <w:color w:val="auto"/>
        </w:rPr>
      </w:pPr>
      <w:r>
        <w:rPr>
          <w:rFonts w:ascii="Arial" w:cs="Arial" w:eastAsia="Arial" w:hAnsi="Arial"/>
          <w:sz w:val="16"/>
          <w:szCs w:val="16"/>
          <w:b w:val="1"/>
          <w:bCs w:val="1"/>
          <w:color w:val="auto"/>
        </w:rPr>
        <w:t xml:space="preserve">14.3.5.1. </w:t>
      </w:r>
      <w:r>
        <w:rPr>
          <w:rFonts w:ascii="Arial" w:cs="Arial" w:eastAsia="Arial" w:hAnsi="Arial"/>
          <w:sz w:val="16"/>
          <w:szCs w:val="16"/>
          <w:u w:val="single" w:color="auto"/>
          <w:color w:val="auto"/>
        </w:rPr>
        <w:t>Recoveries in the Ono Territory</w:t>
      </w:r>
      <w:r>
        <w:rPr>
          <w:rFonts w:ascii="Arial" w:cs="Arial" w:eastAsia="Arial" w:hAnsi="Arial"/>
          <w:sz w:val="16"/>
          <w:szCs w:val="16"/>
          <w:color w:val="auto"/>
        </w:rPr>
        <w:t>. Any amounts recovered by either Party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14.3</w:t>
      </w:r>
      <w:r>
        <w:rPr>
          <w:rFonts w:ascii="Arial" w:cs="Arial" w:eastAsia="Arial" w:hAnsi="Arial"/>
          <w:sz w:val="16"/>
          <w:szCs w:val="16"/>
          <w:b w:val="1"/>
          <w:bCs w:val="1"/>
          <w:color w:val="auto"/>
        </w:rPr>
        <w:t xml:space="preserve"> </w:t>
      </w:r>
      <w:r>
        <w:rPr>
          <w:rFonts w:ascii="Arial" w:cs="Arial" w:eastAsia="Arial" w:hAnsi="Arial"/>
          <w:sz w:val="16"/>
          <w:szCs w:val="16"/>
          <w:color w:val="auto"/>
        </w:rPr>
        <w:t>(Third Party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Infringement) in the Ono Territory will be used first to reimburse the Parties for their reasonable costs and expenses, including attorneys’ fees incurred in making such recovery (which amounts will be allocated pro rata if insufficient to cover the totality of such expenses) with any remainder (i) if Ono controls such enforcement action, to be retained by Ono and deemed Net Sales and subject to royalty payment under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and (ii) if Repare controls such enforcement action, to be allocated [***] to Ono and [***] to Repare.</w:t>
      </w:r>
    </w:p>
    <w:p>
      <w:pPr>
        <w:spacing w:after="0" w:line="46" w:lineRule="exact"/>
        <w:rPr>
          <w:sz w:val="20"/>
          <w:szCs w:val="20"/>
          <w:color w:val="auto"/>
        </w:rPr>
      </w:pPr>
    </w:p>
    <w:p>
      <w:pPr>
        <w:ind w:left="980" w:right="400" w:firstLine="401"/>
        <w:spacing w:after="0" w:line="277" w:lineRule="auto"/>
        <w:rPr>
          <w:sz w:val="20"/>
          <w:szCs w:val="20"/>
          <w:color w:val="auto"/>
        </w:rPr>
      </w:pPr>
      <w:r>
        <w:rPr>
          <w:rFonts w:ascii="Arial" w:cs="Arial" w:eastAsia="Arial" w:hAnsi="Arial"/>
          <w:sz w:val="17"/>
          <w:szCs w:val="17"/>
          <w:b w:val="1"/>
          <w:bCs w:val="1"/>
          <w:color w:val="auto"/>
        </w:rPr>
        <w:t xml:space="preserve">14.3.5.2. </w:t>
      </w:r>
      <w:r>
        <w:rPr>
          <w:rFonts w:ascii="Arial" w:cs="Arial" w:eastAsia="Arial" w:hAnsi="Arial"/>
          <w:sz w:val="17"/>
          <w:szCs w:val="17"/>
          <w:u w:val="single" w:color="auto"/>
          <w:color w:val="auto"/>
        </w:rPr>
        <w:t>Recoveries in the Repare Territory</w:t>
      </w:r>
      <w:r>
        <w:rPr>
          <w:rFonts w:ascii="Arial" w:cs="Arial" w:eastAsia="Arial" w:hAnsi="Arial"/>
          <w:sz w:val="17"/>
          <w:szCs w:val="17"/>
          <w:color w:val="auto"/>
        </w:rPr>
        <w:t>. Any amounts recovered by either Party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14.3</w:t>
      </w:r>
      <w:r>
        <w:rPr>
          <w:rFonts w:ascii="Arial" w:cs="Arial" w:eastAsia="Arial" w:hAnsi="Arial"/>
          <w:sz w:val="17"/>
          <w:szCs w:val="17"/>
          <w:b w:val="1"/>
          <w:bCs w:val="1"/>
          <w:color w:val="auto"/>
        </w:rPr>
        <w:t xml:space="preserve"> </w:t>
      </w:r>
      <w:r>
        <w:rPr>
          <w:rFonts w:ascii="Arial" w:cs="Arial" w:eastAsia="Arial" w:hAnsi="Arial"/>
          <w:sz w:val="17"/>
          <w:szCs w:val="17"/>
          <w:color w:val="auto"/>
        </w:rPr>
        <w:t>(Third Party</w:t>
      </w:r>
      <w:r>
        <w:rPr>
          <w:rFonts w:ascii="Arial" w:cs="Arial" w:eastAsia="Arial" w:hAnsi="Arial"/>
          <w:sz w:val="17"/>
          <w:szCs w:val="17"/>
          <w:b w:val="1"/>
          <w:bCs w:val="1"/>
          <w:color w:val="auto"/>
        </w:rPr>
        <w:t xml:space="preserve"> </w:t>
      </w:r>
      <w:r>
        <w:rPr>
          <w:rFonts w:ascii="Arial" w:cs="Arial" w:eastAsia="Arial" w:hAnsi="Arial"/>
          <w:sz w:val="17"/>
          <w:szCs w:val="17"/>
          <w:color w:val="auto"/>
        </w:rPr>
        <w:t>Infringement) in the Repare Territory will be used first to reimburse the Parties for their reasonable costs and expenses, including attorneys’ fees incurred in making such recovery (which amounts will be allocated pro rata if insufficient to cover the totality of such expenses) with any (i) if Repare controls such enforcement action, to be retained by Repare and (ii) if Ono controls such enforcement action, to be allocated [***] to Repare and [***] to be retained by Ono.</w:t>
      </w:r>
    </w:p>
    <w:p>
      <w:pPr>
        <w:spacing w:after="0" w:line="168"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b w:val="1"/>
          <w:bCs w:val="1"/>
          <w:u w:val="single" w:color="auto"/>
          <w:color w:val="auto"/>
        </w:rPr>
        <w:t>Notification of Patent Certification</w:t>
      </w:r>
      <w:r>
        <w:rPr>
          <w:rFonts w:ascii="Arial" w:cs="Arial" w:eastAsia="Arial" w:hAnsi="Arial"/>
          <w:sz w:val="18"/>
          <w:szCs w:val="18"/>
          <w:color w:val="auto"/>
        </w:rPr>
        <w:t>. Repare and Ono will each notify and provide the other Party with copies of any notice of a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IV Patent Certification (including any associated documents) by a Third Party filing an ANDA, an application under §505(b)(2) of the FD&amp;C Act (as amended or any replacement thereof), or any other similar patent certification by a Third Party, and any foreign equivalent thereof. Such notification and copies will be provided to the other Party within [***] after receipt of such notification and will be sent to the address set forth in </w:t>
      </w:r>
      <w:r>
        <w:rPr>
          <w:rFonts w:ascii="Arial" w:cs="Arial" w:eastAsia="Arial" w:hAnsi="Arial"/>
          <w:sz w:val="18"/>
          <w:szCs w:val="18"/>
          <w:u w:val="single" w:color="auto"/>
          <w:color w:val="auto"/>
        </w:rPr>
        <w:t>Section 16.10</w:t>
      </w:r>
      <w:r>
        <w:rPr>
          <w:rFonts w:ascii="Arial" w:cs="Arial" w:eastAsia="Arial" w:hAnsi="Arial"/>
          <w:sz w:val="18"/>
          <w:szCs w:val="18"/>
          <w:color w:val="auto"/>
        </w:rPr>
        <w:t xml:space="preserve"> (Notices).</w:t>
      </w:r>
    </w:p>
    <w:p>
      <w:pPr>
        <w:spacing w:after="0" w:line="183"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b w:val="1"/>
          <w:bCs w:val="1"/>
          <w:u w:val="single" w:color="auto"/>
          <w:color w:val="auto"/>
        </w:rPr>
        <w:t>Third Party Claims</w:t>
      </w:r>
      <w:r>
        <w:rPr>
          <w:rFonts w:ascii="Arial" w:cs="Arial" w:eastAsia="Arial" w:hAnsi="Arial"/>
          <w:sz w:val="18"/>
          <w:szCs w:val="18"/>
          <w:color w:val="auto"/>
        </w:rPr>
        <w:t>. If a Third Party sues a Party (the “</w:t>
      </w:r>
      <w:r>
        <w:rPr>
          <w:rFonts w:ascii="Arial" w:cs="Arial" w:eastAsia="Arial" w:hAnsi="Arial"/>
          <w:sz w:val="18"/>
          <w:szCs w:val="18"/>
          <w:b w:val="1"/>
          <w:bCs w:val="1"/>
          <w:color w:val="auto"/>
        </w:rPr>
        <w:t>Sued Party</w:t>
      </w:r>
      <w:r>
        <w:rPr>
          <w:rFonts w:ascii="Arial" w:cs="Arial" w:eastAsia="Arial" w:hAnsi="Arial"/>
          <w:sz w:val="18"/>
          <w:szCs w:val="18"/>
          <w:color w:val="auto"/>
        </w:rPr>
        <w:t>”) or its Related Party alleging that the Party’s, or the Party’s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Party’s, Development, Manufacture having Manufactured or Commercialization of the Drug Candidate, Licensed Drug Candidate and Licensed Product infringes or will infringe said Third Party’s intellectual property, then upon the Sued Party’s request and in connection with the Sued Party’s defense of any such Third Party suit, the other Party will provide reasonable assistance to the Sued Party for such defense. The Sued Party will keep the other Party, if such other Party has not joined in such suit, reasonably informed on a quarterly basis, in person or by telephone, prior to and during the pendency of any such suit.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0" w:right="459" w:bottom="1440" w:gutter="0" w:footer="0" w:header="0"/>
        </w:sectPr>
      </w:pPr>
    </w:p>
    <w:bookmarkStart w:id="630" w:name="page631"/>
    <w:bookmarkEnd w:id="630"/>
    <w:p>
      <w:pPr>
        <w:jc w:val="both"/>
        <w:ind w:right="140" w:firstLine="440"/>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14.6. </w:t>
      </w:r>
      <w:r>
        <w:rPr>
          <w:rFonts w:ascii="Arial" w:cs="Arial" w:eastAsia="Arial" w:hAnsi="Arial"/>
          <w:sz w:val="16"/>
          <w:szCs w:val="16"/>
          <w:b w:val="1"/>
          <w:bCs w:val="1"/>
          <w:u w:val="single" w:color="auto"/>
          <w:color w:val="auto"/>
        </w:rPr>
        <w:t>Common Interest</w:t>
      </w:r>
      <w:r>
        <w:rPr>
          <w:rFonts w:ascii="Arial" w:cs="Arial" w:eastAsia="Arial" w:hAnsi="Arial"/>
          <w:sz w:val="16"/>
          <w:szCs w:val="16"/>
          <w:color w:val="auto"/>
        </w:rPr>
        <w:t>. All information exchanged between the Parties representatives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14</w:t>
      </w:r>
      <w:r>
        <w:rPr>
          <w:rFonts w:ascii="Arial" w:cs="Arial" w:eastAsia="Arial" w:hAnsi="Arial"/>
          <w:sz w:val="16"/>
          <w:szCs w:val="16"/>
          <w:b w:val="1"/>
          <w:bCs w:val="1"/>
          <w:color w:val="auto"/>
        </w:rPr>
        <w:t xml:space="preserve"> </w:t>
      </w:r>
      <w:r>
        <w:rPr>
          <w:rFonts w:ascii="Arial" w:cs="Arial" w:eastAsia="Arial" w:hAnsi="Arial"/>
          <w:sz w:val="16"/>
          <w:szCs w:val="16"/>
          <w:color w:val="auto"/>
        </w:rPr>
        <w:t>(Intellectual Property)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preparation, filing, prosecution, maintenance, or enforcement of Patent Rights under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(Intellectual Property) will be deemed Confidential Information. In addition, the Parties acknowledge and agree that, with regard to such preparation, filing, prosecution, maintenance, and enforcement of the Repare Patent Rights the interests of the Parties as collaborators and licensor and licensee are to obtain the strongest patent protection possible, and as such, are aligned and are legal in nature. The Parties agree and acknowledge that they have not waived, and nothing in this Agreement constitutes a waiver of, any legal privilege concerning such Patent Rights, including privilege under the common interest doctrine and similar or related doctrines.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14.7. </w:t>
      </w:r>
      <w:r>
        <w:rPr>
          <w:rFonts w:ascii="Arial" w:cs="Arial" w:eastAsia="Arial" w:hAnsi="Arial"/>
          <w:sz w:val="18"/>
          <w:szCs w:val="18"/>
          <w:b w:val="1"/>
          <w:bCs w:val="1"/>
          <w:u w:val="single" w:color="auto"/>
          <w:color w:val="auto"/>
        </w:rPr>
        <w:t>Patent Term Extensions</w:t>
      </w:r>
      <w:r>
        <w:rPr>
          <w:rFonts w:ascii="Arial" w:cs="Arial" w:eastAsia="Arial" w:hAnsi="Arial"/>
          <w:sz w:val="18"/>
          <w:szCs w:val="18"/>
          <w:color w:val="auto"/>
        </w:rPr>
        <w:t>.</w:t>
      </w:r>
    </w:p>
    <w:p>
      <w:pPr>
        <w:spacing w:after="0" w:line="225" w:lineRule="exact"/>
        <w:rPr>
          <w:sz w:val="20"/>
          <w:szCs w:val="20"/>
          <w:color w:val="auto"/>
        </w:rPr>
      </w:pPr>
    </w:p>
    <w:p>
      <w:pPr>
        <w:ind w:left="440" w:right="200" w:firstLine="423"/>
        <w:spacing w:after="0" w:line="266" w:lineRule="auto"/>
        <w:rPr>
          <w:sz w:val="20"/>
          <w:szCs w:val="20"/>
          <w:color w:val="auto"/>
        </w:rPr>
      </w:pPr>
      <w:r>
        <w:rPr>
          <w:rFonts w:ascii="Arial" w:cs="Arial" w:eastAsia="Arial" w:hAnsi="Arial"/>
          <w:sz w:val="18"/>
          <w:szCs w:val="18"/>
          <w:b w:val="1"/>
          <w:bCs w:val="1"/>
          <w:color w:val="auto"/>
        </w:rPr>
        <w:t>14.7.1. Patent Rights</w:t>
      </w:r>
      <w:r>
        <w:rPr>
          <w:rFonts w:ascii="Arial" w:cs="Arial" w:eastAsia="Arial" w:hAnsi="Arial"/>
          <w:sz w:val="18"/>
          <w:szCs w:val="18"/>
          <w:color w:val="auto"/>
        </w:rPr>
        <w:t>. Repare shall obtain all available extensions of any Repare Patent Rights and Joint Patent Rights. Ono shall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any reasonably necessary powers of attorney and shall provide any other assistance, at Repare’s sole cost and expense, that Repare reasonably requests to enable Repare to obtain any such extensions.</w:t>
      </w:r>
    </w:p>
    <w:p>
      <w:pPr>
        <w:spacing w:after="0" w:line="176"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b w:val="1"/>
          <w:bCs w:val="1"/>
          <w:u w:val="single" w:color="auto"/>
          <w:color w:val="auto"/>
        </w:rPr>
        <w:t>CREATE Act Acknowledgement</w:t>
      </w:r>
      <w:r>
        <w:rPr>
          <w:rFonts w:ascii="Arial" w:cs="Arial" w:eastAsia="Arial" w:hAnsi="Arial"/>
          <w:sz w:val="18"/>
          <w:szCs w:val="18"/>
          <w:color w:val="auto"/>
        </w:rPr>
        <w:t>. It is the intention of the Parties that this Agreement is a “joint research agreement” as that phrase is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Section 35 U.S.C. 100(h).</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b w:val="1"/>
          <w:bCs w:val="1"/>
          <w:u w:val="single" w:color="auto"/>
          <w:color w:val="auto"/>
        </w:rPr>
        <w:t>Trademarks</w:t>
      </w:r>
      <w:r>
        <w:rPr>
          <w:rFonts w:ascii="Arial" w:cs="Arial" w:eastAsia="Arial" w:hAnsi="Arial"/>
          <w:sz w:val="18"/>
          <w:szCs w:val="18"/>
          <w:color w:val="auto"/>
        </w:rPr>
        <w:t>.</w:t>
      </w:r>
    </w:p>
    <w:p>
      <w:pPr>
        <w:spacing w:after="0" w:line="117" w:lineRule="exact"/>
        <w:rPr>
          <w:sz w:val="20"/>
          <w:szCs w:val="20"/>
          <w:color w:val="auto"/>
        </w:rPr>
      </w:pPr>
    </w:p>
    <w:p>
      <w:pPr>
        <w:ind w:left="440" w:firstLine="423"/>
        <w:spacing w:after="0" w:line="286" w:lineRule="auto"/>
        <w:rPr>
          <w:sz w:val="20"/>
          <w:szCs w:val="20"/>
          <w:color w:val="auto"/>
        </w:rPr>
      </w:pPr>
      <w:r>
        <w:rPr>
          <w:rFonts w:ascii="Arial" w:cs="Arial" w:eastAsia="Arial" w:hAnsi="Arial"/>
          <w:sz w:val="16"/>
          <w:szCs w:val="16"/>
          <w:b w:val="1"/>
          <w:bCs w:val="1"/>
          <w:color w:val="auto"/>
        </w:rPr>
        <w:t xml:space="preserve">14.9.1. </w:t>
      </w:r>
      <w:r>
        <w:rPr>
          <w:rFonts w:ascii="Arial" w:cs="Arial" w:eastAsia="Arial" w:hAnsi="Arial"/>
          <w:sz w:val="16"/>
          <w:szCs w:val="16"/>
          <w:color w:val="auto"/>
        </w:rPr>
        <w:t>Both Parties acknowledge and agree that the Commercialization of the Licensed Product under a common brand name or trademark</w:t>
      </w:r>
      <w:r>
        <w:rPr>
          <w:rFonts w:ascii="Arial" w:cs="Arial" w:eastAsia="Arial" w:hAnsi="Arial"/>
          <w:sz w:val="16"/>
          <w:szCs w:val="16"/>
          <w:b w:val="1"/>
          <w:bCs w:val="1"/>
          <w:color w:val="auto"/>
        </w:rPr>
        <w:t xml:space="preserve"> </w:t>
      </w:r>
      <w:r>
        <w:rPr>
          <w:rFonts w:ascii="Arial" w:cs="Arial" w:eastAsia="Arial" w:hAnsi="Arial"/>
          <w:sz w:val="16"/>
          <w:szCs w:val="16"/>
          <w:color w:val="auto"/>
        </w:rPr>
        <w:t>throughout the world would be beneficial for both Parties in order to maximize the value of the Licensed Product. In furtherance of the foregoing, each Party shall have the right (but not the obligation) to propose to the other Party a limited number of brand names under consideration for use in Commercializing the Licensed Product and shall consider in good faith any comments the other Party has on such brand names. If the Parties select one brand name for, or a Party selects the same brand name that the other Party has decided to use, in Commercializing the Licensed Product (“</w:t>
      </w:r>
      <w:r>
        <w:rPr>
          <w:rFonts w:ascii="Arial" w:cs="Arial" w:eastAsia="Arial" w:hAnsi="Arial"/>
          <w:sz w:val="16"/>
          <w:szCs w:val="16"/>
          <w:b w:val="1"/>
          <w:bCs w:val="1"/>
          <w:color w:val="auto"/>
        </w:rPr>
        <w:t>Common Brand Name</w:t>
      </w:r>
      <w:r>
        <w:rPr>
          <w:rFonts w:ascii="Arial" w:cs="Arial" w:eastAsia="Arial" w:hAnsi="Arial"/>
          <w:sz w:val="16"/>
          <w:szCs w:val="16"/>
          <w:color w:val="auto"/>
        </w:rPr>
        <w:t>”), then, subject to successful registration and approval of such Common Brand Name by the applicable Governmental Authorities, each Party shall use such Common Brand Name for the Commercialization of the Licensed Product in its respective Territory. Repare shall search the possibility of the registration worldwide, and if confirmed the possibility shall file the application for registration of the trademark rights for the Common Brand Name using counsel of its own choice at Repare’s cost for the Repare Territory and Ono’s cost for the Ono Territory. After registration, Repare shall assign the rights to the Common Brand Name in the Ono Territory to Ono without requiring Ono any compensation for such assignment. The costs of procedure related to such assignment shall be borne by Ono. Repare shall be responsible for the prosecution, registration and maintenance of such trademark rights in the Repare Territory at Repare’s sole costs. Repare shall be responsible for the prosecution and registration of such trademark rights in the Ono Territory at Ono’s sole costs, and after its registration Ono shall be responsible for the maintenance of such trademark rights in the Ono Territory at Ono’s sole costs.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1" w:right="459" w:bottom="1440" w:gutter="0" w:footer="0" w:header="0"/>
        </w:sectPr>
      </w:pPr>
    </w:p>
    <w:bookmarkStart w:id="631" w:name="page632"/>
    <w:bookmarkEnd w:id="631"/>
    <w:p>
      <w:pPr>
        <w:ind w:left="440" w:right="80" w:firstLine="423"/>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14.9.2. </w:t>
      </w:r>
      <w:r>
        <w:rPr>
          <w:rFonts w:ascii="Arial" w:cs="Arial" w:eastAsia="Arial" w:hAnsi="Arial"/>
          <w:sz w:val="16"/>
          <w:szCs w:val="16"/>
          <w:color w:val="auto"/>
        </w:rPr>
        <w:t>If the Parties do not reach an agreement on a Common Brand Name, each Party may use, for Commercializing the Licensed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in countries in each Party’s respective Territory, its own trademark it considers appropriate and which is reasonably suitable for such Licensed Product in such countries. Both Parties shall own respectively all rights, title and interests in and to its own trademarks throughout the world and shall have the sole right to register, prosecute and maintain its trademarks using counsel of its own choice and at its own expense.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TERM AND TERMINATION; REMEDIES</w:t>
      </w:r>
    </w:p>
    <w:p>
      <w:pPr>
        <w:spacing w:after="0" w:line="117"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Agreement shall be effective as of the Effective Date and, unless terminated earlier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15.2</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Rights), this Agreement shall continue in effect until the expiration of the last to expire of the Royalty Terms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b w:val="1"/>
          <w:bCs w:val="1"/>
          <w:u w:val="single" w:color="auto"/>
          <w:color w:val="auto"/>
        </w:rPr>
        <w:t>Termination Rights</w:t>
      </w:r>
      <w:r>
        <w:rPr>
          <w:rFonts w:ascii="Arial" w:cs="Arial" w:eastAsia="Arial" w:hAnsi="Arial"/>
          <w:sz w:val="18"/>
          <w:szCs w:val="18"/>
          <w:color w:val="auto"/>
        </w:rPr>
        <w:t>. This Agreement may not be terminated by either Party except as provided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15.2</w:t>
      </w:r>
      <w:r>
        <w:rPr>
          <w:rFonts w:ascii="Arial" w:cs="Arial" w:eastAsia="Arial" w:hAnsi="Arial"/>
          <w:sz w:val="18"/>
          <w:szCs w:val="18"/>
          <w:color w:val="auto"/>
        </w:rPr>
        <w:t>.</w:t>
      </w:r>
    </w:p>
    <w:p>
      <w:pPr>
        <w:spacing w:after="0" w:line="117" w:lineRule="exact"/>
        <w:rPr>
          <w:sz w:val="20"/>
          <w:szCs w:val="20"/>
          <w:color w:val="auto"/>
        </w:rPr>
      </w:pPr>
    </w:p>
    <w:p>
      <w:pPr>
        <w:ind w:left="440" w:right="300" w:firstLine="423"/>
        <w:spacing w:after="0" w:line="266" w:lineRule="auto"/>
        <w:rPr>
          <w:sz w:val="20"/>
          <w:szCs w:val="20"/>
          <w:color w:val="auto"/>
        </w:rPr>
      </w:pPr>
      <w:r>
        <w:rPr>
          <w:rFonts w:ascii="Arial" w:cs="Arial" w:eastAsia="Arial" w:hAnsi="Arial"/>
          <w:sz w:val="18"/>
          <w:szCs w:val="18"/>
          <w:b w:val="1"/>
          <w:bCs w:val="1"/>
          <w:color w:val="auto"/>
        </w:rPr>
        <w:t xml:space="preserve">15.2.1. Termination of Agreement Without Cause. </w:t>
      </w:r>
      <w:r>
        <w:rPr>
          <w:rFonts w:ascii="Arial" w:cs="Arial" w:eastAsia="Arial" w:hAnsi="Arial"/>
          <w:sz w:val="18"/>
          <w:szCs w:val="18"/>
          <w:color w:val="auto"/>
        </w:rPr>
        <w:t>Ono shall have the right to terminate the Agreement on a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Product-by-Licensed Product (or a Licensed Drug Candidate-by- Licensed Drug Candidate) and country-by-country basis at any time after the Effective Date on [***] prior written notice to Repare.</w:t>
      </w:r>
    </w:p>
    <w:p>
      <w:pPr>
        <w:spacing w:after="0" w:line="68" w:lineRule="exact"/>
        <w:rPr>
          <w:sz w:val="20"/>
          <w:szCs w:val="20"/>
          <w:color w:val="auto"/>
        </w:rPr>
      </w:pPr>
    </w:p>
    <w:p>
      <w:pPr>
        <w:ind w:left="440" w:right="420" w:firstLine="423"/>
        <w:spacing w:after="0" w:line="266" w:lineRule="auto"/>
        <w:rPr>
          <w:sz w:val="20"/>
          <w:szCs w:val="20"/>
          <w:color w:val="auto"/>
        </w:rPr>
      </w:pPr>
      <w:r>
        <w:rPr>
          <w:rFonts w:ascii="Arial" w:cs="Arial" w:eastAsia="Arial" w:hAnsi="Arial"/>
          <w:sz w:val="18"/>
          <w:szCs w:val="18"/>
          <w:b w:val="1"/>
          <w:bCs w:val="1"/>
          <w:color w:val="auto"/>
        </w:rPr>
        <w:t xml:space="preserve">15.2.2. Termination for Safety or Efficacy Reasons. </w:t>
      </w:r>
      <w:r>
        <w:rPr>
          <w:rFonts w:ascii="Arial" w:cs="Arial" w:eastAsia="Arial" w:hAnsi="Arial"/>
          <w:sz w:val="18"/>
          <w:szCs w:val="18"/>
          <w:color w:val="auto"/>
        </w:rPr>
        <w:t>Ono shall have the right to terminate this Agreement, on a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Product-by-Licensed Product (or a Licensed Drug Candidate-by-Licensed Drug Candidate), for safety or efficacy reasons upon [***] written notice to Repare or within a shorter period if required under applicable Law.</w:t>
      </w:r>
    </w:p>
    <w:p>
      <w:pPr>
        <w:spacing w:after="0" w:line="68" w:lineRule="exact"/>
        <w:rPr>
          <w:sz w:val="20"/>
          <w:szCs w:val="20"/>
          <w:color w:val="auto"/>
        </w:rPr>
      </w:pPr>
    </w:p>
    <w:p>
      <w:pPr>
        <w:ind w:left="440" w:firstLine="423"/>
        <w:spacing w:after="0" w:line="256" w:lineRule="auto"/>
        <w:rPr>
          <w:sz w:val="20"/>
          <w:szCs w:val="20"/>
          <w:color w:val="auto"/>
        </w:rPr>
      </w:pPr>
      <w:r>
        <w:rPr>
          <w:rFonts w:ascii="Arial" w:cs="Arial" w:eastAsia="Arial" w:hAnsi="Arial"/>
          <w:sz w:val="18"/>
          <w:szCs w:val="18"/>
          <w:b w:val="1"/>
          <w:bCs w:val="1"/>
          <w:color w:val="auto"/>
        </w:rPr>
        <w:t>15.2.3. Termination for Cause</w:t>
      </w:r>
      <w:r>
        <w:rPr>
          <w:rFonts w:ascii="Arial" w:cs="Arial" w:eastAsia="Arial" w:hAnsi="Arial"/>
          <w:sz w:val="18"/>
          <w:szCs w:val="18"/>
          <w:color w:val="auto"/>
        </w:rPr>
        <w:t>. This Agreement may be terminated in its entirety at any time during the Term upon written notice by either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Party if the other Party is in material breach of its obligations hereunder and has not cured such breach within [***] in the case of a payment breach, or within [***] in the case of all other breaches, after notice requesting cure of the breach;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breach other than a payment breach is not reasonably curable within [***] and if a Party is making a bona fide effort to cure such breach, such termination shall be delayed for a time period to be agreed by both Parties, not to exceed an additional [***], in order to permit such Party a reasonable period of time to cure such breach.</w:t>
      </w:r>
    </w:p>
    <w:p>
      <w:pPr>
        <w:spacing w:after="0" w:line="79" w:lineRule="exact"/>
        <w:rPr>
          <w:sz w:val="20"/>
          <w:szCs w:val="20"/>
          <w:color w:val="auto"/>
        </w:rPr>
      </w:pPr>
    </w:p>
    <w:p>
      <w:pPr>
        <w:ind w:left="440" w:right="80" w:firstLine="423"/>
        <w:spacing w:after="0" w:line="255" w:lineRule="auto"/>
        <w:rPr>
          <w:sz w:val="20"/>
          <w:szCs w:val="20"/>
          <w:color w:val="auto"/>
        </w:rPr>
      </w:pPr>
      <w:r>
        <w:rPr>
          <w:rFonts w:ascii="Arial" w:cs="Arial" w:eastAsia="Arial" w:hAnsi="Arial"/>
          <w:sz w:val="18"/>
          <w:szCs w:val="18"/>
          <w:b w:val="1"/>
          <w:bCs w:val="1"/>
          <w:color w:val="auto"/>
        </w:rPr>
        <w:t>15.2.4. Termination for Patent Challenge</w:t>
      </w:r>
      <w:r>
        <w:rPr>
          <w:rFonts w:ascii="Arial" w:cs="Arial" w:eastAsia="Arial" w:hAnsi="Arial"/>
          <w:sz w:val="18"/>
          <w:szCs w:val="18"/>
          <w:color w:val="auto"/>
        </w:rPr>
        <w:t>. If, during the Term, either Party (a) commences or participates in any action or proceeding</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patent opposition or re-examination proceeding), or otherwise asserts any claim, challenging or denying the validity or enforceability of any claim of the other Party’s Patent Rights that are licensed to such challenging Party under this Agreement or (b) actively assists any other Person in bringing or prosecuting any action or proceeding (including any patent opposition or re-examination proceeding) challenging or denying the validity or enforceability of any claim of the other Party’s Patent Rights that are licensed to such challenging Party under this Agreement (each of (a) and (b), a “</w:t>
      </w:r>
      <w:r>
        <w:rPr>
          <w:rFonts w:ascii="Arial" w:cs="Arial" w:eastAsia="Arial" w:hAnsi="Arial"/>
          <w:sz w:val="18"/>
          <w:szCs w:val="18"/>
          <w:b w:val="1"/>
          <w:bCs w:val="1"/>
          <w:color w:val="auto"/>
        </w:rPr>
        <w:t>Patent Challenge</w:t>
      </w:r>
      <w:r>
        <w:rPr>
          <w:rFonts w:ascii="Arial" w:cs="Arial" w:eastAsia="Arial" w:hAnsi="Arial"/>
          <w:sz w:val="18"/>
          <w:szCs w:val="18"/>
          <w:color w:val="auto"/>
        </w:rPr>
        <w:t>”), then, to the extent permitted by the applicable Laws, the other Party shall have the right, exercisable within [***] following receipt 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0" w:right="459" w:bottom="1440" w:gutter="0" w:footer="0" w:header="0"/>
        </w:sectPr>
      </w:pPr>
    </w:p>
    <w:bookmarkStart w:id="632" w:name="page633"/>
    <w:bookmarkEnd w:id="632"/>
    <w:p>
      <w:pPr>
        <w:ind w:left="4"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notice regarding such Patent Challenge, in its sole discretion, to give notice to such challenging Party that the other Party may terminate the license(s) granted under such Patent Right(s) to such challenging Party pursuant to this Agreement [***] following such notice (or such longer period as the other Party may designate in such notice), and, unless such challenging Party withdraws or causes to be withdrawn all such challenge(s) (or in the case of </w:t>
      </w:r>
      <w:r>
        <w:rPr>
          <w:rFonts w:ascii="Arial" w:cs="Arial" w:eastAsia="Arial" w:hAnsi="Arial"/>
          <w:sz w:val="16"/>
          <w:szCs w:val="16"/>
          <w:i w:val="1"/>
          <w:iCs w:val="1"/>
          <w:color w:val="auto"/>
        </w:rPr>
        <w:t>ex-parte</w:t>
      </w:r>
      <w:r>
        <w:rPr>
          <w:rFonts w:ascii="Arial" w:cs="Arial" w:eastAsia="Arial" w:hAnsi="Arial"/>
          <w:sz w:val="16"/>
          <w:szCs w:val="16"/>
          <w:color w:val="auto"/>
        </w:rPr>
        <w:t xml:space="preserve"> proceedings, multi-party proceedings, or other Patent Challenges that such challenging Party does not have the power to unilaterally withdraw or cause to be withdrawn, such challenging Party ceases actively assisting any other party to such Patent Challenge and, to the extent such challenging Party is a party to such Patent Challenge, it withdraws from such Patent Challenge) within such</w:t>
      </w:r>
    </w:p>
    <w:p>
      <w:pPr>
        <w:spacing w:after="0" w:line="4" w:lineRule="exact"/>
        <w:rPr>
          <w:sz w:val="20"/>
          <w:szCs w:val="20"/>
          <w:color w:val="auto"/>
        </w:rPr>
      </w:pPr>
    </w:p>
    <w:p>
      <w:pPr>
        <w:ind w:left="4" w:right="40" w:hanging="4"/>
        <w:spacing w:after="0" w:line="252" w:lineRule="auto"/>
        <w:tabs>
          <w:tab w:leader="none" w:pos="438" w:val="left"/>
        </w:tabs>
        <w:numPr>
          <w:ilvl w:val="0"/>
          <w:numId w:val="393"/>
        </w:numPr>
        <w:rPr>
          <w:rFonts w:ascii="Arial" w:cs="Arial" w:eastAsia="Arial" w:hAnsi="Arial"/>
          <w:sz w:val="18"/>
          <w:szCs w:val="18"/>
          <w:color w:val="auto"/>
        </w:rPr>
      </w:pPr>
      <w:r>
        <w:rPr>
          <w:rFonts w:ascii="Arial" w:cs="Arial" w:eastAsia="Arial" w:hAnsi="Arial"/>
          <w:sz w:val="18"/>
          <w:szCs w:val="18"/>
          <w:color w:val="auto"/>
        </w:rPr>
        <w:t>period, the other Party shall have the right to terminate the license(s) granted under such Patent Right(s) to such challenging Party pursuant to the Agreement by providing written notice thereof to such challenging Party. The foregoing sentence shall not apply (i) with respect to any claim of the other Party’s Patent Rights that is licensed to such challenging Party under this Agreement that the other Party first asserts against such challenging Party or any of its Affiliates where the Patent Challenge is made in defense of such assertion, or (ii) with respect to any Patent Challenge commenced by a Third Party that after the Effective Date acquires or is acquired by a Party or its Affiliates or its or their business or assets, whether by stock purchase, merger, asset purchase or otherwise, but only with respect to Patent Challenges commenced prior to the closing of such acquisition.</w:t>
      </w:r>
    </w:p>
    <w:p>
      <w:pPr>
        <w:spacing w:after="0" w:line="80" w:lineRule="exact"/>
        <w:rPr>
          <w:sz w:val="20"/>
          <w:szCs w:val="20"/>
          <w:color w:val="auto"/>
        </w:rPr>
      </w:pPr>
    </w:p>
    <w:p>
      <w:pPr>
        <w:ind w:left="4" w:right="60" w:firstLine="423"/>
        <w:spacing w:after="0" w:line="258" w:lineRule="auto"/>
        <w:rPr>
          <w:sz w:val="20"/>
          <w:szCs w:val="20"/>
          <w:color w:val="auto"/>
        </w:rPr>
      </w:pPr>
      <w:r>
        <w:rPr>
          <w:rFonts w:ascii="Arial" w:cs="Arial" w:eastAsia="Arial" w:hAnsi="Arial"/>
          <w:sz w:val="18"/>
          <w:szCs w:val="18"/>
          <w:b w:val="1"/>
          <w:bCs w:val="1"/>
          <w:color w:val="auto"/>
        </w:rPr>
        <w:t xml:space="preserve">15.2.5. Termination Upon Bankruptcy. </w:t>
      </w:r>
      <w:r>
        <w:rPr>
          <w:rFonts w:ascii="Arial" w:cs="Arial" w:eastAsia="Arial" w:hAnsi="Arial"/>
          <w:sz w:val="18"/>
          <w:szCs w:val="18"/>
          <w:color w:val="auto"/>
        </w:rPr>
        <w:t>Either Party may terminate this Agreement if, at any time, the other Party becomes insolvent or an</w:t>
      </w:r>
      <w:r>
        <w:rPr>
          <w:rFonts w:ascii="Arial" w:cs="Arial" w:eastAsia="Arial" w:hAnsi="Arial"/>
          <w:sz w:val="18"/>
          <w:szCs w:val="18"/>
          <w:b w:val="1"/>
          <w:bCs w:val="1"/>
          <w:color w:val="auto"/>
        </w:rPr>
        <w:t xml:space="preserve"> </w:t>
      </w:r>
      <w:r>
        <w:rPr>
          <w:rFonts w:ascii="Arial" w:cs="Arial" w:eastAsia="Arial" w:hAnsi="Arial"/>
          <w:sz w:val="18"/>
          <w:szCs w:val="18"/>
          <w:color w:val="auto"/>
        </w:rPr>
        <w:t>order is made or a resolution passed for the administration, winding-up or dissolution of such other Party (other than for the purposes of a solvent amalgamation or reconstruction) or an Insolvency Officer is appointed over all or any substantial part of the assets of such other Party or such other Party enters into or proposes any composition or arrangement with its creditors generally or anything analogous to the foregoing occurs in any applicable jurisdiction.</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b w:val="1"/>
          <w:bCs w:val="1"/>
          <w:u w:val="single" w:color="auto"/>
          <w:color w:val="auto"/>
        </w:rPr>
        <w:t>Effect of Termination</w:t>
      </w:r>
      <w:r>
        <w:rPr>
          <w:rFonts w:ascii="Arial" w:cs="Arial" w:eastAsia="Arial" w:hAnsi="Arial"/>
          <w:sz w:val="18"/>
          <w:szCs w:val="18"/>
          <w:color w:val="auto"/>
        </w:rPr>
        <w:t>.</w:t>
      </w:r>
    </w:p>
    <w:p>
      <w:pPr>
        <w:spacing w:after="0" w:line="117" w:lineRule="exact"/>
        <w:rPr>
          <w:sz w:val="20"/>
          <w:szCs w:val="20"/>
          <w:color w:val="auto"/>
        </w:rPr>
      </w:pPr>
    </w:p>
    <w:p>
      <w:pPr>
        <w:jc w:val="both"/>
        <w:ind w:left="4" w:right="220" w:firstLine="423"/>
        <w:spacing w:after="0" w:line="289" w:lineRule="auto"/>
        <w:rPr>
          <w:sz w:val="20"/>
          <w:szCs w:val="20"/>
          <w:color w:val="auto"/>
        </w:rPr>
      </w:pPr>
      <w:r>
        <w:rPr>
          <w:rFonts w:ascii="Arial" w:cs="Arial" w:eastAsia="Arial" w:hAnsi="Arial"/>
          <w:sz w:val="17"/>
          <w:szCs w:val="17"/>
          <w:b w:val="1"/>
          <w:bCs w:val="1"/>
          <w:color w:val="auto"/>
        </w:rPr>
        <w:t>15.3.1. Effects of Termination of Agreement by Repare or by Ono Other than by Ono for Cause</w:t>
      </w:r>
      <w:r>
        <w:rPr>
          <w:rFonts w:ascii="Arial" w:cs="Arial" w:eastAsia="Arial" w:hAnsi="Arial"/>
          <w:sz w:val="17"/>
          <w:szCs w:val="17"/>
          <w:color w:val="auto"/>
        </w:rPr>
        <w:t>. If this Agreement is terminated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either Party for any reason other than by Ono pursuant to: (i) </w:t>
      </w:r>
      <w:r>
        <w:rPr>
          <w:rFonts w:ascii="Arial" w:cs="Arial" w:eastAsia="Arial" w:hAnsi="Arial"/>
          <w:sz w:val="17"/>
          <w:szCs w:val="17"/>
          <w:u w:val="single" w:color="auto"/>
          <w:color w:val="auto"/>
        </w:rPr>
        <w:t>Section 15.2.3</w:t>
      </w:r>
      <w:r>
        <w:rPr>
          <w:rFonts w:ascii="Arial" w:cs="Arial" w:eastAsia="Arial" w:hAnsi="Arial"/>
          <w:sz w:val="17"/>
          <w:szCs w:val="17"/>
          <w:color w:val="auto"/>
        </w:rPr>
        <w:t xml:space="preserve"> (Termination for Cause), (ii) </w:t>
      </w:r>
      <w:r>
        <w:rPr>
          <w:rFonts w:ascii="Arial" w:cs="Arial" w:eastAsia="Arial" w:hAnsi="Arial"/>
          <w:sz w:val="17"/>
          <w:szCs w:val="17"/>
          <w:u w:val="single" w:color="auto"/>
          <w:color w:val="auto"/>
        </w:rPr>
        <w:t>Section 15.2.4</w:t>
      </w:r>
      <w:r>
        <w:rPr>
          <w:rFonts w:ascii="Arial" w:cs="Arial" w:eastAsia="Arial" w:hAnsi="Arial"/>
          <w:sz w:val="17"/>
          <w:szCs w:val="17"/>
          <w:color w:val="auto"/>
        </w:rPr>
        <w:t xml:space="preserve"> (Termination for Patent Challenge) or (iii) </w:t>
      </w:r>
      <w:r>
        <w:rPr>
          <w:rFonts w:ascii="Arial" w:cs="Arial" w:eastAsia="Arial" w:hAnsi="Arial"/>
          <w:sz w:val="17"/>
          <w:szCs w:val="17"/>
          <w:u w:val="single" w:color="auto"/>
          <w:color w:val="auto"/>
        </w:rPr>
        <w:t>Section 15.2.5</w:t>
      </w:r>
      <w:r>
        <w:rPr>
          <w:rFonts w:ascii="Arial" w:cs="Arial" w:eastAsia="Arial" w:hAnsi="Arial"/>
          <w:sz w:val="17"/>
          <w:szCs w:val="17"/>
          <w:color w:val="auto"/>
        </w:rPr>
        <w:t xml:space="preserve"> (Termination Upon Bankruptcy), then the following terms shall apply:</w:t>
      </w:r>
    </w:p>
    <w:p>
      <w:pPr>
        <w:spacing w:after="0" w:line="50" w:lineRule="exact"/>
        <w:rPr>
          <w:sz w:val="20"/>
          <w:szCs w:val="20"/>
          <w:color w:val="auto"/>
        </w:rPr>
      </w:pPr>
    </w:p>
    <w:p>
      <w:pPr>
        <w:ind w:left="544" w:firstLine="401"/>
        <w:spacing w:after="0" w:line="292" w:lineRule="auto"/>
        <w:rPr>
          <w:sz w:val="20"/>
          <w:szCs w:val="20"/>
          <w:color w:val="auto"/>
        </w:rPr>
      </w:pPr>
      <w:r>
        <w:rPr>
          <w:rFonts w:ascii="Arial" w:cs="Arial" w:eastAsia="Arial" w:hAnsi="Arial"/>
          <w:sz w:val="16"/>
          <w:szCs w:val="16"/>
          <w:b w:val="1"/>
          <w:bCs w:val="1"/>
          <w:color w:val="auto"/>
        </w:rPr>
        <w:t xml:space="preserve">15.3.1.1. </w:t>
      </w:r>
      <w:r>
        <w:rPr>
          <w:rFonts w:ascii="Arial" w:cs="Arial" w:eastAsia="Arial" w:hAnsi="Arial"/>
          <w:sz w:val="16"/>
          <w:szCs w:val="16"/>
          <w:color w:val="auto"/>
        </w:rPr>
        <w:t>The Polq Program will revert to Repare, and Ono hereby grants to Repare, effective upon the effective date of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an irrevocable, worldwide license, which Repare may sublicense through multiple tiers, under the Ono Technology that has been used in the Development, Manufacture, having Manufactured or Commercialization of any Drug Candidate, Licensed Drug Candidate or Licensed Product prior to the effective date of termination, to Develop, Manufacture, having Manufactured and Commercialize Licensed Drug Candidates and Licensed Products (the “</w:t>
      </w:r>
      <w:r>
        <w:rPr>
          <w:rFonts w:ascii="Arial" w:cs="Arial" w:eastAsia="Arial" w:hAnsi="Arial"/>
          <w:sz w:val="16"/>
          <w:szCs w:val="16"/>
          <w:b w:val="1"/>
          <w:bCs w:val="1"/>
          <w:color w:val="auto"/>
        </w:rPr>
        <w:t>Reversion License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Parties agree to negotiate in good faith commercially reasonable terms for such Reversion License; provided further that in the case of termination by Repare pursuant to </w:t>
      </w:r>
      <w:r>
        <w:rPr>
          <w:rFonts w:ascii="Arial" w:cs="Arial" w:eastAsia="Arial" w:hAnsi="Arial"/>
          <w:sz w:val="16"/>
          <w:szCs w:val="16"/>
          <w:u w:val="single" w:color="auto"/>
          <w:color w:val="auto"/>
        </w:rPr>
        <w:t>Section 15.2.3</w:t>
      </w:r>
      <w:r>
        <w:rPr>
          <w:rFonts w:ascii="Arial" w:cs="Arial" w:eastAsia="Arial" w:hAnsi="Arial"/>
          <w:sz w:val="16"/>
          <w:szCs w:val="16"/>
          <w:color w:val="auto"/>
        </w:rPr>
        <w:t>, Repare shall have the right to offset the full amount of any losses it has suffered as a result of Ono’s material breach against</w:t>
      </w:r>
    </w:p>
    <w:p>
      <w:pPr>
        <w:spacing w:after="0" w:line="9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564"/>
          </w:cols>
          <w:pgMar w:left="876" w:top="275" w:right="459" w:bottom="1440" w:gutter="0" w:footer="0" w:header="0"/>
        </w:sectPr>
      </w:pPr>
    </w:p>
    <w:bookmarkStart w:id="633" w:name="page634"/>
    <w:bookmarkEnd w:id="633"/>
    <w:p>
      <w:pPr>
        <w:ind w:left="540"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financial terms of the Reversion License and (b) in no event shall the royalty to be paid to Ono by Repare (if any) under the Reversion License be greater than [***] of the net sales of Licensed Products. In addition, if Ono is required to make any Third Party License Payments as a result of the Development, Manufacture, having Manufactured or Commercialization of a Drug Candidate, Licensed Drug Candidate or Licensed Product by Repare following the effective date of termination, Repare shall reimburse Ono for any such payments within [***] after receipt of an invoice from Ono.</w:t>
      </w:r>
    </w:p>
    <w:p>
      <w:pPr>
        <w:spacing w:after="0" w:line="76" w:lineRule="exact"/>
        <w:rPr>
          <w:sz w:val="20"/>
          <w:szCs w:val="20"/>
          <w:color w:val="auto"/>
        </w:rPr>
      </w:pPr>
    </w:p>
    <w:p>
      <w:pPr>
        <w:ind w:left="540" w:right="680" w:firstLine="401"/>
        <w:spacing w:after="0" w:line="261" w:lineRule="auto"/>
        <w:rPr>
          <w:sz w:val="20"/>
          <w:szCs w:val="20"/>
          <w:color w:val="auto"/>
        </w:rPr>
      </w:pPr>
      <w:r>
        <w:rPr>
          <w:rFonts w:ascii="Arial" w:cs="Arial" w:eastAsia="Arial" w:hAnsi="Arial"/>
          <w:sz w:val="18"/>
          <w:szCs w:val="18"/>
          <w:b w:val="1"/>
          <w:bCs w:val="1"/>
          <w:color w:val="auto"/>
        </w:rPr>
        <w:t xml:space="preserve">15.3.1.2. </w:t>
      </w:r>
      <w:r>
        <w:rPr>
          <w:rFonts w:ascii="Arial" w:cs="Arial" w:eastAsia="Arial" w:hAnsi="Arial"/>
          <w:sz w:val="18"/>
          <w:szCs w:val="18"/>
          <w:color w:val="auto"/>
        </w:rPr>
        <w:t>Ono shall responsibly wind-down any on-going Development, Manufacture, having Manufactured, use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Commercialization of the Drug Candidate, Licensed Drug Candidate, or Licensed Product. Ono shall be responsible for any costs associated with such wind-down. Ono may begin such wind-down upon Ono’s termination notice to Repare if this Agreement is terminated by Ono pursuant to </w:t>
      </w:r>
      <w:r>
        <w:rPr>
          <w:rFonts w:ascii="Arial" w:cs="Arial" w:eastAsia="Arial" w:hAnsi="Arial"/>
          <w:sz w:val="18"/>
          <w:szCs w:val="18"/>
          <w:u w:val="single" w:color="auto"/>
          <w:color w:val="auto"/>
        </w:rPr>
        <w:t>Section 15.2.1</w:t>
      </w:r>
      <w:r>
        <w:rPr>
          <w:rFonts w:ascii="Arial" w:cs="Arial" w:eastAsia="Arial" w:hAnsi="Arial"/>
          <w:sz w:val="18"/>
          <w:szCs w:val="18"/>
          <w:color w:val="auto"/>
        </w:rPr>
        <w:t>.</w:t>
      </w:r>
    </w:p>
    <w:p>
      <w:pPr>
        <w:spacing w:after="0" w:line="72" w:lineRule="exact"/>
        <w:rPr>
          <w:sz w:val="20"/>
          <w:szCs w:val="20"/>
          <w:color w:val="auto"/>
        </w:rPr>
      </w:pPr>
    </w:p>
    <w:p>
      <w:pPr>
        <w:ind w:left="540" w:right="340" w:firstLine="401"/>
        <w:spacing w:after="0" w:line="289" w:lineRule="auto"/>
        <w:rPr>
          <w:sz w:val="20"/>
          <w:szCs w:val="20"/>
          <w:color w:val="auto"/>
        </w:rPr>
      </w:pPr>
      <w:r>
        <w:rPr>
          <w:rFonts w:ascii="Arial" w:cs="Arial" w:eastAsia="Arial" w:hAnsi="Arial"/>
          <w:sz w:val="17"/>
          <w:szCs w:val="17"/>
          <w:b w:val="1"/>
          <w:bCs w:val="1"/>
          <w:color w:val="auto"/>
        </w:rPr>
        <w:t xml:space="preserve">15.3.1.3. </w:t>
      </w:r>
      <w:r>
        <w:rPr>
          <w:rFonts w:ascii="Arial" w:cs="Arial" w:eastAsia="Arial" w:hAnsi="Arial"/>
          <w:sz w:val="17"/>
          <w:szCs w:val="17"/>
          <w:color w:val="auto"/>
        </w:rPr>
        <w:t>Repare shall responsibly wind-down any on-going Research Services. Ono shall be responsible for any costs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such wind-down;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Ono shall not be obligated to make any payment under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if corresponding Research Services Payment Trigger occurs after the termination notice from terminating Party to the other Party.</w:t>
      </w:r>
    </w:p>
    <w:p>
      <w:pPr>
        <w:spacing w:after="0" w:line="50" w:lineRule="exact"/>
        <w:rPr>
          <w:sz w:val="20"/>
          <w:szCs w:val="20"/>
          <w:color w:val="auto"/>
        </w:rPr>
      </w:pPr>
    </w:p>
    <w:p>
      <w:pPr>
        <w:ind w:left="540" w:firstLine="401"/>
        <w:spacing w:after="0" w:line="261" w:lineRule="auto"/>
        <w:rPr>
          <w:sz w:val="20"/>
          <w:szCs w:val="20"/>
          <w:color w:val="auto"/>
        </w:rPr>
      </w:pPr>
      <w:r>
        <w:rPr>
          <w:rFonts w:ascii="Arial" w:cs="Arial" w:eastAsia="Arial" w:hAnsi="Arial"/>
          <w:sz w:val="18"/>
          <w:szCs w:val="18"/>
          <w:b w:val="1"/>
          <w:bCs w:val="1"/>
          <w:color w:val="auto"/>
        </w:rPr>
        <w:t xml:space="preserve">15.3.1.4. </w:t>
      </w:r>
      <w:r>
        <w:rPr>
          <w:rFonts w:ascii="Arial" w:cs="Arial" w:eastAsia="Arial" w:hAnsi="Arial"/>
          <w:sz w:val="18"/>
          <w:szCs w:val="18"/>
          <w:color w:val="auto"/>
        </w:rPr>
        <w:t>Ono shall provide any other assistance reasonably requested by Repare for the purpose of allowing Repare or its designee to</w:t>
      </w:r>
      <w:r>
        <w:rPr>
          <w:rFonts w:ascii="Arial" w:cs="Arial" w:eastAsia="Arial" w:hAnsi="Arial"/>
          <w:sz w:val="18"/>
          <w:szCs w:val="18"/>
          <w:b w:val="1"/>
          <w:bCs w:val="1"/>
          <w:color w:val="auto"/>
        </w:rPr>
        <w:t xml:space="preserve"> </w:t>
      </w:r>
      <w:r>
        <w:rPr>
          <w:rFonts w:ascii="Arial" w:cs="Arial" w:eastAsia="Arial" w:hAnsi="Arial"/>
          <w:sz w:val="18"/>
          <w:szCs w:val="18"/>
          <w:color w:val="auto"/>
        </w:rPr>
        <w:t>proceed expeditiously with the Development, Manufacture, having Manufactured, use and Commercialization of the Drug Candidate and the Licensed Product or the Licensed Drug Candidate in or for the Ono Territory for [***] from the effective date of termination of this Agreement;</w:t>
      </w:r>
    </w:p>
    <w:p>
      <w:pPr>
        <w:spacing w:after="0" w:line="72" w:lineRule="exact"/>
        <w:rPr>
          <w:sz w:val="20"/>
          <w:szCs w:val="20"/>
          <w:color w:val="auto"/>
        </w:rPr>
      </w:pPr>
    </w:p>
    <w:p>
      <w:pPr>
        <w:ind w:left="540" w:right="140" w:firstLine="401"/>
        <w:spacing w:after="0" w:line="314" w:lineRule="auto"/>
        <w:rPr>
          <w:sz w:val="20"/>
          <w:szCs w:val="20"/>
          <w:color w:val="auto"/>
        </w:rPr>
      </w:pPr>
      <w:r>
        <w:rPr>
          <w:rFonts w:ascii="Arial" w:cs="Arial" w:eastAsia="Arial" w:hAnsi="Arial"/>
          <w:sz w:val="16"/>
          <w:szCs w:val="16"/>
          <w:b w:val="1"/>
          <w:bCs w:val="1"/>
          <w:color w:val="auto"/>
        </w:rPr>
        <w:t xml:space="preserve">15.3.1.5. </w:t>
      </w:r>
      <w:r>
        <w:rPr>
          <w:rFonts w:ascii="Arial" w:cs="Arial" w:eastAsia="Arial" w:hAnsi="Arial"/>
          <w:sz w:val="16"/>
          <w:szCs w:val="16"/>
          <w:color w:val="auto"/>
        </w:rPr>
        <w:t>Ono shall, upon Repare’s written request, transfer to Repare any inventory of Licensed Drug Candidates and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owned or controlled by Ono or its Affiliates as of the termination date at the (i) Ono’s cost of goods for such Licensed Drug Candidates or Licensed Products or (ii) actual price paid by Ono to Repare or its Third Party manufacturer for such supply, as applicable.</w:t>
      </w:r>
    </w:p>
    <w:p>
      <w:pPr>
        <w:spacing w:after="0" w:line="34"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 xml:space="preserve">15.3.1.6. </w:t>
      </w:r>
      <w:r>
        <w:rPr>
          <w:rFonts w:ascii="Arial" w:cs="Arial" w:eastAsia="Arial" w:hAnsi="Arial"/>
          <w:sz w:val="16"/>
          <w:szCs w:val="16"/>
          <w:color w:val="auto"/>
        </w:rPr>
        <w:t>Ono agrees (and shall cause Ono’s Related Parties to so agree) to commercially reasonably cooperate with Repare for up to</w:t>
      </w:r>
    </w:p>
    <w:p>
      <w:pPr>
        <w:spacing w:after="0" w:line="50" w:lineRule="exact"/>
        <w:rPr>
          <w:sz w:val="20"/>
          <w:szCs w:val="20"/>
          <w:color w:val="auto"/>
        </w:rPr>
      </w:pPr>
    </w:p>
    <w:p>
      <w:pPr>
        <w:ind w:left="540" w:right="80" w:firstLine="7"/>
        <w:spacing w:after="0" w:line="290" w:lineRule="auto"/>
        <w:tabs>
          <w:tab w:leader="none" w:pos="975" w:val="left"/>
        </w:tabs>
        <w:numPr>
          <w:ilvl w:val="0"/>
          <w:numId w:val="394"/>
        </w:numPr>
        <w:rPr>
          <w:rFonts w:ascii="Arial" w:cs="Arial" w:eastAsia="Arial" w:hAnsi="Arial"/>
          <w:sz w:val="17"/>
          <w:szCs w:val="17"/>
          <w:color w:val="auto"/>
        </w:rPr>
      </w:pPr>
      <w:r>
        <w:rPr>
          <w:rFonts w:ascii="Arial" w:cs="Arial" w:eastAsia="Arial" w:hAnsi="Arial"/>
          <w:sz w:val="17"/>
          <w:szCs w:val="17"/>
          <w:color w:val="auto"/>
        </w:rPr>
        <w:t>from the effective date of termination to ensure the availability and supply of Drug Candidate, Licensed Product and Licensed Drug Candidate to subjects in any ongoing Clinical Studies and to patients in the Field in or for the Ono Territory, at Repare’s cost.</w:t>
      </w:r>
    </w:p>
    <w:p>
      <w:pPr>
        <w:spacing w:after="0" w:line="49" w:lineRule="exact"/>
        <w:rPr>
          <w:sz w:val="20"/>
          <w:szCs w:val="20"/>
          <w:color w:val="auto"/>
        </w:rPr>
      </w:pPr>
    </w:p>
    <w:p>
      <w:pPr>
        <w:ind w:right="20" w:firstLine="423"/>
        <w:spacing w:after="0" w:line="274" w:lineRule="auto"/>
        <w:rPr>
          <w:sz w:val="20"/>
          <w:szCs w:val="20"/>
          <w:color w:val="auto"/>
        </w:rPr>
      </w:pPr>
      <w:r>
        <w:rPr>
          <w:rFonts w:ascii="Arial" w:cs="Arial" w:eastAsia="Arial" w:hAnsi="Arial"/>
          <w:sz w:val="17"/>
          <w:szCs w:val="17"/>
          <w:b w:val="1"/>
          <w:bCs w:val="1"/>
          <w:color w:val="auto"/>
        </w:rPr>
        <w:t>15.3.2. Effects of Termination of Agreement by Ono for Cause</w:t>
      </w:r>
      <w:r>
        <w:rPr>
          <w:rFonts w:ascii="Arial" w:cs="Arial" w:eastAsia="Arial" w:hAnsi="Arial"/>
          <w:sz w:val="17"/>
          <w:szCs w:val="17"/>
          <w:color w:val="auto"/>
        </w:rPr>
        <w:t>. If Ono is entitled to terminate this Agreement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15.2.3</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(Termination for Cause), </w:t>
      </w:r>
      <w:r>
        <w:rPr>
          <w:rFonts w:ascii="Arial" w:cs="Arial" w:eastAsia="Arial" w:hAnsi="Arial"/>
          <w:sz w:val="17"/>
          <w:szCs w:val="17"/>
          <w:u w:val="single" w:color="auto"/>
          <w:color w:val="auto"/>
        </w:rPr>
        <w:t>Section 15.2.4</w:t>
      </w:r>
      <w:r>
        <w:rPr>
          <w:rFonts w:ascii="Arial" w:cs="Arial" w:eastAsia="Arial" w:hAnsi="Arial"/>
          <w:sz w:val="17"/>
          <w:szCs w:val="17"/>
          <w:color w:val="auto"/>
        </w:rPr>
        <w:t xml:space="preserve"> (Termination for Patent Challenge) or </w:t>
      </w:r>
      <w:r>
        <w:rPr>
          <w:rFonts w:ascii="Arial" w:cs="Arial" w:eastAsia="Arial" w:hAnsi="Arial"/>
          <w:sz w:val="17"/>
          <w:szCs w:val="17"/>
          <w:u w:val="single" w:color="auto"/>
          <w:color w:val="auto"/>
        </w:rPr>
        <w:t>Section 15.2.5</w:t>
      </w:r>
      <w:r>
        <w:rPr>
          <w:rFonts w:ascii="Arial" w:cs="Arial" w:eastAsia="Arial" w:hAnsi="Arial"/>
          <w:sz w:val="17"/>
          <w:szCs w:val="17"/>
          <w:color w:val="auto"/>
        </w:rPr>
        <w:t xml:space="preserve"> (Termination Upon Bankruptcy), then, Ono may choose, by written notice to Repare within [***] after Ono becomes entitled to so terminate this Agreement, to (i) waive its right to terminate this Agreement for such uncured material breach by Repare and instead, as its sole remedy, to continue this Agreement in full force and effect, provided that any royalties payable to Repare for Net Sales of Licensed Products under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will be reduced by [***], provided that [***]. or (ii) terminate this Agreement, in which case the following terms shall apply:</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560"/>
          </w:cols>
          <w:pgMar w:left="880" w:top="274" w:right="459" w:bottom="1440" w:gutter="0" w:footer="0" w:header="0"/>
        </w:sectPr>
      </w:pPr>
    </w:p>
    <w:bookmarkStart w:id="634" w:name="page635"/>
    <w:bookmarkEnd w:id="634"/>
    <w:p>
      <w:pPr>
        <w:ind w:left="980" w:right="360" w:firstLine="401"/>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15.3.2.1. </w:t>
      </w:r>
      <w:r>
        <w:rPr>
          <w:rFonts w:ascii="Arial" w:cs="Arial" w:eastAsia="Arial" w:hAnsi="Arial"/>
          <w:sz w:val="16"/>
          <w:szCs w:val="16"/>
          <w:color w:val="auto"/>
        </w:rPr>
        <w:t>All licenses granted in this Agreement (and any Sublicenses thereunder) with respect to the Collaboration(including all</w:t>
      </w:r>
      <w:r>
        <w:rPr>
          <w:rFonts w:ascii="Arial" w:cs="Arial" w:eastAsia="Arial" w:hAnsi="Arial"/>
          <w:sz w:val="16"/>
          <w:szCs w:val="16"/>
          <w:b w:val="1"/>
          <w:bCs w:val="1"/>
          <w:color w:val="auto"/>
        </w:rPr>
        <w:t xml:space="preserve"> </w:t>
      </w:r>
      <w:r>
        <w:rPr>
          <w:rFonts w:ascii="Arial" w:cs="Arial" w:eastAsia="Arial" w:hAnsi="Arial"/>
          <w:sz w:val="16"/>
          <w:szCs w:val="16"/>
          <w:color w:val="auto"/>
        </w:rPr>
        <w:t>Licensed Drug Candidates and Licensed Products within the Collaboration) shall immediately terminate.</w:t>
      </w:r>
    </w:p>
    <w:p>
      <w:pPr>
        <w:spacing w:after="0" w:line="8" w:lineRule="exact"/>
        <w:rPr>
          <w:sz w:val="20"/>
          <w:szCs w:val="20"/>
          <w:color w:val="auto"/>
        </w:rPr>
      </w:pPr>
    </w:p>
    <w:p>
      <w:pPr>
        <w:ind w:left="980" w:right="80" w:firstLine="401"/>
        <w:spacing w:after="0" w:line="266" w:lineRule="auto"/>
        <w:rPr>
          <w:sz w:val="20"/>
          <w:szCs w:val="20"/>
          <w:color w:val="auto"/>
        </w:rPr>
      </w:pPr>
      <w:r>
        <w:rPr>
          <w:rFonts w:ascii="Arial" w:cs="Arial" w:eastAsia="Arial" w:hAnsi="Arial"/>
          <w:sz w:val="18"/>
          <w:szCs w:val="18"/>
          <w:b w:val="1"/>
          <w:bCs w:val="1"/>
          <w:color w:val="auto"/>
        </w:rPr>
        <w:t xml:space="preserve">15.3.2.2. </w:t>
      </w:r>
      <w:r>
        <w:rPr>
          <w:rFonts w:ascii="Arial" w:cs="Arial" w:eastAsia="Arial" w:hAnsi="Arial"/>
          <w:sz w:val="18"/>
          <w:szCs w:val="18"/>
          <w:color w:val="auto"/>
        </w:rPr>
        <w:t>Ono shall responsibly wind-down any on-going Development, Manufacture, having Manufactured, use or</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of the Drug Candidate, Licensed Drug Candidate, or Licensed Product. Repare shall be responsible for any reasonable costs associated with such wind-down.</w:t>
      </w:r>
    </w:p>
    <w:p>
      <w:pPr>
        <w:spacing w:after="0" w:line="68" w:lineRule="exact"/>
        <w:rPr>
          <w:sz w:val="20"/>
          <w:szCs w:val="20"/>
          <w:color w:val="auto"/>
        </w:rPr>
      </w:pPr>
    </w:p>
    <w:p>
      <w:pPr>
        <w:ind w:left="980" w:right="340" w:firstLine="401"/>
        <w:spacing w:after="0" w:line="289" w:lineRule="auto"/>
        <w:rPr>
          <w:sz w:val="20"/>
          <w:szCs w:val="20"/>
          <w:color w:val="auto"/>
        </w:rPr>
      </w:pPr>
      <w:r>
        <w:rPr>
          <w:rFonts w:ascii="Arial" w:cs="Arial" w:eastAsia="Arial" w:hAnsi="Arial"/>
          <w:sz w:val="17"/>
          <w:szCs w:val="17"/>
          <w:b w:val="1"/>
          <w:bCs w:val="1"/>
          <w:color w:val="auto"/>
        </w:rPr>
        <w:t xml:space="preserve">15.3.2.3. </w:t>
      </w:r>
      <w:r>
        <w:rPr>
          <w:rFonts w:ascii="Arial" w:cs="Arial" w:eastAsia="Arial" w:hAnsi="Arial"/>
          <w:sz w:val="17"/>
          <w:szCs w:val="17"/>
          <w:color w:val="auto"/>
        </w:rPr>
        <w:t>Repare shall responsibly wind-down any on-going Research Services. Ono shall be responsible for any costs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such wind-down;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Ono shall not be obligated to make any payment under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if corresponding Research Services Payment Trigger occurs after the termination notice from terminating Party to the other Party.</w:t>
      </w:r>
    </w:p>
    <w:p>
      <w:pPr>
        <w:spacing w:after="0" w:line="50" w:lineRule="exact"/>
        <w:rPr>
          <w:sz w:val="20"/>
          <w:szCs w:val="20"/>
          <w:color w:val="auto"/>
        </w:rPr>
      </w:pPr>
    </w:p>
    <w:p>
      <w:pPr>
        <w:ind w:left="980" w:right="140" w:firstLine="401"/>
        <w:spacing w:after="0" w:line="314" w:lineRule="auto"/>
        <w:rPr>
          <w:sz w:val="20"/>
          <w:szCs w:val="20"/>
          <w:color w:val="auto"/>
        </w:rPr>
      </w:pPr>
      <w:r>
        <w:rPr>
          <w:rFonts w:ascii="Arial" w:cs="Arial" w:eastAsia="Arial" w:hAnsi="Arial"/>
          <w:sz w:val="16"/>
          <w:szCs w:val="16"/>
          <w:b w:val="1"/>
          <w:bCs w:val="1"/>
          <w:color w:val="auto"/>
        </w:rPr>
        <w:t xml:space="preserve">15.3.2.4. </w:t>
      </w:r>
      <w:r>
        <w:rPr>
          <w:rFonts w:ascii="Arial" w:cs="Arial" w:eastAsia="Arial" w:hAnsi="Arial"/>
          <w:sz w:val="16"/>
          <w:szCs w:val="16"/>
          <w:color w:val="auto"/>
        </w:rPr>
        <w:t>Ono may, upon Repare’s written request, transfer to Repare any inventory of Licensed Drug Candidates and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owned or controlled by Ono or its Affiliates as of the termination date at the (i) Ono’s cost of goods for such Licensed Drug Candidates or Licensed Products or (ii) actual price paid by Ono to Repare or its Third Party manufacturer for such supply, as applicable.</w:t>
      </w:r>
    </w:p>
    <w:p>
      <w:pPr>
        <w:spacing w:after="0" w:line="34" w:lineRule="exact"/>
        <w:rPr>
          <w:sz w:val="20"/>
          <w:szCs w:val="20"/>
          <w:color w:val="auto"/>
        </w:rPr>
      </w:pPr>
    </w:p>
    <w:p>
      <w:pPr>
        <w:ind w:left="980" w:right="60" w:firstLine="401"/>
        <w:spacing w:after="0" w:line="314" w:lineRule="auto"/>
        <w:rPr>
          <w:sz w:val="20"/>
          <w:szCs w:val="20"/>
          <w:color w:val="auto"/>
        </w:rPr>
      </w:pPr>
      <w:r>
        <w:rPr>
          <w:rFonts w:ascii="Arial" w:cs="Arial" w:eastAsia="Arial" w:hAnsi="Arial"/>
          <w:sz w:val="16"/>
          <w:szCs w:val="16"/>
          <w:b w:val="1"/>
          <w:bCs w:val="1"/>
          <w:color w:val="auto"/>
        </w:rPr>
        <w:t xml:space="preserve">15.3.2.5. </w:t>
      </w:r>
      <w:r>
        <w:rPr>
          <w:rFonts w:ascii="Arial" w:cs="Arial" w:eastAsia="Arial" w:hAnsi="Arial"/>
          <w:sz w:val="16"/>
          <w:szCs w:val="16"/>
          <w:color w:val="auto"/>
        </w:rPr>
        <w:t>Repare agrees (and shall cause Repare’s Related Parties to so agree) to commercially reasonably cooperate with Ono for up</w:t>
      </w:r>
      <w:r>
        <w:rPr>
          <w:rFonts w:ascii="Arial" w:cs="Arial" w:eastAsia="Arial" w:hAnsi="Arial"/>
          <w:sz w:val="16"/>
          <w:szCs w:val="16"/>
          <w:b w:val="1"/>
          <w:bCs w:val="1"/>
          <w:color w:val="auto"/>
        </w:rPr>
        <w:t xml:space="preserve"> </w:t>
      </w:r>
      <w:r>
        <w:rPr>
          <w:rFonts w:ascii="Arial" w:cs="Arial" w:eastAsia="Arial" w:hAnsi="Arial"/>
          <w:sz w:val="16"/>
          <w:szCs w:val="16"/>
          <w:color w:val="auto"/>
        </w:rPr>
        <w:t>to [***] from the effective date of termination to ensure the availability and supply of Drug Candidate, Licensed Product and Licensed Drug Candidate to subjects in any ongoing Clinical Studies and to patients in the Field in or for the Ono Territory, at Ono’s cost.</w:t>
      </w:r>
    </w:p>
    <w:p>
      <w:pPr>
        <w:spacing w:after="0" w:line="142" w:lineRule="exact"/>
        <w:rPr>
          <w:sz w:val="20"/>
          <w:szCs w:val="20"/>
          <w:color w:val="auto"/>
        </w:rPr>
      </w:pPr>
    </w:p>
    <w:p>
      <w:pPr>
        <w:jc w:val="both"/>
        <w:ind w:firstLine="440"/>
        <w:spacing w:after="0" w:line="285" w:lineRule="auto"/>
        <w:rPr>
          <w:sz w:val="20"/>
          <w:szCs w:val="20"/>
          <w:color w:val="auto"/>
        </w:rPr>
      </w:pPr>
      <w:r>
        <w:rPr>
          <w:rFonts w:ascii="Arial" w:cs="Arial" w:eastAsia="Arial" w:hAnsi="Arial"/>
          <w:sz w:val="16"/>
          <w:szCs w:val="16"/>
          <w:b w:val="1"/>
          <w:bCs w:val="1"/>
          <w:color w:val="auto"/>
        </w:rPr>
        <w:t xml:space="preserve">15.4. </w:t>
      </w:r>
      <w:r>
        <w:rPr>
          <w:rFonts w:ascii="Arial" w:cs="Arial" w:eastAsia="Arial" w:hAnsi="Arial"/>
          <w:sz w:val="16"/>
          <w:szCs w:val="16"/>
          <w:b w:val="1"/>
          <w:bCs w:val="1"/>
          <w:u w:val="single" w:color="auto"/>
          <w:color w:val="auto"/>
        </w:rPr>
        <w:t>Effect of Expiration or Termination; Survival</w:t>
      </w:r>
      <w:r>
        <w:rPr>
          <w:rFonts w:ascii="Arial" w:cs="Arial" w:eastAsia="Arial" w:hAnsi="Arial"/>
          <w:sz w:val="16"/>
          <w:szCs w:val="16"/>
          <w:color w:val="auto"/>
        </w:rPr>
        <w:t>. Expiration or termination of this Agreement shall not relieve the Parties of any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accruing prior to such expiration or termination. Any expiration or termination of this Agreement shall be without prejudice to the rights of either Party against the other accrued or accruing under this Agreement, as applicable, prior to expiration or termination, including the obligation to pay royalties for the Licensed Product sold prior to such expiration or termination or other payments under this Agreement. The following sections will survive expiration or termination of this Agreement and will remain in full force and effect: Sections 1 and 2.6.4, Section 4.3.2 (for a period of [***] after the effective date of termination), Sections 4.3.5 and 8.5, Section 9.4, Section 11.5-11.6 (for a period of [***] after the effective date of termination), Sections 13, 14.6,</w:t>
      </w:r>
    </w:p>
    <w:p>
      <w:pPr>
        <w:spacing w:after="0" w:line="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 xml:space="preserve">15.3, 15.4, and 16.2-16.13. Except as otherwise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 upon termination or expiration of this Agreement all rights and obligations of the Parties under this Agreement, shall cease.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1" w:right="459" w:bottom="1440" w:gutter="0" w:footer="0" w:header="0"/>
        </w:sectPr>
      </w:pPr>
    </w:p>
    <w:bookmarkStart w:id="635" w:name="page636"/>
    <w:bookmarkEnd w:id="635"/>
    <w:p>
      <w:pPr>
        <w:ind w:right="140" w:firstLine="44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15.5. </w:t>
      </w:r>
      <w:r>
        <w:rPr>
          <w:rFonts w:ascii="Arial" w:cs="Arial" w:eastAsia="Arial" w:hAnsi="Arial"/>
          <w:sz w:val="17"/>
          <w:szCs w:val="17"/>
          <w:b w:val="1"/>
          <w:bCs w:val="1"/>
          <w:u w:val="single" w:color="auto"/>
          <w:color w:val="auto"/>
        </w:rPr>
        <w:t>Equitable Remedies</w:t>
      </w:r>
      <w:r>
        <w:rPr>
          <w:rFonts w:ascii="Arial" w:cs="Arial" w:eastAsia="Arial" w:hAnsi="Arial"/>
          <w:sz w:val="17"/>
          <w:szCs w:val="17"/>
          <w:color w:val="auto"/>
        </w:rPr>
        <w:t>. The Parties agree and acknowledge that irreparable damage, for which money damages may not constitute 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adequate remedy, would occur if any provision of this Agreement were not performed in accordance with the terms hereof and that a Party shall be entitled, without proof of actual damages, to an injunction or injunctions to prevent breaches of this Agreement or to enforce specifically the performance of the terms and provisions hereof, in addition to any other remedy to which a Party is entitled at Law, in equity, or otherwise. The Parties further agree that the Parties will not oppose or otherwise challenge the appropriateness of any equitable relief or the entry by a court of competent jurisdiction of an order granting equitable relief that is consistent with the terms of this </w:t>
      </w:r>
      <w:r>
        <w:rPr>
          <w:rFonts w:ascii="Arial" w:cs="Arial" w:eastAsia="Arial" w:hAnsi="Arial"/>
          <w:sz w:val="17"/>
          <w:szCs w:val="17"/>
          <w:u w:val="single" w:color="auto"/>
          <w:color w:val="auto"/>
        </w:rPr>
        <w:t>Section 15.5</w:t>
      </w:r>
      <w:r>
        <w:rPr>
          <w:rFonts w:ascii="Arial" w:cs="Arial" w:eastAsia="Arial" w:hAnsi="Arial"/>
          <w:sz w:val="17"/>
          <w:szCs w:val="17"/>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MISCELLANEOUS</w:t>
      </w:r>
    </w:p>
    <w:p>
      <w:pPr>
        <w:spacing w:after="0" w:line="117"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b w:val="1"/>
          <w:bCs w:val="1"/>
          <w:color w:val="auto"/>
        </w:rPr>
        <w:t xml:space="preserve">16.1. </w:t>
      </w:r>
      <w:r>
        <w:rPr>
          <w:rFonts w:ascii="Arial" w:cs="Arial" w:eastAsia="Arial" w:hAnsi="Arial"/>
          <w:sz w:val="17"/>
          <w:szCs w:val="17"/>
          <w:b w:val="1"/>
          <w:bCs w:val="1"/>
          <w:u w:val="single" w:color="auto"/>
          <w:color w:val="auto"/>
        </w:rPr>
        <w:t>Assignment</w:t>
      </w:r>
      <w:r>
        <w:rPr>
          <w:rFonts w:ascii="Arial" w:cs="Arial" w:eastAsia="Arial" w:hAnsi="Arial"/>
          <w:sz w:val="17"/>
          <w:szCs w:val="17"/>
          <w:color w:val="auto"/>
        </w:rPr>
        <w:t>. Except as provided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16.1</w:t>
      </w:r>
      <w:r>
        <w:rPr>
          <w:rFonts w:ascii="Arial" w:cs="Arial" w:eastAsia="Arial" w:hAnsi="Arial"/>
          <w:sz w:val="17"/>
          <w:szCs w:val="17"/>
          <w:color w:val="auto"/>
        </w:rPr>
        <w:t>, this Agreement may not be assigned or otherwise transferred, nor may any right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obligation hereunder be assigned or transferred, by either Party without the written consent of the other Party. Notwithstanding the foregoing, either Party may, without the other Party’s written consent, assign this Agreement and its rights and obligations hereunder in whole or in part to an Affiliate or to an or to a Third Party that acquires, by or otherwise in connection with, the merger, sale of assets or otherwise, all or substantially all of the business of the assigning Party to which the subject matter of this Agreement relates,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Affiliate or Third Party assumes all of the assigning Party’s obligations under this Agreement, subject to </w:t>
      </w:r>
      <w:r>
        <w:rPr>
          <w:rFonts w:ascii="Arial" w:cs="Arial" w:eastAsia="Arial" w:hAnsi="Arial"/>
          <w:sz w:val="17"/>
          <w:szCs w:val="17"/>
          <w:u w:val="single" w:color="auto"/>
          <w:color w:val="auto"/>
        </w:rPr>
        <w:t>Section 16.15.1</w:t>
      </w:r>
      <w:r>
        <w:rPr>
          <w:rFonts w:ascii="Arial" w:cs="Arial" w:eastAsia="Arial" w:hAnsi="Arial"/>
          <w:sz w:val="17"/>
          <w:szCs w:val="17"/>
          <w:color w:val="auto"/>
        </w:rPr>
        <w:t xml:space="preserve"> (Future Acquisition of a Party or its Business). The assigning Party shall remain responsible for the performance by such Affiliate or Third Party of this Agreement or any obligations hereunder so assigned. Any purported assignment in violation of this </w:t>
      </w:r>
      <w:r>
        <w:rPr>
          <w:rFonts w:ascii="Arial" w:cs="Arial" w:eastAsia="Arial" w:hAnsi="Arial"/>
          <w:sz w:val="17"/>
          <w:szCs w:val="17"/>
          <w:u w:val="single" w:color="auto"/>
          <w:color w:val="auto"/>
        </w:rPr>
        <w:t>Section 16.1</w:t>
      </w:r>
      <w:r>
        <w:rPr>
          <w:rFonts w:ascii="Arial" w:cs="Arial" w:eastAsia="Arial" w:hAnsi="Arial"/>
          <w:sz w:val="17"/>
          <w:szCs w:val="17"/>
          <w:color w:val="auto"/>
        </w:rPr>
        <w:t xml:space="preserve"> shall be void.</w:t>
      </w:r>
    </w:p>
    <w:p>
      <w:pPr>
        <w:spacing w:after="0" w:line="17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construed and the respective rights or obligations of the Parties determined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substantive Law of the State of New York, other than (a) its conflicts of laws principles; (b) the United Nations Convention on Contracts for the International Sale of Goods; (c) the 1974 Convention on the Limitation Period in the International Sale of Goods (the “</w:t>
      </w:r>
      <w:r>
        <w:rPr>
          <w:rFonts w:ascii="Arial" w:cs="Arial" w:eastAsia="Arial" w:hAnsi="Arial"/>
          <w:sz w:val="18"/>
          <w:szCs w:val="18"/>
          <w:b w:val="1"/>
          <w:bCs w:val="1"/>
          <w:color w:val="auto"/>
        </w:rPr>
        <w:t>1974 Convention</w:t>
      </w:r>
      <w:r>
        <w:rPr>
          <w:rFonts w:ascii="Arial" w:cs="Arial" w:eastAsia="Arial" w:hAnsi="Arial"/>
          <w:sz w:val="18"/>
          <w:szCs w:val="18"/>
          <w:color w:val="auto"/>
        </w:rPr>
        <w:t>”); and (d) the Protocol amending the 1974 Convention, done at Vienna April 11, 1980.</w:t>
      </w:r>
    </w:p>
    <w:p>
      <w:pPr>
        <w:spacing w:after="0" w:line="18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16.3. </w:t>
      </w:r>
      <w:r>
        <w:rPr>
          <w:rFonts w:ascii="Arial" w:cs="Arial" w:eastAsia="Arial" w:hAnsi="Arial"/>
          <w:sz w:val="17"/>
          <w:szCs w:val="17"/>
          <w:b w:val="1"/>
          <w:bCs w:val="1"/>
          <w:u w:val="single" w:color="auto"/>
          <w:color w:val="auto"/>
        </w:rPr>
        <w:t>Arbitration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will first attempt to resolve any dispute arising out of or in connection with this Agreement amicably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negotiation between the Parties. All disputes which remain unresolved for [***] after either Party requests in writing to proceed to negotiation under this </w:t>
      </w:r>
      <w:r>
        <w:rPr>
          <w:rFonts w:ascii="Arial" w:cs="Arial" w:eastAsia="Arial" w:hAnsi="Arial"/>
          <w:sz w:val="17"/>
          <w:szCs w:val="17"/>
          <w:u w:val="single" w:color="auto"/>
          <w:color w:val="auto"/>
        </w:rPr>
        <w:t>Section 16.3</w:t>
      </w:r>
      <w:r>
        <w:rPr>
          <w:rFonts w:ascii="Arial" w:cs="Arial" w:eastAsia="Arial" w:hAnsi="Arial"/>
          <w:sz w:val="17"/>
          <w:szCs w:val="17"/>
          <w:color w:val="auto"/>
        </w:rPr>
        <w:t xml:space="preserve"> shall be finally settled by arbitration under the Rules of Arbitration of the International Chamber of Commerce by three (3) arbitrators appointed in accordance with the said Rules. The place of arbitration shall be New York, New York, United States. The language of the arbitration shall be English. Each Party shall nominate one (1) arbitrator, and the two (2) arbitrators so nominated shall nominate a third (3</w:t>
      </w:r>
      <w:r>
        <w:rPr>
          <w:rFonts w:ascii="Arial" w:cs="Arial" w:eastAsia="Arial" w:hAnsi="Arial"/>
          <w:sz w:val="14"/>
          <w:szCs w:val="14"/>
          <w:color w:val="auto"/>
        </w:rPr>
        <w:t>rd</w:t>
      </w:r>
      <w:r>
        <w:rPr>
          <w:rFonts w:ascii="Arial" w:cs="Arial" w:eastAsia="Arial" w:hAnsi="Arial"/>
          <w:sz w:val="17"/>
          <w:szCs w:val="17"/>
          <w:color w:val="auto"/>
        </w:rPr>
        <w:t>) arbitrator, who shall act as the chairperson. If the tribunal orders production of documents, the tribunal shall take guidance from the IBA Rules on the Taking of Evidence in International Arbitration as current on the date of the commencement of the arbitration. The existence and content of the arbitral proceedings, any information exchanged between Parties during the arbitral proceedings and any rulings or award shall be kept confidential by the Parties and members of the tribunal except (i) to the extent that disclosure may be required by a Party to fulfill a legal duty, protect or pursue a legal right, or enforce or challenge an award in bona fide legal proceedings before a court or other judicial authority, (ii) with the consent of both Parties, (iii) where needed for the preparation or presentation of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0" w:right="459" w:bottom="1440" w:gutter="0" w:footer="0" w:header="0"/>
        </w:sectPr>
      </w:pPr>
    </w:p>
    <w:bookmarkStart w:id="636" w:name="page637"/>
    <w:bookmarkEnd w:id="636"/>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claim or defense in this arbitration, (iv) where such information is already in the public domain other than as a result of a breach of this clause, or (v) by order of the tribunal upon application of a Party. The costs and expenses of translation of relevant documents and translators relating to the arbitration shall be deemed as the costs and expenses of the arbitration, and may be allocated to any Party in the award by the tribunal. The tribunal may include in its award an allocation to any Party of costs and expenses relating to the arbitration, excluding lawyers’ fee, as the tribunal deems reasonable. Each Party shall bear its own cost and expenses for its own lawyers. The award rendered by the tribunal shall be final and binding upon the Parties and may be entered in any competent court of appropriate jurisdiction. The Emergency Arbitrator Provisions shall not apply.</w:t>
      </w:r>
    </w:p>
    <w:p>
      <w:pPr>
        <w:spacing w:after="0" w:line="16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 xml:space="preserve">16.4. </w:t>
      </w:r>
      <w:r>
        <w:rPr>
          <w:rFonts w:ascii="Arial" w:cs="Arial" w:eastAsia="Arial" w:hAnsi="Arial"/>
          <w:sz w:val="17"/>
          <w:szCs w:val="17"/>
          <w:b w:val="1"/>
          <w:bCs w:val="1"/>
          <w:u w:val="single" w:color="auto"/>
          <w:color w:val="auto"/>
        </w:rPr>
        <w:t>Entire Agreement; Amendments</w:t>
      </w:r>
      <w:r>
        <w:rPr>
          <w:rFonts w:ascii="Arial" w:cs="Arial" w:eastAsia="Arial" w:hAnsi="Arial"/>
          <w:sz w:val="17"/>
          <w:szCs w:val="17"/>
          <w:color w:val="auto"/>
        </w:rPr>
        <w:t>. The Agreement contains the entire understanding of the Parties with respect to the subject matter hereof,</w:t>
      </w:r>
      <w:r>
        <w:rPr>
          <w:rFonts w:ascii="Arial" w:cs="Arial" w:eastAsia="Arial" w:hAnsi="Arial"/>
          <w:sz w:val="17"/>
          <w:szCs w:val="17"/>
          <w:b w:val="1"/>
          <w:bCs w:val="1"/>
          <w:color w:val="auto"/>
        </w:rPr>
        <w:t xml:space="preserve"> </w:t>
      </w:r>
      <w:r>
        <w:rPr>
          <w:rFonts w:ascii="Arial" w:cs="Arial" w:eastAsia="Arial" w:hAnsi="Arial"/>
          <w:sz w:val="17"/>
          <w:szCs w:val="17"/>
          <w:color w:val="auto"/>
        </w:rPr>
        <w:t>and supersedes all previous arrangements with respect to the subject matter hereof, whether written or oral, including that certain Confidential Disclosure Agreement by and between the Parties, dated March 8, 2018 and its Amendment No.1 dated May 17, 2018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information disclosed or exchanged under such agreement will be treated as Confidential Information hereunder). This Agreement (other than the Schedules attached hereto) may be amended, or any term hereof modified, only by a written instrument duly-executed by authorized representatives of both Parties hereto. The Schedules attached hereto may be amended, or any term hereof modified, only by a written instrument duly-executed by authorized representatives of both Parties hereto, except to the extent expressly provided in this Agreement.</w:t>
      </w:r>
    </w:p>
    <w:p>
      <w:pPr>
        <w:spacing w:after="0" w:line="172" w:lineRule="exact"/>
        <w:rPr>
          <w:sz w:val="20"/>
          <w:szCs w:val="20"/>
          <w:color w:val="auto"/>
        </w:rPr>
      </w:pPr>
    </w:p>
    <w:p>
      <w:pPr>
        <w:ind w:right="60" w:firstLine="440"/>
        <w:spacing w:after="0" w:line="347" w:lineRule="auto"/>
        <w:rPr>
          <w:sz w:val="20"/>
          <w:szCs w:val="20"/>
          <w:color w:val="auto"/>
        </w:rPr>
      </w:pPr>
      <w:r>
        <w:rPr>
          <w:rFonts w:ascii="Arial" w:cs="Arial" w:eastAsia="Arial" w:hAnsi="Arial"/>
          <w:sz w:val="16"/>
          <w:szCs w:val="16"/>
          <w:b w:val="1"/>
          <w:bCs w:val="1"/>
          <w:color w:val="auto"/>
        </w:rPr>
        <w:t xml:space="preserve">16.5.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If any provision hereof should be held invalid, illegal or unenforceable in any respect by a competent court in any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invalid, illegal or unenforceable provision(s) shall be severed from this Agreement and shall not affect the validity of this Agreement as a whole.</w:t>
      </w:r>
    </w:p>
    <w:p>
      <w:pPr>
        <w:spacing w:after="0" w:line="116"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 xml:space="preserve">16.6.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captions to the Sections hereof are not a part of this Agreement, but are merely for convenience to assist in locating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reading the several Sections hereof.</w:t>
      </w:r>
    </w:p>
    <w:p>
      <w:pPr>
        <w:spacing w:after="0" w:line="162"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b w:val="1"/>
          <w:bCs w:val="1"/>
          <w:color w:val="auto"/>
        </w:rPr>
        <w:t xml:space="preserve">16.7. </w:t>
      </w:r>
      <w:r>
        <w:rPr>
          <w:rFonts w:ascii="Arial" w:cs="Arial" w:eastAsia="Arial" w:hAnsi="Arial"/>
          <w:sz w:val="18"/>
          <w:szCs w:val="18"/>
          <w:b w:val="1"/>
          <w:bCs w:val="1"/>
          <w:u w:val="single" w:color="auto"/>
          <w:color w:val="auto"/>
        </w:rPr>
        <w:t>Waiver of Rule of Construction</w:t>
      </w:r>
      <w:r>
        <w:rPr>
          <w:rFonts w:ascii="Arial" w:cs="Arial" w:eastAsia="Arial" w:hAnsi="Arial"/>
          <w:sz w:val="18"/>
          <w:szCs w:val="18"/>
          <w:color w:val="auto"/>
        </w:rPr>
        <w:t>. Each Party has had the opportunity to consult with counsel in connection with the review, drafting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 of this Agreement. Accordingly, the rule of construction that any ambiguity in this Agreement shall be construed against the drafting Party shall not apply.</w:t>
      </w:r>
    </w:p>
    <w:p>
      <w:pPr>
        <w:spacing w:after="0" w:line="176"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b w:val="1"/>
          <w:bCs w:val="1"/>
          <w:color w:val="auto"/>
        </w:rPr>
        <w:t xml:space="preserve">16.8. </w:t>
      </w:r>
      <w:r>
        <w:rPr>
          <w:rFonts w:ascii="Arial" w:cs="Arial" w:eastAsia="Arial" w:hAnsi="Arial"/>
          <w:sz w:val="16"/>
          <w:szCs w:val="16"/>
          <w:b w:val="1"/>
          <w:bCs w:val="1"/>
          <w:u w:val="single" w:color="auto"/>
          <w:color w:val="auto"/>
        </w:rPr>
        <w:t>Interpretation</w:t>
      </w:r>
      <w:r>
        <w:rPr>
          <w:rFonts w:ascii="Arial" w:cs="Arial" w:eastAsia="Arial" w:hAnsi="Arial"/>
          <w:sz w:val="16"/>
          <w:szCs w:val="16"/>
          <w:color w:val="auto"/>
        </w:rPr>
        <w:t>. Except where the context expressly requires otherwise, (a) the use of any gender herein shall be deemed to encompass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references to either or both genders, and the use of the singular shall be deemed to include the plural (and vice versa); (b) the words “include”, “includes” and “including” shall be deemed to be followed by the phrase “without limitation” and shall not be interpreted to limit the provision to which it relates; (c) the word “will” shall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shall be construed to include the Person’s successors and permitted assigns (subject to </w:t>
      </w:r>
      <w:r>
        <w:rPr>
          <w:rFonts w:ascii="Arial" w:cs="Arial" w:eastAsia="Arial" w:hAnsi="Arial"/>
          <w:sz w:val="16"/>
          <w:szCs w:val="16"/>
          <w:u w:val="single" w:color="auto"/>
          <w:color w:val="auto"/>
        </w:rPr>
        <w:t>Section 16.1</w:t>
      </w:r>
      <w:r>
        <w:rPr>
          <w:rFonts w:ascii="Arial" w:cs="Arial" w:eastAsia="Arial" w:hAnsi="Arial"/>
          <w:sz w:val="16"/>
          <w:szCs w:val="16"/>
          <w:color w:val="auto"/>
        </w:rPr>
        <w:t xml:space="preserve"> with respect to a Party); (f) the words “herein”, “hereof” and “hereunder”, and words of similar import, shall be construed to refer to this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5" w:right="459" w:bottom="1440" w:gutter="0" w:footer="0" w:header="0"/>
        </w:sectPr>
      </w:pPr>
    </w:p>
    <w:bookmarkStart w:id="637" w:name="page638"/>
    <w:bookmarkEnd w:id="63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Agreement in each of their entirety, as the context requires, and not to any particular provision hereof; (g) all references herein to Sections or Schedules shall be construed to refer to Sections or Schedules of this Agreement, and references to this Agreement include all Schedules hereto; (h) the word “notice” means notice in writing (whether or not specifically stated) and shall include notices, consents, approvals and other written communications contemplated under this Agreement; (i) provisions that require that a Party, the Parties or any committee hereunder “agree,” “consent” or “approve” or the like shall require that such agreement, consent or approval be specific and in writing, whether by written agreement, letter, approved minutes or otherwise (but excluding e-mail and instant messaging); (j) references to any specific law, rule or regulation, or article, Section or other division thereof, shall be deemed to include the then-current amendments thereto or any replacement or successor law, rule or regulation thereof; and (k) the term “or” shall be interpreted in the inclusive sense commonly associated with the term “and/or”; and (l) the reference to “day” shall mean a calendar day unless “Business Day” is specified.</w:t>
      </w:r>
    </w:p>
    <w:p>
      <w:pPr>
        <w:spacing w:after="0" w:line="177" w:lineRule="exact"/>
        <w:rPr>
          <w:sz w:val="20"/>
          <w:szCs w:val="20"/>
          <w:color w:val="auto"/>
        </w:rPr>
      </w:pPr>
    </w:p>
    <w:p>
      <w:pPr>
        <w:ind w:right="140" w:firstLine="440"/>
        <w:spacing w:after="0" w:line="258" w:lineRule="auto"/>
        <w:rPr>
          <w:sz w:val="20"/>
          <w:szCs w:val="20"/>
          <w:color w:val="auto"/>
        </w:rPr>
      </w:pPr>
      <w:r>
        <w:rPr>
          <w:rFonts w:ascii="Arial" w:cs="Arial" w:eastAsia="Arial" w:hAnsi="Arial"/>
          <w:sz w:val="18"/>
          <w:szCs w:val="18"/>
          <w:b w:val="1"/>
          <w:bCs w:val="1"/>
          <w:color w:val="auto"/>
        </w:rPr>
        <w:t xml:space="preserve">16.9. </w:t>
      </w:r>
      <w:r>
        <w:rPr>
          <w:rFonts w:ascii="Arial" w:cs="Arial" w:eastAsia="Arial" w:hAnsi="Arial"/>
          <w:sz w:val="18"/>
          <w:szCs w:val="18"/>
          <w:b w:val="1"/>
          <w:bCs w:val="1"/>
          <w:u w:val="single" w:color="auto"/>
          <w:color w:val="auto"/>
        </w:rPr>
        <w:t>No Implied Waivers; Rights Cumulative</w:t>
      </w:r>
      <w:r>
        <w:rPr>
          <w:rFonts w:ascii="Arial" w:cs="Arial" w:eastAsia="Arial" w:hAnsi="Arial"/>
          <w:sz w:val="18"/>
          <w:szCs w:val="18"/>
          <w:color w:val="auto"/>
        </w:rPr>
        <w:t>. Except as expressly provided in this Agreement, no failure on the part of Repare or Ono to</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and no delay in exercising, any right, power, remedy or privilege under this Agreement, or provided by statute or at Law or in equity or otherwise, shall impair, prejudice or constitute a waiver of any such right, power, remedy or privilege or be construed as a waiver of any breach of this Agreement or as an acquiescence therein, nor shall any single or partial exercise of any such right, power, remedy or privilege preclude any other or further exercise thereof or the exercise of any other right, power, remedy or privilege.</w:t>
      </w:r>
    </w:p>
    <w:p>
      <w:pPr>
        <w:spacing w:after="0" w:line="183"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16.10.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which are required or permitted hereunder shall be in writing and sufficient if delivered personally, sent by facsimile</w:t>
      </w:r>
      <w:r>
        <w:rPr>
          <w:rFonts w:ascii="Arial" w:cs="Arial" w:eastAsia="Arial" w:hAnsi="Arial"/>
          <w:sz w:val="18"/>
          <w:szCs w:val="18"/>
          <w:b w:val="1"/>
          <w:bCs w:val="1"/>
          <w:color w:val="auto"/>
        </w:rPr>
        <w:t xml:space="preserve"> </w:t>
      </w:r>
      <w:r>
        <w:rPr>
          <w:rFonts w:ascii="Arial" w:cs="Arial" w:eastAsia="Arial" w:hAnsi="Arial"/>
          <w:sz w:val="18"/>
          <w:szCs w:val="18"/>
          <w:color w:val="auto"/>
        </w:rPr>
        <w:t>(and promptly confirmed by personal delivery, registered or certified mail or overnight courier), sent by nationally- recognized overnight courier or sent by registered or certified mail, postage prepaid, return receipt requested, addressed as follows:</w:t>
      </w:r>
    </w:p>
    <w:p>
      <w:pPr>
        <w:sectPr>
          <w:pgSz w:w="11900" w:h="16838" w:orient="portrait"/>
          <w:cols w:equalWidth="0" w:num="1">
            <w:col w:w="10960"/>
          </w:cols>
          <w:pgMar w:left="440" w:top="274" w:right="499" w:bottom="1440" w:gutter="0" w:footer="0" w:header="0"/>
        </w:sectPr>
      </w:pPr>
    </w:p>
    <w:p>
      <w:pPr>
        <w:spacing w:after="0" w:line="207"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If to Repare, to: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Repare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7210 Frederick-Banting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Saint-Laurent, QC H4S 2A1 Canada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w:t>
      </w:r>
    </w:p>
    <w:p>
      <w:pPr>
        <w:spacing w:after="0" w:line="116" w:lineRule="exact"/>
        <w:rPr>
          <w:sz w:val="20"/>
          <w:szCs w:val="20"/>
          <w:color w:val="auto"/>
        </w:rPr>
      </w:pPr>
    </w:p>
    <w:p>
      <w:pPr>
        <w:sectPr>
          <w:pgSz w:w="11900" w:h="16838" w:orient="portrait"/>
          <w:cols w:equalWidth="0" w:num="2">
            <w:col w:w="1580" w:space="480"/>
            <w:col w:w="8900"/>
          </w:cols>
          <w:pgMar w:left="440" w:top="274" w:right="49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Boston, Massachusetts 02110</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Attention: Christopher Denn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Facsimile No.:</w:t>
      </w:r>
    </w:p>
    <w:p>
      <w:pPr>
        <w:spacing w:after="0" w:line="116" w:lineRule="exact"/>
        <w:rPr>
          <w:sz w:val="20"/>
          <w:szCs w:val="20"/>
          <w:color w:val="auto"/>
        </w:rPr>
      </w:pPr>
    </w:p>
    <w:p>
      <w:pPr>
        <w:sectPr>
          <w:pgSz w:w="11900" w:h="16838" w:orient="portrait"/>
          <w:cols w:equalWidth="0" w:num="2">
            <w:col w:w="1540" w:space="520"/>
            <w:col w:w="8900"/>
          </w:cols>
          <w:pgMar w:left="440" w:top="274" w:right="499" w:bottom="1440" w:gutter="0" w:footer="0" w:header="0"/>
          <w:type w:val="continuous"/>
        </w:sectPr>
      </w:pPr>
    </w:p>
    <w:p>
      <w:pPr>
        <w:ind w:left="440"/>
        <w:spacing w:after="0"/>
        <w:rPr>
          <w:sz w:val="20"/>
          <w:szCs w:val="20"/>
          <w:color w:val="auto"/>
        </w:rPr>
      </w:pPr>
      <w:r>
        <w:rPr>
          <w:rFonts w:ascii="Arial" w:cs="Arial" w:eastAsia="Arial" w:hAnsi="Arial"/>
          <w:sz w:val="17"/>
          <w:szCs w:val="17"/>
          <w:color w:val="auto"/>
        </w:rPr>
        <w:t>If to Ono,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Ono Pharmaceutical Co., Ltd.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8-2, Kyutaromachi 1-Chome,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Chuo-ku, Osaka 541-8564 Japan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Director, License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w:t>
      </w:r>
    </w:p>
    <w:p>
      <w:pPr>
        <w:spacing w:after="0" w:line="157" w:lineRule="exact"/>
        <w:rPr>
          <w:sz w:val="20"/>
          <w:szCs w:val="20"/>
          <w:color w:val="auto"/>
        </w:rPr>
      </w:pPr>
    </w:p>
    <w:p>
      <w:pPr>
        <w:sectPr>
          <w:pgSz w:w="11900" w:h="16838" w:orient="portrait"/>
          <w:cols w:equalWidth="0" w:num="2">
            <w:col w:w="1380" w:space="680"/>
            <w:col w:w="8900"/>
          </w:cols>
          <w:pgMar w:left="440" w:top="274" w:right="4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0960"/>
          </w:cols>
          <w:pgMar w:left="440" w:top="274" w:right="499" w:bottom="1440" w:gutter="0" w:footer="0" w:header="0"/>
          <w:type w:val="continuous"/>
        </w:sectPr>
      </w:pPr>
    </w:p>
    <w:bookmarkStart w:id="638" w:name="page639"/>
    <w:bookmarkEnd w:id="638"/>
    <w:p>
      <w:pPr>
        <w:ind w:left="444"/>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Ono Pharmaceutical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-215900</wp:posOffset>
            </wp:positionV>
            <wp:extent cx="7149465" cy="2540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Manager, Legal Department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No.:</w:t>
      </w:r>
    </w:p>
    <w:p>
      <w:pPr>
        <w:spacing w:after="0" w:line="116" w:lineRule="exact"/>
        <w:rPr>
          <w:sz w:val="20"/>
          <w:szCs w:val="20"/>
          <w:color w:val="auto"/>
        </w:rPr>
      </w:pPr>
    </w:p>
    <w:p>
      <w:pPr>
        <w:sectPr>
          <w:pgSz w:w="11900" w:h="16838" w:orient="portrait"/>
          <w:cols w:equalWidth="0" w:num="2">
            <w:col w:w="1544" w:space="520"/>
            <w:col w:w="8920"/>
          </w:cols>
          <w:pgMar w:left="436" w:top="275" w:right="479" w:bottom="1440" w:gutter="0" w:footer="0" w:header="0"/>
        </w:sectPr>
      </w:pPr>
    </w:p>
    <w:p>
      <w:pPr>
        <w:ind w:left="2064"/>
        <w:spacing w:after="0"/>
        <w:rPr>
          <w:sz w:val="20"/>
          <w:szCs w:val="20"/>
          <w:color w:val="auto"/>
        </w:rPr>
      </w:pPr>
      <w:r>
        <w:rPr>
          <w:rFonts w:ascii="Arial" w:cs="Arial" w:eastAsia="Arial" w:hAnsi="Arial"/>
          <w:sz w:val="18"/>
          <w:szCs w:val="18"/>
          <w:color w:val="auto"/>
        </w:rPr>
        <w:t>Ono Pharma USA, Inc.,</w:t>
      </w:r>
    </w:p>
    <w:p>
      <w:pPr>
        <w:spacing w:after="0" w:line="23" w:lineRule="exact"/>
        <w:rPr>
          <w:sz w:val="20"/>
          <w:szCs w:val="20"/>
          <w:color w:val="auto"/>
        </w:rPr>
      </w:pPr>
    </w:p>
    <w:p>
      <w:pPr>
        <w:ind w:left="2064"/>
        <w:spacing w:after="0"/>
        <w:rPr>
          <w:sz w:val="20"/>
          <w:szCs w:val="20"/>
          <w:color w:val="auto"/>
        </w:rPr>
      </w:pPr>
      <w:r>
        <w:rPr>
          <w:rFonts w:ascii="Arial" w:cs="Arial" w:eastAsia="Arial" w:hAnsi="Arial"/>
          <w:sz w:val="16"/>
          <w:szCs w:val="16"/>
          <w:color w:val="auto"/>
        </w:rPr>
        <w:t>2000 Lenox Drive, Suite 101, Lawrenceville, New Jersey 08648, USA</w:t>
      </w:r>
    </w:p>
    <w:p>
      <w:pPr>
        <w:spacing w:after="0" w:line="32" w:lineRule="exact"/>
        <w:rPr>
          <w:sz w:val="20"/>
          <w:szCs w:val="20"/>
          <w:color w:val="auto"/>
        </w:rPr>
      </w:pPr>
    </w:p>
    <w:p>
      <w:pPr>
        <w:ind w:left="2064"/>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ind w:left="2064"/>
        <w:spacing w:after="0"/>
        <w:rPr>
          <w:sz w:val="20"/>
          <w:szCs w:val="20"/>
          <w:color w:val="auto"/>
        </w:rPr>
      </w:pPr>
      <w:r>
        <w:rPr>
          <w:rFonts w:ascii="Arial" w:cs="Arial" w:eastAsia="Arial" w:hAnsi="Arial"/>
          <w:sz w:val="18"/>
          <w:szCs w:val="18"/>
          <w:color w:val="auto"/>
        </w:rPr>
        <w:t>Facsimile No.:</w:t>
      </w:r>
    </w:p>
    <w:p>
      <w:pPr>
        <w:sectPr>
          <w:pgSz w:w="11900" w:h="16838" w:orient="portrait"/>
          <w:cols w:equalWidth="0" w:num="1">
            <w:col w:w="10984"/>
          </w:cols>
          <w:pgMar w:left="436" w:top="275" w:right="479" w:bottom="1440" w:gutter="0" w:footer="0" w:header="0"/>
          <w:type w:val="continuous"/>
        </w:sectPr>
      </w:pPr>
    </w:p>
    <w:p>
      <w:pPr>
        <w:spacing w:after="0" w:line="224" w:lineRule="exact"/>
        <w:rPr>
          <w:sz w:val="20"/>
          <w:szCs w:val="20"/>
          <w:color w:val="auto"/>
        </w:rPr>
      </w:pPr>
    </w:p>
    <w:p>
      <w:pPr>
        <w:jc w:val="both"/>
        <w:ind w:left="4" w:right="40"/>
        <w:spacing w:after="0" w:line="291" w:lineRule="auto"/>
        <w:rPr>
          <w:sz w:val="20"/>
          <w:szCs w:val="20"/>
          <w:color w:val="auto"/>
        </w:rPr>
      </w:pPr>
      <w:r>
        <w:rPr>
          <w:rFonts w:ascii="Arial" w:cs="Arial" w:eastAsia="Arial" w:hAnsi="Arial"/>
          <w:sz w:val="16"/>
          <w:szCs w:val="16"/>
          <w:color w:val="auto"/>
        </w:rPr>
        <w:t>or to such other address as the Party to whom notice is to be given may have furnished to the other Party in writing in accordance herewith. In addition, each Party shall deliver a courtesy copy to the other Party’s Liaison concurrently with such notice. Any such notice shall be deemed to have been given:</w:t>
      </w:r>
    </w:p>
    <w:p>
      <w:pPr>
        <w:ind w:left="4" w:right="540" w:hanging="4"/>
        <w:spacing w:after="0" w:line="260" w:lineRule="auto"/>
        <w:tabs>
          <w:tab w:leader="none" w:pos="249" w:val="left"/>
        </w:tabs>
        <w:numPr>
          <w:ilvl w:val="0"/>
          <w:numId w:val="395"/>
        </w:numPr>
        <w:rPr>
          <w:rFonts w:ascii="Arial" w:cs="Arial" w:eastAsia="Arial" w:hAnsi="Arial"/>
          <w:sz w:val="18"/>
          <w:szCs w:val="18"/>
          <w:color w:val="auto"/>
        </w:rPr>
      </w:pPr>
      <w:r>
        <w:rPr>
          <w:rFonts w:ascii="Arial" w:cs="Arial" w:eastAsia="Arial" w:hAnsi="Arial"/>
          <w:sz w:val="18"/>
          <w:szCs w:val="18"/>
          <w:color w:val="auto"/>
        </w:rPr>
        <w:t>when delivered if personally delivered or sent by facsimile on a Business Day (or if delivered or sent on a non-Business Day, then on the next Business Day); (b) on receipt if sent by overnight courier; or (c) on receipt if sent by mail.</w:t>
      </w:r>
    </w:p>
    <w:p>
      <w:pPr>
        <w:spacing w:after="0" w:line="181" w:lineRule="exact"/>
        <w:rPr>
          <w:sz w:val="20"/>
          <w:szCs w:val="20"/>
          <w:color w:val="auto"/>
        </w:rPr>
      </w:pPr>
    </w:p>
    <w:p>
      <w:pPr>
        <w:ind w:left="4" w:right="220" w:firstLine="440"/>
        <w:spacing w:after="0" w:line="282" w:lineRule="auto"/>
        <w:rPr>
          <w:sz w:val="20"/>
          <w:szCs w:val="20"/>
          <w:color w:val="auto"/>
        </w:rPr>
      </w:pPr>
      <w:r>
        <w:rPr>
          <w:rFonts w:ascii="Arial" w:cs="Arial" w:eastAsia="Arial" w:hAnsi="Arial"/>
          <w:sz w:val="18"/>
          <w:szCs w:val="18"/>
          <w:b w:val="1"/>
          <w:bCs w:val="1"/>
          <w:color w:val="auto"/>
        </w:rPr>
        <w:t xml:space="preserve">16.11. </w:t>
      </w:r>
      <w:r>
        <w:rPr>
          <w:rFonts w:ascii="Arial" w:cs="Arial" w:eastAsia="Arial" w:hAnsi="Arial"/>
          <w:sz w:val="18"/>
          <w:szCs w:val="18"/>
          <w:b w:val="1"/>
          <w:bCs w:val="1"/>
          <w:u w:val="single" w:color="auto"/>
          <w:color w:val="auto"/>
        </w:rPr>
        <w:t>Compliance with Export Regulations</w:t>
      </w:r>
      <w:r>
        <w:rPr>
          <w:rFonts w:ascii="Arial" w:cs="Arial" w:eastAsia="Arial" w:hAnsi="Arial"/>
          <w:sz w:val="18"/>
          <w:szCs w:val="18"/>
          <w:color w:val="auto"/>
        </w:rPr>
        <w:t>. Neither Party shall export any technology licensed to it by the other Party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in compliance with U.S. export Laws and other applicable foreign export Laws.</w:t>
      </w:r>
    </w:p>
    <w:p>
      <w:pPr>
        <w:spacing w:after="0" w:line="162" w:lineRule="exact"/>
        <w:rPr>
          <w:sz w:val="20"/>
          <w:szCs w:val="20"/>
          <w:color w:val="auto"/>
        </w:rPr>
      </w:pPr>
    </w:p>
    <w:p>
      <w:pPr>
        <w:ind w:left="4" w:right="40" w:firstLine="440"/>
        <w:spacing w:after="0" w:line="256" w:lineRule="auto"/>
        <w:rPr>
          <w:sz w:val="20"/>
          <w:szCs w:val="20"/>
          <w:color w:val="auto"/>
        </w:rPr>
      </w:pPr>
      <w:r>
        <w:rPr>
          <w:rFonts w:ascii="Arial" w:cs="Arial" w:eastAsia="Arial" w:hAnsi="Arial"/>
          <w:sz w:val="18"/>
          <w:szCs w:val="18"/>
          <w:b w:val="1"/>
          <w:bCs w:val="1"/>
          <w:color w:val="auto"/>
        </w:rPr>
        <w:t xml:space="preserve">16.12. </w:t>
      </w:r>
      <w:r>
        <w:rPr>
          <w:rFonts w:ascii="Arial" w:cs="Arial" w:eastAsia="Arial" w:hAnsi="Arial"/>
          <w:sz w:val="18"/>
          <w:szCs w:val="18"/>
          <w:b w:val="1"/>
          <w:bCs w:val="1"/>
          <w:u w:val="single" w:color="auto"/>
          <w:color w:val="auto"/>
        </w:rPr>
        <w:t>Force Majeure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Party shall be held liable to the other Party nor be deemed to have defaulted under or breached this Agreement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failure or delay in performing any obligation under this Agreement (except payment of money obligations), to the extent that such failure or delay is caused by or results from causes which are unforeseeable and irresistible, potentially including embargoes, war, acts of war (whether war be declared or not), insurrections, riots, civil commotions, strikes, lockouts or other labor disturbances, fire, floods, earthquake, tsunami or other acts of God. The affected Party shall notify the other Party of such force majeure circumstances as soon as reasonably practical, and shall promptly undertake all reasonable efforts necessary to cure such force majeure circumstances.</w:t>
      </w:r>
    </w:p>
    <w:p>
      <w:pPr>
        <w:spacing w:after="0" w:line="187"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b w:val="1"/>
          <w:bCs w:val="1"/>
          <w:color w:val="auto"/>
        </w:rPr>
        <w:t xml:space="preserve">16.13. </w:t>
      </w:r>
      <w:r>
        <w:rPr>
          <w:rFonts w:ascii="Arial" w:cs="Arial" w:eastAsia="Arial" w:hAnsi="Arial"/>
          <w:sz w:val="18"/>
          <w:szCs w:val="18"/>
          <w:b w:val="1"/>
          <w:bCs w:val="1"/>
          <w:u w:val="single" w:color="auto"/>
          <w:color w:val="auto"/>
        </w:rPr>
        <w:t>Independent Parties</w:t>
      </w:r>
      <w:r>
        <w:rPr>
          <w:rFonts w:ascii="Arial" w:cs="Arial" w:eastAsia="Arial" w:hAnsi="Arial"/>
          <w:sz w:val="18"/>
          <w:szCs w:val="18"/>
          <w:color w:val="auto"/>
        </w:rPr>
        <w:t>. It is expressly agreed that Repare and Ono shall be independent contractors and that the relationship between Repare</w:t>
      </w:r>
      <w:r>
        <w:rPr>
          <w:rFonts w:ascii="Arial" w:cs="Arial" w:eastAsia="Arial" w:hAnsi="Arial"/>
          <w:sz w:val="18"/>
          <w:szCs w:val="18"/>
          <w:b w:val="1"/>
          <w:bCs w:val="1"/>
          <w:color w:val="auto"/>
        </w:rPr>
        <w:t xml:space="preserve"> </w:t>
      </w:r>
      <w:r>
        <w:rPr>
          <w:rFonts w:ascii="Arial" w:cs="Arial" w:eastAsia="Arial" w:hAnsi="Arial"/>
          <w:sz w:val="18"/>
          <w:szCs w:val="18"/>
          <w:color w:val="auto"/>
        </w:rPr>
        <w:t>and Ono shall not constitute a partnership, joint venture or agency. Repare shall not have the authority to make any statements, representations or commitments of any kind, or to take any action, which shall be binding on Ono, without the prior written consent of Ono, and Ono shall not have the authority to make any statements, representations or commitments of any kind, or to take any action, which shall be binding on Repare without the prior written consent of Repare.</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84"/>
          </w:cols>
          <w:pgMar w:left="436" w:top="275" w:right="479" w:bottom="1440" w:gutter="0" w:footer="0" w:header="0"/>
          <w:type w:val="continuous"/>
        </w:sectPr>
      </w:pPr>
    </w:p>
    <w:bookmarkStart w:id="639" w:name="page640"/>
    <w:bookmarkEnd w:id="639"/>
    <w:p>
      <w:pPr>
        <w:ind w:firstLine="44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16.14. </w:t>
      </w:r>
      <w:r>
        <w:rPr>
          <w:rFonts w:ascii="Arial" w:cs="Arial" w:eastAsia="Arial" w:hAnsi="Arial"/>
          <w:sz w:val="18"/>
          <w:szCs w:val="18"/>
          <w:b w:val="1"/>
          <w:bCs w:val="1"/>
          <w:u w:val="single" w:color="auto"/>
          <w:color w:val="auto"/>
        </w:rPr>
        <w:t>Performance by Affiliates</w:t>
      </w:r>
      <w:r>
        <w:rPr>
          <w:rFonts w:ascii="Arial" w:cs="Arial" w:eastAsia="Arial" w:hAnsi="Arial"/>
          <w:sz w:val="18"/>
          <w:szCs w:val="18"/>
          <w:color w:val="auto"/>
        </w:rPr>
        <w:t>. Each Party acknowledges and accepts that the other Party may exercise its rights and perform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this Agreement either directly or through one or more of its Affiliates. A Party’s Affiliates will have the benefit of all rights (including all licenses) of such Party under this Agreement. Accordingly, in this Agreement “Ono” will be interpreted to mean “Ono or its Affiliates” and “Repare” will be interpreted to mean “Repare or its Affiliates” where necessary to give each Party’s Affiliates the benefit of the rights provided to such Party in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any event each Party will remain responsible for the acts and omissions, including financial liabilities, of its Affiliates.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16.15. </w:t>
      </w:r>
      <w:r>
        <w:rPr>
          <w:rFonts w:ascii="Arial" w:cs="Arial" w:eastAsia="Arial" w:hAnsi="Arial"/>
          <w:sz w:val="18"/>
          <w:szCs w:val="18"/>
          <w:b w:val="1"/>
          <w:bCs w:val="1"/>
          <w:u w:val="single" w:color="auto"/>
          <w:color w:val="auto"/>
        </w:rPr>
        <w:t>Acquisitions</w:t>
      </w:r>
      <w:r>
        <w:rPr>
          <w:rFonts w:ascii="Arial" w:cs="Arial" w:eastAsia="Arial" w:hAnsi="Arial"/>
          <w:sz w:val="18"/>
          <w:szCs w:val="18"/>
          <w:color w:val="auto"/>
        </w:rPr>
        <w:t>.</w:t>
      </w:r>
    </w:p>
    <w:p>
      <w:pPr>
        <w:spacing w:after="0" w:line="117" w:lineRule="exact"/>
        <w:rPr>
          <w:sz w:val="20"/>
          <w:szCs w:val="20"/>
          <w:color w:val="auto"/>
        </w:rPr>
      </w:pPr>
    </w:p>
    <w:p>
      <w:pPr>
        <w:ind w:left="440" w:right="60" w:firstLine="423"/>
        <w:spacing w:after="0" w:line="274" w:lineRule="auto"/>
        <w:rPr>
          <w:sz w:val="20"/>
          <w:szCs w:val="20"/>
          <w:color w:val="auto"/>
        </w:rPr>
      </w:pPr>
      <w:r>
        <w:rPr>
          <w:rFonts w:ascii="Arial" w:cs="Arial" w:eastAsia="Arial" w:hAnsi="Arial"/>
          <w:sz w:val="17"/>
          <w:szCs w:val="17"/>
          <w:b w:val="1"/>
          <w:bCs w:val="1"/>
          <w:color w:val="auto"/>
        </w:rPr>
        <w:t>16.15.1. Future Acquisition of a Party or its Business</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16.15.2.1</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16.15.2.2</w:t>
      </w:r>
      <w:r>
        <w:rPr>
          <w:rFonts w:ascii="Arial" w:cs="Arial" w:eastAsia="Arial" w:hAnsi="Arial"/>
          <w:sz w:val="17"/>
          <w:szCs w:val="17"/>
          <w:color w:val="auto"/>
        </w:rPr>
        <w:t>, in the event of an acquisition of a</w:t>
      </w:r>
      <w:r>
        <w:rPr>
          <w:rFonts w:ascii="Arial" w:cs="Arial" w:eastAsia="Arial" w:hAnsi="Arial"/>
          <w:sz w:val="17"/>
          <w:szCs w:val="17"/>
          <w:b w:val="1"/>
          <w:bCs w:val="1"/>
          <w:color w:val="auto"/>
        </w:rPr>
        <w:t xml:space="preserve"> </w:t>
      </w:r>
      <w:r>
        <w:rPr>
          <w:rFonts w:ascii="Arial" w:cs="Arial" w:eastAsia="Arial" w:hAnsi="Arial"/>
          <w:sz w:val="17"/>
          <w:szCs w:val="17"/>
          <w:color w:val="auto"/>
        </w:rPr>
        <w:t>Party or its business by a an Acquirer after the Effective Date, whether by merger, asset purchase or otherwise, as to any such Acquirer, the other Party shall not obtain rights, licenses, options or access to any Patent Rights, Know-How, product candidates or products that are held by the Acquirer or any Affiliate of the Acquirer that becomes an Affiliate of the acquired Party as a result of such acquisition (but excluding the acquired Party), that were not generated through any use or access to the Know-How or Patent Rights of the acquired Party, or that are not used by the acquired Party in connection with a Drug Candidate, Licensed Drug Candidate and a Licensed Product.</w:t>
      </w:r>
    </w:p>
    <w:p>
      <w:pPr>
        <w:spacing w:after="0" w:line="65"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16.15.2. Acquired Programs</w:t>
      </w:r>
      <w:r>
        <w:rPr>
          <w:rFonts w:ascii="Arial" w:cs="Arial" w:eastAsia="Arial" w:hAnsi="Arial"/>
          <w:sz w:val="18"/>
          <w:szCs w:val="18"/>
          <w:color w:val="auto"/>
        </w:rPr>
        <w:t>.</w:t>
      </w:r>
    </w:p>
    <w:p>
      <w:pPr>
        <w:spacing w:after="0" w:line="117" w:lineRule="exact"/>
        <w:rPr>
          <w:sz w:val="20"/>
          <w:szCs w:val="20"/>
          <w:color w:val="auto"/>
        </w:rPr>
      </w:pPr>
    </w:p>
    <w:p>
      <w:pPr>
        <w:ind w:left="980" w:right="20" w:firstLine="401"/>
        <w:spacing w:after="0" w:line="271" w:lineRule="auto"/>
        <w:rPr>
          <w:sz w:val="20"/>
          <w:szCs w:val="20"/>
          <w:color w:val="auto"/>
        </w:rPr>
      </w:pPr>
      <w:r>
        <w:rPr>
          <w:rFonts w:ascii="Arial" w:cs="Arial" w:eastAsia="Arial" w:hAnsi="Arial"/>
          <w:sz w:val="17"/>
          <w:szCs w:val="17"/>
          <w:b w:val="1"/>
          <w:bCs w:val="1"/>
          <w:color w:val="auto"/>
        </w:rPr>
        <w:t xml:space="preserve">16.15.2.1. </w:t>
      </w:r>
      <w:r>
        <w:rPr>
          <w:rFonts w:ascii="Arial" w:cs="Arial" w:eastAsia="Arial" w:hAnsi="Arial"/>
          <w:sz w:val="17"/>
          <w:szCs w:val="17"/>
          <w:color w:val="auto"/>
        </w:rPr>
        <w:t>The Parties acknowledge and agree that the restrictions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12.4</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(Exclusivity) shall not apply to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circumstances as and to the extent provided in this </w:t>
      </w:r>
      <w:r>
        <w:rPr>
          <w:rFonts w:ascii="Arial" w:cs="Arial" w:eastAsia="Arial" w:hAnsi="Arial"/>
          <w:sz w:val="17"/>
          <w:szCs w:val="17"/>
          <w:u w:val="single" w:color="auto"/>
          <w:color w:val="auto"/>
        </w:rPr>
        <w:t>Section 16.15.2.1</w:t>
      </w:r>
      <w:r>
        <w:rPr>
          <w:rFonts w:ascii="Arial" w:cs="Arial" w:eastAsia="Arial" w:hAnsi="Arial"/>
          <w:sz w:val="17"/>
          <w:szCs w:val="17"/>
          <w:color w:val="auto"/>
        </w:rPr>
        <w:t xml:space="preserve">: (i) an acquisition of a Party or its business after the Effective Date by an Acquirer, whether by merger, asset purchase or otherwise, which Acquirer is, prior to such acquisition, conducting a research, development or commercialization program that, if conducted by a Party at such time, would be a breach of such Party’s exclusivity obligation in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(Exclusivity) and (ii) an acquisition by a Party (“</w:t>
      </w:r>
      <w:r>
        <w:rPr>
          <w:rFonts w:ascii="Arial" w:cs="Arial" w:eastAsia="Arial" w:hAnsi="Arial"/>
          <w:sz w:val="17"/>
          <w:szCs w:val="17"/>
          <w:b w:val="1"/>
          <w:bCs w:val="1"/>
          <w:color w:val="auto"/>
        </w:rPr>
        <w:t>Acquiring Party</w:t>
      </w:r>
      <w:r>
        <w:rPr>
          <w:rFonts w:ascii="Arial" w:cs="Arial" w:eastAsia="Arial" w:hAnsi="Arial"/>
          <w:sz w:val="17"/>
          <w:szCs w:val="17"/>
          <w:color w:val="auto"/>
        </w:rPr>
        <w:t xml:space="preserve">”) after the Effective Date of the business or assets of a Third Party, whether by merger, asset purchase or otherwise, which Third Party is, prior to such acquisition, conducting a research, development or commercialization program that, if conducted by a Party at such time, would be a breach of such Party’s exclusivity obligation in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(Exclusivity) (each program described in the foregoing clauses (i) and (ii) is a “</w:t>
      </w:r>
      <w:r>
        <w:rPr>
          <w:rFonts w:ascii="Arial" w:cs="Arial" w:eastAsia="Arial" w:hAnsi="Arial"/>
          <w:sz w:val="17"/>
          <w:szCs w:val="17"/>
          <w:b w:val="1"/>
          <w:bCs w:val="1"/>
          <w:color w:val="auto"/>
        </w:rPr>
        <w:t>Competing</w:t>
      </w:r>
      <w:r>
        <w:rPr>
          <w:rFonts w:ascii="Arial" w:cs="Arial" w:eastAsia="Arial" w:hAnsi="Arial"/>
          <w:sz w:val="17"/>
          <w:szCs w:val="17"/>
          <w:color w:val="auto"/>
        </w:rPr>
        <w:t xml:space="preserve"> </w:t>
      </w:r>
      <w:r>
        <w:rPr>
          <w:rFonts w:ascii="Arial" w:cs="Arial" w:eastAsia="Arial" w:hAnsi="Arial"/>
          <w:sz w:val="17"/>
          <w:szCs w:val="17"/>
          <w:b w:val="1"/>
          <w:bCs w:val="1"/>
          <w:color w:val="auto"/>
        </w:rPr>
        <w:t>Program</w:t>
      </w:r>
      <w:r>
        <w:rPr>
          <w:rFonts w:ascii="Arial" w:cs="Arial" w:eastAsia="Arial" w:hAnsi="Arial"/>
          <w:sz w:val="17"/>
          <w:szCs w:val="17"/>
          <w:color w:val="auto"/>
        </w:rPr>
        <w:t>”) on the condition the following are met:</w:t>
      </w:r>
    </w:p>
    <w:p>
      <w:pPr>
        <w:spacing w:after="0" w:line="70"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20"/>
          </w:cols>
          <w:pgMar w:left="440" w:top="270" w:right="439" w:bottom="1440" w:gutter="0" w:footer="0" w:header="0"/>
        </w:sectPr>
      </w:pPr>
    </w:p>
    <w:bookmarkStart w:id="640" w:name="page641"/>
    <w:bookmarkEnd w:id="640"/>
    <w:p>
      <w:pPr>
        <w:ind w:left="18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 [***]</w:t>
      </w:r>
    </w:p>
    <w:p>
      <w:pPr>
        <w:spacing w:after="0" w:line="113"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16.15.2.2. </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16.16. </w:t>
      </w:r>
      <w:r>
        <w:rPr>
          <w:rFonts w:ascii="Arial" w:cs="Arial" w:eastAsia="Arial" w:hAnsi="Arial"/>
          <w:sz w:val="18"/>
          <w:szCs w:val="18"/>
          <w:b w:val="1"/>
          <w:bCs w:val="1"/>
          <w:u w:val="single" w:color="auto"/>
          <w:color w:val="auto"/>
        </w:rPr>
        <w:t>Binding Effect; No Third Party Beneficiaries</w:t>
      </w:r>
      <w:r>
        <w:rPr>
          <w:rFonts w:ascii="Arial" w:cs="Arial" w:eastAsia="Arial" w:hAnsi="Arial"/>
          <w:sz w:val="18"/>
          <w:szCs w:val="18"/>
          <w:color w:val="auto"/>
        </w:rPr>
        <w:t>. As of the Effective Date, this Agreement shall be binding upon and inure to the benefit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and their respective permitted successors and permitted assigns. Except as expressly set forth in this Agreement, no Person other than the Parties and their respective Affiliates and permitted assignees hereunder shall be deemed an intended beneficiary hereunder or have any right to enforce any obligation of this Agreement.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20"/>
          </w:cols>
          <w:pgMar w:left="440" w:top="275" w:right="539" w:bottom="1440" w:gutter="0" w:footer="0" w:header="0"/>
        </w:sectPr>
      </w:pPr>
    </w:p>
    <w:bookmarkStart w:id="641" w:name="page642"/>
    <w:bookmarkEnd w:id="641"/>
    <w:p>
      <w:pPr>
        <w:ind w:firstLine="44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16.17. </w:t>
      </w: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The Agreement may be executed in two (2) or more counterparts, including by facsimile or PDF signature pages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electronic means, each of which shall be deemed an original, but all of which together shall constitute one and the same instrument.</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REMAINDER OF THIS PAGE HAS BEEN LEFT INTENTIONALLY BLANK]</w:t>
      </w:r>
    </w:p>
    <w:p>
      <w:pPr>
        <w:spacing w:after="0" w:line="16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780"/>
          </w:cols>
          <w:pgMar w:left="440" w:top="270" w:right="679" w:bottom="1440" w:gutter="0" w:footer="0" w:header="0"/>
        </w:sectPr>
      </w:pPr>
    </w:p>
    <w:bookmarkStart w:id="642" w:name="page643"/>
    <w:bookmarkEnd w:id="642"/>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Agreement as of the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ONO PHARMACEUTICAL CO., LTD.</w:t>
            </w:r>
          </w:p>
        </w:tc>
        <w:tc>
          <w:tcPr>
            <w:tcW w:w="5940" w:type="dxa"/>
            <w:vAlign w:val="bottom"/>
            <w:gridSpan w:val="2"/>
          </w:tcPr>
          <w:p>
            <w:pPr>
              <w:ind w:left="660"/>
              <w:spacing w:after="0"/>
              <w:rPr>
                <w:sz w:val="20"/>
                <w:szCs w:val="20"/>
                <w:color w:val="auto"/>
              </w:rPr>
            </w:pPr>
            <w:r>
              <w:rPr>
                <w:rFonts w:ascii="Arial" w:cs="Arial" w:eastAsia="Arial" w:hAnsi="Arial"/>
                <w:sz w:val="18"/>
                <w:szCs w:val="18"/>
                <w:b w:val="1"/>
                <w:bCs w:val="1"/>
                <w:color w:val="auto"/>
              </w:rPr>
              <w:t>REPARE THERAPEUTICS, INC.</w:t>
            </w: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BY:  /s/ Gyo Sagara</w:t>
            </w:r>
          </w:p>
        </w:tc>
        <w:tc>
          <w:tcPr>
            <w:tcW w:w="5940" w:type="dxa"/>
            <w:vAlign w:val="bottom"/>
            <w:gridSpan w:val="2"/>
          </w:tcPr>
          <w:p>
            <w:pPr>
              <w:ind w:left="660"/>
              <w:spacing w:after="0"/>
              <w:rPr>
                <w:sz w:val="20"/>
                <w:szCs w:val="20"/>
                <w:color w:val="auto"/>
              </w:rPr>
            </w:pPr>
            <w:r>
              <w:rPr>
                <w:rFonts w:ascii="Arial" w:cs="Arial" w:eastAsia="Arial" w:hAnsi="Arial"/>
                <w:sz w:val="18"/>
                <w:szCs w:val="18"/>
                <w:color w:val="auto"/>
              </w:rPr>
              <w:t>BY:   /s/ Lloyd M. Segal</w:t>
            </w:r>
          </w:p>
        </w:tc>
      </w:tr>
      <w:tr>
        <w:trPr>
          <w:trHeight w:val="20"/>
        </w:trPr>
        <w:tc>
          <w:tcPr>
            <w:tcW w:w="34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r>
      <w:tr>
        <w:trPr>
          <w:trHeight w:val="182"/>
        </w:trPr>
        <w:tc>
          <w:tcPr>
            <w:tcW w:w="5080" w:type="dxa"/>
            <w:vAlign w:val="bottom"/>
            <w:gridSpan w:val="2"/>
          </w:tcPr>
          <w:p>
            <w:pPr>
              <w:spacing w:after="0" w:line="182" w:lineRule="exact"/>
              <w:rPr>
                <w:sz w:val="20"/>
                <w:szCs w:val="20"/>
                <w:color w:val="auto"/>
              </w:rPr>
            </w:pPr>
            <w:r>
              <w:rPr>
                <w:rFonts w:ascii="Arial" w:cs="Arial" w:eastAsia="Arial" w:hAnsi="Arial"/>
                <w:sz w:val="18"/>
                <w:szCs w:val="18"/>
                <w:color w:val="auto"/>
              </w:rPr>
              <w:t>NAME: Gyo Sagara</w:t>
            </w:r>
          </w:p>
        </w:tc>
        <w:tc>
          <w:tcPr>
            <w:tcW w:w="5940" w:type="dxa"/>
            <w:vAlign w:val="bottom"/>
            <w:gridSpan w:val="2"/>
          </w:tcPr>
          <w:p>
            <w:pPr>
              <w:ind w:left="660"/>
              <w:spacing w:after="0" w:line="182" w:lineRule="exact"/>
              <w:rPr>
                <w:sz w:val="20"/>
                <w:szCs w:val="20"/>
                <w:color w:val="auto"/>
              </w:rPr>
            </w:pPr>
            <w:r>
              <w:rPr>
                <w:rFonts w:ascii="Arial" w:cs="Arial" w:eastAsia="Arial" w:hAnsi="Arial"/>
                <w:sz w:val="18"/>
                <w:szCs w:val="18"/>
                <w:color w:val="auto"/>
              </w:rPr>
              <w:t>NAME: Lloyd M. Segal</w:t>
            </w: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TITLE: President, Representative Director and CEO</w:t>
            </w:r>
          </w:p>
        </w:tc>
        <w:tc>
          <w:tcPr>
            <w:tcW w:w="5940" w:type="dxa"/>
            <w:vAlign w:val="bottom"/>
            <w:gridSpan w:val="2"/>
          </w:tcPr>
          <w:p>
            <w:pPr>
              <w:ind w:left="660"/>
              <w:spacing w:after="0"/>
              <w:rPr>
                <w:sz w:val="20"/>
                <w:szCs w:val="20"/>
                <w:color w:val="auto"/>
              </w:rPr>
            </w:pPr>
            <w:r>
              <w:rPr>
                <w:rFonts w:ascii="Arial" w:cs="Arial" w:eastAsia="Arial" w:hAnsi="Arial"/>
                <w:sz w:val="18"/>
                <w:szCs w:val="18"/>
                <w:color w:val="auto"/>
              </w:rPr>
              <w:t>TITLE: President &amp; CEO</w:t>
            </w:r>
          </w:p>
        </w:tc>
      </w:tr>
    </w:tbl>
    <w:p>
      <w:pPr>
        <w:sectPr>
          <w:pgSz w:w="11900" w:h="16838" w:orient="portrait"/>
          <w:cols w:equalWidth="0" w:num="1">
            <w:col w:w="11020"/>
          </w:cols>
          <w:pgMar w:left="440" w:top="275" w:right="439" w:bottom="1440" w:gutter="0" w:footer="0" w:header="0"/>
        </w:sectPr>
      </w:pPr>
    </w:p>
    <w:bookmarkStart w:id="643" w:name="page644"/>
    <w:bookmarkEnd w:id="643"/>
    <w:p>
      <w:pPr>
        <w:ind w:left="39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2.4.1</w:t>
      </w:r>
    </w:p>
    <w:p>
      <w:pPr>
        <w:spacing w:after="0" w:line="117"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RESEARCH PLAN</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(attached)</w:t>
      </w:r>
    </w:p>
    <w:p>
      <w:pPr>
        <w:sectPr>
          <w:pgSz w:w="11900" w:h="16838" w:orient="portrait"/>
          <w:cols w:equalWidth="0" w:num="1">
            <w:col w:w="9019"/>
          </w:cols>
          <w:pgMar w:left="1440" w:top="270" w:right="1440" w:bottom="1440" w:gutter="0" w:footer="0" w:header="0"/>
        </w:sectPr>
      </w:pPr>
    </w:p>
    <w:bookmarkStart w:id="644" w:name="page645"/>
    <w:bookmarkEnd w:id="644"/>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2934335</wp:posOffset>
            </wp:positionH>
            <wp:positionV relativeFrom="page">
              <wp:posOffset>183515</wp:posOffset>
            </wp:positionV>
            <wp:extent cx="1491615" cy="44577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45770"/>
                    </a:xfrm>
                    <a:prstGeom prst="rect">
                      <a:avLst/>
                    </a:prstGeom>
                    <a:noFill/>
                  </pic:spPr>
                </pic:pic>
              </a:graphicData>
            </a:graphic>
          </wp:anchor>
        </w:drawing>
        <w:t>RESEARCH SERVICE</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PLAN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1189" w:right="1440" w:bottom="1440" w:gutter="0" w:footer="0" w:header="0"/>
        </w:sectPr>
      </w:pPr>
    </w:p>
    <w:bookmarkStart w:id="645" w:name="page646"/>
    <w:bookmarkEnd w:id="64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SPECIFIC OBLIGATIONS UNDER THE NYU AGREEMENT</w:t>
      </w:r>
    </w:p>
    <w:p>
      <w:pPr>
        <w:spacing w:after="0" w:line="229" w:lineRule="exact"/>
        <w:rPr>
          <w:sz w:val="20"/>
          <w:szCs w:val="20"/>
          <w:color w:val="auto"/>
        </w:rPr>
      </w:pPr>
    </w:p>
    <w:p>
      <w:pPr>
        <w:jc w:val="both"/>
        <w:ind w:right="760"/>
        <w:spacing w:after="0" w:line="263" w:lineRule="auto"/>
        <w:rPr>
          <w:sz w:val="20"/>
          <w:szCs w:val="20"/>
          <w:color w:val="auto"/>
        </w:rPr>
      </w:pPr>
      <w:r>
        <w:rPr>
          <w:rFonts w:ascii="Arial" w:cs="Arial" w:eastAsia="Arial" w:hAnsi="Arial"/>
          <w:sz w:val="18"/>
          <w:szCs w:val="18"/>
          <w:color w:val="auto"/>
        </w:rPr>
        <w:t>The following Sections are excerpted from the NYU Agreement and shall be applicable to this Agreement with: (i) Ono having the rights and obligations of a “sublicensee” under the following provisions and (ii) this Agreement constituting a “sublicense” for purposes of the following provisions:</w:t>
      </w:r>
    </w:p>
    <w:p>
      <w:pPr>
        <w:spacing w:after="0" w:line="7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5.05 Repare shall be entitled to grant sublicenses under the License on terms and conditions in compliance and are materially consistent with the terms and conditions of this Agreement (i) to Affiliates or (ii) to Third Parties, in each case for consideration and in an arms- length transaction. All sublicenses shall only be granted by Repare under a written agreement, a copy of which shall be provided by Repare to NYU as soon as practicable after the signing thereof. Each sublicense granted by Repare hereunder shall be subject and subordinate to the terms and conditions of this License Agreement and shall contain (inter-alia) the following provisions:</w:t>
      </w:r>
    </w:p>
    <w:p>
      <w:pPr>
        <w:spacing w:after="0" w:line="93" w:lineRule="exact"/>
        <w:rPr>
          <w:sz w:val="20"/>
          <w:szCs w:val="20"/>
          <w:color w:val="auto"/>
        </w:rPr>
      </w:pPr>
    </w:p>
    <w:p>
      <w:pPr>
        <w:ind w:left="960" w:right="180" w:hanging="532"/>
        <w:spacing w:after="0" w:line="263" w:lineRule="auto"/>
        <w:tabs>
          <w:tab w:leader="none" w:pos="9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sublicensee may have step-in rights, whereby a sublicensee could cure a breach of this Agreement by Repare during the cure period provided in Section 15.02, and thereafter the sublicense granted hereunder would continue as provided in Section 15.03; provided that in all other circumstances, the sublicense would terminate at the end of such cure period;</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sublicense shall not be assignable, in whole or in part;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sublicensee shall be able to grant further sublicenses thereunder subject to the term of this Section 5.05; and</w:t>
      </w:r>
    </w:p>
    <w:p>
      <w:pPr>
        <w:spacing w:after="0" w:line="130" w:lineRule="exact"/>
        <w:rPr>
          <w:rFonts w:ascii="Arial" w:cs="Arial" w:eastAsia="Arial" w:hAnsi="Arial"/>
          <w:sz w:val="18"/>
          <w:szCs w:val="18"/>
          <w:color w:val="auto"/>
        </w:rPr>
      </w:pPr>
    </w:p>
    <w:p>
      <w:pPr>
        <w:ind w:left="960" w:right="200" w:hanging="532"/>
        <w:spacing w:after="0" w:line="263" w:lineRule="auto"/>
        <w:tabs>
          <w:tab w:leader="none" w:pos="9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both during the term of the sublicense and thereafter the sublicensee shall agree to a confidentiality obligation similar to that imposed on Repare in Section 9 below, and that the sublicensee shall impose on its employees, both during the terms of their employment and thereafter, a similar undertaking of confidentiality; and</w:t>
      </w:r>
    </w:p>
    <w:p>
      <w:pPr>
        <w:spacing w:after="0" w:line="89" w:lineRule="exact"/>
        <w:rPr>
          <w:rFonts w:ascii="Arial" w:cs="Arial" w:eastAsia="Arial" w:hAnsi="Arial"/>
          <w:sz w:val="18"/>
          <w:szCs w:val="18"/>
          <w:color w:val="auto"/>
        </w:rPr>
      </w:pPr>
    </w:p>
    <w:p>
      <w:pPr>
        <w:ind w:left="960" w:hanging="532"/>
        <w:spacing w:after="0" w:line="308" w:lineRule="auto"/>
        <w:tabs>
          <w:tab w:leader="none" w:pos="96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the sublicense agreement shall include the text of Sections 13 and 14 of this Agreement and shall state that NYU is an intended Third Party beneficiary of such sublicense agreement for the purpose of enforcing such indemnification and insurance provisions.</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Repare shall not be subject to the provisions of this Section 5.05 with respect to agreements with a distributor or to a contractor or a subcontractor to the extent the purpose is manufacturing, research and development, packaging and distributing and other similar services for which such services are compensated by Repare (the “Excluded Sublicensees”)</w:t>
      </w:r>
      <w:r>
        <w:rPr>
          <w:rFonts w:ascii="Arial" w:cs="Arial" w:eastAsia="Arial" w:hAnsi="Arial"/>
          <w:sz w:val="18"/>
          <w:szCs w:val="18"/>
          <w:b w:val="1"/>
          <w:bCs w:val="1"/>
          <w:color w:val="auto"/>
        </w:rPr>
        <w:t>.</w:t>
      </w:r>
    </w:p>
    <w:p>
      <w:pPr>
        <w:sectPr>
          <w:pgSz w:w="11900" w:h="16838" w:orient="portrait"/>
          <w:cols w:equalWidth="0" w:num="1">
            <w:col w:w="11000"/>
          </w:cols>
          <w:pgMar w:left="440" w:top="270" w:right="459" w:bottom="1440" w:gutter="0" w:footer="0" w:header="0"/>
        </w:sectPr>
      </w:pPr>
    </w:p>
    <w:bookmarkStart w:id="646" w:name="page647"/>
    <w:bookmarkEnd w:id="64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 Liability and Indemnification.</w:t>
      </w:r>
    </w:p>
    <w:p>
      <w:pPr>
        <w:spacing w:after="0" w:line="225" w:lineRule="exact"/>
        <w:rPr>
          <w:sz w:val="20"/>
          <w:szCs w:val="20"/>
          <w:color w:val="auto"/>
        </w:rPr>
      </w:pPr>
    </w:p>
    <w:p>
      <w:pPr>
        <w:ind w:left="4" w:right="140"/>
        <w:spacing w:after="0" w:line="254" w:lineRule="auto"/>
        <w:rPr>
          <w:sz w:val="20"/>
          <w:szCs w:val="20"/>
          <w:color w:val="auto"/>
        </w:rPr>
      </w:pPr>
      <w:r>
        <w:rPr>
          <w:rFonts w:ascii="Arial" w:cs="Arial" w:eastAsia="Arial" w:hAnsi="Arial"/>
          <w:sz w:val="18"/>
          <w:szCs w:val="18"/>
          <w:color w:val="auto"/>
        </w:rPr>
        <w:t>13.1 Repare shall indemnify, defend and hold harmless NYU and its contractors and each of their affiliates, and each of their trustees, officers, medical and professional staff, employees, students and agents and their respective successors, heirs and assigns (the “Indemnitees”), against any liability, damage, loss or expense (including reasonable attorneys’ fees and expenses of litigation) incurred by or imposed upon the Indemnitees or any one of them in connection with any claims, suits, actions, demands or judgments (i) arising out of the design, production, manufacture, sale, use in commerce or in human clinical trials, lease, or promotion by Repare or by a licensee, Affiliate or agent of Repare of any Licensed Drug Candidate and Licensed Product, process or service relating to, or developed pursuant to, this Agreement or (ii) arising out of any other activities to be carried out pursuant to this Agreement.</w:t>
      </w:r>
    </w:p>
    <w:p>
      <w:pPr>
        <w:spacing w:after="0" w:line="195" w:lineRule="exact"/>
        <w:rPr>
          <w:sz w:val="20"/>
          <w:szCs w:val="20"/>
          <w:color w:val="auto"/>
        </w:rPr>
      </w:pPr>
    </w:p>
    <w:p>
      <w:pPr>
        <w:ind w:left="4" w:right="120"/>
        <w:spacing w:after="0" w:line="279" w:lineRule="auto"/>
        <w:rPr>
          <w:sz w:val="20"/>
          <w:szCs w:val="20"/>
          <w:color w:val="auto"/>
        </w:rPr>
      </w:pPr>
      <w:r>
        <w:rPr>
          <w:rFonts w:ascii="Arial" w:cs="Arial" w:eastAsia="Arial" w:hAnsi="Arial"/>
          <w:sz w:val="17"/>
          <w:szCs w:val="17"/>
          <w:color w:val="auto"/>
        </w:rPr>
        <w:t>13.2 With respect to an Indemnitee, Repare’s indemnification under subsection 13.01(i) shall apply to any liability, damage, loss or expense whether or not it is attributable to the negligent activities of such Indemnitee. Repare’s indemnification obligation under subsection 13.01(ii) shall not apply to any liability, damage, loss or expense to the extent that it is attributable to the fraud, willful misconduct or grossly negligent activities of NYU or any Indemnitees or otherwise arising from NYU’s breach of any representation, warranty or covenant of this Agreement.</w:t>
      </w:r>
    </w:p>
    <w:p>
      <w:pPr>
        <w:spacing w:after="0" w:line="171" w:lineRule="exact"/>
        <w:rPr>
          <w:sz w:val="20"/>
          <w:szCs w:val="20"/>
          <w:color w:val="auto"/>
        </w:rPr>
      </w:pPr>
    </w:p>
    <w:p>
      <w:pPr>
        <w:ind w:left="4" w:right="180"/>
        <w:spacing w:after="0" w:line="342" w:lineRule="auto"/>
        <w:rPr>
          <w:sz w:val="20"/>
          <w:szCs w:val="20"/>
          <w:color w:val="auto"/>
        </w:rPr>
      </w:pPr>
      <w:r>
        <w:rPr>
          <w:rFonts w:ascii="Arial" w:cs="Arial" w:eastAsia="Arial" w:hAnsi="Arial"/>
          <w:sz w:val="16"/>
          <w:szCs w:val="16"/>
          <w:color w:val="auto"/>
        </w:rPr>
        <w:t>13.3 Repare agrees, at its own expense, to provide attorneys reasonably acceptable to NYU to defend against any actions brought or filed against any Indemnitee with respect to the subject of indemnity to which such Indemnitee is entitled hereunder, whether or not such actions are rightfully brought.</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14. Insurance.</w:t>
      </w:r>
    </w:p>
    <w:p>
      <w:pPr>
        <w:spacing w:after="0" w:line="225"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14.1 At such time as any Licensed Product, process or service relating to, or developed pursuant to, this Agreement is being commercially distributed or sold or tested in clinical trials by Repare or by a licensee, Affiliate or agent of Repare, Repare shall at its sole cost and expense, procure and maintain policies of comprehensive general liability insurance in amounts not less than (i) $[***] per incident and $[***] annual aggregate during the period that such Licensed Product, process, or service is being tested in clinical trials prior to commercial sale, and (ii) $[***] per incident and $[***] annual aggregate, during the period that such Licensed Product, process, or service is being commercially distributed or sold, and in each case naming the Indemnitees as additional insureds. Such comprehensive general liability insurance shall provide (i) product liability coverage and (ii) broad form contractual liability coverage for Repare’s indemnification under Section 14 of this Agreement. If Repare elects to self-insure all or part of the limits described above including deductibles or retentions which are in excess of U.S. $[***] annual aggregate such self-insurance program shall include assets or reserves which have been actuarially determined for the liabilities associated with this Agreement and shall be reasonably acceptable to NYU.</w:t>
      </w:r>
    </w:p>
    <w:p>
      <w:pPr>
        <w:spacing w:after="0" w:line="166"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 minimum amounts of insurance coverage required under this Section 14 shall not be construed to create a limit of Repare’s liability with respect to its indemnification under Section 13 of this Agreement.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14.2 Repare shall provide NYU with written evidence of such insurance upon request of NYU. Repare shall provide NYU with written notice at least</w:t>
      </w:r>
    </w:p>
    <w:p>
      <w:pPr>
        <w:spacing w:after="0" w:line="46" w:lineRule="exact"/>
        <w:rPr>
          <w:sz w:val="20"/>
          <w:szCs w:val="20"/>
          <w:color w:val="auto"/>
        </w:rPr>
      </w:pPr>
    </w:p>
    <w:p>
      <w:pPr>
        <w:jc w:val="both"/>
        <w:ind w:left="4" w:right="240" w:hanging="4"/>
        <w:spacing w:after="0" w:line="255" w:lineRule="auto"/>
        <w:tabs>
          <w:tab w:leader="none" w:pos="439" w:val="left"/>
        </w:tabs>
        <w:numPr>
          <w:ilvl w:val="0"/>
          <w:numId w:val="397"/>
        </w:numPr>
        <w:rPr>
          <w:rFonts w:ascii="Arial" w:cs="Arial" w:eastAsia="Arial" w:hAnsi="Arial"/>
          <w:sz w:val="18"/>
          <w:szCs w:val="18"/>
          <w:color w:val="auto"/>
        </w:rPr>
      </w:pPr>
      <w:r>
        <w:rPr>
          <w:rFonts w:ascii="Arial" w:cs="Arial" w:eastAsia="Arial" w:hAnsi="Arial"/>
          <w:sz w:val="18"/>
          <w:szCs w:val="18"/>
          <w:color w:val="auto"/>
        </w:rPr>
        <w:t>prior to the cancellation, non-renewal or material change in such insurance; if such insurance is terminated or no longer in compliance with this Section 14, and Repare does not obtain replacement insurance NYU shall have the right to terminate this Agreement without notice or any additional waiting periods.</w:t>
      </w:r>
    </w:p>
    <w:p>
      <w:pPr>
        <w:sectPr>
          <w:pgSz w:w="11900" w:h="16838" w:orient="portrait"/>
          <w:cols w:equalWidth="0" w:num="1">
            <w:col w:w="11004"/>
          </w:cols>
          <w:pgMar w:left="436" w:top="274" w:right="459" w:bottom="1440" w:gutter="0" w:footer="0" w:header="0"/>
        </w:sectPr>
      </w:pPr>
    </w:p>
    <w:bookmarkStart w:id="647" w:name="page648"/>
    <w:bookmarkEnd w:id="647"/>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14.3 Repare shall maintain such comprehensive general liability insurance beyond the expiration or termination of this Agreement during (i) the period that any product, process or service, relating to, or developed pursuant to, this Agreement is being commercially distributed or sold or tested in clinical trials by Repare or by a sublicensee, Affiliate or agent of Repare and (ii) statute of limitations applicable to such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15. Expiry and Termination</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15.1 Unless earlier terminated pursuant to this Section 15, hereof, this Agreement shall expire upon the expiration of the period of the License in all countries as set forth in Section 5.04 above.</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15.2 At any time prior to expiration of this Agreement, either Party may terminate this Agreement forthwith for cause, as “cause” is described below, by giving written notice to the other Party. Cause for termination by one Party of this Agreement shall be deemed to exist if the other Party materially breaches or defaults in the performance or observance of any of the provisions of this Agreement and such breach or default is not cured within [***] or, in the case of failure to pay any amounts due hereunder, [***] (unless otherwise specified herein) after the giving of notice by the other Party specifying such breach or default and provided such breach or default is not cured, or if either NYU or Repare discontinues its business or becomes insolvent or bankrupt.</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15.3 Upon termination of this Agreement for any reason and prior to expiration as set forth in Section 15.01 hereof, all rights granted hereunder to the NYU Technology shall revert to NYU and Repare shall not be entitled to make any further use whatsoever of the NYU Technology. Notwithstanding the foregoing, if any sublicense agreements that were granted in compliance with Section 5.05 remain in good standing as of the date of such termination, then the rights licensed herein shall be extended to such Sublicensee in the same scope as is provided in such sublicense agreement, provided that the relevant Sublicensee signs a written agreement with NYU agreeing to be bound by the terms of this Agreement and agreeing that NYU’s only obligation hereunder shall be to maintain the effectiveness of the scope of the rights licensed hereunder to such Sublicensee.</w:t>
      </w:r>
    </w:p>
    <w:p>
      <w:pPr>
        <w:sectPr>
          <w:pgSz w:w="11900" w:h="16838" w:orient="portrait"/>
          <w:cols w:equalWidth="0" w:num="1">
            <w:col w:w="11000"/>
          </w:cols>
          <w:pgMar w:left="440" w:top="274" w:right="459" w:bottom="1440" w:gutter="0" w:footer="0" w:header="0"/>
        </w:sectPr>
      </w:pPr>
    </w:p>
    <w:bookmarkStart w:id="648" w:name="page649"/>
    <w:bookmarkEnd w:id="648"/>
    <w:p>
      <w:pPr>
        <w:jc w:val="center"/>
        <w:ind w:right="-10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12.2.3</w:t>
      </w:r>
    </w:p>
    <w:p>
      <w:pPr>
        <w:spacing w:after="0" w:line="117"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REPARE PATENT RIGHTS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649" w:name="page650"/>
    <w:bookmarkEnd w:id="649"/>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12.2.4</w:t>
      </w:r>
    </w:p>
    <w:p>
      <w:pPr>
        <w:spacing w:after="0" w:line="117" w:lineRule="exact"/>
        <w:rPr>
          <w:sz w:val="20"/>
          <w:szCs w:val="20"/>
          <w:color w:val="auto"/>
        </w:rPr>
      </w:pPr>
    </w:p>
    <w:p>
      <w:pPr>
        <w:jc w:val="center"/>
        <w:ind w:right="-980"/>
        <w:spacing w:after="0"/>
        <w:rPr>
          <w:sz w:val="20"/>
          <w:szCs w:val="20"/>
          <w:color w:val="auto"/>
        </w:rPr>
      </w:pPr>
      <w:r>
        <w:rPr>
          <w:rFonts w:ascii="Arial" w:cs="Arial" w:eastAsia="Arial" w:hAnsi="Arial"/>
          <w:sz w:val="17"/>
          <w:szCs w:val="17"/>
          <w:b w:val="1"/>
          <w:bCs w:val="1"/>
          <w:color w:val="auto"/>
        </w:rPr>
        <w:t>REPARE IN-LICENSES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NYU Agreement</w:t>
      </w:r>
    </w:p>
    <w:p>
      <w:pPr>
        <w:sectPr>
          <w:pgSz w:w="11900" w:h="16838" w:orient="portrait"/>
          <w:cols w:equalWidth="0" w:num="1">
            <w:col w:w="10019"/>
          </w:cols>
          <w:pgMar w:left="440" w:top="270" w:right="1440" w:bottom="1440" w:gutter="0" w:footer="0" w:header="0"/>
        </w:sectPr>
      </w:pPr>
    </w:p>
    <w:bookmarkStart w:id="650" w:name="page651"/>
    <w:bookmarkEnd w:id="650"/>
    <w:p>
      <w:pPr>
        <w:ind w:left="10000"/>
        <w:spacing w:after="0"/>
        <w:rPr>
          <w:sz w:val="20"/>
          <w:szCs w:val="20"/>
          <w:color w:val="auto"/>
        </w:rPr>
      </w:pPr>
      <w:r>
        <w:rPr>
          <w:rFonts w:ascii="Arial" w:cs="Arial" w:eastAsia="Arial" w:hAnsi="Arial"/>
          <w:sz w:val="16"/>
          <w:szCs w:val="16"/>
          <w:b w:val="1"/>
          <w:bCs w:val="1"/>
          <w:color w:val="auto"/>
        </w:rPr>
        <w:t>Exhibit 10.16</w:t>
      </w:r>
    </w:p>
    <w:p>
      <w:pPr>
        <w:spacing w:after="0" w:line="275" w:lineRule="exact"/>
        <w:rPr>
          <w:sz w:val="20"/>
          <w:szCs w:val="20"/>
          <w:color w:val="auto"/>
        </w:rPr>
      </w:pPr>
    </w:p>
    <w:p>
      <w:pPr>
        <w:ind w:right="640"/>
        <w:spacing w:after="0" w:line="266"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REPARE THERAPEUTICS INC. HAS DETERMINED THE INFORMATION (I) IS NOT MATERIAL AND (II) WOULD LIKELY CAUSE COMPETITIVE HARM TO REPARE THERAPEUTICS INC. IF PUBLICLY DISCLOSED.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LICENSE AGREEMENT</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This AMENDED AND RESTATED LICENSE AGREEMENT (the “Agreement”), made as of July 9th, 2018, and effective as of the Effective Date (as hereinafter defined) is by and between:</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NEW YORK UNIVERSITY (hereinafter “NYU”), a not-for-profit academic institution organized and existing under the laws of the State of New York and having a place of business at 70 Washington Square South, New York, New York 10012.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REPARE THERAPEUTICS INC. (hereinafter “Repare”), a corporation organized and existing under the laws of Canada and having its principal office at 7210 Frederick-Banting, Suite 100, St-Laurent, Quebec, H4S 2A1, Canada.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“Party” refers to either Repare or NYU and the term the “Parties” refers to Repare and NYU.</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WHEREAS, NYU and Repare are parties to a License Agreement dated December 20, 2016 (the “Effective Date”), which was previously amended by one amendment dated February 28, 2017;</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WHEREAS, NYU and Repare wish to enter into this Amended and Restated License Agreement, to incorporate the prior amendment into a single document, and to further amend the License Agreement;</w:t>
      </w:r>
    </w:p>
    <w:p>
      <w:pPr>
        <w:spacing w:after="0" w:line="170" w:lineRule="exact"/>
        <w:rPr>
          <w:sz w:val="20"/>
          <w:szCs w:val="20"/>
          <w:color w:val="auto"/>
        </w:rPr>
      </w:pPr>
    </w:p>
    <w:p>
      <w:pPr>
        <w:ind w:right="320" w:firstLine="440"/>
        <w:spacing w:after="0" w:line="259" w:lineRule="auto"/>
        <w:rPr>
          <w:sz w:val="20"/>
          <w:szCs w:val="20"/>
          <w:color w:val="auto"/>
        </w:rPr>
      </w:pPr>
      <w:r>
        <w:rPr>
          <w:rFonts w:ascii="Arial" w:cs="Arial" w:eastAsia="Arial" w:hAnsi="Arial"/>
          <w:sz w:val="18"/>
          <w:szCs w:val="18"/>
          <w:color w:val="auto"/>
        </w:rPr>
        <w:t>WHEREAS, NYU and Highline Therapeutics, Inc. (hereinafter, “Highline”) are parties to a Master Research Agreement dated December 15, 2015, under which Highline funded a project at NYU related to PolQ Inhibition for the Treatment of Cancer under the direction of Dr. Agnel Sfeir of NYU (hereinafter “Sfeir”) and the NYU Office of Therapeutics Alliances (hereinafter “OTA”), pursuant to a Research Project Specification dated April 21, 2016 (hereinafter, “the Highline-Funded PolQ Project”);</w:t>
      </w:r>
    </w:p>
    <w:p>
      <w:pPr>
        <w:spacing w:after="0" w:line="18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WHEREAS, Sfeir and the NYU OTA have made certain inventions and developed certain data related to inhibitors of PolQ for the treatment of cancer, prior to and during the Highline-Funded PolQ Project as described in Appendix I (“the Pre-Existing Inventions”);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Highline has assigned any rights it had to the NYU Technology (as hereinafter defined) to Repare; and</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WHEREAS, subject to the terms and conditions hereinafter set forth, NYU is willing to grant to Repare and Repare is willing to accept from NYU the License (as hereinafter defined).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20"/>
          </w:cols>
          <w:pgMar w:left="440" w:top="122" w:right="439" w:bottom="1440" w:gutter="0" w:footer="0" w:header="0"/>
        </w:sectPr>
      </w:pPr>
    </w:p>
    <w:bookmarkStart w:id="651" w:name="page652"/>
    <w:bookmarkEnd w:id="651"/>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NOW, THEREFORE, in consideration of the mutual promises and agreements contained herein, the Parties hereto hereby agree as follows:</w:t>
      </w:r>
    </w:p>
    <w:p>
      <w:pPr>
        <w:spacing w:after="0" w:line="381" w:lineRule="exact"/>
        <w:rPr>
          <w:sz w:val="20"/>
          <w:szCs w:val="20"/>
          <w:color w:val="auto"/>
        </w:rPr>
      </w:pPr>
    </w:p>
    <w:p>
      <w:pPr>
        <w:ind w:left="424" w:hanging="424"/>
        <w:spacing w:after="0"/>
        <w:tabs>
          <w:tab w:leader="none" w:pos="424"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u w:val="single" w:color="auto"/>
          <w:color w:val="auto"/>
        </w:rPr>
        <w: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Whenever used in this Agreement, the following terms shall have the following meanings:</w:t>
      </w:r>
    </w:p>
    <w:p>
      <w:pPr>
        <w:spacing w:after="0" w:line="225" w:lineRule="exact"/>
        <w:rPr>
          <w:sz w:val="20"/>
          <w:szCs w:val="20"/>
          <w:color w:val="auto"/>
        </w:rPr>
      </w:pPr>
    </w:p>
    <w:p>
      <w:pPr>
        <w:ind w:left="4" w:right="180" w:firstLine="440"/>
        <w:spacing w:after="0" w:line="342" w:lineRule="auto"/>
        <w:rPr>
          <w:sz w:val="20"/>
          <w:szCs w:val="20"/>
          <w:color w:val="auto"/>
        </w:rPr>
      </w:pPr>
      <w:r>
        <w:rPr>
          <w:rFonts w:ascii="Arial" w:cs="Arial" w:eastAsia="Arial" w:hAnsi="Arial"/>
          <w:sz w:val="16"/>
          <w:szCs w:val="16"/>
          <w:color w:val="auto"/>
        </w:rPr>
        <w:t>1.01 “Affiliate” shall mean any company or other legal entity which controls, or is controlled by, or is under common control with, Repare; control means the holding of fifty percent (50%) or more of (i) the capital and/or (ii) the voting rights and/or (iii) the right to elect or appoint directors.</w:t>
      </w:r>
    </w:p>
    <w:p>
      <w:pPr>
        <w:spacing w:after="0" w:line="124"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“Agreement” shall having the meaning set out in the preamble.</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“Calendar Year” shall mean any consecutive period of twelve months commencing on the first day of January of any year.</w:t>
      </w:r>
    </w:p>
    <w:p>
      <w:pPr>
        <w:spacing w:after="0" w:line="225"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1.04 “Change of Control” means, with respect to Repare and a Third Party [***], (a) a merger or consolidation of Repare with such Third Party that results in the voting securities of Repare outstanding immediately prior thereto, or any securities into which such voting securities have been converted or exchanged, ceasing to represent more than 50% of the combined voting power of the surviving entity or the parent of the surviving entity immediately after such merger or consolidation, or (b) a transaction or series of related transactions in which such Third Party, together with its affiliates, becomes the direct or beneficial owner of more than 50% of the combined voting power of the outstanding securities of Repare, or (c) the sale or other transfer to such Third Party of all or substantially all of Repare’s business to which the subject matter of this Agreement relates. Notwithstanding anything to the contrary in this paragraph, the sale of equity securities for capital raising purposes in a financing transaction shall not be deemed to result in a Change of Control.</w:t>
      </w:r>
    </w:p>
    <w:p>
      <w:pPr>
        <w:spacing w:after="0" w:line="192"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1.05 “Commercialize” shall mean manufacture, have made, use, market, sale, offer to sell, have sold, import, export, license, distribute and/or otherwise conduct a similar activity and “Commercialization” shall have a corresponding meaning.</w:t>
      </w:r>
    </w:p>
    <w:p>
      <w:pPr>
        <w:spacing w:after="0" w:line="170"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1.06 “Date of First Commercial Sale” shall mean the date on which a Licensed Product is first offered for sale by Repare or an Affiliate or sublicensee of Repare to a Third Party.</w:t>
      </w:r>
    </w:p>
    <w:p>
      <w:pPr>
        <w:spacing w:after="0" w:line="170"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“Excluded Sublicensees” shall have the meaning set out in Section 5.</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“Field” shall mean all uses.</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“Highline” shall having the meaning set out in the preamble.</w:t>
      </w:r>
    </w:p>
    <w:p>
      <w:pPr>
        <w:spacing w:after="0" w:line="225" w:lineRule="exact"/>
        <w:rPr>
          <w:sz w:val="20"/>
          <w:szCs w:val="20"/>
          <w:color w:val="auto"/>
        </w:rPr>
      </w:pPr>
    </w:p>
    <w:p>
      <w:pPr>
        <w:ind w:left="4" w:right="620" w:firstLine="440"/>
        <w:spacing w:after="0" w:line="308" w:lineRule="auto"/>
        <w:rPr>
          <w:sz w:val="20"/>
          <w:szCs w:val="20"/>
          <w:color w:val="auto"/>
        </w:rPr>
      </w:pPr>
      <w:r>
        <w:rPr>
          <w:rFonts w:ascii="Arial" w:cs="Arial" w:eastAsia="Arial" w:hAnsi="Arial"/>
          <w:sz w:val="17"/>
          <w:szCs w:val="17"/>
          <w:color w:val="auto"/>
        </w:rPr>
        <w:t>1.10 “Improvements” means NYU’s interest in any inventions, discoveries and/or data relating to directly targeting or otherwise directly inhibiting PoIQ which (i) is invented, discovered, or developed [***] and (ii) which NYU owns or otherwise has rights to out-license.</w:t>
      </w:r>
    </w:p>
    <w:p>
      <w:pPr>
        <w:spacing w:after="0" w:line="146" w:lineRule="exact"/>
        <w:rPr>
          <w:sz w:val="20"/>
          <w:szCs w:val="20"/>
          <w:color w:val="auto"/>
        </w:rPr>
      </w:pPr>
    </w:p>
    <w:p>
      <w:pPr>
        <w:ind w:left="444"/>
        <w:spacing w:after="0"/>
        <w:tabs>
          <w:tab w:leader="none" w:pos="90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“IND” shall have the meaning set out in Section 6.01(d).</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“Indemnitees” has the meaning set out in Section 13.</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“Initiation” of a clinical trial shall mean dosing of the first patient of such clinical trial.</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4"/>
          </w:cols>
          <w:pgMar w:left="436" w:top="274" w:right="459" w:bottom="1440" w:gutter="0" w:footer="0" w:header="0"/>
        </w:sectPr>
      </w:pPr>
    </w:p>
    <w:bookmarkStart w:id="652" w:name="page653"/>
    <w:bookmarkEnd w:id="652"/>
    <w:p>
      <w:pPr>
        <w:ind w:right="12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1.14 “Intellectual Property” or “IP” shall mean inventions (whether patentable or unpatentable), discoveries, written material, compounds, information, know-how, trade secrets, copyrights, designs, ideas (including but not limited to any computer software), formulae, algorithms, concepts, proprietary data, techniques, instructions, processes, expert opinions, information, materials, program listings, flow charts, logic diagrams, manuals, specifications, instructions, or any copies of the foregoing in any medium, or the expression thereof.</w:t>
      </w:r>
    </w:p>
    <w:p>
      <w:pPr>
        <w:spacing w:after="0" w:line="17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1.15 “Intellectual Property Rights” shall mean means any rights in Intellectual Property which a Person owns, seeks to own, and/or seeks to enforce, including any regular or provisional patent applications filed in the U.S., Canada or any other jurisdiction, and any divisionals, continuations, continuations-in-part, and any and all patents issuing thereon and/or renewals, and/or reissues, and/or extensions and any and all patents and patent applications in other countries corresponding thereto.</w:t>
      </w:r>
    </w:p>
    <w:p>
      <w:pPr>
        <w:spacing w:after="0" w:line="18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1.16 “License” shall mean the exclusive worldwide license to practice NYU’s rights in the NYU Technology (as hereinafter defined) for the research, development, and/or Commercialization of the Licensed Products (as hereinafter defined) in the Field.</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1.17 “Licensed Know-How Products” shall mean all products and services, excluding Licensed Patent Products, which: (i) incorporate or are developed using NYU Know-How or (ii) modulate PolQ as a basis for their therapeutic effect. From and after a Change of Control of Repare, no product arising from a development or commercial program of the acquirer of Repare in such Change of Control, or such acquirer’s affiliates, and constituting a bona fide drug candidate of such acquirer or its affiliates in existence and, with data generated by such acquirer in biochemical, cellular, and animal studies showing such drug candidate to modulate PolQ as a basis for its therapeutic effect prior to the date of such Change of Control shall be considered a Licensed Know-How Product; provided that from and after such Change of Control neither Repare nor such acquirer nor their affiliates use or incorporate, directly or indirectly, any NYU Patents, NYU Know-How or NYU Materials, or any intellectual property or materials of Repare or its Affiliates relating to PolQ including, but not limited to, pharmaceutical, chemical, biological and biochemical products, structures, assays, technical and non-technical data, materials methods and processes and any drawings, plans, diagrams, specifications and/or other documents containing such information and existing prior to such Change of Control, in each case in connection with (including in identification or development of) such compound or program, and provided further that Repare, such acquirer and their affiliates have and enforce processes, policies, procedures and systems to prevent any such use or incorporation.</w:t>
      </w:r>
    </w:p>
    <w:p>
      <w:pPr>
        <w:spacing w:after="0" w:line="179"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1.18 “Licensed Patent Products” shall mean all products and services covered by a claim of any unexpired NYU Patent (as hereinafter defined), which has not been disclaimed or held invalid by a court of competent jurisdiction from which no appeal can be taken.</w:t>
      </w:r>
    </w:p>
    <w:p>
      <w:pPr>
        <w:spacing w:after="0" w:line="146"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“Licensed Products” shall mean Licensed Know-How Products and Licensed Patent Products.</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7"/>
          <w:szCs w:val="17"/>
          <w:color w:val="auto"/>
        </w:rPr>
        <w:t>“Net Sales” shall mean [***].</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“NYU” shall have the meaning set out in the preamble.</w:t>
      </w:r>
    </w:p>
    <w:p>
      <w:pPr>
        <w:spacing w:after="0" w:line="225"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1.22 “NYU Know-How” shall mean the Pre-Existing Inventions and Improvements and any information and materials related to the Pre-Existing Inventions and Improvements, including, but not limited to, pharmaceutical, chemical, biological and biochemical products, technical and</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20"/>
          </w:cols>
          <w:pgMar w:left="440" w:top="274" w:right="539" w:bottom="1440" w:gutter="0" w:footer="0" w:header="0"/>
        </w:sectPr>
      </w:pPr>
    </w:p>
    <w:bookmarkStart w:id="653" w:name="page654"/>
    <w:bookmarkEnd w:id="653"/>
    <w:p>
      <w:pPr>
        <w:ind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non-technical data, materials, methods and processes and any drawings, plans, diagrams, specifications and/or other documents containing such information, invented, discovered, developed or acquired [***] which NYU owns or has rights to out-license.</w:t>
      </w:r>
    </w:p>
    <w:p>
      <w:pPr>
        <w:spacing w:after="0" w:line="170"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“NYU Materials” has the meaning set out in Section 9.04.</w:t>
      </w:r>
    </w:p>
    <w:p>
      <w:pPr>
        <w:spacing w:after="0" w:line="225"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1.24 “NYU Patents” shall mean Intellectual Property Rights which claim the Pre-Existing Inventions and Improvements; provided that with respect to patent applications, reasonable efforts are being made to prosecute such applications and such applications have not been pending for more than [***] from the date of the [***], provided further that such patent applications which have been pending for more than [***] shall again be considered NYU Patents upon allowance of claims in such patent applications.</w:t>
      </w:r>
    </w:p>
    <w:p>
      <w:pPr>
        <w:spacing w:after="0" w:line="187"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“NYU Technology” shall mean all NYU Patents and NYU Know-How.</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“OTA” shall have the meaning set out in the Recitals.</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“Party” or “Parties” shall having the meaning set out in the preamble.</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“Pre-Existing Inventions” shall have the meaning set out in the Recitals.</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“Repare” shall having the meaning set out in the preamble.</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“Securities Act” has the meaning set out in Section 17(7).</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“Semi-Year Report” shall have the meaning set out in Section 6.03.</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“Sfeir” shall have the meaning set out in the Recitals.</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1.33 “Sublicense Date” for a particular sublicense shall mean the date that Repare enters into a sublicense agreement, or if earlier, the date that Repare enters into an agreement granting an option to enter into a sublicense.</w:t>
      </w:r>
    </w:p>
    <w:p>
      <w:pPr>
        <w:spacing w:after="0" w:line="170" w:lineRule="exact"/>
        <w:rPr>
          <w:sz w:val="20"/>
          <w:szCs w:val="20"/>
          <w:color w:val="auto"/>
        </w:rPr>
      </w:pPr>
    </w:p>
    <w:p>
      <w:pPr>
        <w:jc w:val="both"/>
        <w:ind w:right="180" w:firstLine="440"/>
        <w:spacing w:after="0" w:line="286" w:lineRule="auto"/>
        <w:rPr>
          <w:sz w:val="20"/>
          <w:szCs w:val="20"/>
          <w:color w:val="auto"/>
        </w:rPr>
      </w:pPr>
      <w:r>
        <w:rPr>
          <w:rFonts w:ascii="Arial" w:cs="Arial" w:eastAsia="Arial" w:hAnsi="Arial"/>
          <w:sz w:val="17"/>
          <w:szCs w:val="17"/>
          <w:color w:val="auto"/>
        </w:rPr>
        <w:t>1.34 “Sublicense Income” shall mean consideration in any form received by Repare and/or an Affiliate(s) for the grant of a sublicense or any other right, license, privilege or immunity, or an option to acquire such a right, under the License, including but not limited to the right to make, have made, use, have used, develop, have developed, sell or have sold Licensed Products. Sublicense Income shall include any [***].</w:t>
      </w:r>
    </w:p>
    <w:p>
      <w:pPr>
        <w:spacing w:after="0" w:line="16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1.35 “Sublicensee” means any Third Party that Repare grants a sublicense or any other right, license, privilege or immunity, or an option to acquire such a right, under the License, including but not limited to the right to make, have made, use, have used, develop, have developed, sell or have sold Licensed Products. For avoidance of doubt, purchasers of Licensed Products are not Sublicensees solely by virtue of making such purchase.</w:t>
      </w:r>
    </w:p>
    <w:p>
      <w:pPr>
        <w:spacing w:after="0" w:line="149"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“Third Party” means a person or entity other than a Party or an Affiliate or sublicensee of a Party.</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“Third Party Milestone Payment” shall having the meaning set out in Section 6.01(b).</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00"/>
          </w:cols>
          <w:pgMar w:left="440" w:top="274" w:right="559" w:bottom="1440" w:gutter="0" w:footer="0" w:header="0"/>
        </w:sectPr>
      </w:pPr>
    </w:p>
    <w:bookmarkStart w:id="654" w:name="page655"/>
    <w:bookmarkEnd w:id="654"/>
    <w:p>
      <w:pPr>
        <w:ind w:left="444"/>
        <w:spacing w:after="0"/>
        <w:tabs>
          <w:tab w:leader="none" w:pos="9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1.38</w:t>
      </w:r>
      <w:r>
        <w:rPr>
          <w:sz w:val="20"/>
          <w:szCs w:val="20"/>
          <w:color w:val="auto"/>
        </w:rPr>
        <w:tab/>
      </w:r>
      <w:r>
        <w:rPr>
          <w:rFonts w:ascii="Arial" w:cs="Arial" w:eastAsia="Arial" w:hAnsi="Arial"/>
          <w:sz w:val="16"/>
          <w:szCs w:val="16"/>
          <w:color w:val="auto"/>
        </w:rPr>
        <w:t>“PolQ” shall mean the gene PolQ and the protein DNA Polymerase Theta encoded by PolQ.</w:t>
      </w:r>
    </w:p>
    <w:p>
      <w:pPr>
        <w:spacing w:after="0" w:line="370" w:lineRule="exact"/>
        <w:rPr>
          <w:sz w:val="20"/>
          <w:szCs w:val="20"/>
          <w:color w:val="auto"/>
        </w:rPr>
      </w:pPr>
    </w:p>
    <w:p>
      <w:pPr>
        <w:ind w:left="424" w:hanging="424"/>
        <w:spacing w:after="0"/>
        <w:tabs>
          <w:tab w:leader="none" w:pos="424"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w:t>
      </w:r>
    </w:p>
    <w:p>
      <w:pPr>
        <w:spacing w:after="0" w:line="121"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This Agreement shall be effective as of the Effective Date and shall remain in full force and effect until it expires or is terminated in accordance with Section 15 hereof.</w:t>
      </w:r>
    </w:p>
    <w:p>
      <w:pPr>
        <w:spacing w:after="0" w:line="315" w:lineRule="exact"/>
        <w:rPr>
          <w:sz w:val="20"/>
          <w:szCs w:val="20"/>
          <w:color w:val="auto"/>
        </w:rPr>
      </w:pPr>
    </w:p>
    <w:p>
      <w:pPr>
        <w:ind w:left="424" w:hanging="424"/>
        <w:spacing w:after="0"/>
        <w:tabs>
          <w:tab w:leader="none" w:pos="424"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Title</w:t>
      </w:r>
      <w:r>
        <w:rPr>
          <w:rFonts w:ascii="Arial" w:cs="Arial" w:eastAsia="Arial" w:hAnsi="Arial"/>
          <w:sz w:val="18"/>
          <w:szCs w:val="18"/>
          <w:color w:val="auto"/>
        </w:rPr>
        <w:t>.</w:t>
      </w:r>
    </w:p>
    <w:p>
      <w:pPr>
        <w:spacing w:after="0" w:line="121" w:lineRule="exact"/>
        <w:rPr>
          <w:sz w:val="20"/>
          <w:szCs w:val="20"/>
          <w:color w:val="auto"/>
        </w:rPr>
      </w:pPr>
    </w:p>
    <w:p>
      <w:pPr>
        <w:ind w:left="4" w:right="120" w:firstLine="440"/>
        <w:spacing w:after="0" w:line="279" w:lineRule="auto"/>
        <w:rPr>
          <w:sz w:val="20"/>
          <w:szCs w:val="20"/>
          <w:color w:val="auto"/>
        </w:rPr>
      </w:pPr>
      <w:r>
        <w:rPr>
          <w:rFonts w:ascii="Arial" w:cs="Arial" w:eastAsia="Arial" w:hAnsi="Arial"/>
          <w:sz w:val="17"/>
          <w:szCs w:val="17"/>
          <w:color w:val="auto"/>
        </w:rPr>
        <w:t>3.01 Subject to the License granted to Repare hereunder, all right, title and interest, in and to the NYU Technology, and in and to any drawings, plans, diagrams, specifications, and other documents containing any of the NYU Technology shall vest solely in NYU. At the request of NYU, Repare shall take all steps as may be necessary to give full effect to said right, title and interest of NYU including, but not limited to, the execution of any documents that may be required to record such right, title and interest with the appropriate agency or government office.</w:t>
      </w:r>
    </w:p>
    <w:p>
      <w:pPr>
        <w:spacing w:after="0" w:line="171"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7"/>
          <w:szCs w:val="17"/>
          <w:color w:val="auto"/>
        </w:rPr>
        <w:t>Repare shall notify NYU in writing prior to engaging [***].</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3.03</w:t>
        <w:tab/>
        <w:t>[***].</w:t>
      </w:r>
    </w:p>
    <w:p>
      <w:pPr>
        <w:spacing w:after="0" w:line="370" w:lineRule="exact"/>
        <w:rPr>
          <w:sz w:val="20"/>
          <w:szCs w:val="20"/>
          <w:color w:val="auto"/>
        </w:rPr>
      </w:pPr>
    </w:p>
    <w:p>
      <w:pPr>
        <w:ind w:left="424" w:hanging="424"/>
        <w:spacing w:after="0"/>
        <w:tabs>
          <w:tab w:leader="none" w:pos="424"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Patents and Patent Applications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4.01  NYU will promptly disclose to Repare discoveries, inventions and/or data, which constitute Improvements.</w:t>
      </w:r>
    </w:p>
    <w:p>
      <w:pPr>
        <w:spacing w:after="0" w:line="225"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4.02 At the initiative of Repare or NYU, the Parties shall consult with each other regarding the prosecution of all patent applications with respect to the NYU Patents. Such patent applications shall be filed, prosecuted and maintained by patent counsel jointly selected by NYU and Repare. Copies of all such patent applications and patent office actions shall be forwarded to each of NYU and Repare. NYU and Repare shall each also have the right to have such patent applications and patent office actions independently reviewed by other patent counsel separately retained by NYU or Repare, upon prior notice to and consent of the other Party, which consent shall not unreasonably be withheld.</w:t>
      </w:r>
    </w:p>
    <w:p>
      <w:pPr>
        <w:spacing w:after="0" w:line="176" w:lineRule="exact"/>
        <w:rPr>
          <w:sz w:val="20"/>
          <w:szCs w:val="20"/>
          <w:color w:val="auto"/>
        </w:rPr>
      </w:pPr>
    </w:p>
    <w:p>
      <w:pPr>
        <w:jc w:val="both"/>
        <w:ind w:left="4" w:right="140" w:firstLine="440"/>
        <w:spacing w:after="0" w:line="287" w:lineRule="auto"/>
        <w:rPr>
          <w:sz w:val="20"/>
          <w:szCs w:val="20"/>
          <w:color w:val="auto"/>
        </w:rPr>
      </w:pPr>
      <w:r>
        <w:rPr>
          <w:rFonts w:ascii="Arial" w:cs="Arial" w:eastAsia="Arial" w:hAnsi="Arial"/>
          <w:sz w:val="16"/>
          <w:szCs w:val="16"/>
          <w:color w:val="auto"/>
        </w:rPr>
        <w:t>4.03 All patent applications and proceedings with respect to the NYU Patents shall be filed, prosecuted and maintained by NYU at the expense of Repare. Against the submission of invoices, Repare shall reimburse NYU for all costs and fees incurred by NYU during the term of this Agreement, in connection with the filing, maintenance, prosecution, post-grant proceedings, protection and the like of the NYU Patents, payable with in thirty</w:t>
      </w:r>
    </w:p>
    <w:p>
      <w:pPr>
        <w:spacing w:after="0" w:line="2" w:lineRule="exact"/>
        <w:rPr>
          <w:sz w:val="20"/>
          <w:szCs w:val="20"/>
          <w:color w:val="auto"/>
        </w:rPr>
      </w:pPr>
    </w:p>
    <w:p>
      <w:pPr>
        <w:ind w:left="4" w:hanging="4"/>
        <w:spacing w:after="0" w:line="253" w:lineRule="auto"/>
        <w:tabs>
          <w:tab w:leader="none" w:pos="349" w:val="left"/>
        </w:tabs>
        <w:numPr>
          <w:ilvl w:val="0"/>
          <w:numId w:val="402"/>
        </w:numPr>
        <w:rPr>
          <w:rFonts w:ascii="Arial" w:cs="Arial" w:eastAsia="Arial" w:hAnsi="Arial"/>
          <w:sz w:val="18"/>
          <w:szCs w:val="18"/>
          <w:color w:val="auto"/>
        </w:rPr>
      </w:pPr>
      <w:r>
        <w:rPr>
          <w:rFonts w:ascii="Arial" w:cs="Arial" w:eastAsia="Arial" w:hAnsi="Arial"/>
          <w:sz w:val="18"/>
          <w:szCs w:val="18"/>
          <w:color w:val="auto"/>
        </w:rPr>
        <w:t>days after receipt of an invoice from NYU. At any time following the Effective Date, NYU shall have the right at NYU’s reasonable discretion and only in specific circumstances where required to engage foreign patent counsel, by written notice, to require Repare to provide advanced payment of any specific patent expenses for a particular NYU Patent prior to NYU incurring such expenses, and to abandon such NYU Patent if Repare does not provide such advanced payment.</w:t>
      </w:r>
    </w:p>
    <w:p>
      <w:pPr>
        <w:spacing w:after="0" w:line="193" w:lineRule="exact"/>
        <w:rPr>
          <w:sz w:val="20"/>
          <w:szCs w:val="20"/>
          <w:color w:val="auto"/>
        </w:rPr>
      </w:pPr>
    </w:p>
    <w:p>
      <w:pPr>
        <w:jc w:val="both"/>
        <w:ind w:left="4" w:right="660" w:firstLine="440"/>
        <w:spacing w:after="0" w:line="263" w:lineRule="auto"/>
        <w:rPr>
          <w:sz w:val="20"/>
          <w:szCs w:val="20"/>
          <w:color w:val="auto"/>
        </w:rPr>
      </w:pPr>
      <w:r>
        <w:rPr>
          <w:rFonts w:ascii="Arial" w:cs="Arial" w:eastAsia="Arial" w:hAnsi="Arial"/>
          <w:sz w:val="18"/>
          <w:szCs w:val="18"/>
          <w:color w:val="auto"/>
        </w:rPr>
        <w:t>4.04 NYU and Repare shall assist, and cause their respective employees and consultants to assist each other, in assembling inventorship information and data (including, without limitation, all relevant data generated with the NYU Materials) for the filing and prosecution of patent applications on inventions pertaining to the NYU Technology.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4"/>
          </w:cols>
          <w:pgMar w:left="436" w:top="274" w:right="459" w:bottom="1440" w:gutter="0" w:footer="0" w:header="0"/>
        </w:sectPr>
      </w:pPr>
    </w:p>
    <w:bookmarkStart w:id="655" w:name="page656"/>
    <w:bookmarkEnd w:id="655"/>
    <w:p>
      <w:pPr>
        <w:ind w:left="4" w:right="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4.05 If at any time during the term of this Agreement Repare decides that it is undesirable, as to one or more countries, to prosecute or maintain any patents or patent applications within the NYU Patents, it shall give prompt written notice thereof to NYU, and upon receipt of such notice Repare shall be released from its obligations to bear all of the expenses to be incurred thereafter as to such countries in conjunction with such patent(s) or patent application(s) and such patent(s) or application(s) shall be deleted from the NYU Patents and NYU shall be free to grant rights in and to the NYU Technology in such countries to Third Parties, without further notice or obligation to Repare, and Repare shall have no rights whatsoever to exploit the NYU Patents in such countries.</w:t>
      </w:r>
    </w:p>
    <w:p>
      <w:pPr>
        <w:spacing w:after="0" w:line="192"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4.06</w:t>
      </w:r>
      <w:r>
        <w:rPr>
          <w:sz w:val="20"/>
          <w:szCs w:val="20"/>
          <w:color w:val="auto"/>
        </w:rPr>
        <w:tab/>
      </w:r>
      <w:r>
        <w:rPr>
          <w:rFonts w:ascii="Arial" w:cs="Arial" w:eastAsia="Arial" w:hAnsi="Arial"/>
          <w:sz w:val="16"/>
          <w:szCs w:val="16"/>
          <w:color w:val="auto"/>
        </w:rPr>
        <w:t>Nothing herein contained shall be deemed to be a warranty by NYU that</w:t>
      </w:r>
    </w:p>
    <w:p>
      <w:pPr>
        <w:spacing w:after="0" w:line="131" w:lineRule="exact"/>
        <w:rPr>
          <w:sz w:val="20"/>
          <w:szCs w:val="20"/>
          <w:color w:val="auto"/>
        </w:rPr>
      </w:pPr>
    </w:p>
    <w:p>
      <w:pPr>
        <w:ind w:left="964" w:right="560" w:hanging="532"/>
        <w:spacing w:after="0" w:line="277" w:lineRule="auto"/>
        <w:tabs>
          <w:tab w:leader="none" w:pos="964" w:val="left"/>
        </w:tabs>
        <w:numPr>
          <w:ilvl w:val="0"/>
          <w:numId w:val="403"/>
        </w:numPr>
        <w:rPr>
          <w:rFonts w:ascii="Arial" w:cs="Arial" w:eastAsia="Arial" w:hAnsi="Arial"/>
          <w:sz w:val="18"/>
          <w:szCs w:val="18"/>
          <w:color w:val="auto"/>
        </w:rPr>
      </w:pPr>
      <w:r>
        <w:rPr>
          <w:rFonts w:ascii="Arial" w:cs="Arial" w:eastAsia="Arial" w:hAnsi="Arial"/>
          <w:sz w:val="18"/>
          <w:szCs w:val="18"/>
          <w:color w:val="auto"/>
        </w:rPr>
        <w:t>NYU can or will be able to obtain any patent or patents on any patent application or applications in the NYU Patents or any portion thereof, or that any of the NYU Patents will afford adequate or commercially worthwhile protection, or</w:t>
      </w:r>
    </w:p>
    <w:p>
      <w:pPr>
        <w:spacing w:after="0" w:line="75" w:lineRule="exact"/>
        <w:rPr>
          <w:rFonts w:ascii="Arial" w:cs="Arial" w:eastAsia="Arial" w:hAnsi="Arial"/>
          <w:sz w:val="18"/>
          <w:szCs w:val="18"/>
          <w:color w:val="auto"/>
        </w:rPr>
      </w:pPr>
    </w:p>
    <w:p>
      <w:pPr>
        <w:ind w:left="964" w:hanging="532"/>
        <w:spacing w:after="0" w:line="277" w:lineRule="auto"/>
        <w:tabs>
          <w:tab w:leader="none" w:pos="964"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that the manufacture, use, or sale of any element of the NYU Technology or any Licensed Product will not infringe any patent(s) of a Third Party.</w:t>
      </w:r>
    </w:p>
    <w:p>
      <w:pPr>
        <w:spacing w:after="0" w:line="170" w:lineRule="exact"/>
        <w:rPr>
          <w:sz w:val="20"/>
          <w:szCs w:val="20"/>
          <w:color w:val="auto"/>
        </w:rPr>
      </w:pPr>
    </w:p>
    <w:p>
      <w:pPr>
        <w:ind w:left="4" w:right="100" w:firstLine="440"/>
        <w:spacing w:after="0" w:line="273" w:lineRule="auto"/>
        <w:rPr>
          <w:sz w:val="20"/>
          <w:szCs w:val="20"/>
          <w:color w:val="auto"/>
        </w:rPr>
      </w:pPr>
      <w:r>
        <w:rPr>
          <w:rFonts w:ascii="Arial" w:cs="Arial" w:eastAsia="Arial" w:hAnsi="Arial"/>
          <w:sz w:val="17"/>
          <w:szCs w:val="17"/>
          <w:color w:val="auto"/>
        </w:rPr>
        <w:t>4.07 Repare shall take commercially reasonable steps to support NYU in obtaining patent term extension(s) for NYU Patents, if eligible, pursuant to 35 U.S.C.156 et seq., as appropriate. In respect of NYU Patents which may be eligible for patent term extension, Repare shall keep NYU fully informed of its submissions to governmental authorities for regulatory review for applicable Licensed Patent Products. Repare agrees to cooperate fully with NYU, at no cost to NYU, in preparing such applications for patent term extension. Upon request by NYU or its designee, Repare will join in such application for patent term extension. Repare shall fully support such application and shall provide such information in a timely manner as may reasonably be requested in support of the application by NYU or by the government.</w:t>
      </w:r>
    </w:p>
    <w:p>
      <w:pPr>
        <w:spacing w:after="0" w:line="178"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4.08</w:t>
      </w:r>
      <w:r>
        <w:rPr>
          <w:sz w:val="20"/>
          <w:szCs w:val="20"/>
          <w:color w:val="auto"/>
        </w:rPr>
        <w:tab/>
      </w:r>
      <w:r>
        <w:rPr>
          <w:rFonts w:ascii="Arial" w:cs="Arial" w:eastAsia="Arial" w:hAnsi="Arial"/>
          <w:sz w:val="16"/>
          <w:szCs w:val="16"/>
          <w:color w:val="auto"/>
        </w:rPr>
        <w:t>Repare shall, and shall require its Affiliates and sublicensees to, apply patent markings that meet all requirements of U.S. law, 35 U.S.C. §</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287, to the extent applicable, with respect to all Licensed Products.</w:t>
      </w:r>
    </w:p>
    <w:p>
      <w:pPr>
        <w:spacing w:after="0" w:line="355" w:lineRule="exact"/>
        <w:rPr>
          <w:sz w:val="20"/>
          <w:szCs w:val="20"/>
          <w:color w:val="auto"/>
        </w:rPr>
      </w:pPr>
    </w:p>
    <w:p>
      <w:pPr>
        <w:ind w:left="424" w:hanging="424"/>
        <w:spacing w:after="0"/>
        <w:tabs>
          <w:tab w:leader="none" w:pos="424" w:val="left"/>
        </w:tabs>
        <w:numPr>
          <w:ilvl w:val="0"/>
          <w:numId w:val="4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License.</w:t>
      </w:r>
    </w:p>
    <w:p>
      <w:pPr>
        <w:spacing w:after="0" w:line="121" w:lineRule="exact"/>
        <w:rPr>
          <w:sz w:val="20"/>
          <w:szCs w:val="20"/>
          <w:color w:val="auto"/>
        </w:rPr>
      </w:pPr>
    </w:p>
    <w:p>
      <w:pPr>
        <w:jc w:val="both"/>
        <w:ind w:left="4" w:right="120" w:firstLine="440"/>
        <w:spacing w:after="0" w:line="263" w:lineRule="auto"/>
        <w:rPr>
          <w:sz w:val="20"/>
          <w:szCs w:val="20"/>
          <w:color w:val="auto"/>
        </w:rPr>
      </w:pPr>
      <w:r>
        <w:rPr>
          <w:rFonts w:ascii="Arial" w:cs="Arial" w:eastAsia="Arial" w:hAnsi="Arial"/>
          <w:sz w:val="18"/>
          <w:szCs w:val="18"/>
          <w:color w:val="auto"/>
        </w:rPr>
        <w:t>5.01 Subject to the terms and conditions hereinafter set forth, NYU hereby grants to Repare and Repare hereby accepts from NYU the License. NYU shall promptly provide Repare of the details of any Improvements, provided that such Improvements shall be covered by the License Agreement whether or not such notice is given.</w:t>
      </w:r>
    </w:p>
    <w:p>
      <w:pPr>
        <w:spacing w:after="0" w:line="184" w:lineRule="exact"/>
        <w:rPr>
          <w:sz w:val="20"/>
          <w:szCs w:val="20"/>
          <w:color w:val="auto"/>
        </w:rPr>
      </w:pPr>
    </w:p>
    <w:p>
      <w:pPr>
        <w:ind w:left="4" w:right="220" w:firstLine="440"/>
        <w:spacing w:after="0" w:line="259" w:lineRule="auto"/>
        <w:rPr>
          <w:sz w:val="20"/>
          <w:szCs w:val="20"/>
          <w:color w:val="auto"/>
        </w:rPr>
      </w:pPr>
      <w:r>
        <w:rPr>
          <w:rFonts w:ascii="Arial" w:cs="Arial" w:eastAsia="Arial" w:hAnsi="Arial"/>
          <w:sz w:val="18"/>
          <w:szCs w:val="18"/>
          <w:color w:val="auto"/>
        </w:rPr>
        <w:t>5.02 NYU reserves the right to use, and to permit other not-for-profit entities engaged in medical research to use, the NYU Technology for educational and research purposes only, provided that each such other entity will enter into an agreement with NYU agreeing not to further distribute any materials provided without NYU permission, and to maintain any confidential information in confidence and to limit use of the NYU Technology for educational and research purposes only.</w:t>
      </w:r>
    </w:p>
    <w:p>
      <w:pPr>
        <w:spacing w:after="0" w:line="187" w:lineRule="exact"/>
        <w:rPr>
          <w:sz w:val="20"/>
          <w:szCs w:val="20"/>
          <w:color w:val="auto"/>
        </w:rPr>
      </w:pPr>
    </w:p>
    <w:p>
      <w:pPr>
        <w:ind w:left="4" w:right="20" w:firstLine="440"/>
        <w:spacing w:after="0" w:line="308" w:lineRule="auto"/>
        <w:rPr>
          <w:sz w:val="20"/>
          <w:szCs w:val="20"/>
          <w:color w:val="auto"/>
        </w:rPr>
      </w:pPr>
      <w:r>
        <w:rPr>
          <w:rFonts w:ascii="Arial" w:cs="Arial" w:eastAsia="Arial" w:hAnsi="Arial"/>
          <w:sz w:val="17"/>
          <w:szCs w:val="17"/>
          <w:color w:val="auto"/>
        </w:rPr>
        <w:t>5.03 The Parties acknowledge that the United States government retains rights in intellectual property funded under any grant or similar contract with a Federal agency. The License is expressly subject to all applicable United States government rights, including, but not</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4"/>
          </w:cols>
          <w:pgMar w:left="436" w:top="274" w:right="459" w:bottom="1440" w:gutter="0" w:footer="0" w:header="0"/>
        </w:sectPr>
      </w:pPr>
    </w:p>
    <w:bookmarkStart w:id="656" w:name="page657"/>
    <w:bookmarkEnd w:id="656"/>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limited to, any applicable requirement that products, which result from such intellectual property and are sold in the United States, must be substantially manufactured in the United States.</w:t>
      </w:r>
    </w:p>
    <w:p>
      <w:pPr>
        <w:spacing w:after="0" w:line="170"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5.04 The License granted Repare in Section 5.01 hereto shall commence upon the Effective Date and shall remain force on a country-by-country basis, if not previously terminated under the terms of this Agreement, for ten (10) years from the Date of First Commercial Sale in such country or until the expiration date of the last to expire of the NYU Patents whichever shall be later. Repare shall inform NYU in writing of the Date of First Commercial Sale with respect to each Licensed Product in each country as soon as practicable after the making of each such first commercial sale.</w:t>
      </w:r>
    </w:p>
    <w:p>
      <w:pPr>
        <w:spacing w:after="0" w:line="15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5.05 Repare shall be entitled to grant sublicenses under the License on terms and conditions in compliance and are materially consistent with the terms and conditions of this Agreement (i) to Affiliates or (ii) to Third Parties, in each case for consideration and in an arms-length transaction. All sublicenses shall only be granted by Repare under a written agreement, a copy of which shall be provided by Repare to NYU as soon as practicable after the signing thereof. Each sublicense granted by Repare hereunder shall be subject and subordinate to the terms and conditions of this License Agreement and shall contain (inter-alia) the following provisions:</w:t>
      </w:r>
    </w:p>
    <w:p>
      <w:pPr>
        <w:spacing w:after="0" w:line="93" w:lineRule="exact"/>
        <w:rPr>
          <w:sz w:val="20"/>
          <w:szCs w:val="20"/>
          <w:color w:val="auto"/>
        </w:rPr>
      </w:pPr>
    </w:p>
    <w:p>
      <w:pPr>
        <w:jc w:val="both"/>
        <w:ind w:left="960" w:right="180" w:hanging="532"/>
        <w:spacing w:after="0" w:line="263" w:lineRule="auto"/>
        <w:tabs>
          <w:tab w:leader="none" w:pos="9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sublicensee may have step-in rights, whereby a sublicensee could cure a breach of this Agreement by Repare during the cure period provided in Section 15.02, and thereafter the sublicense granted hereunder would continue as provided in Section 15.03; provided that in all other circumstances, the sublicense would terminate at the end of such cure period;</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sublicense shall not be assignable, in whole or in part;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sublicensee shall be able to grant further sublicenses thereunder subject to the term of this Section 5.05; and</w:t>
      </w:r>
    </w:p>
    <w:p>
      <w:pPr>
        <w:spacing w:after="0" w:line="130" w:lineRule="exact"/>
        <w:rPr>
          <w:rFonts w:ascii="Arial" w:cs="Arial" w:eastAsia="Arial" w:hAnsi="Arial"/>
          <w:sz w:val="18"/>
          <w:szCs w:val="18"/>
          <w:color w:val="auto"/>
        </w:rPr>
      </w:pPr>
    </w:p>
    <w:p>
      <w:pPr>
        <w:ind w:left="960" w:right="200" w:hanging="532"/>
        <w:spacing w:after="0" w:line="263" w:lineRule="auto"/>
        <w:tabs>
          <w:tab w:leader="none" w:pos="9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both during the term of the sublicense and thereafter the sublicensee shall agree to a confidentiality obligation similar to that imposed on Repare in Section 9 below, and that the sublicensee shall impose on its employees, both during the terms of their employment and thereafter, a similar undertaking of confidentiality; and</w:t>
      </w:r>
    </w:p>
    <w:p>
      <w:pPr>
        <w:spacing w:after="0" w:line="89" w:lineRule="exact"/>
        <w:rPr>
          <w:rFonts w:ascii="Arial" w:cs="Arial" w:eastAsia="Arial" w:hAnsi="Arial"/>
          <w:sz w:val="18"/>
          <w:szCs w:val="18"/>
          <w:color w:val="auto"/>
        </w:rPr>
      </w:pPr>
    </w:p>
    <w:p>
      <w:pPr>
        <w:ind w:left="960" w:hanging="532"/>
        <w:spacing w:after="0" w:line="308" w:lineRule="auto"/>
        <w:tabs>
          <w:tab w:leader="none" w:pos="96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the sublicense agreement shall include the text of Sections 13 and 14 of this Agreement and shall state that NYU is an intended Third Party beneficiary of such sublicense agreement for the purpose of enforcing such indemnification and insurance provisions.</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Repare shall not be subject to the provisions of this Section 5.05 with respect to agreements with a distributor or to a contractor or a subcontractor to the extent the purpose is manufacturing, research and development, packaging and distributing and other similar services for which such services are compensated by Repare (the “Excluded Sublicensees”).</w:t>
      </w:r>
    </w:p>
    <w:p>
      <w:pPr>
        <w:spacing w:after="0" w:line="184"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5.06 With respect to any inventions, discoveries and/or data that would have been Improvements but for the fact that they were invented, discovered, developed or acquired after the [***] but on or prior to the [***] (“IDDs”), NYU shall promptly give notice and details hereof in writing to Repare. Subject to any third party rights existing at such time, Repare is hereby granted a [***] exclusive right of first negotiation from the date of receipt of any such notice to exclusively license any such IDDs from NYU. Unless Repare waives its right of first negotiation in writing, Repare and NYU will negotiate in good faith an exclusive license therefor until the expiry of such [***], NYU shall not grant any license in respect of, or sell its rights to or under, any such IDDs to any third parties or have any discussions or communication regarding the licensing or sale of IDDs of any kind in conflict with such right of first negotiation, except to not-for-profit entities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0"/>
          </w:cols>
          <w:pgMar w:left="440" w:top="274" w:right="459" w:bottom="1440" w:gutter="0" w:footer="0" w:header="0"/>
        </w:sectPr>
      </w:pPr>
    </w:p>
    <w:bookmarkStart w:id="657" w:name="page658"/>
    <w:bookmarkEnd w:id="657"/>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engaged in medical research. If any such IDDs have not been licensed to Repare following the expiration of such [***], Repare’s right of first negotiation will lapse and NYU will be free to dispose of those IDDs in its sole and absolute discretion, and without any further notice or accounting to Repare.</w:t>
      </w:r>
    </w:p>
    <w:p>
      <w:pPr>
        <w:spacing w:after="0" w:line="328" w:lineRule="exact"/>
        <w:rPr>
          <w:sz w:val="20"/>
          <w:szCs w:val="20"/>
          <w:color w:val="auto"/>
        </w:rPr>
      </w:pPr>
    </w:p>
    <w:p>
      <w:pPr>
        <w:ind w:left="424" w:hanging="424"/>
        <w:spacing w:after="0"/>
        <w:tabs>
          <w:tab w:leader="none" w:pos="424"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Payments for License.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color w:val="auto"/>
        </w:rPr>
        <w:t>6.01  In consideration for the grant and during the term of the License with respect to each Licensed Product, Repare shall pay to NYU:</w:t>
      </w:r>
    </w:p>
    <w:p>
      <w:pPr>
        <w:spacing w:after="0" w:line="142" w:lineRule="exact"/>
        <w:rPr>
          <w:rFonts w:ascii="Arial" w:cs="Arial" w:eastAsia="Arial" w:hAnsi="Arial"/>
          <w:sz w:val="18"/>
          <w:szCs w:val="18"/>
          <w:b w:val="1"/>
          <w:bCs w:val="1"/>
          <w:color w:val="auto"/>
        </w:rPr>
      </w:pPr>
    </w:p>
    <w:p>
      <w:pPr>
        <w:ind w:left="964" w:right="180" w:hanging="532"/>
        <w:spacing w:after="0" w:line="257" w:lineRule="auto"/>
        <w:tabs>
          <w:tab w:leader="none" w:pos="964" w:val="left"/>
        </w:tabs>
        <w:numPr>
          <w:ilvl w:val="1"/>
          <w:numId w:val="406"/>
        </w:numPr>
        <w:rPr>
          <w:rFonts w:ascii="Arial" w:cs="Arial" w:eastAsia="Arial" w:hAnsi="Arial"/>
          <w:sz w:val="18"/>
          <w:szCs w:val="18"/>
          <w:color w:val="auto"/>
        </w:rPr>
      </w:pPr>
      <w:r>
        <w:rPr>
          <w:rFonts w:ascii="Arial" w:cs="Arial" w:eastAsia="Arial" w:hAnsi="Arial"/>
          <w:sz w:val="18"/>
          <w:szCs w:val="18"/>
          <w:color w:val="auto"/>
        </w:rPr>
        <w:t>non-refundable license fees of [***] on the first anniversary of the Effective Date in respect of the second Calendar Year, [***] each on each of the second and each succeeding anniversary of the Effective Date in respect of the third and succeeding Calendar Years, which shall be creditable against milestone payments due to NYU under Section 6.01(b) below and royalties on sales due to NYU under Section 6.01(c) below, for milestone payments and royalties due during the respective Calendar Year in which each such license fee payment is due.</w:t>
      </w:r>
    </w:p>
    <w:p>
      <w:pPr>
        <w:spacing w:after="0" w:line="93" w:lineRule="exact"/>
        <w:rPr>
          <w:rFonts w:ascii="Arial" w:cs="Arial" w:eastAsia="Arial" w:hAnsi="Arial"/>
          <w:sz w:val="18"/>
          <w:szCs w:val="18"/>
          <w:color w:val="auto"/>
        </w:rPr>
      </w:pPr>
    </w:p>
    <w:p>
      <w:pPr>
        <w:ind w:left="964" w:right="300" w:hanging="532"/>
        <w:spacing w:after="0" w:line="277" w:lineRule="auto"/>
        <w:tabs>
          <w:tab w:leader="none" w:pos="964" w:val="left"/>
        </w:tabs>
        <w:numPr>
          <w:ilvl w:val="1"/>
          <w:numId w:val="406"/>
        </w:numPr>
        <w:rPr>
          <w:rFonts w:ascii="Arial" w:cs="Arial" w:eastAsia="Arial" w:hAnsi="Arial"/>
          <w:sz w:val="18"/>
          <w:szCs w:val="18"/>
          <w:color w:val="auto"/>
        </w:rPr>
      </w:pPr>
      <w:r>
        <w:rPr>
          <w:rFonts w:ascii="Arial" w:cs="Arial" w:eastAsia="Arial" w:hAnsi="Arial"/>
          <w:sz w:val="18"/>
          <w:szCs w:val="18"/>
          <w:color w:val="auto"/>
        </w:rPr>
        <w:t>within ninety (90) days following the achievement of each of the following technical milestones, with respect to each Licensed Patent Product or Licensed Know-How Product, the payments as indicated below:</w:t>
      </w:r>
    </w:p>
    <w:p>
      <w:pPr>
        <w:spacing w:after="0" w:line="75" w:lineRule="exact"/>
        <w:rPr>
          <w:rFonts w:ascii="Arial" w:cs="Arial" w:eastAsia="Arial" w:hAnsi="Arial"/>
          <w:sz w:val="18"/>
          <w:szCs w:val="18"/>
          <w:color w:val="auto"/>
        </w:rPr>
      </w:pPr>
    </w:p>
    <w:p>
      <w:pPr>
        <w:ind w:left="1424" w:right="140" w:hanging="439"/>
        <w:spacing w:after="0" w:line="277" w:lineRule="auto"/>
        <w:tabs>
          <w:tab w:leader="none" w:pos="1424" w:val="left"/>
        </w:tabs>
        <w:numPr>
          <w:ilvl w:val="2"/>
          <w:numId w:val="406"/>
        </w:numPr>
        <w:rPr>
          <w:rFonts w:ascii="Arial" w:cs="Arial" w:eastAsia="Arial" w:hAnsi="Arial"/>
          <w:sz w:val="18"/>
          <w:szCs w:val="18"/>
          <w:color w:val="auto"/>
        </w:rPr>
      </w:pPr>
      <w:r>
        <w:rPr>
          <w:rFonts w:ascii="Arial" w:cs="Arial" w:eastAsia="Arial" w:hAnsi="Arial"/>
          <w:sz w:val="18"/>
          <w:szCs w:val="18"/>
          <w:color w:val="auto"/>
        </w:rPr>
        <w:t>For the first indication, the milestone payments for License Patent Products and License Know-How Products will be as shown in Table A and Table B, below, respectively:</w:t>
      </w:r>
    </w:p>
    <w:p>
      <w:pPr>
        <w:spacing w:after="0" w:line="26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060" w:type="dxa"/>
            <w:vAlign w:val="bottom"/>
            <w:gridSpan w:val="4"/>
          </w:tcPr>
          <w:p>
            <w:pPr>
              <w:spacing w:after="0"/>
              <w:rPr>
                <w:sz w:val="20"/>
                <w:szCs w:val="20"/>
                <w:color w:val="auto"/>
              </w:rPr>
            </w:pPr>
            <w:r>
              <w:rPr>
                <w:rFonts w:ascii="Arial" w:cs="Arial" w:eastAsia="Arial" w:hAnsi="Arial"/>
                <w:sz w:val="18"/>
                <w:szCs w:val="18"/>
                <w:b w:val="1"/>
                <w:bCs w:val="1"/>
                <w:color w:val="auto"/>
              </w:rPr>
              <w:t>Licensed Patent Product Milestone Payments (“Table A”)</w:t>
            </w:r>
          </w:p>
        </w:tc>
        <w:tc>
          <w:tcPr>
            <w:tcW w:w="4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760" w:type="dxa"/>
            <w:vAlign w:val="bottom"/>
            <w:tcBorders>
              <w:top w:val="single" w:sz="8" w:color="auto"/>
            </w:tcBorders>
            <w:vMerge w:val="restart"/>
          </w:tcPr>
          <w:p>
            <w:pPr>
              <w:spacing w:after="0"/>
              <w:rPr>
                <w:sz w:val="22"/>
                <w:szCs w:val="22"/>
                <w:color w:val="auto"/>
              </w:rPr>
            </w:pPr>
          </w:p>
        </w:tc>
        <w:tc>
          <w:tcPr>
            <w:tcW w:w="266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2660" w:type="dxa"/>
            <w:vAlign w:val="bottom"/>
            <w:shd w:val="clear" w:color="auto" w:fill="CCEEFF"/>
          </w:tcPr>
          <w:p>
            <w:pPr>
              <w:jc w:val="right"/>
              <w:ind w:right="21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18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660" w:type="dxa"/>
            <w:vAlign w:val="bottom"/>
          </w:tcPr>
          <w:p>
            <w:pPr>
              <w:jc w:val="right"/>
              <w:ind w:right="21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80" w:type="dxa"/>
            <w:vAlign w:val="bottom"/>
          </w:tcPr>
          <w:p>
            <w:pPr>
              <w:ind w:left="33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660" w:type="dxa"/>
            <w:vAlign w:val="bottom"/>
            <w:shd w:val="clear" w:color="auto" w:fill="CCEEFF"/>
          </w:tcPr>
          <w:p>
            <w:pPr>
              <w:jc w:val="right"/>
              <w:ind w:right="21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18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660" w:type="dxa"/>
            <w:vAlign w:val="bottom"/>
          </w:tcPr>
          <w:p>
            <w:pPr>
              <w:jc w:val="right"/>
              <w:ind w:right="21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80" w:type="dxa"/>
            <w:vAlign w:val="bottom"/>
          </w:tcPr>
          <w:p>
            <w:pPr>
              <w:ind w:left="33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660" w:type="dxa"/>
            <w:vAlign w:val="bottom"/>
            <w:shd w:val="clear" w:color="auto" w:fill="CCEEFF"/>
          </w:tcPr>
          <w:p>
            <w:pPr>
              <w:jc w:val="right"/>
              <w:ind w:right="21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18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499"/>
        </w:trPr>
        <w:tc>
          <w:tcPr>
            <w:tcW w:w="5060" w:type="dxa"/>
            <w:vAlign w:val="bottom"/>
            <w:gridSpan w:val="4"/>
          </w:tcPr>
          <w:p>
            <w:pPr>
              <w:spacing w:after="0"/>
              <w:rPr>
                <w:sz w:val="20"/>
                <w:szCs w:val="20"/>
                <w:color w:val="auto"/>
              </w:rPr>
            </w:pPr>
            <w:r>
              <w:rPr>
                <w:rFonts w:ascii="Arial" w:cs="Arial" w:eastAsia="Arial" w:hAnsi="Arial"/>
                <w:sz w:val="18"/>
                <w:szCs w:val="18"/>
                <w:b w:val="1"/>
                <w:bCs w:val="1"/>
                <w:color w:val="auto"/>
                <w:w w:val="95"/>
              </w:rPr>
              <w:t>Licensed Know-How Product Milestone Payments (“Table B”)</w:t>
            </w: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760" w:type="dxa"/>
            <w:vAlign w:val="bottom"/>
            <w:tcBorders>
              <w:top w:val="single" w:sz="8" w:color="auto"/>
            </w:tcBorders>
            <w:vMerge w:val="restart"/>
          </w:tcPr>
          <w:p>
            <w:pPr>
              <w:spacing w:after="0"/>
              <w:rPr>
                <w:sz w:val="22"/>
                <w:szCs w:val="22"/>
                <w:color w:val="auto"/>
              </w:rPr>
            </w:pPr>
          </w:p>
        </w:tc>
        <w:tc>
          <w:tcPr>
            <w:tcW w:w="266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2660" w:type="dxa"/>
            <w:vAlign w:val="bottom"/>
            <w:shd w:val="clear" w:color="auto" w:fill="CCEEFF"/>
          </w:tcPr>
          <w:p>
            <w:pPr>
              <w:jc w:val="right"/>
              <w:ind w:right="21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18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660" w:type="dxa"/>
            <w:vAlign w:val="bottom"/>
          </w:tcPr>
          <w:p>
            <w:pPr>
              <w:jc w:val="right"/>
              <w:ind w:right="21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80" w:type="dxa"/>
            <w:vAlign w:val="bottom"/>
          </w:tcPr>
          <w:p>
            <w:pPr>
              <w:ind w:left="33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660" w:type="dxa"/>
            <w:vAlign w:val="bottom"/>
            <w:shd w:val="clear" w:color="auto" w:fill="CCEEFF"/>
          </w:tcPr>
          <w:p>
            <w:pPr>
              <w:jc w:val="right"/>
              <w:ind w:right="21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18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660" w:type="dxa"/>
            <w:vAlign w:val="bottom"/>
          </w:tcPr>
          <w:p>
            <w:pPr>
              <w:jc w:val="right"/>
              <w:ind w:right="21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80" w:type="dxa"/>
            <w:vAlign w:val="bottom"/>
          </w:tcPr>
          <w:p>
            <w:pPr>
              <w:ind w:left="33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660" w:type="dxa"/>
            <w:vAlign w:val="bottom"/>
            <w:shd w:val="clear" w:color="auto" w:fill="CCEEFF"/>
          </w:tcPr>
          <w:p>
            <w:pPr>
              <w:jc w:val="right"/>
              <w:ind w:right="21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18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365"/>
        </w:trPr>
        <w:tc>
          <w:tcPr>
            <w:tcW w:w="17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80" w:type="dxa"/>
            <w:vAlign w:val="bottom"/>
          </w:tcPr>
          <w:p>
            <w:pPr>
              <w:ind w:left="300"/>
              <w:spacing w:after="0"/>
              <w:rPr>
                <w:sz w:val="20"/>
                <w:szCs w:val="20"/>
                <w:color w:val="auto"/>
              </w:rPr>
            </w:pPr>
            <w:r>
              <w:rPr>
                <w:rFonts w:ascii="Arial" w:cs="Arial" w:eastAsia="Arial" w:hAnsi="Arial"/>
                <w:sz w:val="18"/>
                <w:szCs w:val="18"/>
                <w:color w:val="auto"/>
              </w:rPr>
              <w:t>- 8 -</w:t>
            </w:r>
          </w:p>
        </w:tc>
        <w:tc>
          <w:tcPr>
            <w:tcW w:w="0" w:type="dxa"/>
            <w:vAlign w:val="bottom"/>
          </w:tcPr>
          <w:p>
            <w:pPr>
              <w:spacing w:after="0"/>
              <w:rPr>
                <w:sz w:val="1"/>
                <w:szCs w:val="1"/>
                <w:color w:val="auto"/>
              </w:rPr>
            </w:pPr>
          </w:p>
        </w:tc>
      </w:tr>
    </w:tbl>
    <w:p>
      <w:pPr>
        <w:sectPr>
          <w:pgSz w:w="11900" w:h="16838" w:orient="portrait"/>
          <w:cols w:equalWidth="0" w:num="1">
            <w:col w:w="10904"/>
          </w:cols>
          <w:pgMar w:left="436" w:top="274" w:right="559" w:bottom="1440" w:gutter="0" w:footer="0" w:header="0"/>
        </w:sectPr>
      </w:pPr>
    </w:p>
    <w:bookmarkStart w:id="658" w:name="page659"/>
    <w:bookmarkEnd w:id="658"/>
    <w:p>
      <w:pPr>
        <w:ind w:left="992" w:right="20" w:hanging="439"/>
        <w:spacing w:after="0" w:line="277" w:lineRule="auto"/>
        <w:tabs>
          <w:tab w:leader="none" w:pos="992" w:val="left"/>
        </w:tabs>
        <w:numPr>
          <w:ilvl w:val="0"/>
          <w:numId w:val="4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the second indication, the milestone payments for License Patent Products and License Know-How Products will be [***] of the payments listed in Table A and Table B, respectively.</w:t>
      </w:r>
    </w:p>
    <w:p>
      <w:pPr>
        <w:spacing w:after="0" w:line="75" w:lineRule="exact"/>
        <w:rPr>
          <w:rFonts w:ascii="Arial" w:cs="Arial" w:eastAsia="Arial" w:hAnsi="Arial"/>
          <w:sz w:val="18"/>
          <w:szCs w:val="18"/>
          <w:color w:val="auto"/>
        </w:rPr>
      </w:pPr>
    </w:p>
    <w:p>
      <w:pPr>
        <w:ind w:left="992" w:right="280" w:hanging="439"/>
        <w:spacing w:after="0" w:line="277" w:lineRule="auto"/>
        <w:tabs>
          <w:tab w:leader="none" w:pos="992" w:val="left"/>
        </w:tabs>
        <w:numPr>
          <w:ilvl w:val="0"/>
          <w:numId w:val="407"/>
        </w:numPr>
        <w:rPr>
          <w:rFonts w:ascii="Arial" w:cs="Arial" w:eastAsia="Arial" w:hAnsi="Arial"/>
          <w:sz w:val="18"/>
          <w:szCs w:val="18"/>
          <w:color w:val="auto"/>
        </w:rPr>
      </w:pPr>
      <w:r>
        <w:rPr>
          <w:rFonts w:ascii="Arial" w:cs="Arial" w:eastAsia="Arial" w:hAnsi="Arial"/>
          <w:sz w:val="18"/>
          <w:szCs w:val="18"/>
          <w:color w:val="auto"/>
        </w:rPr>
        <w:t>For the third and fourth indications, the milestone payments for License Patent Product and License Know-How Products will be [***] of the payments listed in Table A and Table B, respectively, [***].</w:t>
      </w:r>
    </w:p>
    <w:p>
      <w:pPr>
        <w:spacing w:after="0" w:line="75" w:lineRule="exact"/>
        <w:rPr>
          <w:rFonts w:ascii="Arial" w:cs="Arial" w:eastAsia="Arial" w:hAnsi="Arial"/>
          <w:sz w:val="18"/>
          <w:szCs w:val="18"/>
          <w:color w:val="auto"/>
        </w:rPr>
      </w:pPr>
    </w:p>
    <w:p>
      <w:pPr>
        <w:ind w:left="992" w:hanging="439"/>
        <w:spacing w:after="0"/>
        <w:tabs>
          <w:tab w:leader="none" w:pos="992"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There shall no milestone payments for the fifth and any subsequent indications.</w:t>
      </w:r>
    </w:p>
    <w:p>
      <w:pPr>
        <w:spacing w:after="0" w:line="130" w:lineRule="exact"/>
        <w:rPr>
          <w:rFonts w:ascii="Arial" w:cs="Arial" w:eastAsia="Arial" w:hAnsi="Arial"/>
          <w:sz w:val="18"/>
          <w:szCs w:val="18"/>
          <w:color w:val="auto"/>
        </w:rPr>
      </w:pPr>
    </w:p>
    <w:p>
      <w:pPr>
        <w:ind w:left="992" w:hanging="439"/>
        <w:spacing w:after="0"/>
        <w:tabs>
          <w:tab w:leader="none" w:pos="992"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 Phase IIA clinical trial shall not be deemed a Phase II clinical trial for purposes hereof.</w:t>
      </w:r>
    </w:p>
    <w:p>
      <w:pPr>
        <w:spacing w:after="0" w:line="117" w:lineRule="exact"/>
        <w:rPr>
          <w:sz w:val="20"/>
          <w:szCs w:val="20"/>
          <w:color w:val="auto"/>
        </w:rPr>
      </w:pPr>
    </w:p>
    <w:p>
      <w:pPr>
        <w:ind w:left="552" w:right="40"/>
        <w:spacing w:after="0" w:line="259" w:lineRule="auto"/>
        <w:rPr>
          <w:sz w:val="20"/>
          <w:szCs w:val="20"/>
          <w:color w:val="auto"/>
        </w:rPr>
      </w:pPr>
      <w:r>
        <w:rPr>
          <w:rFonts w:ascii="Arial" w:cs="Arial" w:eastAsia="Arial" w:hAnsi="Arial"/>
          <w:sz w:val="18"/>
          <w:szCs w:val="18"/>
          <w:color w:val="auto"/>
        </w:rPr>
        <w:t>If Repare is required to obtain one or more licenses under Intellectual Property Rights of one or more Third Parties to Commercialize a particular Licensed Product, Repare may reduce the milestone payments payable to NYU hereunder on such Licensed Product by [***] of the amounts paid as milestones prior thereto to such Third Parties with respect to such Licensed Product (“Third Party Milestone Payment”); [***].</w:t>
      </w:r>
    </w:p>
    <w:p>
      <w:pPr>
        <w:spacing w:after="0" w:line="92" w:lineRule="exact"/>
        <w:rPr>
          <w:sz w:val="20"/>
          <w:szCs w:val="20"/>
          <w:color w:val="auto"/>
        </w:rPr>
      </w:pPr>
    </w:p>
    <w:p>
      <w:pPr>
        <w:ind w:left="532" w:hanging="532"/>
        <w:spacing w:after="0" w:line="269" w:lineRule="auto"/>
        <w:tabs>
          <w:tab w:leader="none" w:pos="532" w:val="left"/>
        </w:tabs>
        <w:numPr>
          <w:ilvl w:val="0"/>
          <w:numId w:val="408"/>
        </w:numPr>
        <w:rPr>
          <w:rFonts w:ascii="Arial" w:cs="Arial" w:eastAsia="Arial" w:hAnsi="Arial"/>
          <w:sz w:val="17"/>
          <w:szCs w:val="17"/>
          <w:color w:val="auto"/>
        </w:rPr>
      </w:pPr>
      <w:r>
        <w:rPr>
          <w:rFonts w:ascii="Arial" w:cs="Arial" w:eastAsia="Arial" w:hAnsi="Arial"/>
          <w:sz w:val="17"/>
          <w:szCs w:val="17"/>
          <w:color w:val="auto"/>
        </w:rPr>
        <w:t>For all Licensed Patent Products, a royalty of [***] of the Net Sales of Repare and each Affiliate and sublicensee of Repare, and for all Licensed Know-How Products, a royalty of [***] of the Net Sales of Repare and each Affiliate and sublicensee of Repare. If Repare is required to obtain one or more licenses under patent rights of one or more Third Parties to manufacture or sell a particular Licensed Product, Repare may reduce the royalties payable to NYU hereunder on such Licensed Product by [***] paid to such Third Parties on such Licensed Product; provided, however, that the royalty amount or amount paid to NYU shall not be reduced to less than [***] of what NYU otherwise would have received. For clarity, royalties shall not be payable ,provided Repare does not receive remuneration beyond the recovery of out-of-pocket expenses, on the sale of Licensed Products which are: (i) used solely for internal research and development applications; (ii) used as surplus and for training products distributed by Repare; (iii) in kind donations, such as for compassionate use programs; (iv) for clinical and research studies sponsored in whole or in part by Repare or (v) on transfers of Licensed Product between Repare and its Affiliates or between a Sublicensee and its Affiliates.</w:t>
      </w:r>
    </w:p>
    <w:p>
      <w:pPr>
        <w:spacing w:after="0" w:line="90" w:lineRule="exact"/>
        <w:rPr>
          <w:rFonts w:ascii="Arial" w:cs="Arial" w:eastAsia="Arial" w:hAnsi="Arial"/>
          <w:sz w:val="17"/>
          <w:szCs w:val="17"/>
          <w:color w:val="auto"/>
        </w:rPr>
      </w:pPr>
    </w:p>
    <w:p>
      <w:pPr>
        <w:ind w:left="532" w:hanging="532"/>
        <w:spacing w:after="0"/>
        <w:tabs>
          <w:tab w:leader="none" w:pos="532"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 percentage of any Sublicense Income received by Repare from a Sublicensee (other than an Affiliate) equal to [***].</w:t>
      </w:r>
    </w:p>
    <w:p>
      <w:pPr>
        <w:spacing w:after="0" w:line="130" w:lineRule="exact"/>
        <w:rPr>
          <w:rFonts w:ascii="Arial" w:cs="Arial" w:eastAsia="Arial" w:hAnsi="Arial"/>
          <w:sz w:val="18"/>
          <w:szCs w:val="18"/>
          <w:color w:val="auto"/>
        </w:rPr>
      </w:pPr>
    </w:p>
    <w:p>
      <w:pPr>
        <w:ind w:left="532" w:hanging="532"/>
        <w:spacing w:after="0" w:line="293" w:lineRule="auto"/>
        <w:tabs>
          <w:tab w:leader="none" w:pos="532" w:val="left"/>
        </w:tabs>
        <w:numPr>
          <w:ilvl w:val="0"/>
          <w:numId w:val="408"/>
        </w:numPr>
        <w:rPr>
          <w:rFonts w:ascii="Arial" w:cs="Arial" w:eastAsia="Arial" w:hAnsi="Arial"/>
          <w:sz w:val="16"/>
          <w:szCs w:val="16"/>
          <w:color w:val="auto"/>
        </w:rPr>
      </w:pPr>
      <w:r>
        <w:rPr>
          <w:rFonts w:ascii="Arial" w:cs="Arial" w:eastAsia="Arial" w:hAnsi="Arial"/>
          <w:sz w:val="16"/>
          <w:szCs w:val="16"/>
          <w:color w:val="auto"/>
        </w:rPr>
        <w:t>Payments in respect of Net Sales or sublicense in a country shall remain in force on a product-by-product, country-by-country basis, if not previously terminated under the terms of this Agreement, (i) with respect to Licensed Know How Products, for ten (10) years from the Date of First Commercial Sale in such country and (ii) with respect to Licensed Patent Products, until the expiration date of the last to expire of the NYU Patents covering the Licensed Patent Product or the Licensed Patent Product’s manufacture or use in the applicable country (“Product Patent Expiration Date”). Repare shall inform NYU in writing of the Date of First Commercial Sale with respect to each Licensed Product in each country as soon as practicable after the occurrence thereof. For the avoidance of doubt, should the</w:t>
      </w:r>
    </w:p>
    <w:p>
      <w:pPr>
        <w:spacing w:after="0" w:line="96" w:lineRule="exact"/>
        <w:rPr>
          <w:rFonts w:ascii="Arial" w:cs="Arial" w:eastAsia="Arial" w:hAnsi="Arial"/>
          <w:sz w:val="16"/>
          <w:szCs w:val="16"/>
          <w:color w:val="auto"/>
        </w:rPr>
      </w:pPr>
    </w:p>
    <w:p>
      <w:pPr>
        <w:ind w:left="5032" w:hanging="106"/>
        <w:spacing w:after="0"/>
        <w:tabs>
          <w:tab w:leader="none" w:pos="5032" w:val="left"/>
        </w:tabs>
        <w:numPr>
          <w:ilvl w:val="1"/>
          <w:numId w:val="408"/>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552"/>
          </w:cols>
          <w:pgMar w:left="868" w:top="274" w:right="479" w:bottom="1440" w:gutter="0" w:footer="0" w:header="0"/>
        </w:sectPr>
      </w:pPr>
    </w:p>
    <w:bookmarkStart w:id="659" w:name="page660"/>
    <w:bookmarkEnd w:id="659"/>
    <w:p>
      <w:pPr>
        <w:ind w:left="9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Product Patent Expiration Date occur less than ten (10) years from the Date of First Commercial Sale for a particular Licensed Patent Product, then such product shall thereafter be a Licensed Know-How Product, and NYU shall receive royalties at the Licensed Know-How Product royalty rate for the remainder of such ten (10) year term.</w:t>
      </w:r>
    </w:p>
    <w:p>
      <w:pPr>
        <w:spacing w:after="0" w:line="184"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auto"/>
        </w:rPr>
        <w:t>6.02 In further consideration for the grant of the License, upon the Effective Date, Repare shall issue to NYU a number of common shares of stock in Repare corresponding to a [***] fully diluted shares as a non-refundable, non-creditable fee, subject to execution by NYU of a unanimous shareholder agreement pursuant to which NYU is provided with similar rights to those provided to any and all other common shareholders of Repare.</w:t>
      </w:r>
    </w:p>
    <w:p>
      <w:pPr>
        <w:spacing w:after="0" w:line="149"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6.03 For the purpose of computing the royalties due to NYU hereunder, the year shall be divided into two parts ending on June 30 and December 31. Not later than [***] after each June and December in each Calendar Year during the term of the License occurring after the Date of First Commercial Sale, Repare shall submit to NYU a full and detailed report of royalties or payments due NYU under the terms of this Agreement for the preceding quarter year (hereinafter “the Semi-Year Report”), setting forth the Net Sales and/or lump sum payments and all other payments or consideration from sublicensees upon which such royalties are computed and including at least:</w:t>
      </w:r>
    </w:p>
    <w:p>
      <w:pPr>
        <w:spacing w:after="0" w:line="82" w:lineRule="exact"/>
        <w:rPr>
          <w:sz w:val="20"/>
          <w:szCs w:val="20"/>
          <w:color w:val="auto"/>
        </w:rPr>
      </w:pPr>
    </w:p>
    <w:p>
      <w:pPr>
        <w:ind w:left="960" w:hanging="532"/>
        <w:spacing w:after="0"/>
        <w:tabs>
          <w:tab w:leader="none" w:pos="9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quantity of Licensed Products used, sold, transferred or otherwise disposed of;</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selling price of each Licensed Product;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deductions permitted under Section 1.20 to arrive at Net Sales;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royalty computations and subject of payment;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license and royalty payments to Third Parties in respect of the Licensed Product.</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If no royalties or other payments are due, a statement shall be sent to NYU stating such fact. Payment of the full amount of any royalties or other payments due to NYU for the preceding half year shall accompany each Semi-Year Report on royalties and payments. Repare shall keep for a period of at least [***] after the date of entry, full, accurate and compete books and records consistent with sound business and accounting practices and in such form and in such detail as to enable the determination of the amounts due to NYU from Repare pursuant to the terms of this Agreement.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660" w:name="page661"/>
    <w:bookmarkEnd w:id="660"/>
    <w:p>
      <w:pPr>
        <w:ind w:left="4" w:right="10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6.04 On reasonable notice and during regular business hours, NYU or the authorized representative of NYU shall each have the right to inspect the books of accounts, records and other relevant documentation of Repare or of Affiliate and the sublicensees of Repare insofar as they relate to the production, marketing and sale of the Licensed Products, in order to ascertain or verify the amount of royalties and other payments due to NYU hereunder, and the accuracy of the information provided to NYU in the aforementioned reports. The cost of such inspection shall be borne by NYU, unless it is determined in such inspection that NYU has been underpaid for the period under review by more than [***] of the amount which NYU should have been paid, in which case the cost of such inspection shall be reimbursed to NYU by Repare.</w:t>
      </w:r>
    </w:p>
    <w:p>
      <w:pPr>
        <w:spacing w:after="0" w:line="322" w:lineRule="exact"/>
        <w:rPr>
          <w:sz w:val="20"/>
          <w:szCs w:val="20"/>
          <w:color w:val="auto"/>
        </w:rPr>
      </w:pPr>
    </w:p>
    <w:p>
      <w:pPr>
        <w:ind w:left="424" w:hanging="424"/>
        <w:spacing w:after="0"/>
        <w:tabs>
          <w:tab w:leader="none" w:pos="424"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p>
    <w:p>
      <w:pPr>
        <w:spacing w:after="0" w:line="121"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7.01 Royalties and other payments due to NYU hereunder shall be paid to NYU in United States dollars. Any such royalties on or other payments relating to transactions in a foreign currency shall be converted into United States dollars based on the closing buying rate for buying United States dollars listed on [***] for the particular currency on the last business day of the accounting period for which such royalty or other payment is due.</w:t>
      </w:r>
    </w:p>
    <w:p>
      <w:pPr>
        <w:spacing w:after="0" w:line="149" w:lineRule="exact"/>
        <w:rPr>
          <w:sz w:val="20"/>
          <w:szCs w:val="20"/>
          <w:color w:val="auto"/>
        </w:rPr>
      </w:pPr>
    </w:p>
    <w:p>
      <w:pPr>
        <w:jc w:val="both"/>
        <w:ind w:left="4" w:right="120" w:firstLine="440"/>
        <w:spacing w:after="0" w:line="277" w:lineRule="auto"/>
        <w:rPr>
          <w:sz w:val="20"/>
          <w:szCs w:val="20"/>
          <w:color w:val="auto"/>
        </w:rPr>
      </w:pPr>
      <w:r>
        <w:rPr>
          <w:rFonts w:ascii="Arial" w:cs="Arial" w:eastAsia="Arial" w:hAnsi="Arial"/>
          <w:sz w:val="18"/>
          <w:szCs w:val="18"/>
          <w:color w:val="auto"/>
        </w:rPr>
        <w:t>7.02 Repare shall be responsible for payment to NYU of all royalties due on sale, transfer or disposition of Licensed Products by each Affiliate and sublicensee of Repare.</w:t>
      </w:r>
    </w:p>
    <w:p>
      <w:pPr>
        <w:spacing w:after="0" w:line="170" w:lineRule="exact"/>
        <w:rPr>
          <w:sz w:val="20"/>
          <w:szCs w:val="20"/>
          <w:color w:val="auto"/>
        </w:rPr>
      </w:pPr>
    </w:p>
    <w:p>
      <w:pPr>
        <w:jc w:val="both"/>
        <w:ind w:left="4" w:right="100" w:firstLine="440"/>
        <w:spacing w:after="0" w:line="259" w:lineRule="auto"/>
        <w:rPr>
          <w:sz w:val="20"/>
          <w:szCs w:val="20"/>
          <w:color w:val="auto"/>
        </w:rPr>
      </w:pPr>
      <w:r>
        <w:rPr>
          <w:rFonts w:ascii="Arial" w:cs="Arial" w:eastAsia="Arial" w:hAnsi="Arial"/>
          <w:sz w:val="18"/>
          <w:szCs w:val="18"/>
          <w:color w:val="auto"/>
        </w:rPr>
        <w:t>7.03 Any amount payable hereunder by one of the Parties to the other, which has not been paid by the date on which such payment is due, shall bear interest from such date until the date on which such payment is made, at the rate of [***] in excess of [***], during the period of arrears and such amount and the interest thereon may be set off against any amount due, whether in terms of this Agreement or otherwise, to the Party in default by any non-defaulting Party.</w:t>
      </w:r>
    </w:p>
    <w:p>
      <w:pPr>
        <w:spacing w:after="0" w:line="331" w:lineRule="exact"/>
        <w:rPr>
          <w:sz w:val="20"/>
          <w:szCs w:val="20"/>
          <w:color w:val="auto"/>
        </w:rPr>
      </w:pPr>
    </w:p>
    <w:p>
      <w:pPr>
        <w:ind w:left="424" w:hanging="424"/>
        <w:spacing w:after="0"/>
        <w:tabs>
          <w:tab w:leader="none" w:pos="424"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Development and Commercialization.</w:t>
      </w:r>
    </w:p>
    <w:p>
      <w:pPr>
        <w:spacing w:after="0" w:line="121"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8.01 Repare undertakes to use reasonable diligence to carry out the further research, development and Commercialization of the NYU Technology, provided if such efforts cease, NYU may terminate this Agreement on [***] prior written notice if such activities do not recommence in a bonafide manner during such [***]. Repare shall provide NYU with a Development Plan, reasonably acceptable to NYU, describing planned efforts to develop Licensed Products, by the first anniversary of the Effective Date.</w:t>
      </w:r>
    </w:p>
    <w:p>
      <w:pPr>
        <w:spacing w:after="0" w:line="187" w:lineRule="exact"/>
        <w:rPr>
          <w:sz w:val="20"/>
          <w:szCs w:val="20"/>
          <w:color w:val="auto"/>
        </w:rPr>
      </w:pPr>
    </w:p>
    <w:p>
      <w:pPr>
        <w:ind w:left="444"/>
        <w:spacing w:after="0"/>
        <w:tabs>
          <w:tab w:leader="none" w:pos="904" w:val="left"/>
        </w:tabs>
        <w:rPr>
          <w:sz w:val="20"/>
          <w:szCs w:val="20"/>
          <w:color w:val="auto"/>
        </w:rPr>
      </w:pPr>
      <w:r>
        <w:rPr>
          <w:rFonts w:ascii="Arial" w:cs="Arial" w:eastAsia="Arial" w:hAnsi="Arial"/>
          <w:sz w:val="18"/>
          <w:szCs w:val="18"/>
          <w:color w:val="auto"/>
        </w:rPr>
        <w:t>8.02</w:t>
      </w:r>
      <w:r>
        <w:rPr>
          <w:sz w:val="20"/>
          <w:szCs w:val="20"/>
          <w:color w:val="auto"/>
        </w:rPr>
        <w:tab/>
      </w:r>
      <w:r>
        <w:rPr>
          <w:rFonts w:ascii="Arial" w:cs="Arial" w:eastAsia="Arial" w:hAnsi="Arial"/>
          <w:sz w:val="16"/>
          <w:szCs w:val="16"/>
          <w:color w:val="auto"/>
        </w:rPr>
        <w:t>The performance of the tests, trials, studies and other activities shall be carried out in accordance with the applicable law.</w:t>
      </w:r>
    </w:p>
    <w:p>
      <w:pPr>
        <w:spacing w:after="0" w:line="225" w:lineRule="exact"/>
        <w:rPr>
          <w:sz w:val="20"/>
          <w:szCs w:val="20"/>
          <w:color w:val="auto"/>
        </w:rPr>
      </w:pPr>
    </w:p>
    <w:p>
      <w:pPr>
        <w:ind w:left="4" w:right="340" w:firstLine="440"/>
        <w:spacing w:after="0" w:line="342" w:lineRule="auto"/>
        <w:rPr>
          <w:sz w:val="20"/>
          <w:szCs w:val="20"/>
          <w:color w:val="auto"/>
        </w:rPr>
      </w:pPr>
      <w:r>
        <w:rPr>
          <w:rFonts w:ascii="Arial" w:cs="Arial" w:eastAsia="Arial" w:hAnsi="Arial"/>
          <w:sz w:val="16"/>
          <w:szCs w:val="16"/>
          <w:color w:val="auto"/>
        </w:rPr>
        <w:t>8.03 Repare shall provide NYU with written summaries of activities and actions undertaken by Repare to develop and commercialize the Licensed Products; within [***] after each June 30 and December 31 of the duration of this Agreement, commencing [***] after the Effective Date.</w:t>
      </w:r>
    </w:p>
    <w:p>
      <w:pPr>
        <w:spacing w:after="0" w:line="124"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8.04</w:t>
        <w:tab/>
        <w:t>[***].</w:t>
      </w:r>
    </w:p>
    <w:p>
      <w:pPr>
        <w:spacing w:after="0" w:line="370" w:lineRule="exact"/>
        <w:rPr>
          <w:sz w:val="20"/>
          <w:szCs w:val="20"/>
          <w:color w:val="auto"/>
        </w:rPr>
      </w:pPr>
    </w:p>
    <w:p>
      <w:pPr>
        <w:ind w:left="424" w:hanging="424"/>
        <w:spacing w:after="0"/>
        <w:tabs>
          <w:tab w:leader="none" w:pos="424"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 and Material Transfer.</w:t>
      </w:r>
    </w:p>
    <w:p>
      <w:pPr>
        <w:spacing w:after="0" w:line="121"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9.01 Except as otherwise provided in Sections 9.02 and 9.03 below Repare shall maintain any and all of the NYU Technology in confidence and shall not release or disclose any tangible or intangible component thereof to any Third Party without first receiving the prior written consent of NYU to said release or disclosure.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661" w:name="page662"/>
    <w:bookmarkEnd w:id="661"/>
    <w:p>
      <w:pPr>
        <w:jc w:val="both"/>
        <w:ind w:left="4" w:right="2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9.02 This obligation of confidentiality set forth in Section 9.01 shall not apply to any component of the NYU Technology which was part of the public domain prior to the Effective Date or which becomes a part of the public domain not due to some unauthorized act by or omission of Repare after the Effective Date or which is disclosed to the Repare by a Third Party who has the right to make such disclosure.</w:t>
      </w:r>
    </w:p>
    <w:p>
      <w:pPr>
        <w:spacing w:after="0" w:line="16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9.03 The provisions of Section 9.01 notwithstanding, Repare may disclose the NYU Technology to Third Parties in order to conduct the business of research, development and/or Commercialization of Licensed Products and the financing of Repare, including without limitation, potential and actual contractors, lenders, bankers, underwriters, partners, acquirers, investors, advisors, consultants, legal and accounting professionals and others on a need to know basis under circumstances that reasonably ensure the confidentiality thereof.</w:t>
      </w:r>
    </w:p>
    <w:p>
      <w:pPr>
        <w:spacing w:after="0" w:line="187" w:lineRule="exact"/>
        <w:rPr>
          <w:sz w:val="20"/>
          <w:szCs w:val="20"/>
          <w:color w:val="auto"/>
        </w:rPr>
      </w:pPr>
    </w:p>
    <w:p>
      <w:pPr>
        <w:ind w:left="4" w:right="620" w:firstLine="440"/>
        <w:spacing w:after="0" w:line="308" w:lineRule="auto"/>
        <w:rPr>
          <w:sz w:val="20"/>
          <w:szCs w:val="20"/>
          <w:color w:val="auto"/>
        </w:rPr>
      </w:pPr>
      <w:r>
        <w:rPr>
          <w:rFonts w:ascii="Arial" w:cs="Arial" w:eastAsia="Arial" w:hAnsi="Arial"/>
          <w:sz w:val="17"/>
          <w:szCs w:val="17"/>
          <w:color w:val="auto"/>
        </w:rPr>
        <w:t>9.04 The following terms shall govern the transfer of materials from NYU to Repare, including those materials provided under the letter agreement, dated October 18, 2016, between the Parties relating to the transfer of PoIQ- related substances (the “NYU Materials”):</w:t>
      </w:r>
    </w:p>
    <w:p>
      <w:pPr>
        <w:spacing w:after="0" w:line="52" w:lineRule="exact"/>
        <w:rPr>
          <w:sz w:val="20"/>
          <w:szCs w:val="20"/>
          <w:color w:val="auto"/>
        </w:rPr>
      </w:pPr>
    </w:p>
    <w:p>
      <w:pPr>
        <w:ind w:left="964" w:hanging="532"/>
        <w:spacing w:after="0"/>
        <w:tabs>
          <w:tab w:leader="none" w:pos="964" w:val="left"/>
        </w:tabs>
        <w:numPr>
          <w:ilvl w:val="1"/>
          <w:numId w:val="413"/>
        </w:numPr>
        <w:rPr>
          <w:rFonts w:ascii="Arial" w:cs="Arial" w:eastAsia="Arial" w:hAnsi="Arial"/>
          <w:sz w:val="16"/>
          <w:szCs w:val="16"/>
          <w:color w:val="auto"/>
        </w:rPr>
      </w:pPr>
      <w:r>
        <w:rPr>
          <w:rFonts w:ascii="Arial" w:cs="Arial" w:eastAsia="Arial" w:hAnsi="Arial"/>
          <w:sz w:val="16"/>
          <w:szCs w:val="16"/>
          <w:color w:val="auto"/>
        </w:rPr>
        <w:t>Repare shall have the right to distribute the NYU Materials only to subcontractors who agree not to further distribute the NYU Materials.</w:t>
      </w:r>
    </w:p>
    <w:p>
      <w:pPr>
        <w:spacing w:after="0" w:line="153" w:lineRule="exact"/>
        <w:rPr>
          <w:rFonts w:ascii="Arial" w:cs="Arial" w:eastAsia="Arial" w:hAnsi="Arial"/>
          <w:sz w:val="16"/>
          <w:szCs w:val="16"/>
          <w:color w:val="auto"/>
        </w:rPr>
      </w:pPr>
    </w:p>
    <w:p>
      <w:pPr>
        <w:ind w:left="964" w:hanging="532"/>
        <w:spacing w:after="0"/>
        <w:tabs>
          <w:tab w:leader="none" w:pos="964" w:val="left"/>
        </w:tabs>
        <w:numPr>
          <w:ilvl w:val="1"/>
          <w:numId w:val="413"/>
        </w:numPr>
        <w:rPr>
          <w:rFonts w:ascii="Arial" w:cs="Arial" w:eastAsia="Arial" w:hAnsi="Arial"/>
          <w:sz w:val="18"/>
          <w:szCs w:val="18"/>
          <w:color w:val="auto"/>
        </w:rPr>
      </w:pPr>
      <w:r>
        <w:rPr>
          <w:rFonts w:ascii="Arial" w:cs="Arial" w:eastAsia="Arial" w:hAnsi="Arial"/>
          <w:sz w:val="18"/>
          <w:szCs w:val="18"/>
          <w:color w:val="auto"/>
        </w:rPr>
        <w:t>Repare and its subcontractors shall not use the NYU Materials in humans.</w:t>
      </w:r>
    </w:p>
    <w:p>
      <w:pPr>
        <w:spacing w:after="0" w:line="130" w:lineRule="exact"/>
        <w:rPr>
          <w:rFonts w:ascii="Arial" w:cs="Arial" w:eastAsia="Arial" w:hAnsi="Arial"/>
          <w:sz w:val="18"/>
          <w:szCs w:val="18"/>
          <w:color w:val="auto"/>
        </w:rPr>
      </w:pPr>
    </w:p>
    <w:p>
      <w:pPr>
        <w:ind w:left="964" w:right="20" w:hanging="532"/>
        <w:spacing w:after="0" w:line="259" w:lineRule="auto"/>
        <w:tabs>
          <w:tab w:leader="none" w:pos="964"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THE NYU MATERIAL IS PROVIDED “AS IS” and NYU MAKES NO REPRESENTATIONS AND EXTENDS NO WARRANTIES OF ANY KIND, EITHER EXPRESSED OR IMPLIED. THERE ARE NO EXPRESS OR IMPLIED WARRANTIES OF MERCHANTABILITY OR FITNESS FOR A PARTICULAR PURPOSE, OR THAT THE USE OF THE MATERIAL WILL NOT INFRINGE ANY PATENT, COPYRIGHT, TRADEMARK, OR OTHER PROPRIETARY RIGHTS.</w:t>
      </w:r>
    </w:p>
    <w:p>
      <w:pPr>
        <w:spacing w:after="0" w:line="92" w:lineRule="exact"/>
        <w:rPr>
          <w:rFonts w:ascii="Arial" w:cs="Arial" w:eastAsia="Arial" w:hAnsi="Arial"/>
          <w:sz w:val="18"/>
          <w:szCs w:val="18"/>
          <w:color w:val="auto"/>
        </w:rPr>
      </w:pPr>
    </w:p>
    <w:p>
      <w:pPr>
        <w:ind w:left="964" w:hanging="532"/>
        <w:spacing w:after="0"/>
        <w:tabs>
          <w:tab w:leader="none" w:pos="964"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The NYU Materials provided hereunder shall be considered NYU Know-How.</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13"/>
        </w:numPr>
        <w:rPr>
          <w:rFonts w:ascii="Arial" w:cs="Arial" w:eastAsia="Arial" w:hAnsi="Arial"/>
          <w:sz w:val="18"/>
          <w:szCs w:val="18"/>
          <w:color w:val="auto"/>
        </w:rPr>
      </w:pPr>
      <w:r>
        <w:rPr>
          <w:rFonts w:ascii="Arial" w:cs="Arial" w:eastAsia="Arial" w:hAnsi="Arial"/>
          <w:sz w:val="18"/>
          <w:szCs w:val="18"/>
          <w:color w:val="auto"/>
        </w:rPr>
        <w:t>[***].</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Publication.</w:t>
      </w:r>
    </w:p>
    <w:p>
      <w:pPr>
        <w:spacing w:after="0" w:line="121" w:lineRule="exact"/>
        <w:rPr>
          <w:sz w:val="20"/>
          <w:szCs w:val="20"/>
          <w:color w:val="auto"/>
        </w:rPr>
      </w:pPr>
    </w:p>
    <w:p>
      <w:pPr>
        <w:ind w:left="4" w:right="40" w:firstLine="440"/>
        <w:spacing w:after="0" w:line="293" w:lineRule="auto"/>
        <w:rPr>
          <w:sz w:val="20"/>
          <w:szCs w:val="20"/>
          <w:color w:val="auto"/>
        </w:rPr>
      </w:pPr>
      <w:r>
        <w:rPr>
          <w:rFonts w:ascii="Arial" w:cs="Arial" w:eastAsia="Arial" w:hAnsi="Arial"/>
          <w:sz w:val="16"/>
          <w:szCs w:val="16"/>
          <w:color w:val="auto"/>
        </w:rPr>
        <w:t>10.01 Prior to submission for publication of a manuscript describing the results of any aspect of NYU Technology, NYU shall send Repare a copy of the manuscript to be submitted, and shall allow Repare [***] from the date of the proposed submission to determine whether the manuscript contains such subject matter for which patent protection should be sought prior to publication of such manuscript. Should Repare believe the subject matter of the manuscript contains a patentable invention, then, prior to the expiration of such [***] from the mailing date of such manuscript to Repare by NYU, Repare shall give written notification to NYU of: (i) its determination that such manuscript contains patentable subject matter for which patent protection should be sought; (ii) the countries in which such patent protection should be sought; and (iii) any comments to the publication.</w:t>
      </w:r>
    </w:p>
    <w:p>
      <w:pPr>
        <w:spacing w:after="0" w:line="164"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10.02 In the case of other public presentations describing the results or any aspect of the NYU Technology, NYU shall provide Repare with any such proposed abstract or presentation relating thereto by delivering a copy thereof to Repare no less than [***] before the intended presentation. Repare shall have [***] from its receipt of such abstract or presentation in which to give written notification to NYU of: (i) its determination that such abstract or presentation contains patentable subject matter for which patent protection should be sought; and (ii) the countries in which such patent protection should be sought; and (iii) any comments to the abstract or publication.</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662" w:name="page663"/>
    <w:bookmarkEnd w:id="662"/>
    <w:p>
      <w:pPr>
        <w:ind w:left="4"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10.03 After the expiration of such [***] or [***], as applicable, from the date of receipt of manuscript, abstract or presentation, as applicable, to Repare, unless NYU has received the written notice specified above from Repare, NYU shall be free to submit such manuscript for publication to publish the disclosed research results in any manner consistent with academic standards.</w:t>
      </w:r>
    </w:p>
    <w:p>
      <w:pPr>
        <w:spacing w:after="0" w:line="184"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10.04 Upon receipt of such written notice from Repare pursuant to Section 10.01 or 10.02 above, NYU (i) will attempt to incorporate any comments received by Repare in NYU’s reasonable discretion and (ii) if requested by Repare, delay submission of the manuscript or date of presentation for an additional period of up to [***] to permit the preparation and filing in accordance with Section 4 hereof of any patent applications by NYU on the subject matter to be disclosed in such manuscript. After expiration of such [***], or the filing of a patent application on each such invention, whichever shall occur first, NYU shall be free to submit the manuscript and to publish the disclosed results or to give the presentation, as applicable.</w:t>
      </w:r>
    </w:p>
    <w:p>
      <w:pPr>
        <w:spacing w:after="0" w:line="337" w:lineRule="exact"/>
        <w:rPr>
          <w:sz w:val="20"/>
          <w:szCs w:val="20"/>
          <w:color w:val="auto"/>
        </w:rPr>
      </w:pPr>
    </w:p>
    <w:p>
      <w:pPr>
        <w:ind w:left="424" w:hanging="424"/>
        <w:spacing w:after="0"/>
        <w:tabs>
          <w:tab w:leader="none" w:pos="424"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Infringement of NYU Patent.</w:t>
      </w:r>
    </w:p>
    <w:p>
      <w:pPr>
        <w:spacing w:after="0" w:line="121"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11.01 In the event a Party to this Agreement acquires information that a Third Party is infringing one or more of the NYU Patents, the Party acquiring such information shall promptly notify the other Party to the Agreement in writing of such infringement.</w:t>
      </w:r>
    </w:p>
    <w:p>
      <w:pPr>
        <w:spacing w:after="0" w:line="170" w:lineRule="exact"/>
        <w:rPr>
          <w:sz w:val="20"/>
          <w:szCs w:val="20"/>
          <w:color w:val="auto"/>
        </w:rPr>
      </w:pPr>
    </w:p>
    <w:p>
      <w:pPr>
        <w:ind w:left="4" w:right="20" w:firstLine="440"/>
        <w:spacing w:after="0" w:line="270" w:lineRule="auto"/>
        <w:rPr>
          <w:sz w:val="20"/>
          <w:szCs w:val="20"/>
          <w:color w:val="auto"/>
        </w:rPr>
      </w:pPr>
      <w:r>
        <w:rPr>
          <w:rFonts w:ascii="Arial" w:cs="Arial" w:eastAsia="Arial" w:hAnsi="Arial"/>
          <w:sz w:val="17"/>
          <w:szCs w:val="17"/>
          <w:color w:val="auto"/>
        </w:rPr>
        <w:t>11.02 In the event of an infringement of an NYU Patent, Repare and/or the sublicensee shall have the right but shall not be required to bring suit against the infringer. Should Repare elect to bring suit against an infringer and NYU is joined as a Party plaintiff in any such suit, NYU shall have the right to approve, such approval not to be unreasonably withheld, the counsel selected by Repare to represent Repare and NYU. The expenses of such suit or suits that Repare elects to bring, including any reasonable expenses of NYU incurred in conjunction with the prosecution of such suit or the settlement thereof, shall be paid for entirely by Repare and Repare shall hold NYU free, clear and harmless from and against any and all costs of such litigation, including attorneys’ fees. Repare shall not compromise or settle such litigation without the prior written consent of NYU, which shall not be unreasonably withheld, provided NYU’s consent is not required if such settlement is consistent with the sublicense terms of this Agreement, and would not compromise the viability of NYU’s Patents or require any monetary or other obligations of NYU, and Repare does not make any admission of invalidity or non-infringement or otherwise regarding any NYU Patents or otherwise with respect to NYU.</w:t>
      </w:r>
    </w:p>
    <w:p>
      <w:pPr>
        <w:spacing w:after="0" w:line="181" w:lineRule="exact"/>
        <w:rPr>
          <w:sz w:val="20"/>
          <w:szCs w:val="20"/>
          <w:color w:val="auto"/>
        </w:rPr>
      </w:pPr>
    </w:p>
    <w:p>
      <w:pPr>
        <w:jc w:val="both"/>
        <w:ind w:left="4" w:right="40" w:firstLine="440"/>
        <w:spacing w:after="0" w:line="286" w:lineRule="auto"/>
        <w:rPr>
          <w:sz w:val="20"/>
          <w:szCs w:val="20"/>
          <w:color w:val="auto"/>
        </w:rPr>
      </w:pPr>
      <w:r>
        <w:rPr>
          <w:rFonts w:ascii="Arial" w:cs="Arial" w:eastAsia="Arial" w:hAnsi="Arial"/>
          <w:sz w:val="17"/>
          <w:szCs w:val="17"/>
          <w:color w:val="auto"/>
        </w:rPr>
        <w:t>11.03 In the event Repare exercises the right to sue herein conferred, it shall have the right to first reimburse itself out of any sums recovered in such suit or in settlement thereof for all costs and expenses of every kind and character, including reasonable attorneys’ fees, necessarily involved in the prosecution of any such suit, and if after such reimbursement, any funds shall remain from said recovery, [***].</w:t>
      </w:r>
    </w:p>
    <w:p>
      <w:pPr>
        <w:spacing w:after="0" w:line="165"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11.04 If Repare does not bring suit against said infringer pursuant to Section 11.02 herein, or has not commenced negotiations with said infringer for discontinuance of said infringement, within [***] after receipt of such notice, NYU shall have the right, but shall not be obligated, to bring suit for such infringement. Should NYU elect to bring suit against an infringer and Repare is joined as a Party plaintiff in any such suit, Repare shall have the right to approve, such approval not to be unreasonably withheld, the counsel selected by NYU to represent NYU</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4" w:right="479" w:bottom="1440" w:gutter="0" w:footer="0" w:header="0"/>
        </w:sectPr>
      </w:pPr>
    </w:p>
    <w:bookmarkStart w:id="663" w:name="page664"/>
    <w:bookmarkEnd w:id="663"/>
    <w:p>
      <w:pPr>
        <w:ind w:left="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Repare, and NYU shall hold Repare free, clear and harmless from and against any and all costs and expenses of such litigation, including attorneys’ fees. If Repare has commenced negotiations with an alleged infringer of the NYU Patent for discontinuance of such infringement within such [***], Repare shall have an additional [***] from the termination of such initial [***] to conclude its negotiations before NYU may bring suit for such infringement. In the event NYU brings suit for infringement of any NYU Patent, NYU shall have the right to settle any such suit by licensing the alleged infringer. In the event NYU brings suit for infringement of any NYU Patent, NYU shall have the right to first reimburse itself out of any sums recovered in such suit or settlement thereof for all costs and expenses of every kind and character, including reasonable attorneys’ fees necessarily involved in the prosecution of such suit, and if after such reimbursement, any funds shall remain from said recovery, [***].</w:t>
      </w:r>
    </w:p>
    <w:p>
      <w:pPr>
        <w:spacing w:after="0" w:line="177" w:lineRule="exact"/>
        <w:rPr>
          <w:sz w:val="20"/>
          <w:szCs w:val="20"/>
          <w:color w:val="auto"/>
        </w:rPr>
      </w:pPr>
    </w:p>
    <w:p>
      <w:pPr>
        <w:ind w:left="4" w:right="240" w:firstLine="440"/>
        <w:spacing w:after="0" w:line="273" w:lineRule="auto"/>
        <w:rPr>
          <w:sz w:val="20"/>
          <w:szCs w:val="20"/>
          <w:color w:val="auto"/>
        </w:rPr>
      </w:pPr>
      <w:r>
        <w:rPr>
          <w:rFonts w:ascii="Arial" w:cs="Arial" w:eastAsia="Arial" w:hAnsi="Arial"/>
          <w:sz w:val="17"/>
          <w:szCs w:val="17"/>
          <w:color w:val="auto"/>
        </w:rPr>
        <w:t>11.05 Each Party agree to cooperate fully with the other Party at the request of the other Party, including, by giving testimony and producing documents lawfully requested in the prosecution of any suit for infringement of the NYU Patents; provided, the Party having carriage of the litigation shall pay all reasonable expenses (including attorneys’ fees) incurred by the other Party in connection with such cooperation. Without limiting the foregoing, NYU and Sfeir shall cooperate with Repare at the request of Repare, including by giving testimony and producing documents lawfully requested, in the prosecution of any suit by Repare for infringement of the NYU Patents; provided, that Repare shall pay all reasonable expenses (including attorneys’ fees) incurred by NYU in connection with such cooperation.</w:t>
      </w:r>
    </w:p>
    <w:p>
      <w:pPr>
        <w:spacing w:after="0" w:line="322" w:lineRule="exact"/>
        <w:rPr>
          <w:sz w:val="20"/>
          <w:szCs w:val="20"/>
          <w:color w:val="auto"/>
        </w:rPr>
      </w:pPr>
    </w:p>
    <w:p>
      <w:pPr>
        <w:ind w:left="424" w:hanging="424"/>
        <w:spacing w:after="0"/>
        <w:tabs>
          <w:tab w:leader="none" w:pos="424" w:val="left"/>
        </w:tabs>
        <w:numPr>
          <w:ilvl w:val="0"/>
          <w:numId w:val="4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Infringement of Third Party Intellectual Property Rights</w:t>
      </w:r>
    </w:p>
    <w:p>
      <w:pPr>
        <w:spacing w:after="0" w:line="12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12.01 In the event that any Third Party brings or asserts a claim against Repare or NYU that the Commercialization of the NYU Technology or a Licensed Product infringes rights in Intellectual Property owned or otherwise controlled by such Third Party (an “Infringement Suit”), the following shall apply:</w:t>
      </w:r>
    </w:p>
    <w:p>
      <w:pPr>
        <w:spacing w:after="0" w:line="184"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12.02 the Party receiving a claim, or learning of the threat of such a claim, shall give the other Party prompt written notice within [***] detailing as many facts as possible concerning the claim;</w:t>
      </w:r>
    </w:p>
    <w:p>
      <w:pPr>
        <w:spacing w:after="0" w:line="170"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12.03</w:t>
      </w:r>
      <w:r>
        <w:rPr>
          <w:sz w:val="20"/>
          <w:szCs w:val="20"/>
          <w:color w:val="auto"/>
        </w:rPr>
        <w:tab/>
      </w:r>
      <w:r>
        <w:rPr>
          <w:rFonts w:ascii="Arial" w:cs="Arial" w:eastAsia="Arial" w:hAnsi="Arial"/>
          <w:sz w:val="16"/>
          <w:szCs w:val="16"/>
          <w:color w:val="auto"/>
        </w:rPr>
        <w:t>Repare and/or its sublicensees, in its sole discretion, shall have the first right, but not an obligation, to defend against the Infringement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Suit;</w:t>
      </w:r>
    </w:p>
    <w:p>
      <w:pPr>
        <w:spacing w:after="0" w:line="211"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12.04 if Repare and/or its sublicensees does not take steps to defend against the Infringement Suit within [***] after the date that notice thereof was received from or delivered to the NYU, NYU may take such legally permissible action as it deems necessary or appropriate to defend against the Infringement Suit, but shall not be obligated to do so;</w:t>
      </w:r>
    </w:p>
    <w:p>
      <w:pPr>
        <w:spacing w:after="0" w:line="184"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12.05 the Party defending against the Infringement Suit (in this Subsection, the “Litigating Party”) shall have the right to control such litigation and shall bear all legal expenses (including court costs and legal fees), but it shall have no right to settle any dispute in any manner which would abridge the rights of the other Parties under this Agreement. By way of example and not by way of limitation, no Party may stipulate or admit to the invalidity, or unenforceability of any Intellectual Property Rights relating to the NYU Technology, or that a Licensed Product or the NYU Technology infringes Third Party Intellectual Property. Before any action is taken by a Party which could abridge the rights of the other Parties hereunder, the Parties agree, in good faith, to consult with each other with a goal of adopting a mutually satisfactory position;</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664" w:name="page665"/>
    <w:bookmarkEnd w:id="664"/>
    <w:p>
      <w:pPr>
        <w:ind w:left="4"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12.06 the Litigating Party shall keep the other Parties fully informed of the actions and positions taken or proposed to be taken by the Litigating Party and the actions and positions taken by all other Parties to such litigation; and</w:t>
      </w:r>
    </w:p>
    <w:p>
      <w:pPr>
        <w:spacing w:after="0" w:line="170" w:lineRule="exact"/>
        <w:rPr>
          <w:sz w:val="20"/>
          <w:szCs w:val="20"/>
          <w:color w:val="auto"/>
        </w:rPr>
      </w:pPr>
    </w:p>
    <w:p>
      <w:pPr>
        <w:ind w:left="4" w:right="440" w:firstLine="440"/>
        <w:spacing w:after="0" w:line="308" w:lineRule="auto"/>
        <w:rPr>
          <w:sz w:val="20"/>
          <w:szCs w:val="20"/>
          <w:color w:val="auto"/>
        </w:rPr>
      </w:pPr>
      <w:r>
        <w:rPr>
          <w:rFonts w:ascii="Arial" w:cs="Arial" w:eastAsia="Arial" w:hAnsi="Arial"/>
          <w:sz w:val="17"/>
          <w:szCs w:val="17"/>
          <w:color w:val="auto"/>
        </w:rPr>
        <w:t>12.07 in the event that Repare defends against the Infringement Suit, NYU may elect to participate formally in the Infringement Suit to the extent that the court may permit, provided that any additional expenses generated by NYU’s formal participation shall be paid by NYU.</w:t>
      </w:r>
    </w:p>
    <w:p>
      <w:pPr>
        <w:spacing w:after="0" w:line="146" w:lineRule="exact"/>
        <w:rPr>
          <w:sz w:val="20"/>
          <w:szCs w:val="20"/>
          <w:color w:val="auto"/>
        </w:rPr>
      </w:pPr>
    </w:p>
    <w:p>
      <w:pPr>
        <w:jc w:val="both"/>
        <w:ind w:left="4" w:firstLine="440"/>
        <w:spacing w:after="0" w:line="311" w:lineRule="auto"/>
        <w:rPr>
          <w:sz w:val="20"/>
          <w:szCs w:val="20"/>
          <w:color w:val="auto"/>
        </w:rPr>
      </w:pPr>
      <w:r>
        <w:rPr>
          <w:rFonts w:ascii="Arial" w:cs="Arial" w:eastAsia="Arial" w:hAnsi="Arial"/>
          <w:sz w:val="16"/>
          <w:szCs w:val="16"/>
          <w:color w:val="auto"/>
        </w:rPr>
        <w:t>12.08 Where either Repare, its sublicensees or NYU wishes to act alone, provided it is in compliance with the foregoing, but formalities require participation of the other Parties, then the other Parties shall join in the proceeding to the extent necessary for formalities. Each Party will cooperate with the other Party in making available all necessary documents and witnesses for any legal proceedings, without charging any fees to the other Party.</w:t>
      </w:r>
    </w:p>
    <w:p>
      <w:pPr>
        <w:spacing w:after="0" w:line="149" w:lineRule="exact"/>
        <w:rPr>
          <w:sz w:val="20"/>
          <w:szCs w:val="20"/>
          <w:color w:val="auto"/>
        </w:rPr>
      </w:pPr>
    </w:p>
    <w:p>
      <w:pPr>
        <w:ind w:left="4" w:right="160" w:firstLine="440"/>
        <w:spacing w:after="0" w:line="308" w:lineRule="auto"/>
        <w:rPr>
          <w:sz w:val="20"/>
          <w:szCs w:val="20"/>
          <w:color w:val="auto"/>
        </w:rPr>
      </w:pPr>
      <w:r>
        <w:rPr>
          <w:rFonts w:ascii="Arial" w:cs="Arial" w:eastAsia="Arial" w:hAnsi="Arial"/>
          <w:sz w:val="17"/>
          <w:szCs w:val="17"/>
          <w:color w:val="auto"/>
        </w:rPr>
        <w:t>12.09 The rights and obligations of Repare under this Section 12 are not intended to modify or limit Repare’s obligations under Section 13 and in the event of the a conflict between any term in Section 12 and any term in Section 13, the terms of Section 13 will apply.</w:t>
      </w:r>
    </w:p>
    <w:p>
      <w:pPr>
        <w:spacing w:after="0" w:line="291" w:lineRule="exact"/>
        <w:rPr>
          <w:sz w:val="20"/>
          <w:szCs w:val="20"/>
          <w:color w:val="auto"/>
        </w:rPr>
      </w:pPr>
    </w:p>
    <w:p>
      <w:pPr>
        <w:ind w:left="424" w:hanging="424"/>
        <w:spacing w:after="0"/>
        <w:tabs>
          <w:tab w:leader="none" w:pos="424"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Liability and Indemnification.</w:t>
      </w:r>
    </w:p>
    <w:p>
      <w:pPr>
        <w:spacing w:after="0" w:line="121"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color w:val="auto"/>
        </w:rPr>
        <w:t>13.01 Repare shall indemnify, defend and hold harmless NYU and its contractors and each of their affiliates, and each of their trustees, officers, medical and professional staff, employees, students and agents and their respective successors, heirs and assigns (the “Indemnitees”), against any liability, damage, loss or expense (including reasonable attorneys’ fees and expenses of litigation) incurred by or imposed upon the Indemnitees or any one of them in connection with any claims, suits, actions, demands or judgments (i) arising out of the design, production, manufacture, sale, use in commerce or in human clinical trials, lease, or promotion by Repare or by a licensee, Affiliate or agent of Repare of any Licensed Product, process or service relating to, or developed pursuant to, this Agreement or (ii) arising out of any other activities to be carried out pursuant to this Agreement.</w:t>
      </w:r>
    </w:p>
    <w:p>
      <w:pPr>
        <w:spacing w:after="0" w:line="164"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13.02 With respect to an Indemnitee, Repare’s indemnification under subsection 13.01(i) shall apply to any liability, damage, loss or expense whether or not it is attributable to the negligent activities of such Indemnitee. Repare’s indemnification obligation under subsection 13.01(ii) shall not apply to any liability, damage, loss or expense to the extent that it is attributable to the fraud, wilful misconduct or grossly negligent activities of NYU or any Indemnitees or otherwise arising from NYU’s breach of any representation, warranty or covenant of this Agreement.</w:t>
      </w:r>
    </w:p>
    <w:p>
      <w:pPr>
        <w:spacing w:after="0" w:line="157" w:lineRule="exact"/>
        <w:rPr>
          <w:sz w:val="20"/>
          <w:szCs w:val="20"/>
          <w:color w:val="auto"/>
        </w:rPr>
      </w:pPr>
    </w:p>
    <w:p>
      <w:pPr>
        <w:ind w:left="4" w:right="460" w:firstLine="440"/>
        <w:spacing w:after="0" w:line="263" w:lineRule="auto"/>
        <w:rPr>
          <w:sz w:val="20"/>
          <w:szCs w:val="20"/>
          <w:color w:val="auto"/>
        </w:rPr>
      </w:pPr>
      <w:r>
        <w:rPr>
          <w:rFonts w:ascii="Arial" w:cs="Arial" w:eastAsia="Arial" w:hAnsi="Arial"/>
          <w:sz w:val="18"/>
          <w:szCs w:val="18"/>
          <w:color w:val="auto"/>
        </w:rPr>
        <w:t>13.03 Repare agrees, at its own expense, to provide attorneys reasonably acceptable to NYU to defend against any actions brought or filed against any Indemnitee with respect to the subject of indemnity to which such Indemnitee is entitled hereunder, whether or not such actions are rightfully brought.</w:t>
      </w:r>
    </w:p>
    <w:p>
      <w:pPr>
        <w:spacing w:after="0" w:line="328" w:lineRule="exact"/>
        <w:rPr>
          <w:sz w:val="20"/>
          <w:szCs w:val="20"/>
          <w:color w:val="auto"/>
        </w:rPr>
      </w:pPr>
    </w:p>
    <w:p>
      <w:pPr>
        <w:ind w:left="424" w:hanging="424"/>
        <w:spacing w:after="0"/>
        <w:tabs>
          <w:tab w:leader="none" w:pos="424"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w:t>
      </w:r>
    </w:p>
    <w:p>
      <w:pPr>
        <w:spacing w:after="0" w:line="121" w:lineRule="exact"/>
        <w:rPr>
          <w:sz w:val="20"/>
          <w:szCs w:val="20"/>
          <w:color w:val="auto"/>
        </w:rPr>
      </w:pPr>
    </w:p>
    <w:p>
      <w:pPr>
        <w:ind w:left="4" w:right="180" w:firstLine="440"/>
        <w:spacing w:after="0" w:line="301" w:lineRule="auto"/>
        <w:rPr>
          <w:sz w:val="20"/>
          <w:szCs w:val="20"/>
          <w:color w:val="auto"/>
        </w:rPr>
      </w:pPr>
      <w:r>
        <w:rPr>
          <w:rFonts w:ascii="Arial" w:cs="Arial" w:eastAsia="Arial" w:hAnsi="Arial"/>
          <w:sz w:val="16"/>
          <w:szCs w:val="16"/>
          <w:color w:val="auto"/>
        </w:rPr>
        <w:t>14.01 At such time as any Licensed Product, process or service relating to, or developed pursuant to, this Agreement is being commercially distributed or sold or tested in clinical trials by Repare or by a licensee, Affiliate or agent of Repare, Repare shall at its sole cost and expense, procure and maintain policies of comprehensive general liability insurance in amounts not less than (i) $[***] per incident and $[***] annual aggregate during the period that such Licensed Product, process, or service is being tested in clinical trials prior to commercial sale, and (ii) $[***]</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665" w:name="page666"/>
    <w:bookmarkEnd w:id="665"/>
    <w:p>
      <w:pPr>
        <w:ind w:left="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per incident and$[***] annual aggregate , during the period that such Licensed Product, process, or service is being commercially distributed or sold, and in each case naming the Indemnitees as additional insureds. Such comprehensive general liability insurance shall provide (i) product liability coverage and (ii) broad form contractual liability coverage for Repare’s indemnification under Section 14 of this Agreement. If Repare elects to self-insure all or part of the limits described above including deductibles or retentions which are in excess of U.S.$[***] annual aggregate) such self-insurance program shall include assets or reserves which have been actuarially determined for the liabilities associated with this Agreement and must be reasonably acceptable to NYU.</w:t>
      </w:r>
    </w:p>
    <w:p>
      <w:pPr>
        <w:spacing w:after="0" w:line="192"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The minimum amounts of insurance coverage required under this Section 14 shall not be construed to create a limit of Repare’s liability with respect to its indemnification under Section 13 of this Agreement.</w:t>
      </w:r>
    </w:p>
    <w:p>
      <w:pPr>
        <w:spacing w:after="0" w:line="170"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14.02 Repare shall provide NYU with written evidence of such insurance upon request of NYU. Repare shall provide NYU with written notice at least [***] prior to the cancellation, non-renewal or material change in such insurance; if such insurance is terminated or no longer in compliance with this Section 14, and Repare does not obtain replacement insurance NYU shall have the right to terminate this Agreement without notice or any additional waiting periods.</w:t>
      </w:r>
    </w:p>
    <w:p>
      <w:pPr>
        <w:spacing w:after="0" w:line="187" w:lineRule="exact"/>
        <w:rPr>
          <w:sz w:val="20"/>
          <w:szCs w:val="20"/>
          <w:color w:val="auto"/>
        </w:rPr>
      </w:pPr>
    </w:p>
    <w:p>
      <w:pPr>
        <w:jc w:val="center"/>
        <w:ind w:right="16"/>
        <w:spacing w:after="0"/>
        <w:tabs>
          <w:tab w:leader="none" w:pos="160" w:val="left"/>
        </w:tabs>
        <w:rPr>
          <w:sz w:val="20"/>
          <w:szCs w:val="20"/>
          <w:color w:val="auto"/>
        </w:rPr>
      </w:pPr>
      <w:r>
        <w:rPr>
          <w:rFonts w:ascii="Arial" w:cs="Arial" w:eastAsia="Arial" w:hAnsi="Arial"/>
          <w:sz w:val="18"/>
          <w:szCs w:val="18"/>
          <w:color w:val="auto"/>
        </w:rPr>
        <w:t>14.03</w:t>
      </w:r>
      <w:r>
        <w:rPr>
          <w:sz w:val="20"/>
          <w:szCs w:val="20"/>
          <w:color w:val="auto"/>
        </w:rPr>
        <w:tab/>
      </w:r>
      <w:r>
        <w:rPr>
          <w:rFonts w:ascii="Arial" w:cs="Arial" w:eastAsia="Arial" w:hAnsi="Arial"/>
          <w:sz w:val="16"/>
          <w:szCs w:val="16"/>
          <w:color w:val="auto"/>
        </w:rPr>
        <w:t>Repare shall maintain such comprehensive general liability insurance beyond the expiration or termination of this Agreement during</w:t>
      </w:r>
    </w:p>
    <w:p>
      <w:pPr>
        <w:spacing w:after="0" w:line="23" w:lineRule="exact"/>
        <w:rPr>
          <w:sz w:val="20"/>
          <w:szCs w:val="20"/>
          <w:color w:val="auto"/>
        </w:rPr>
      </w:pPr>
    </w:p>
    <w:p>
      <w:pPr>
        <w:ind w:left="4" w:right="380" w:hanging="4"/>
        <w:spacing w:after="0" w:line="323" w:lineRule="auto"/>
        <w:tabs>
          <w:tab w:leader="none" w:pos="219" w:val="left"/>
        </w:tabs>
        <w:numPr>
          <w:ilvl w:val="0"/>
          <w:numId w:val="419"/>
        </w:numPr>
        <w:rPr>
          <w:rFonts w:ascii="Arial" w:cs="Arial" w:eastAsia="Arial" w:hAnsi="Arial"/>
          <w:sz w:val="16"/>
          <w:szCs w:val="16"/>
          <w:color w:val="auto"/>
        </w:rPr>
      </w:pPr>
      <w:r>
        <w:rPr>
          <w:rFonts w:ascii="Arial" w:cs="Arial" w:eastAsia="Arial" w:hAnsi="Arial"/>
          <w:sz w:val="16"/>
          <w:szCs w:val="16"/>
          <w:color w:val="auto"/>
        </w:rPr>
        <w:t>the period that any product, process or service, relating to, or developed pursuant to, this Agreement is being commercially distributed or sold or tested in clinical trials by Repare or by a sublicensee, Affiliate or agent of Repare and (ii) statute of limitations applicable to such activities.</w:t>
      </w:r>
    </w:p>
    <w:p>
      <w:pPr>
        <w:spacing w:after="0" w:line="283" w:lineRule="exact"/>
        <w:rPr>
          <w:sz w:val="20"/>
          <w:szCs w:val="20"/>
          <w:color w:val="auto"/>
        </w:rPr>
      </w:pPr>
    </w:p>
    <w:p>
      <w:pPr>
        <w:ind w:left="424" w:hanging="424"/>
        <w:spacing w:after="0"/>
        <w:tabs>
          <w:tab w:leader="none" w:pos="424" w:val="left"/>
        </w:tabs>
        <w:numPr>
          <w:ilvl w:val="0"/>
          <w:numId w:val="4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Expiry and Termination</w:t>
      </w:r>
    </w:p>
    <w:p>
      <w:pPr>
        <w:spacing w:after="0" w:line="121"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15.01 Unless earlier terminated pursuant to this Section 15, hereof, this Agreement shall expire upon the expiration of the period of the License in all countries as set forth in Section 5.04 above.</w:t>
      </w:r>
    </w:p>
    <w:p>
      <w:pPr>
        <w:spacing w:after="0" w:line="170" w:lineRule="exact"/>
        <w:rPr>
          <w:sz w:val="20"/>
          <w:szCs w:val="20"/>
          <w:color w:val="auto"/>
        </w:rPr>
      </w:pPr>
    </w:p>
    <w:p>
      <w:pPr>
        <w:ind w:left="4" w:right="100" w:firstLine="440"/>
        <w:spacing w:after="0" w:line="255" w:lineRule="auto"/>
        <w:rPr>
          <w:sz w:val="20"/>
          <w:szCs w:val="20"/>
          <w:color w:val="auto"/>
        </w:rPr>
      </w:pPr>
      <w:r>
        <w:rPr>
          <w:rFonts w:ascii="Arial" w:cs="Arial" w:eastAsia="Arial" w:hAnsi="Arial"/>
          <w:sz w:val="18"/>
          <w:szCs w:val="18"/>
          <w:color w:val="auto"/>
        </w:rPr>
        <w:t>15.02 At any time prior to expiration of this Agreement, either Party may terminate this Agreement forthwith for cause, as “cause” is described below, by giving written notice to the other Party. Cause for termination by one Party of this Agreement shall be deemed to exist if the other Party materially breaches or defaults in the performance or observance of any of the provisions of this Agreement and such breach or default is not cured within [***] or, in the case of failure to pay any amounts due hereunder, [***] (unless otherwise specified herein) after the giving of notice by the other Party specifying such breach or default and provided such breach or default is not cured, or if either NYU or Repare discontinues its business or becomes insolvent or bankrupt.</w:t>
      </w:r>
    </w:p>
    <w:p>
      <w:pPr>
        <w:spacing w:after="0" w:line="192"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15.03 Upon termination of this Agreement for any reason and prior to expiration as set forth in Section 15.01 hereof, all rights granted hereunder to the NYU Technology shall revert to NYU and Repare shall not be entitled to make any further use whatsoever of the NYU Technology. Notwithstanding the foregoing, if any sublicense agreements that were granted in compliance with Section 5.05 remain in good standing as of the date of such termination, then the rights licensed herein shall be extended to such Sublicensee in the same scope as is provided in such sublicense agreement, provided that the relevant Sublicensee signs a written agreement with NYU agreeing to be bound by the terms of this Agreement and agreeing that NYU’s only obligation hereunder shall be to maintain the effectiveness of the scope of the rights licensed hereunder to such Sublicensee.</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666" w:name="page667"/>
    <w:bookmarkEnd w:id="666"/>
    <w:p>
      <w:pPr>
        <w:ind w:left="444"/>
        <w:spacing w:after="0"/>
        <w:tabs>
          <w:tab w:leader="none" w:pos="10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15.04</w:t>
        <w:tab/>
        <w:t>[***].</w:t>
      </w:r>
    </w:p>
    <w:p>
      <w:pPr>
        <w:spacing w:after="0" w:line="225"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15.05</w:t>
      </w:r>
      <w:r>
        <w:rPr>
          <w:sz w:val="20"/>
          <w:szCs w:val="20"/>
          <w:color w:val="auto"/>
        </w:rPr>
        <w:tab/>
      </w:r>
      <w:r>
        <w:rPr>
          <w:rFonts w:ascii="Arial" w:cs="Arial" w:eastAsia="Arial" w:hAnsi="Arial"/>
          <w:sz w:val="16"/>
          <w:szCs w:val="16"/>
          <w:color w:val="auto"/>
        </w:rPr>
        <w:t>Termination of this Agreement shall not relieve either Party of any obligation to the other Party incurred prior to such termination.</w:t>
      </w:r>
    </w:p>
    <w:p>
      <w:pPr>
        <w:spacing w:after="0" w:line="225"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15.06 Sections 3, 5.05(1), 9, 13, 14, 15, 16, 17, 19, 20, 21 and 22 hereof shall survive and remain in full force and effect after any termination, cancellation or expiration of this Agreement. Sections 6.01(d), 7.01 and 7.03 hereof shall survive and remain in full force and effect after any termination, cancellation or expiration of this Agreement but only with respect to Sublicense Income described in the last sentence of Section 1.34 (the definition of Sublicense Income.)</w:t>
      </w:r>
    </w:p>
    <w:p>
      <w:pPr>
        <w:spacing w:after="0" w:line="331" w:lineRule="exact"/>
        <w:rPr>
          <w:sz w:val="20"/>
          <w:szCs w:val="20"/>
          <w:color w:val="auto"/>
        </w:rPr>
      </w:pPr>
    </w:p>
    <w:p>
      <w:pPr>
        <w:ind w:left="424" w:hanging="424"/>
        <w:spacing w:after="0"/>
        <w:tabs>
          <w:tab w:leader="none" w:pos="424"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by Repare.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Repare hereby represents and warrants to NYU as follows:</w:t>
      </w:r>
    </w:p>
    <w:p>
      <w:pPr>
        <w:spacing w:after="0" w:line="225" w:lineRule="exact"/>
        <w:rPr>
          <w:rFonts w:ascii="Arial" w:cs="Arial" w:eastAsia="Arial" w:hAnsi="Arial"/>
          <w:sz w:val="18"/>
          <w:szCs w:val="18"/>
          <w:b w:val="1"/>
          <w:bCs w:val="1"/>
          <w:color w:val="auto"/>
        </w:rPr>
      </w:pPr>
    </w:p>
    <w:p>
      <w:pPr>
        <w:ind w:left="4" w:firstLine="436"/>
        <w:spacing w:after="0" w:line="286" w:lineRule="auto"/>
        <w:tabs>
          <w:tab w:leader="none" w:pos="834" w:val="left"/>
        </w:tabs>
        <w:numPr>
          <w:ilvl w:val="1"/>
          <w:numId w:val="421"/>
        </w:numPr>
        <w:rPr>
          <w:rFonts w:ascii="Arial" w:cs="Arial" w:eastAsia="Arial" w:hAnsi="Arial"/>
          <w:sz w:val="17"/>
          <w:szCs w:val="17"/>
          <w:color w:val="auto"/>
        </w:rPr>
      </w:pPr>
      <w:r>
        <w:rPr>
          <w:rFonts w:ascii="Arial" w:cs="Arial" w:eastAsia="Arial" w:hAnsi="Arial"/>
          <w:sz w:val="17"/>
          <w:szCs w:val="17"/>
          <w:color w:val="auto"/>
        </w:rPr>
        <w:t>Repare is a corporation duly organized, validly existing and in good standing under the laws of Canada. Repare has been granted all requisite power and authority to carry on its business and to own and operate its properties and assets. Repare has taken all necessary corporate action, steps and proceedings to approve or authorize, validly and effectively, the execution, delivery and performance of this Agreement.</w:t>
      </w:r>
    </w:p>
    <w:p>
      <w:pPr>
        <w:spacing w:after="0" w:line="165" w:lineRule="exact"/>
        <w:rPr>
          <w:rFonts w:ascii="Arial" w:cs="Arial" w:eastAsia="Arial" w:hAnsi="Arial"/>
          <w:sz w:val="17"/>
          <w:szCs w:val="17"/>
          <w:color w:val="auto"/>
        </w:rPr>
      </w:pPr>
    </w:p>
    <w:p>
      <w:pPr>
        <w:ind w:left="4" w:right="60" w:firstLine="436"/>
        <w:spacing w:after="0" w:line="277" w:lineRule="auto"/>
        <w:tabs>
          <w:tab w:leader="none" w:pos="831" w:val="left"/>
        </w:tabs>
        <w:numPr>
          <w:ilvl w:val="1"/>
          <w:numId w:val="421"/>
        </w:numPr>
        <w:rPr>
          <w:rFonts w:ascii="Arial" w:cs="Arial" w:eastAsia="Arial" w:hAnsi="Arial"/>
          <w:sz w:val="18"/>
          <w:szCs w:val="18"/>
          <w:color w:val="auto"/>
        </w:rPr>
      </w:pPr>
      <w:r>
        <w:rPr>
          <w:rFonts w:ascii="Arial" w:cs="Arial" w:eastAsia="Arial" w:hAnsi="Arial"/>
          <w:sz w:val="18"/>
          <w:szCs w:val="18"/>
          <w:color w:val="auto"/>
        </w:rPr>
        <w:t>There is no pending or, to Repare’s knowledge, threatened litigation involving Repare which would have any effect on this Agreement or on Repare’s ability to perform its obligations hereunder; and</w:t>
      </w:r>
    </w:p>
    <w:p>
      <w:pPr>
        <w:spacing w:after="0" w:line="170" w:lineRule="exact"/>
        <w:rPr>
          <w:rFonts w:ascii="Arial" w:cs="Arial" w:eastAsia="Arial" w:hAnsi="Arial"/>
          <w:sz w:val="18"/>
          <w:szCs w:val="18"/>
          <w:color w:val="auto"/>
        </w:rPr>
      </w:pPr>
    </w:p>
    <w:p>
      <w:pPr>
        <w:ind w:left="4" w:firstLine="436"/>
        <w:spacing w:after="0" w:line="255" w:lineRule="auto"/>
        <w:tabs>
          <w:tab w:leader="none" w:pos="831" w:val="left"/>
        </w:tabs>
        <w:numPr>
          <w:ilvl w:val="1"/>
          <w:numId w:val="421"/>
        </w:numPr>
        <w:rPr>
          <w:rFonts w:ascii="Arial" w:cs="Arial" w:eastAsia="Arial" w:hAnsi="Arial"/>
          <w:sz w:val="18"/>
          <w:szCs w:val="18"/>
          <w:color w:val="auto"/>
        </w:rPr>
      </w:pPr>
      <w:r>
        <w:rPr>
          <w:rFonts w:ascii="Arial" w:cs="Arial" w:eastAsia="Arial" w:hAnsi="Arial"/>
          <w:sz w:val="18"/>
          <w:szCs w:val="18"/>
          <w:color w:val="auto"/>
        </w:rPr>
        <w:t>The execution and delivery of this Agreement by it and the performance of its obligations hereunder shall not result in either a breach or violation of any of the provisions of, or constitute a default under, or conflict with or cause the acceleration of any of its obligations under: (a) any indenture, contract agreement to which it is a Party or is otherwise bound by; (b) any of the terms and provisions of its constating documents or by-laws, or resolutions of the board of directors (or any committee thereof); (c) any judgment, decree, order or award of any court, governmental body or arbitrator having jurisdiction over it; (d) any license, permit, approval, consent or authorization held by it; or (e) any applicable law, statute, ordinance, regulation or rule.</w:t>
      </w:r>
    </w:p>
    <w:p>
      <w:pPr>
        <w:spacing w:after="0" w:line="336" w:lineRule="exact"/>
        <w:rPr>
          <w:rFonts w:ascii="Arial" w:cs="Arial" w:eastAsia="Arial" w:hAnsi="Arial"/>
          <w:sz w:val="18"/>
          <w:szCs w:val="18"/>
          <w:color w:val="auto"/>
        </w:rPr>
      </w:pPr>
    </w:p>
    <w:p>
      <w:pPr>
        <w:ind w:left="424" w:hanging="424"/>
        <w:spacing w:after="0"/>
        <w:tabs>
          <w:tab w:leader="none" w:pos="424"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by NYU.</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NYU hereby represents and warrants to Repare as follows:</w:t>
      </w:r>
    </w:p>
    <w:p>
      <w:pPr>
        <w:spacing w:after="0" w:line="225" w:lineRule="exact"/>
        <w:rPr>
          <w:rFonts w:ascii="Arial" w:cs="Arial" w:eastAsia="Arial" w:hAnsi="Arial"/>
          <w:sz w:val="18"/>
          <w:szCs w:val="18"/>
          <w:b w:val="1"/>
          <w:bCs w:val="1"/>
          <w:color w:val="auto"/>
        </w:rPr>
      </w:pPr>
    </w:p>
    <w:p>
      <w:pPr>
        <w:jc w:val="both"/>
        <w:ind w:left="4" w:right="60" w:firstLine="436"/>
        <w:spacing w:after="0" w:line="311" w:lineRule="auto"/>
        <w:tabs>
          <w:tab w:leader="none" w:pos="834" w:val="left"/>
        </w:tabs>
        <w:numPr>
          <w:ilvl w:val="1"/>
          <w:numId w:val="421"/>
        </w:numPr>
        <w:rPr>
          <w:rFonts w:ascii="Arial" w:cs="Arial" w:eastAsia="Arial" w:hAnsi="Arial"/>
          <w:sz w:val="16"/>
          <w:szCs w:val="16"/>
          <w:color w:val="auto"/>
        </w:rPr>
      </w:pPr>
      <w:r>
        <w:rPr>
          <w:rFonts w:ascii="Arial" w:cs="Arial" w:eastAsia="Arial" w:hAnsi="Arial"/>
          <w:sz w:val="16"/>
          <w:szCs w:val="16"/>
          <w:color w:val="auto"/>
        </w:rPr>
        <w:t>NYU is a corporation duly organized, validly existing and in good standing under the laws of the State of New York. NYU has been granted all requisite power and authority to carry on its business and to own and operate its properties and assets. NYU has taken all necessary corporate action, steps and proceedings to approve or authorize, validly and effectively, the execution, delivery and performance of this Agreement.</w:t>
      </w:r>
    </w:p>
    <w:p>
      <w:pPr>
        <w:spacing w:after="0" w:line="148" w:lineRule="exact"/>
        <w:rPr>
          <w:rFonts w:ascii="Arial" w:cs="Arial" w:eastAsia="Arial" w:hAnsi="Arial"/>
          <w:sz w:val="16"/>
          <w:szCs w:val="16"/>
          <w:color w:val="auto"/>
        </w:rPr>
      </w:pPr>
    </w:p>
    <w:p>
      <w:pPr>
        <w:ind w:left="4" w:right="120" w:firstLine="436"/>
        <w:spacing w:after="0" w:line="279" w:lineRule="auto"/>
        <w:tabs>
          <w:tab w:leader="none" w:pos="831" w:val="left"/>
        </w:tabs>
        <w:numPr>
          <w:ilvl w:val="1"/>
          <w:numId w:val="421"/>
        </w:numPr>
        <w:rPr>
          <w:rFonts w:ascii="Arial" w:cs="Arial" w:eastAsia="Arial" w:hAnsi="Arial"/>
          <w:sz w:val="17"/>
          <w:szCs w:val="17"/>
          <w:color w:val="auto"/>
        </w:rPr>
      </w:pPr>
      <w:r>
        <w:rPr>
          <w:rFonts w:ascii="Arial" w:cs="Arial" w:eastAsia="Arial" w:hAnsi="Arial"/>
          <w:sz w:val="17"/>
          <w:szCs w:val="17"/>
          <w:color w:val="auto"/>
        </w:rPr>
        <w:t>There is no pending or, to NYU’s knowledge, threatened litigation involving NYU which would have any effect on this Agreement or on NYU’s ability to perform its obligations hereunder. Without limiting the foregoing, there are no legal claims, judgments or settlements against or owed by NYU or pending legal claims or litigation, in each case relating to the NYU Technology, and it has not received notice of any action, suit, inquiry, investigation or other proceeding threatened, pending or ongoing brought by any Third Party that challenges or</w:t>
      </w:r>
    </w:p>
    <w:p>
      <w:pPr>
        <w:spacing w:after="0" w:line="103" w:lineRule="exact"/>
        <w:rPr>
          <w:rFonts w:ascii="Arial" w:cs="Arial" w:eastAsia="Arial" w:hAnsi="Arial"/>
          <w:sz w:val="17"/>
          <w:szCs w:val="17"/>
          <w:color w:val="auto"/>
        </w:rPr>
      </w:pPr>
    </w:p>
    <w:p>
      <w:pPr>
        <w:ind w:left="5424" w:hanging="111"/>
        <w:spacing w:after="0"/>
        <w:tabs>
          <w:tab w:leader="none" w:pos="5424" w:val="left"/>
        </w:tabs>
        <w:numPr>
          <w:ilvl w:val="2"/>
          <w:numId w:val="421"/>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984"/>
          </w:cols>
          <w:pgMar w:left="436" w:top="274" w:right="479" w:bottom="1440" w:gutter="0" w:footer="0" w:header="0"/>
        </w:sectPr>
      </w:pPr>
    </w:p>
    <w:bookmarkStart w:id="667" w:name="page668"/>
    <w:bookmarkEnd w:id="667"/>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threatens the validity or enforceability of any of the patents or patent applications included in the NYU Technology or that alleges that the development, manufacture, commercialization and use of Licensed Products would infringe or misappropriate the Intellectual Property or Intellectual Property Rights of any Third Party.</w:t>
      </w:r>
    </w:p>
    <w:p>
      <w:pPr>
        <w:spacing w:after="0" w:line="184" w:lineRule="exact"/>
        <w:rPr>
          <w:sz w:val="20"/>
          <w:szCs w:val="20"/>
          <w:color w:val="auto"/>
        </w:rPr>
      </w:pPr>
    </w:p>
    <w:p>
      <w:pPr>
        <w:ind w:firstLine="436"/>
        <w:spacing w:after="0" w:line="296" w:lineRule="auto"/>
        <w:tabs>
          <w:tab w:leader="none" w:pos="827" w:val="left"/>
        </w:tabs>
        <w:numPr>
          <w:ilvl w:val="0"/>
          <w:numId w:val="422"/>
        </w:numPr>
        <w:rPr>
          <w:rFonts w:ascii="Arial" w:cs="Arial" w:eastAsia="Arial" w:hAnsi="Arial"/>
          <w:sz w:val="16"/>
          <w:szCs w:val="16"/>
          <w:color w:val="auto"/>
        </w:rPr>
      </w:pPr>
      <w:r>
        <w:rPr>
          <w:rFonts w:ascii="Arial" w:cs="Arial" w:eastAsia="Arial" w:hAnsi="Arial"/>
          <w:sz w:val="16"/>
          <w:szCs w:val="16"/>
          <w:color w:val="auto"/>
        </w:rPr>
        <w:t>The execution and delivery of this Agreement by it and the performance of its obligations hereunder shall not result in either a breach or violation of any of the provisions of, or constitute a default under, or conflict with or cause the acceleration of any of its obligations under: (a) any indenture, contract agreement to which it is a Party or is otherwise bound by; (b) any of the terms and provisions of its charter or by-laws, or resolutions of the board of directors (or any committee thereof); (c) any judgment, decree, order or award of any court, governmental body or arbitrator having jurisdiction over it; (d) any license, permit, approval, consent or authorization held by it; or (e) any applicable law, statute, ordinance, regulation or rule.</w:t>
      </w:r>
    </w:p>
    <w:p>
      <w:pPr>
        <w:spacing w:after="0" w:line="161" w:lineRule="exact"/>
        <w:rPr>
          <w:rFonts w:ascii="Arial" w:cs="Arial" w:eastAsia="Arial" w:hAnsi="Arial"/>
          <w:sz w:val="16"/>
          <w:szCs w:val="16"/>
          <w:color w:val="auto"/>
        </w:rPr>
      </w:pPr>
    </w:p>
    <w:p>
      <w:pPr>
        <w:ind w:left="820" w:hanging="384"/>
        <w:spacing w:after="0"/>
        <w:tabs>
          <w:tab w:leader="none" w:pos="820" w:val="left"/>
        </w:tabs>
        <w:numPr>
          <w:ilvl w:val="0"/>
          <w:numId w:val="422"/>
        </w:numPr>
        <w:rPr>
          <w:rFonts w:ascii="Arial" w:cs="Arial" w:eastAsia="Arial" w:hAnsi="Arial"/>
          <w:sz w:val="17"/>
          <w:szCs w:val="17"/>
          <w:color w:val="auto"/>
        </w:rPr>
      </w:pPr>
      <w:r>
        <w:rPr>
          <w:rFonts w:ascii="Arial" w:cs="Arial" w:eastAsia="Arial" w:hAnsi="Arial"/>
          <w:sz w:val="17"/>
          <w:szCs w:val="17"/>
          <w:color w:val="auto"/>
        </w:rPr>
        <w:t>NYU is the owner of the NYU Patents, free and clear of any lien, encumbrance, or Third Party rights, except for those set forth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5.03 above and those assigned by Highline to Repare as referenced above.</w:t>
      </w:r>
    </w:p>
    <w:p>
      <w:pPr>
        <w:spacing w:after="0" w:line="211" w:lineRule="exact"/>
        <w:rPr>
          <w:sz w:val="20"/>
          <w:szCs w:val="20"/>
          <w:color w:val="auto"/>
        </w:rPr>
      </w:pPr>
    </w:p>
    <w:p>
      <w:pPr>
        <w:ind w:right="280" w:firstLine="436"/>
        <w:spacing w:after="0" w:line="263" w:lineRule="auto"/>
        <w:tabs>
          <w:tab w:leader="none" w:pos="83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(i) to the knowledge of NYU as on the Effective Date and without any requirement on NYU to conduct any search and/or inquiry, (ii) no Third Party is infringing or misappropriating any NYU Technology, and (iii) the NYU Technology is not subject to any existing royalty or other payment obligation to any Third Party.</w:t>
      </w:r>
    </w:p>
    <w:p>
      <w:pPr>
        <w:spacing w:after="0" w:line="183" w:lineRule="exact"/>
        <w:rPr>
          <w:rFonts w:ascii="Arial" w:cs="Arial" w:eastAsia="Arial" w:hAnsi="Arial"/>
          <w:sz w:val="18"/>
          <w:szCs w:val="18"/>
          <w:color w:val="auto"/>
        </w:rPr>
      </w:pPr>
    </w:p>
    <w:p>
      <w:pPr>
        <w:ind w:right="60" w:firstLine="436"/>
        <w:spacing w:after="0" w:line="277" w:lineRule="auto"/>
        <w:tabs>
          <w:tab w:leader="none" w:pos="83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It has the right to grant to Repare the rights and licenses that it purports to grant hereunder and has not granted to any Third Party any rights that would interfere or be inconsistent with the rights and licenses granted to Repare hereunder.</w:t>
      </w:r>
    </w:p>
    <w:p>
      <w:pPr>
        <w:spacing w:after="0" w:line="170" w:lineRule="exact"/>
        <w:rPr>
          <w:rFonts w:ascii="Arial" w:cs="Arial" w:eastAsia="Arial" w:hAnsi="Arial"/>
          <w:sz w:val="18"/>
          <w:szCs w:val="18"/>
          <w:color w:val="auto"/>
        </w:rPr>
      </w:pPr>
    </w:p>
    <w:p>
      <w:pPr>
        <w:ind w:right="40" w:firstLine="436"/>
        <w:spacing w:after="0" w:line="275" w:lineRule="auto"/>
        <w:tabs>
          <w:tab w:leader="none" w:pos="83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 xml:space="preserve">It is an “accredited investor” as such term is defined in National Instrument 45-106 </w:t>
      </w:r>
      <w:r>
        <w:rPr>
          <w:rFonts w:ascii="Arial" w:cs="Arial" w:eastAsia="Arial" w:hAnsi="Arial"/>
          <w:sz w:val="17"/>
          <w:szCs w:val="17"/>
          <w:b w:val="1"/>
          <w:bCs w:val="1"/>
          <w:i w:val="1"/>
          <w:iCs w:val="1"/>
          <w:color w:val="auto"/>
        </w:rPr>
        <w:t>Prospectus and Registration Exemptions</w:t>
      </w:r>
      <w:r>
        <w:rPr>
          <w:rFonts w:ascii="Arial" w:cs="Arial" w:eastAsia="Arial" w:hAnsi="Arial"/>
          <w:sz w:val="17"/>
          <w:szCs w:val="17"/>
          <w:color w:val="auto"/>
        </w:rPr>
        <w:t xml:space="preserve"> and for purposes of Regulation D of the </w:t>
      </w:r>
      <w:r>
        <w:rPr>
          <w:rFonts w:ascii="Arial" w:cs="Arial" w:eastAsia="Arial" w:hAnsi="Arial"/>
          <w:sz w:val="17"/>
          <w:szCs w:val="17"/>
          <w:b w:val="1"/>
          <w:bCs w:val="1"/>
          <w:i w:val="1"/>
          <w:iCs w:val="1"/>
          <w:color w:val="auto"/>
        </w:rPr>
        <w:t>U.S. Securities Act of 1933</w:t>
      </w:r>
      <w:r>
        <w:rPr>
          <w:rFonts w:ascii="Arial" w:cs="Arial" w:eastAsia="Arial" w:hAnsi="Arial"/>
          <w:sz w:val="17"/>
          <w:szCs w:val="17"/>
          <w:color w:val="auto"/>
        </w:rPr>
        <w:t>, as amended (the “Securities Act”), and is acquiring the Issued Shares as principal and solely for its own account and beneficial interest, for investment and not for sale or with a view to distribution of the Issued Shares or any part thereof, has no present intention of selling (in connection with a distribution or otherwise), granting any participation in, or otherwise distributing the same, and does not presently have reason to anticipate a change in such intention.</w:t>
      </w:r>
    </w:p>
    <w:p>
      <w:pPr>
        <w:spacing w:after="0" w:line="176" w:lineRule="exact"/>
        <w:rPr>
          <w:rFonts w:ascii="Arial" w:cs="Arial" w:eastAsia="Arial" w:hAnsi="Arial"/>
          <w:sz w:val="17"/>
          <w:szCs w:val="17"/>
          <w:color w:val="auto"/>
        </w:rPr>
      </w:pPr>
    </w:p>
    <w:p>
      <w:pPr>
        <w:ind w:firstLine="436"/>
        <w:spacing w:after="0" w:line="269" w:lineRule="auto"/>
        <w:tabs>
          <w:tab w:leader="none" w:pos="83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 xml:space="preserve">(1) It has received all the information it has requested from Repare and it considers necessary or appropriate for deciding whether to acquire the Issued Shares, (2) it has had an opportunity to ask questions and receive answers from Repare regarding the terms and conditions of the offering of the Issued Shares and to obtain any additional information necessary to verify the accuracy of the information given to NYU, and (3) it has knowledge and experience in financial and business matters such that it is capable of evaluating the merits and risk of its investment in the Issued Shares. Without in any way limiting the representations set forth above, NYU further acknowledges that it is aware of: (A) the applicable restrictions on the resale of the Issued Shares imposed by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xml:space="preserve"> (Ontario) and the Securities Act and applicable state securities laws, the regulations and rules made thereunder and all administrative policy statements, blanket orders, notices, directions and rulings issued by the Ontario Securities Commission, all as amended, and (B) the fact that NYU may not be able to resell such Issued Shares except in accordance with applicable securities legislation and regulatory policies. NYU agrees and acknowledges that it is solely responsible (and Repare is not in any way responsible) for compliance with all applicable resale restrictions;</w:t>
      </w:r>
    </w:p>
    <w:p>
      <w:pPr>
        <w:spacing w:after="0" w:line="117" w:lineRule="exact"/>
        <w:rPr>
          <w:rFonts w:ascii="Arial" w:cs="Arial" w:eastAsia="Arial" w:hAnsi="Arial"/>
          <w:sz w:val="17"/>
          <w:szCs w:val="17"/>
          <w:color w:val="auto"/>
        </w:rPr>
      </w:pPr>
    </w:p>
    <w:p>
      <w:pPr>
        <w:ind w:left="5420" w:hanging="111"/>
        <w:spacing w:after="0"/>
        <w:tabs>
          <w:tab w:leader="none" w:pos="542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940"/>
          </w:cols>
          <w:pgMar w:left="440" w:top="274" w:right="519" w:bottom="1440" w:gutter="0" w:footer="0" w:header="0"/>
        </w:sectPr>
      </w:pPr>
    </w:p>
    <w:bookmarkStart w:id="668" w:name="page669"/>
    <w:bookmarkEnd w:id="668"/>
    <w:p>
      <w:pPr>
        <w:ind w:left="1424"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certificates evidencing the Issued Shares shall be marked with legends substantially similar to the following (in addition to any other legend required under applicable securities legislation and regulatory policies):</w:t>
      </w:r>
    </w:p>
    <w:p>
      <w:pPr>
        <w:spacing w:after="0" w:line="62" w:lineRule="exact"/>
        <w:rPr>
          <w:sz w:val="20"/>
          <w:szCs w:val="20"/>
          <w:color w:val="auto"/>
        </w:rPr>
      </w:pPr>
    </w:p>
    <w:p>
      <w:pPr>
        <w:ind w:left="1424" w:right="20"/>
        <w:spacing w:after="0" w:line="259" w:lineRule="auto"/>
        <w:rPr>
          <w:sz w:val="20"/>
          <w:szCs w:val="20"/>
          <w:color w:val="auto"/>
        </w:rPr>
      </w:pPr>
      <w:r>
        <w:rPr>
          <w:rFonts w:ascii="Arial" w:cs="Arial" w:eastAsia="Arial" w:hAnsi="Arial"/>
          <w:sz w:val="18"/>
          <w:szCs w:val="18"/>
          <w:color w:val="auto"/>
        </w:rPr>
        <w:t xml:space="preserve">UNLESS PERMITTED UNDER SECURITIES LEGISLATION, THE HOLDER OF THIS SECURITY MUST NOT TRADE THE SECURITY BEFORE THE DATE THAT IS FOUR (4) MONTHS AND A DAY AFTER THE LATER OF (I) </w:t>
      </w:r>
      <w:r>
        <w:rPr>
          <w:rFonts w:ascii="Arial" w:cs="Arial" w:eastAsia="Arial" w:hAnsi="Arial"/>
          <w:sz w:val="18"/>
          <w:szCs w:val="18"/>
          <w:b w:val="1"/>
          <w:bCs w:val="1"/>
          <w:i w:val="1"/>
          <w:iCs w:val="1"/>
          <w:color w:val="auto"/>
        </w:rPr>
        <w:t>[INSERT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 OF ISSUANCE OF REPARE SECURITIES]</w:t>
      </w:r>
      <w:r>
        <w:rPr>
          <w:rFonts w:ascii="Arial" w:cs="Arial" w:eastAsia="Arial" w:hAnsi="Arial"/>
          <w:sz w:val="18"/>
          <w:szCs w:val="18"/>
          <w:color w:val="auto"/>
        </w:rPr>
        <w:t>, AND (II) THE DATE THE ISSUER BECAME A REPORTING ISSUER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PROVINCE OR TERRITORY OF CANADA.</w:t>
      </w:r>
    </w:p>
    <w:p>
      <w:pPr>
        <w:spacing w:after="0" w:line="79" w:lineRule="exact"/>
        <w:rPr>
          <w:sz w:val="20"/>
          <w:szCs w:val="20"/>
          <w:color w:val="auto"/>
        </w:rPr>
      </w:pPr>
    </w:p>
    <w:p>
      <w:pPr>
        <w:ind w:left="1424" w:right="80"/>
        <w:spacing w:after="0" w:line="275" w:lineRule="auto"/>
        <w:rPr>
          <w:sz w:val="20"/>
          <w:szCs w:val="20"/>
          <w:color w:val="auto"/>
        </w:rPr>
      </w:pPr>
      <w:r>
        <w:rPr>
          <w:rFonts w:ascii="Arial" w:cs="Arial" w:eastAsia="Arial" w:hAnsi="Arial"/>
          <w:sz w:val="17"/>
          <w:szCs w:val="17"/>
          <w:color w:val="auto"/>
        </w:rPr>
        <w:t>THERE ARE RESTRICTIONS ON THE RIGHT TO TRANSFER THE SHARES REPRESENTED BY THIS CERTIFICATE. IN ADDITION, THESE SHARES ARE SUBJECT TO AN AMENDED AND RESTATED UNANIMOUS SHAREHOLDERS’ AGREEMENT DATED AS OF , 2016 BETWEEN THE REPARE AND EACH AND ALL OF THE HOLDERS OF SHARES OF THE REPARE, AS THE SAME MAY BE AMENDED FROM TIME TO TIME, AND MAY NOT BE PLEDGED, SOLD OR OTHERWISE TRANSFERRED EXCEPT IN ACCORDANCE WITH THAT UNANIMOUS SHAREHOLDERS’ AGREEMENT;</w:t>
      </w:r>
    </w:p>
    <w:p>
      <w:pPr>
        <w:spacing w:after="0" w:line="176" w:lineRule="exact"/>
        <w:rPr>
          <w:sz w:val="20"/>
          <w:szCs w:val="20"/>
          <w:color w:val="auto"/>
        </w:rPr>
      </w:pPr>
    </w:p>
    <w:p>
      <w:pPr>
        <w:ind w:left="4" w:firstLine="436"/>
        <w:spacing w:after="0" w:line="296" w:lineRule="auto"/>
        <w:tabs>
          <w:tab w:leader="none" w:pos="834" w:val="left"/>
        </w:tabs>
        <w:numPr>
          <w:ilvl w:val="1"/>
          <w:numId w:val="424"/>
        </w:numPr>
        <w:rPr>
          <w:rFonts w:ascii="Arial" w:cs="Arial" w:eastAsia="Arial" w:hAnsi="Arial"/>
          <w:sz w:val="16"/>
          <w:szCs w:val="16"/>
          <w:color w:val="auto"/>
        </w:rPr>
      </w:pPr>
      <w:r>
        <w:rPr>
          <w:rFonts w:ascii="Arial" w:cs="Arial" w:eastAsia="Arial" w:hAnsi="Arial"/>
          <w:sz w:val="16"/>
          <w:szCs w:val="16"/>
          <w:color w:val="auto"/>
        </w:rPr>
        <w:t>prior to its receipt of any Issued Shares, NYU must agree to be bound by the Unanimous Shareholders’ Agreement dated as of December 19, 2016 between Repare and each and all of the holders of shares of Repare, as the same may be amended, superseded or otherwise revised from time to time, and any Issued Shares shall be subject to all of the provisions of such Unanimous Shareholders’ Agreement. For the avoidance of any doubt, under no circumstances will NYU’s obligation to be bound by the Unanimous Shareholders’ Agreement, and to any amendment, modification, or revision thereof, be deemed an amendment to this Agreement or to relieve Repare of any of its obligations hereunder; and</w:t>
      </w:r>
    </w:p>
    <w:p>
      <w:pPr>
        <w:spacing w:after="0" w:line="161" w:lineRule="exact"/>
        <w:rPr>
          <w:rFonts w:ascii="Arial" w:cs="Arial" w:eastAsia="Arial" w:hAnsi="Arial"/>
          <w:sz w:val="16"/>
          <w:szCs w:val="16"/>
          <w:color w:val="auto"/>
        </w:rPr>
      </w:pPr>
    </w:p>
    <w:p>
      <w:pPr>
        <w:ind w:left="4" w:right="40" w:firstLine="436"/>
        <w:spacing w:after="0" w:line="263" w:lineRule="auto"/>
        <w:tabs>
          <w:tab w:leader="none" w:pos="924" w:val="left"/>
        </w:tabs>
        <w:numPr>
          <w:ilvl w:val="1"/>
          <w:numId w:val="424"/>
        </w:numPr>
        <w:rPr>
          <w:rFonts w:ascii="Arial" w:cs="Arial" w:eastAsia="Arial" w:hAnsi="Arial"/>
          <w:sz w:val="18"/>
          <w:szCs w:val="18"/>
          <w:color w:val="auto"/>
        </w:rPr>
      </w:pPr>
      <w:r>
        <w:rPr>
          <w:rFonts w:ascii="Arial" w:cs="Arial" w:eastAsia="Arial" w:hAnsi="Arial"/>
          <w:sz w:val="18"/>
          <w:szCs w:val="18"/>
          <w:color w:val="auto"/>
        </w:rPr>
        <w:t>at any time, and from time to time, NYU promptly execute and deliver to Repare such further instruments and documents and take such further action as Repare may reasonably require in connection with the issuance of the Issued Shares to NYU as necessary to comply with all applicable securities laws or other regulatory approvals.</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Market Value.</w:t>
      </w:r>
    </w:p>
    <w:p>
      <w:pPr>
        <w:spacing w:after="0" w:line="121" w:lineRule="exact"/>
        <w:rPr>
          <w:sz w:val="20"/>
          <w:szCs w:val="20"/>
          <w:color w:val="auto"/>
        </w:rPr>
      </w:pPr>
    </w:p>
    <w:p>
      <w:pPr>
        <w:jc w:val="both"/>
        <w:ind w:left="4" w:right="120" w:firstLine="440"/>
        <w:spacing w:after="0" w:line="279" w:lineRule="auto"/>
        <w:rPr>
          <w:sz w:val="20"/>
          <w:szCs w:val="20"/>
          <w:color w:val="auto"/>
        </w:rPr>
      </w:pPr>
      <w:r>
        <w:rPr>
          <w:rFonts w:ascii="Arial" w:cs="Arial" w:eastAsia="Arial" w:hAnsi="Arial"/>
          <w:sz w:val="17"/>
          <w:szCs w:val="17"/>
          <w:color w:val="auto"/>
        </w:rPr>
        <w:t>The Parties agree and acknowledge that the compensation provided under the terms of this Agreement is consistent with the fair market value of the License contemplated by this Agreement negotiated in arm’s-length transactions, is not given in exchange for any implicit or explicit agreement to provide favorable procurement decisions with regard to the Repare’s products or services, and has not been determined in any manner which takes into account the value or volume of any business generated between the Parties, including any of their Affiliates.</w:t>
      </w:r>
    </w:p>
    <w:p>
      <w:pPr>
        <w:spacing w:after="0" w:line="316" w:lineRule="exact"/>
        <w:rPr>
          <w:sz w:val="20"/>
          <w:szCs w:val="20"/>
          <w:color w:val="auto"/>
        </w:rPr>
      </w:pPr>
    </w:p>
    <w:p>
      <w:pPr>
        <w:ind w:left="424" w:hanging="424"/>
        <w:spacing w:after="0"/>
        <w:tabs>
          <w:tab w:leader="none" w:pos="424"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Assignment.</w:t>
      </w:r>
    </w:p>
    <w:p>
      <w:pPr>
        <w:spacing w:after="0" w:line="121"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Neither Repare nor NYU shall have the right to assign, delegate or transfer at any time to any Party, in whole or in part, any or all of the rights, duties and interest herein granted without first obtaining the written consent of the other to such assignment, which consent shall be reasonably considered by NYU. Notwithstanding the foregoing, Repare may assign all of its rights and obligations under this Agreement to (i) an entity in connection with a merger, acquisition, or sale</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4" w:right="479" w:bottom="1440" w:gutter="0" w:footer="0" w:header="0"/>
        </w:sectPr>
      </w:pPr>
    </w:p>
    <w:bookmarkStart w:id="669" w:name="page670"/>
    <w:bookmarkEnd w:id="669"/>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all of its assets provided such entity acquires all of Repare’s rights and obligations under this Agreement [***] and is in the business of drug development and/or Commercialization of biopharma and/or pharma products and has a plan and the resources to pursue Commercialization of the NYU Technology, or (ii) an Affiliate of Repare, in each case without the consent of NYU.</w:t>
      </w:r>
    </w:p>
    <w:p>
      <w:pPr>
        <w:spacing w:after="0" w:line="328" w:lineRule="exact"/>
        <w:rPr>
          <w:sz w:val="20"/>
          <w:szCs w:val="20"/>
          <w:color w:val="auto"/>
        </w:rPr>
      </w:pPr>
    </w:p>
    <w:p>
      <w:pPr>
        <w:ind w:left="424" w:hanging="424"/>
        <w:spacing w:after="0"/>
        <w:tabs>
          <w:tab w:leader="none" w:pos="424"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 of Name.</w:t>
      </w:r>
    </w:p>
    <w:p>
      <w:pPr>
        <w:spacing w:after="0" w:line="121" w:lineRule="exact"/>
        <w:rPr>
          <w:sz w:val="20"/>
          <w:szCs w:val="20"/>
          <w:color w:val="auto"/>
        </w:rPr>
      </w:pPr>
    </w:p>
    <w:p>
      <w:pPr>
        <w:ind w:left="4" w:right="120" w:firstLine="440"/>
        <w:spacing w:after="0" w:line="293" w:lineRule="auto"/>
        <w:rPr>
          <w:sz w:val="20"/>
          <w:szCs w:val="20"/>
          <w:color w:val="auto"/>
        </w:rPr>
      </w:pPr>
      <w:r>
        <w:rPr>
          <w:rFonts w:ascii="Arial" w:cs="Arial" w:eastAsia="Arial" w:hAnsi="Arial"/>
          <w:sz w:val="16"/>
          <w:szCs w:val="16"/>
          <w:color w:val="auto"/>
        </w:rPr>
        <w:t>Without the prior written consent of the other Party, neither Repare nor NYU shall use the name of the other Party or any adaptation thereof or of any staff member, employee or student of the other Party: (i) in any product labeling, advertising, promotional or sales literature; or (ii) in connection with any public offering or private placement documentation or prospectus or in conjunction with any application for regulatory approval, unless disclosure is otherwise required by law, in which case either Party may make factual statements concerning the Agreement or file copies of the Agreement after providing the other Party with an opportunity to comment and reasonable time within which to do so on such statement in draft or statements that have previously been publicly disclosed as approved by the Parties or otherwise in compliance of this Agreement.</w:t>
      </w:r>
    </w:p>
    <w:p>
      <w:pPr>
        <w:spacing w:after="0" w:line="164" w:lineRule="exact"/>
        <w:rPr>
          <w:sz w:val="20"/>
          <w:szCs w:val="20"/>
          <w:color w:val="auto"/>
        </w:rPr>
      </w:pPr>
    </w:p>
    <w:p>
      <w:pPr>
        <w:ind w:left="4" w:right="560" w:firstLine="440"/>
        <w:spacing w:after="0" w:line="277" w:lineRule="auto"/>
        <w:rPr>
          <w:sz w:val="20"/>
          <w:szCs w:val="20"/>
          <w:color w:val="auto"/>
        </w:rPr>
      </w:pPr>
      <w:r>
        <w:rPr>
          <w:rFonts w:ascii="Arial" w:cs="Arial" w:eastAsia="Arial" w:hAnsi="Arial"/>
          <w:sz w:val="18"/>
          <w:szCs w:val="18"/>
          <w:color w:val="auto"/>
        </w:rPr>
        <w:t>Except as provided herein, neither NYU nor Repare will issue public announcements about this Agreement or the status or existence of the License without prior written approval of the other Party, which consent shall not be unreasonably withheld.</w:t>
      </w:r>
    </w:p>
    <w:p>
      <w:pPr>
        <w:spacing w:after="0" w:line="315" w:lineRule="exact"/>
        <w:rPr>
          <w:sz w:val="20"/>
          <w:szCs w:val="20"/>
          <w:color w:val="auto"/>
        </w:rPr>
      </w:pPr>
    </w:p>
    <w:p>
      <w:pPr>
        <w:ind w:left="424" w:hanging="424"/>
        <w:spacing w:after="0"/>
        <w:tabs>
          <w:tab w:leader="none" w:pos="424" w:val="left"/>
        </w:tabs>
        <w:numPr>
          <w:ilvl w:val="0"/>
          <w:numId w:val="4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Dispute Resolution; Remedies.</w:t>
      </w:r>
    </w:p>
    <w:p>
      <w:pPr>
        <w:spacing w:after="0" w:line="121"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21.01 The Parties agree to use good faith efforts to resolve amicably among themselves any dispute arising out of or in connection with this Agreement.</w:t>
      </w:r>
    </w:p>
    <w:p>
      <w:pPr>
        <w:spacing w:after="0" w:line="170"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21.02 If the Parties are unable to resolve the dispute under Section 13.01, the dispute shall be referred to the individual CEO/Presidents of each of the Parties or their designees for their discussion and resolution. The Parties may, but are not required to, agree to mediation of the dispute prior to the litigation contemplated in Section 21.03.</w:t>
      </w:r>
    </w:p>
    <w:p>
      <w:pPr>
        <w:spacing w:after="0" w:line="184"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21.03 Any dispute which cannot be settled amicably between the Parties as provided in Sections 21.01 and 21.02 may be submitted to litigation in accordance with the provisions of the Section 22.03.</w:t>
      </w:r>
    </w:p>
    <w:p>
      <w:pPr>
        <w:spacing w:after="0" w:line="170" w:lineRule="exact"/>
        <w:rPr>
          <w:sz w:val="20"/>
          <w:szCs w:val="20"/>
          <w:color w:val="auto"/>
        </w:rPr>
      </w:pPr>
    </w:p>
    <w:p>
      <w:pPr>
        <w:ind w:left="4" w:right="80" w:firstLine="440"/>
        <w:spacing w:after="0" w:line="254" w:lineRule="auto"/>
        <w:rPr>
          <w:sz w:val="20"/>
          <w:szCs w:val="20"/>
          <w:color w:val="auto"/>
        </w:rPr>
      </w:pPr>
      <w:r>
        <w:rPr>
          <w:rFonts w:ascii="Arial" w:cs="Arial" w:eastAsia="Arial" w:hAnsi="Arial"/>
          <w:sz w:val="18"/>
          <w:szCs w:val="18"/>
          <w:color w:val="auto"/>
        </w:rPr>
        <w:t>21.04 The Parties acknowledge and agree that the Parties may be irreparably damaged if any of the provisions of the Agreement are not performed in accordance with their specific terms or are otherwise breached and that any non-performance or breach of this agreement by any Party or any Party’s Affiliate may not be adequately compensated by monetary damages alone and that the Parties may not have any adequate remedy at law. Accordingly, in addition to any and all other rights and remedies existing, each Party and/or its successors or assigns shall be entitled to seek an injunction, specific performance or other appropriate equitable relief upon application to any court of competent jurisdiction in order to enforce or prevent any breach or threatened breach of this agreement by the other Parties, in each case without the requirement of posting a bond or proving actual damages.</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670" w:name="page671"/>
    <w:bookmarkEnd w:id="670"/>
    <w:p>
      <w:pPr>
        <w:ind w:left="544" w:hanging="544"/>
        <w:spacing w:after="0"/>
        <w:tabs>
          <w:tab w:leader="none" w:pos="544"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Miscellaneous.</w:t>
      </w:r>
    </w:p>
    <w:p>
      <w:pPr>
        <w:spacing w:after="0" w:line="229"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22.01 In carrying out this Agreement the Parties shall comply with all applicable local, state and federal laws and regulations including but not limited to, the provisions of Title 35 United States Code §200 et seq. and 15 CFR §§730-774.</w:t>
      </w:r>
    </w:p>
    <w:p>
      <w:pPr>
        <w:spacing w:after="0" w:line="170"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22.02</w:t>
      </w:r>
      <w:r>
        <w:rPr>
          <w:sz w:val="20"/>
          <w:szCs w:val="20"/>
          <w:color w:val="auto"/>
        </w:rPr>
        <w:tab/>
      </w:r>
      <w:r>
        <w:rPr>
          <w:rFonts w:ascii="Arial" w:cs="Arial" w:eastAsia="Arial" w:hAnsi="Arial"/>
          <w:sz w:val="16"/>
          <w:szCs w:val="16"/>
          <w:color w:val="auto"/>
        </w:rPr>
        <w:t>If any provision of this Agreement is determined to be invalid or void, the remaining provisions shall remain in effect.</w:t>
      </w:r>
    </w:p>
    <w:p>
      <w:pPr>
        <w:spacing w:after="0" w:line="225"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22.03 This Agreement shall be governed by and construed in accordance with the laws of New York, without regard to principles relating to conflicts of law. The courts of the State of New York in New York County and the United States District Court for the Southern District of New York shall have exclusive jurisdiction over the Parties with respect to any dispute or controversy between them arising under or in connection with this Agreement and, by execution and delivery of this Agreement, the Parties to this Agreement submit to the jurisdiction of those courts, including, but not limited to, the in personam and subject matter jurisdiction of those courts, waive any objection to such jurisdiction on the grounds of venue or forum non conveniens, the absence of in personam or subject matter jurisdiction and any similar grounds, consent to service of process by mail in accordance with Section 22.04 or any other manner permitted by law and irrevocably agree to be bound by any such judgment rendered thereby in connection with this Agreement. These consents to jurisdiction shall not be deemed to confer rights on any person other than the Parties to this Agreement.</w:t>
      </w:r>
    </w:p>
    <w:p>
      <w:pPr>
        <w:spacing w:after="0" w:line="16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22.04 All payments or notices required or permitted to be given under this Agreement shall be given in writing and shall be effective when either personally delivered or deposited, postage prepaid, in the United States registered or certified mail, or sent via a recognized national overnight delivery service (e.g., Federal Express or DHL), addressed as follows:</w:t>
      </w:r>
    </w:p>
    <w:p>
      <w:pPr>
        <w:sectPr>
          <w:pgSz w:w="11900" w:h="16838" w:orient="portrait"/>
          <w:cols w:equalWidth="0" w:num="1">
            <w:col w:w="11004"/>
          </w:cols>
          <w:pgMar w:left="436" w:top="270" w:right="459" w:bottom="1440" w:gutter="0" w:footer="0" w:header="0"/>
        </w:sectPr>
      </w:pPr>
    </w:p>
    <w:p>
      <w:pPr>
        <w:spacing w:after="0" w:line="332" w:lineRule="exact"/>
        <w:rPr>
          <w:sz w:val="20"/>
          <w:szCs w:val="20"/>
          <w:color w:val="auto"/>
        </w:rPr>
      </w:pPr>
    </w:p>
    <w:p>
      <w:pPr>
        <w:ind w:left="1764"/>
        <w:spacing w:after="0"/>
        <w:rPr>
          <w:sz w:val="20"/>
          <w:szCs w:val="20"/>
          <w:color w:val="auto"/>
        </w:rPr>
      </w:pPr>
      <w:r>
        <w:rPr>
          <w:rFonts w:ascii="Arial" w:cs="Arial" w:eastAsia="Arial" w:hAnsi="Arial"/>
          <w:sz w:val="17"/>
          <w:szCs w:val="17"/>
          <w:color w:val="auto"/>
        </w:rPr>
        <w:t>To NYU:</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New York University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Office of Industrial Liaison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One Park Avenue, 6</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10016</w:t>
      </w:r>
    </w:p>
    <w:p>
      <w:pPr>
        <w:spacing w:after="0" w:line="200" w:lineRule="exact"/>
        <w:rPr>
          <w:sz w:val="20"/>
          <w:szCs w:val="20"/>
          <w:color w:val="auto"/>
        </w:rPr>
      </w:pPr>
    </w:p>
    <w:p>
      <w:pPr>
        <w:sectPr>
          <w:pgSz w:w="11900" w:h="16838" w:orient="portrait"/>
          <w:cols w:equalWidth="0" w:num="2">
            <w:col w:w="2424" w:space="420"/>
            <w:col w:w="8160"/>
          </w:cols>
          <w:pgMar w:left="436" w:top="270" w:right="459" w:bottom="1440" w:gutter="0" w:footer="0" w:header="0"/>
          <w:type w:val="continuous"/>
        </w:sectPr>
      </w:pPr>
    </w:p>
    <w:p>
      <w:pPr>
        <w:spacing w:after="0" w:line="38" w:lineRule="exact"/>
        <w:rPr>
          <w:sz w:val="20"/>
          <w:szCs w:val="20"/>
          <w:color w:val="auto"/>
        </w:rPr>
      </w:pPr>
    </w:p>
    <w:p>
      <w:pPr>
        <w:ind w:left="2844"/>
        <w:spacing w:after="0"/>
        <w:rPr>
          <w:sz w:val="20"/>
          <w:szCs w:val="20"/>
          <w:color w:val="auto"/>
        </w:rPr>
      </w:pPr>
      <w:r>
        <w:rPr>
          <w:rFonts w:ascii="Arial" w:cs="Arial" w:eastAsia="Arial" w:hAnsi="Arial"/>
          <w:sz w:val="18"/>
          <w:szCs w:val="18"/>
          <w:color w:val="auto"/>
        </w:rPr>
        <w:t>Attention: Abram M. Goldfinger</w:t>
      </w:r>
    </w:p>
    <w:p>
      <w:pPr>
        <w:spacing w:after="0" w:line="23" w:lineRule="exact"/>
        <w:rPr>
          <w:sz w:val="20"/>
          <w:szCs w:val="20"/>
          <w:color w:val="auto"/>
        </w:rPr>
      </w:pPr>
    </w:p>
    <w:p>
      <w:pPr>
        <w:ind w:left="2844"/>
        <w:spacing w:after="0"/>
        <w:rPr>
          <w:sz w:val="20"/>
          <w:szCs w:val="20"/>
          <w:color w:val="auto"/>
        </w:rPr>
      </w:pPr>
      <w:r>
        <w:rPr>
          <w:rFonts w:ascii="Arial" w:cs="Arial" w:eastAsia="Arial" w:hAnsi="Arial"/>
          <w:sz w:val="18"/>
          <w:szCs w:val="18"/>
          <w:color w:val="auto"/>
        </w:rPr>
        <w:t>Executive Director,</w:t>
      </w:r>
    </w:p>
    <w:p>
      <w:pPr>
        <w:spacing w:after="0" w:line="9" w:lineRule="exact"/>
        <w:rPr>
          <w:sz w:val="20"/>
          <w:szCs w:val="20"/>
          <w:color w:val="auto"/>
        </w:rPr>
      </w:pPr>
    </w:p>
    <w:p>
      <w:pPr>
        <w:ind w:left="2844"/>
        <w:spacing w:after="0"/>
        <w:rPr>
          <w:sz w:val="20"/>
          <w:szCs w:val="20"/>
          <w:color w:val="auto"/>
        </w:rPr>
      </w:pPr>
      <w:r>
        <w:rPr>
          <w:rFonts w:ascii="Arial" w:cs="Arial" w:eastAsia="Arial" w:hAnsi="Arial"/>
          <w:sz w:val="18"/>
          <w:szCs w:val="18"/>
          <w:color w:val="auto"/>
        </w:rPr>
        <w:t>Industrial Liaison/Technology Transfer</w:t>
      </w:r>
    </w:p>
    <w:p>
      <w:pPr>
        <w:spacing w:after="0" w:line="238"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ind w:left="2844"/>
        <w:spacing w:after="0"/>
        <w:rPr>
          <w:sz w:val="20"/>
          <w:szCs w:val="20"/>
          <w:color w:val="auto"/>
        </w:rPr>
      </w:pPr>
      <w:r>
        <w:rPr>
          <w:rFonts w:ascii="Arial" w:cs="Arial" w:eastAsia="Arial" w:hAnsi="Arial"/>
          <w:sz w:val="18"/>
          <w:szCs w:val="18"/>
          <w:color w:val="auto"/>
        </w:rPr>
        <w:t>Annette B. Johnson, Esq.</w:t>
      </w:r>
    </w:p>
    <w:p>
      <w:pPr>
        <w:spacing w:after="0" w:line="23" w:lineRule="exact"/>
        <w:rPr>
          <w:sz w:val="20"/>
          <w:szCs w:val="20"/>
          <w:color w:val="auto"/>
        </w:rPr>
      </w:pPr>
    </w:p>
    <w:p>
      <w:pPr>
        <w:ind w:left="2844"/>
        <w:spacing w:after="0"/>
        <w:rPr>
          <w:sz w:val="20"/>
          <w:szCs w:val="20"/>
          <w:color w:val="auto"/>
        </w:rPr>
      </w:pPr>
      <w:r>
        <w:rPr>
          <w:rFonts w:ascii="Arial" w:cs="Arial" w:eastAsia="Arial" w:hAnsi="Arial"/>
          <w:sz w:val="16"/>
          <w:szCs w:val="16"/>
          <w:color w:val="auto"/>
        </w:rPr>
        <w:t>Senior Counsel, NYU School of Medicine</w:t>
      </w:r>
    </w:p>
    <w:p>
      <w:pPr>
        <w:spacing w:after="0" w:line="32" w:lineRule="exact"/>
        <w:rPr>
          <w:sz w:val="20"/>
          <w:szCs w:val="20"/>
          <w:color w:val="auto"/>
        </w:rPr>
      </w:pPr>
    </w:p>
    <w:p>
      <w:pPr>
        <w:ind w:left="2844"/>
        <w:spacing w:after="0"/>
        <w:rPr>
          <w:sz w:val="20"/>
          <w:szCs w:val="20"/>
          <w:color w:val="auto"/>
        </w:rPr>
      </w:pPr>
      <w:r>
        <w:rPr>
          <w:rFonts w:ascii="Arial" w:cs="Arial" w:eastAsia="Arial" w:hAnsi="Arial"/>
          <w:sz w:val="18"/>
          <w:szCs w:val="18"/>
          <w:color w:val="auto"/>
        </w:rPr>
        <w:t>NYU Langone Medical Center</w:t>
      </w:r>
    </w:p>
    <w:p>
      <w:pPr>
        <w:spacing w:after="0" w:line="9" w:lineRule="exact"/>
        <w:rPr>
          <w:sz w:val="20"/>
          <w:szCs w:val="20"/>
          <w:color w:val="auto"/>
        </w:rPr>
      </w:pPr>
    </w:p>
    <w:p>
      <w:pPr>
        <w:ind w:left="2844"/>
        <w:spacing w:after="0"/>
        <w:rPr>
          <w:sz w:val="20"/>
          <w:szCs w:val="20"/>
          <w:color w:val="auto"/>
        </w:rPr>
      </w:pPr>
      <w:r>
        <w:rPr>
          <w:rFonts w:ascii="Arial" w:cs="Arial" w:eastAsia="Arial" w:hAnsi="Arial"/>
          <w:sz w:val="18"/>
          <w:szCs w:val="18"/>
          <w:color w:val="auto"/>
        </w:rPr>
        <w:t>550 First Ave. HCC 15</w:t>
      </w:r>
    </w:p>
    <w:p>
      <w:pPr>
        <w:spacing w:after="0" w:line="9" w:lineRule="exact"/>
        <w:rPr>
          <w:sz w:val="20"/>
          <w:szCs w:val="20"/>
          <w:color w:val="auto"/>
        </w:rPr>
      </w:pPr>
    </w:p>
    <w:p>
      <w:pPr>
        <w:ind w:left="2844"/>
        <w:spacing w:after="0"/>
        <w:rPr>
          <w:sz w:val="20"/>
          <w:szCs w:val="20"/>
          <w:color w:val="auto"/>
        </w:rPr>
      </w:pPr>
      <w:r>
        <w:rPr>
          <w:rFonts w:ascii="Arial" w:cs="Arial" w:eastAsia="Arial" w:hAnsi="Arial"/>
          <w:sz w:val="18"/>
          <w:szCs w:val="18"/>
          <w:color w:val="auto"/>
        </w:rPr>
        <w:t>New York, NY 10016</w:t>
      </w:r>
    </w:p>
    <w:p>
      <w:pPr>
        <w:spacing w:after="0" w:line="238"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To Repare:</w:t>
      </w:r>
    </w:p>
    <w:p>
      <w:pPr>
        <w:spacing w:after="0" w:line="252" w:lineRule="exact"/>
        <w:rPr>
          <w:sz w:val="20"/>
          <w:szCs w:val="20"/>
          <w:color w:val="auto"/>
        </w:rPr>
      </w:pPr>
    </w:p>
    <w:p>
      <w:pPr>
        <w:ind w:left="2844"/>
        <w:spacing w:after="0"/>
        <w:rPr>
          <w:sz w:val="20"/>
          <w:szCs w:val="20"/>
          <w:color w:val="auto"/>
        </w:rPr>
      </w:pPr>
      <w:r>
        <w:rPr>
          <w:rFonts w:ascii="Arial" w:cs="Arial" w:eastAsia="Arial" w:hAnsi="Arial"/>
          <w:sz w:val="18"/>
          <w:szCs w:val="18"/>
          <w:color w:val="auto"/>
        </w:rPr>
        <w:t>Repare Therapeutics Inc.</w:t>
      </w:r>
    </w:p>
    <w:p>
      <w:pPr>
        <w:spacing w:after="0" w:line="23" w:lineRule="exact"/>
        <w:rPr>
          <w:sz w:val="20"/>
          <w:szCs w:val="20"/>
          <w:color w:val="auto"/>
        </w:rPr>
      </w:pPr>
    </w:p>
    <w:p>
      <w:pPr>
        <w:ind w:left="2844"/>
        <w:spacing w:after="0"/>
        <w:rPr>
          <w:sz w:val="20"/>
          <w:szCs w:val="20"/>
          <w:color w:val="auto"/>
        </w:rPr>
      </w:pPr>
      <w:r>
        <w:rPr>
          <w:rFonts w:ascii="Arial" w:cs="Arial" w:eastAsia="Arial" w:hAnsi="Arial"/>
          <w:sz w:val="18"/>
          <w:szCs w:val="18"/>
          <w:color w:val="auto"/>
        </w:rPr>
        <w:t>7210 Frederick-Banting, Suite 100</w:t>
      </w:r>
    </w:p>
    <w:p>
      <w:pPr>
        <w:spacing w:after="0" w:line="9" w:lineRule="exact"/>
        <w:rPr>
          <w:sz w:val="20"/>
          <w:szCs w:val="20"/>
          <w:color w:val="auto"/>
        </w:rPr>
      </w:pPr>
    </w:p>
    <w:p>
      <w:pPr>
        <w:ind w:left="2844"/>
        <w:spacing w:after="0"/>
        <w:rPr>
          <w:sz w:val="20"/>
          <w:szCs w:val="20"/>
          <w:color w:val="auto"/>
        </w:rPr>
      </w:pPr>
      <w:r>
        <w:rPr>
          <w:rFonts w:ascii="Arial" w:cs="Arial" w:eastAsia="Arial" w:hAnsi="Arial"/>
          <w:sz w:val="18"/>
          <w:szCs w:val="18"/>
          <w:color w:val="auto"/>
        </w:rPr>
        <w:t>St-Laurent, QC H4S2A1</w:t>
      </w:r>
    </w:p>
    <w:p>
      <w:pPr>
        <w:sectPr>
          <w:pgSz w:w="11900" w:h="16838" w:orient="portrait"/>
          <w:cols w:equalWidth="0" w:num="1">
            <w:col w:w="11004"/>
          </w:cols>
          <w:pgMar w:left="436" w:top="270" w:right="459" w:bottom="1440" w:gutter="0" w:footer="0" w:header="0"/>
          <w:type w:val="continuous"/>
        </w:sectPr>
      </w:pPr>
    </w:p>
    <w:p>
      <w:pPr>
        <w:spacing w:after="0" w:line="116" w:lineRule="exact"/>
        <w:rPr>
          <w:sz w:val="20"/>
          <w:szCs w:val="20"/>
          <w:color w:val="auto"/>
        </w:rPr>
      </w:pPr>
    </w:p>
    <w:p>
      <w:pPr>
        <w:ind w:left="2844"/>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Lloyd M. Segal, CEO</w:t>
      </w:r>
    </w:p>
    <w:p>
      <w:pPr>
        <w:spacing w:after="0" w:line="211" w:lineRule="exact"/>
        <w:rPr>
          <w:sz w:val="20"/>
          <w:szCs w:val="20"/>
          <w:color w:val="auto"/>
        </w:rPr>
      </w:pPr>
    </w:p>
    <w:p>
      <w:pPr>
        <w:sectPr>
          <w:pgSz w:w="11900" w:h="16838" w:orient="portrait"/>
          <w:cols w:equalWidth="0" w:num="2">
            <w:col w:w="3584" w:space="360"/>
            <w:col w:w="7060"/>
          </w:cols>
          <w:pgMar w:left="436" w:top="270" w:right="459" w:bottom="1440" w:gutter="0" w:footer="0" w:header="0"/>
          <w:type w:val="continuous"/>
        </w:sectPr>
      </w:pPr>
    </w:p>
    <w:p>
      <w:pPr>
        <w:spacing w:after="0" w:line="37" w:lineRule="exact"/>
        <w:rPr>
          <w:sz w:val="20"/>
          <w:szCs w:val="20"/>
          <w:color w:val="auto"/>
        </w:rPr>
      </w:pPr>
    </w:p>
    <w:p>
      <w:pPr>
        <w:ind w:left="1984"/>
        <w:spacing w:after="0"/>
        <w:rPr>
          <w:sz w:val="20"/>
          <w:szCs w:val="20"/>
          <w:color w:val="auto"/>
        </w:rPr>
      </w:pPr>
      <w:r>
        <w:rPr>
          <w:rFonts w:ascii="Arial" w:cs="Arial" w:eastAsia="Arial" w:hAnsi="Arial"/>
          <w:sz w:val="17"/>
          <w:szCs w:val="17"/>
          <w:color w:val="auto"/>
        </w:rPr>
        <w:t>with a copy (which shall not constitute notice to):</w:t>
      </w:r>
    </w:p>
    <w:p>
      <w:pPr>
        <w:spacing w:after="0" w:line="16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0" w:right="459" w:bottom="1440" w:gutter="0" w:footer="0" w:header="0"/>
          <w:type w:val="continuous"/>
        </w:sectPr>
      </w:pPr>
    </w:p>
    <w:bookmarkStart w:id="671" w:name="page672"/>
    <w:bookmarkEnd w:id="671"/>
    <w:p>
      <w:pPr>
        <w:ind w:left="2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Goodwin Procter LLP</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2840"/>
        <w:spacing w:after="0"/>
        <w:tabs>
          <w:tab w:leader="none" w:pos="37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Christopher J. Denn</w:t>
      </w:r>
    </w:p>
    <w:p>
      <w:pPr>
        <w:spacing w:after="0" w:line="211"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or such other address or addresses as either Party may hereafter specify by written notice to the other. Such notices and communications shall be deemed effective on the date of delivery or fourteen (14) days after having been sent by registered or certified mail, whichever is earlier.</w:t>
      </w:r>
    </w:p>
    <w:p>
      <w:pPr>
        <w:spacing w:after="0" w:line="124"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22.05 This Agreement (and the annexed appendices) constitute the entire Agreement between the Parties and no variation, modification or waiver of any of the terms or conditions hereof shall be deemed valid unless made in writing and signed by both Parties hereto. This Agreement supersedes any and all prior agreements or understandings, whether oral or written, between Repare and NYU relating to the subject matter hereof, including, without limitation, the letter agreement, dated October 18, 2016, between the Parties relating to the transfer of PolQ- related substances. For clarity, this Agreement is not intended to supersede the Master Research Agreement, dated as of December 15, 2015, between Highline Therapeutics, Inc. and New York University School of Medicine.</w:t>
      </w:r>
    </w:p>
    <w:p>
      <w:pPr>
        <w:spacing w:after="0" w:line="192"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22.06 No waiver by either Party of any non-performance or violation by the other Party of any of the covenants, obligations or agreements of such other Party hereunder shall be deemed to be a waiver of any subsequent violation or non-performance of the same or any other covenant, agreement or obligation, nor shall forbearance by either Party be deemed to be a waiver by such Party of its rights or remedies with respect to such violation or non-performance.</w:t>
      </w:r>
    </w:p>
    <w:p>
      <w:pPr>
        <w:spacing w:after="0" w:line="18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22.07 The descriptive headings contained in this Agreement are included for convenience and reference only and shall not be held to expand, modify or aid in the interpretation, construction or meaning of this Agreement.</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22.08 It is not the intent of the Parties to create a partnership or joint venture or to assume partnership responsibility or liability. The obligations of the Parties shall be limited to those set out herein and such obligations shall be several and not joint.</w:t>
      </w:r>
    </w:p>
    <w:p>
      <w:pPr>
        <w:spacing w:after="0" w:line="170"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22.09 This Agreement may be executed in one or more counterparts, each of which will be deemed an original, and all of which will constitute one and the same instrument. Each Party may execute this Agreement by facsimile transmission or in Portable Document Format sent by electronic means. Signatures of authorized signatories of the Parties transmitted by facsimile or sent by electronic means in Portable Document Format shall be deemed to be original signatures, shall be valid and binding, and, upon delivery, shall constitute due execution of this Agreement.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hereto have executed this Agreement effective as of the date and year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NEW YORK UNIVERSITY</w:t>
            </w:r>
          </w:p>
        </w:tc>
        <w:tc>
          <w:tcPr>
            <w:tcW w:w="6600" w:type="dxa"/>
            <w:vAlign w:val="bottom"/>
            <w:gridSpan w:val="2"/>
          </w:tcPr>
          <w:p>
            <w:pPr>
              <w:ind w:left="2320"/>
              <w:spacing w:after="0"/>
              <w:rPr>
                <w:sz w:val="20"/>
                <w:szCs w:val="20"/>
                <w:color w:val="auto"/>
              </w:rPr>
            </w:pPr>
            <w:r>
              <w:rPr>
                <w:rFonts w:ascii="Arial" w:cs="Arial" w:eastAsia="Arial" w:hAnsi="Arial"/>
                <w:sz w:val="18"/>
                <w:szCs w:val="18"/>
                <w:b w:val="1"/>
                <w:bCs w:val="1"/>
                <w:color w:val="auto"/>
              </w:rPr>
              <w:t>REPARE THERAPEUTICS INC.</w:t>
            </w:r>
          </w:p>
        </w:tc>
      </w:tr>
      <w:tr>
        <w:trPr>
          <w:trHeight w:val="445"/>
        </w:trPr>
        <w:tc>
          <w:tcPr>
            <w:tcW w:w="4420" w:type="dxa"/>
            <w:vAlign w:val="bottom"/>
            <w:gridSpan w:val="2"/>
          </w:tcPr>
          <w:p>
            <w:pPr>
              <w:spacing w:after="0"/>
              <w:rPr>
                <w:sz w:val="20"/>
                <w:szCs w:val="20"/>
                <w:color w:val="auto"/>
              </w:rPr>
            </w:pPr>
            <w:r>
              <w:rPr>
                <w:rFonts w:ascii="Arial" w:cs="Arial" w:eastAsia="Arial" w:hAnsi="Arial"/>
                <w:sz w:val="18"/>
                <w:szCs w:val="18"/>
                <w:color w:val="auto"/>
              </w:rPr>
              <w:t>By:  /s/ Abram M. Goldfinger</w:t>
            </w:r>
          </w:p>
        </w:tc>
        <w:tc>
          <w:tcPr>
            <w:tcW w:w="6600" w:type="dxa"/>
            <w:vAlign w:val="bottom"/>
            <w:gridSpan w:val="2"/>
          </w:tcPr>
          <w:p>
            <w:pPr>
              <w:ind w:left="2320"/>
              <w:spacing w:after="0"/>
              <w:rPr>
                <w:sz w:val="20"/>
                <w:szCs w:val="20"/>
                <w:color w:val="auto"/>
              </w:rPr>
            </w:pPr>
            <w:r>
              <w:rPr>
                <w:rFonts w:ascii="Arial" w:cs="Arial" w:eastAsia="Arial" w:hAnsi="Arial"/>
                <w:sz w:val="18"/>
                <w:szCs w:val="18"/>
                <w:color w:val="auto"/>
              </w:rPr>
              <w:t>By:  /s/ Lloyd M. Segal</w:t>
            </w:r>
          </w:p>
        </w:tc>
      </w:tr>
      <w:tr>
        <w:trPr>
          <w:trHeight w:val="209"/>
        </w:trPr>
        <w:tc>
          <w:tcPr>
            <w:tcW w:w="460" w:type="dxa"/>
            <w:vAlign w:val="bottom"/>
          </w:tcPr>
          <w:p>
            <w:pPr>
              <w:spacing w:after="0"/>
              <w:rPr>
                <w:sz w:val="18"/>
                <w:szCs w:val="18"/>
                <w:color w:val="auto"/>
              </w:rPr>
            </w:pPr>
          </w:p>
        </w:tc>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Abram M. Goldfinger</w:t>
            </w:r>
          </w:p>
        </w:tc>
        <w:tc>
          <w:tcPr>
            <w:tcW w:w="2740" w:type="dxa"/>
            <w:vAlign w:val="bottom"/>
          </w:tcPr>
          <w:p>
            <w:pPr>
              <w:spacing w:after="0"/>
              <w:rPr>
                <w:sz w:val="18"/>
                <w:szCs w:val="18"/>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Lloyd M. Segal</w:t>
            </w:r>
          </w:p>
        </w:tc>
      </w:tr>
      <w:tr>
        <w:trPr>
          <w:trHeight w:val="216"/>
        </w:trPr>
        <w:tc>
          <w:tcPr>
            <w:tcW w:w="4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Executive Director,</w:t>
            </w:r>
          </w:p>
        </w:tc>
        <w:tc>
          <w:tcPr>
            <w:tcW w:w="6600" w:type="dxa"/>
            <w:vAlign w:val="bottom"/>
            <w:gridSpan w:val="2"/>
          </w:tcPr>
          <w:p>
            <w:pPr>
              <w:ind w:left="2740"/>
              <w:spacing w:after="0"/>
              <w:rPr>
                <w:sz w:val="20"/>
                <w:szCs w:val="20"/>
                <w:color w:val="auto"/>
              </w:rPr>
            </w:pPr>
            <w:r>
              <w:rPr>
                <w:rFonts w:ascii="Arial" w:cs="Arial" w:eastAsia="Arial" w:hAnsi="Arial"/>
                <w:sz w:val="18"/>
                <w:szCs w:val="18"/>
                <w:color w:val="auto"/>
              </w:rPr>
              <w:t>Title:CEO</w:t>
            </w:r>
          </w:p>
        </w:tc>
      </w:tr>
      <w:tr>
        <w:trPr>
          <w:trHeight w:val="230"/>
        </w:trPr>
        <w:tc>
          <w:tcPr>
            <w:tcW w:w="46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Industrial Liaison/Technology Transfer</w:t>
            </w:r>
          </w:p>
        </w:tc>
        <w:tc>
          <w:tcPr>
            <w:tcW w:w="274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378"/>
        </w:trPr>
        <w:tc>
          <w:tcPr>
            <w:tcW w:w="4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740" w:type="dxa"/>
            <w:vAlign w:val="bottom"/>
          </w:tcPr>
          <w:p>
            <w:pPr>
              <w:jc w:val="right"/>
              <w:ind w:right="1370"/>
              <w:spacing w:after="0"/>
              <w:rPr>
                <w:sz w:val="20"/>
                <w:szCs w:val="20"/>
                <w:color w:val="auto"/>
              </w:rPr>
            </w:pPr>
            <w:r>
              <w:rPr>
                <w:rFonts w:ascii="Arial" w:cs="Arial" w:eastAsia="Arial" w:hAnsi="Arial"/>
                <w:sz w:val="18"/>
                <w:szCs w:val="18"/>
                <w:color w:val="auto"/>
              </w:rPr>
              <w:t>-22-</w:t>
            </w:r>
          </w:p>
        </w:tc>
        <w:tc>
          <w:tcPr>
            <w:tcW w:w="386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672" w:name="page673"/>
    <w:bookmarkEnd w:id="6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purposes of Section 3.02 and 11.05 only: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Dr. Agnel Sfeir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Dr. Agnel Sfeir</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019"/>
          </w:cols>
          <w:pgMar w:left="440" w:top="274" w:right="1440" w:bottom="1440" w:gutter="0" w:footer="0" w:header="0"/>
        </w:sectPr>
      </w:pPr>
    </w:p>
    <w:bookmarkStart w:id="673" w:name="page674"/>
    <w:bookmarkEnd w:id="67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1</w:t>
      </w:r>
    </w:p>
    <w:p>
      <w:pPr>
        <w:sectPr>
          <w:pgSz w:w="11900" w:h="16838" w:orient="portrait"/>
          <w:cols w:equalWidth="0" w:num="1">
            <w:col w:w="9019"/>
          </w:cols>
          <w:pgMar w:left="1440" w:top="270"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9019"/>
          </w:cols>
          <w:pgMar w:left="1440" w:top="270" w:right="1440" w:bottom="1440" w:gutter="0" w:footer="0" w:header="0"/>
          <w:type w:val="continuous"/>
        </w:sectPr>
      </w:pPr>
    </w:p>
    <w:bookmarkStart w:id="674" w:name="page675"/>
    <w:bookmarkEnd w:id="6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RESEARCH PROJECT SPECIFICATION (RPS) TEMPLATE</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675" w:name="page676"/>
    <w:bookmarkEnd w:id="6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120"/>
        <w:spacing w:after="0"/>
        <w:rPr>
          <w:sz w:val="20"/>
          <w:szCs w:val="20"/>
          <w:color w:val="auto"/>
        </w:rPr>
      </w:pPr>
      <w:r>
        <w:rPr>
          <w:rFonts w:ascii="Arial" w:cs="Arial" w:eastAsia="Arial" w:hAnsi="Arial"/>
          <w:sz w:val="16"/>
          <w:szCs w:val="16"/>
          <w:b w:val="1"/>
          <w:bCs w:val="1"/>
          <w:color w:val="auto"/>
        </w:rPr>
        <w:t>Exhibit 10.17</w:t>
      </w:r>
    </w:p>
    <w:p>
      <w:pPr>
        <w:spacing w:after="0" w:line="248" w:lineRule="exact"/>
        <w:rPr>
          <w:sz w:val="20"/>
          <w:szCs w:val="20"/>
          <w:color w:val="auto"/>
        </w:rPr>
      </w:pPr>
    </w:p>
    <w:p>
      <w:pPr>
        <w:ind w:left="120" w:right="640"/>
        <w:spacing w:after="0" w:line="266"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REPARE THERAPEUTICS INC. HAS DETERMINED THE INFORMATION (I) IS NOT MATERIAL AND (II) WOULD LIKELY CAUSE COMPETITIVE HARM TO REPARE THERAPEUTICS INC.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COLLABORATION AND LICENSE AGREEMENT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REPARE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REPARE THERAPEUTICS USA,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on the one hand, 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BRISTOL-MYERS SQUIBB COMPANY,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on the other hand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Dated as of May 26, 2020</w:t>
      </w:r>
    </w:p>
    <w:p>
      <w:pPr>
        <w:sectPr>
          <w:pgSz w:w="11900" w:h="16838" w:orient="portrait"/>
          <w:cols w:equalWidth="0" w:num="1">
            <w:col w:w="11140"/>
          </w:cols>
          <w:pgMar w:left="320" w:top="122" w:right="439" w:bottom="1440" w:gutter="0" w:footer="0" w:header="0"/>
        </w:sectPr>
      </w:pPr>
    </w:p>
    <w:bookmarkStart w:id="676" w:name="page677"/>
    <w:bookmarkEnd w:id="676"/>
    <w:tbl>
      <w:tblPr>
        <w:tblLayout w:type="fixed"/>
        <w:tblInd w:w="0" w:type="dxa"/>
        <w:tblCellMar>
          <w:top w:w="0" w:type="dxa"/>
          <w:left w:w="0" w:type="dxa"/>
          <w:bottom w:w="0" w:type="dxa"/>
          <w:right w:w="0" w:type="dxa"/>
        </w:tblCellMar>
      </w:tblPr>
      <w:tr>
        <w:trPr>
          <w:trHeight w:val="234"/>
        </w:trPr>
        <w:tc>
          <w:tcPr>
            <w:tcW w:w="874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2340" w:type="dxa"/>
            <w:vAlign w:val="bottom"/>
          </w:tcPr>
          <w:p>
            <w:pPr>
              <w:spacing w:after="0"/>
              <w:rPr>
                <w:sz w:val="20"/>
                <w:szCs w:val="20"/>
                <w:color w:val="auto"/>
              </w:rPr>
            </w:pPr>
          </w:p>
        </w:tc>
      </w:tr>
      <w:tr>
        <w:trPr>
          <w:trHeight w:val="513"/>
        </w:trPr>
        <w:tc>
          <w:tcPr>
            <w:tcW w:w="1000" w:type="dxa"/>
            <w:vAlign w:val="bottom"/>
          </w:tcPr>
          <w:p>
            <w:pPr>
              <w:spacing w:after="0"/>
              <w:rPr>
                <w:sz w:val="24"/>
                <w:szCs w:val="24"/>
                <w:color w:val="auto"/>
              </w:rPr>
            </w:pPr>
          </w:p>
        </w:tc>
        <w:tc>
          <w:tcPr>
            <w:tcW w:w="7740" w:type="dxa"/>
            <w:vAlign w:val="bottom"/>
          </w:tcPr>
          <w:p>
            <w:pPr>
              <w:ind w:left="366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59"/>
        </w:trPr>
        <w:tc>
          <w:tcPr>
            <w:tcW w:w="8740" w:type="dxa"/>
            <w:vAlign w:val="bottom"/>
            <w:gridSpan w:val="2"/>
          </w:tcPr>
          <w:p>
            <w:pPr>
              <w:ind w:left="120"/>
              <w:spacing w:after="0"/>
              <w:rPr>
                <w:sz w:val="20"/>
                <w:szCs w:val="20"/>
                <w:color w:val="auto"/>
              </w:rPr>
            </w:pPr>
            <w:r>
              <w:rPr>
                <w:rFonts w:ascii="Arial" w:cs="Arial" w:eastAsia="Arial" w:hAnsi="Arial"/>
                <w:sz w:val="18"/>
                <w:szCs w:val="18"/>
                <w:color w:val="auto"/>
              </w:rPr>
              <w:t>ARTICLE I DEFINITIONS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1.1</w:t>
            </w:r>
          </w:p>
        </w:tc>
        <w:tc>
          <w:tcPr>
            <w:tcW w:w="7740" w:type="dxa"/>
            <w:vAlign w:val="bottom"/>
          </w:tcPr>
          <w:p>
            <w:pPr>
              <w:ind w:left="200"/>
              <w:spacing w:after="0"/>
              <w:rPr>
                <w:sz w:val="20"/>
                <w:szCs w:val="20"/>
                <w:color w:val="auto"/>
              </w:rPr>
            </w:pPr>
            <w:r>
              <w:rPr>
                <w:rFonts w:ascii="Arial" w:cs="Arial" w:eastAsia="Arial" w:hAnsi="Arial"/>
                <w:sz w:val="18"/>
                <w:szCs w:val="18"/>
                <w:color w:val="auto"/>
              </w:rPr>
              <w:t>Terms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1.2</w:t>
            </w:r>
          </w:p>
        </w:tc>
        <w:tc>
          <w:tcPr>
            <w:tcW w:w="7740" w:type="dxa"/>
            <w:vAlign w:val="bottom"/>
          </w:tcPr>
          <w:p>
            <w:pPr>
              <w:ind w:left="200"/>
              <w:spacing w:after="0"/>
              <w:rPr>
                <w:sz w:val="20"/>
                <w:szCs w:val="20"/>
                <w:color w:val="auto"/>
              </w:rPr>
            </w:pPr>
            <w:r>
              <w:rPr>
                <w:rFonts w:ascii="Arial" w:cs="Arial" w:eastAsia="Arial" w:hAnsi="Arial"/>
                <w:sz w:val="18"/>
                <w:szCs w:val="18"/>
                <w:color w:val="auto"/>
              </w:rPr>
              <w:t>Additional Definitions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740" w:type="dxa"/>
            <w:vAlign w:val="bottom"/>
            <w:gridSpan w:val="2"/>
          </w:tcPr>
          <w:p>
            <w:pPr>
              <w:ind w:left="120"/>
              <w:spacing w:after="0"/>
              <w:rPr>
                <w:sz w:val="20"/>
                <w:szCs w:val="20"/>
                <w:color w:val="auto"/>
              </w:rPr>
            </w:pPr>
            <w:r>
              <w:rPr>
                <w:rFonts w:ascii="Arial" w:cs="Arial" w:eastAsia="Arial" w:hAnsi="Arial"/>
                <w:sz w:val="18"/>
                <w:szCs w:val="18"/>
                <w:color w:val="auto"/>
              </w:rPr>
              <w:t>ARTICLE II COLLABORATION</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2.1</w:t>
            </w:r>
          </w:p>
        </w:tc>
        <w:tc>
          <w:tcPr>
            <w:tcW w:w="7740" w:type="dxa"/>
            <w:vAlign w:val="bottom"/>
          </w:tcPr>
          <w:p>
            <w:pPr>
              <w:ind w:left="200"/>
              <w:spacing w:after="0"/>
              <w:rPr>
                <w:sz w:val="20"/>
                <w:szCs w:val="20"/>
                <w:color w:val="auto"/>
              </w:rPr>
            </w:pPr>
            <w:r>
              <w:rPr>
                <w:rFonts w:ascii="Arial" w:cs="Arial" w:eastAsia="Arial" w:hAnsi="Arial"/>
                <w:sz w:val="18"/>
                <w:szCs w:val="18"/>
                <w:color w:val="auto"/>
              </w:rPr>
              <w:t>Scope and Collaboration Overview</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2.2</w:t>
            </w:r>
          </w:p>
        </w:tc>
        <w:tc>
          <w:tcPr>
            <w:tcW w:w="7740" w:type="dxa"/>
            <w:vAlign w:val="bottom"/>
          </w:tcPr>
          <w:p>
            <w:pPr>
              <w:ind w:left="200"/>
              <w:spacing w:after="0"/>
              <w:rPr>
                <w:sz w:val="20"/>
                <w:szCs w:val="20"/>
                <w:color w:val="auto"/>
              </w:rPr>
            </w:pPr>
            <w:r>
              <w:rPr>
                <w:rFonts w:ascii="Arial" w:cs="Arial" w:eastAsia="Arial" w:hAnsi="Arial"/>
                <w:sz w:val="18"/>
                <w:szCs w:val="18"/>
                <w:color w:val="auto"/>
              </w:rPr>
              <w:t>Gatekeepers</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2.3</w:t>
            </w:r>
          </w:p>
        </w:tc>
        <w:tc>
          <w:tcPr>
            <w:tcW w:w="7740" w:type="dxa"/>
            <w:vAlign w:val="bottom"/>
          </w:tcPr>
          <w:p>
            <w:pPr>
              <w:ind w:left="200"/>
              <w:spacing w:after="0"/>
              <w:rPr>
                <w:sz w:val="20"/>
                <w:szCs w:val="20"/>
                <w:color w:val="auto"/>
              </w:rPr>
            </w:pPr>
            <w:r>
              <w:rPr>
                <w:rFonts w:ascii="Arial" w:cs="Arial" w:eastAsia="Arial" w:hAnsi="Arial"/>
                <w:sz w:val="18"/>
                <w:szCs w:val="18"/>
                <w:color w:val="auto"/>
              </w:rPr>
              <w:t>Consequences of Disclosure to BMS Outside of the Unblinding Process</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2.4</w:t>
            </w:r>
          </w:p>
        </w:tc>
        <w:tc>
          <w:tcPr>
            <w:tcW w:w="7740" w:type="dxa"/>
            <w:vAlign w:val="bottom"/>
          </w:tcPr>
          <w:p>
            <w:pPr>
              <w:ind w:left="200"/>
              <w:spacing w:after="0"/>
              <w:rPr>
                <w:sz w:val="20"/>
                <w:szCs w:val="20"/>
                <w:color w:val="auto"/>
              </w:rPr>
            </w:pPr>
            <w:r>
              <w:rPr>
                <w:rFonts w:ascii="Arial" w:cs="Arial" w:eastAsia="Arial" w:hAnsi="Arial"/>
                <w:sz w:val="18"/>
                <w:szCs w:val="18"/>
                <w:color w:val="auto"/>
              </w:rPr>
              <w:t>Initial Pre-Option Campaign Designation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2.5</w:t>
            </w:r>
          </w:p>
        </w:tc>
        <w:tc>
          <w:tcPr>
            <w:tcW w:w="7740" w:type="dxa"/>
            <w:vAlign w:val="bottom"/>
          </w:tcPr>
          <w:p>
            <w:pPr>
              <w:ind w:left="200"/>
              <w:spacing w:after="0"/>
              <w:rPr>
                <w:sz w:val="20"/>
                <w:szCs w:val="20"/>
                <w:color w:val="auto"/>
              </w:rPr>
            </w:pPr>
            <w:r>
              <w:rPr>
                <w:rFonts w:ascii="Arial" w:cs="Arial" w:eastAsia="Arial" w:hAnsi="Arial"/>
                <w:sz w:val="18"/>
                <w:szCs w:val="18"/>
                <w:color w:val="auto"/>
              </w:rPr>
              <w:t>Druggable/LDD Target Validation; Campaign Substitution and Reversion</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2.6</w:t>
            </w:r>
          </w:p>
        </w:tc>
        <w:tc>
          <w:tcPr>
            <w:tcW w:w="7740" w:type="dxa"/>
            <w:vAlign w:val="bottom"/>
          </w:tcPr>
          <w:p>
            <w:pPr>
              <w:ind w:left="200"/>
              <w:spacing w:after="0"/>
              <w:rPr>
                <w:sz w:val="20"/>
                <w:szCs w:val="20"/>
                <w:color w:val="auto"/>
              </w:rPr>
            </w:pPr>
            <w:r>
              <w:rPr>
                <w:rFonts w:ascii="Arial" w:cs="Arial" w:eastAsia="Arial" w:hAnsi="Arial"/>
                <w:sz w:val="18"/>
                <w:szCs w:val="18"/>
                <w:color w:val="auto"/>
              </w:rPr>
              <w:t>Undruggable Targets</w:t>
            </w: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2.7</w:t>
            </w:r>
          </w:p>
        </w:tc>
        <w:tc>
          <w:tcPr>
            <w:tcW w:w="7740" w:type="dxa"/>
            <w:vAlign w:val="bottom"/>
          </w:tcPr>
          <w:p>
            <w:pPr>
              <w:ind w:left="200"/>
              <w:spacing w:after="0"/>
              <w:rPr>
                <w:sz w:val="20"/>
                <w:szCs w:val="20"/>
                <w:color w:val="auto"/>
              </w:rPr>
            </w:pPr>
            <w:r>
              <w:rPr>
                <w:rFonts w:ascii="Arial" w:cs="Arial" w:eastAsia="Arial" w:hAnsi="Arial"/>
                <w:sz w:val="18"/>
                <w:szCs w:val="18"/>
                <w:color w:val="auto"/>
              </w:rPr>
              <w:t>BMS Option</w:t>
            </w:r>
          </w:p>
        </w:tc>
        <w:tc>
          <w:tcPr>
            <w:tcW w:w="2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2.8</w:t>
            </w:r>
          </w:p>
        </w:tc>
        <w:tc>
          <w:tcPr>
            <w:tcW w:w="7740" w:type="dxa"/>
            <w:vAlign w:val="bottom"/>
          </w:tcPr>
          <w:p>
            <w:pPr>
              <w:ind w:left="200"/>
              <w:spacing w:after="0"/>
              <w:rPr>
                <w:sz w:val="20"/>
                <w:szCs w:val="20"/>
                <w:color w:val="auto"/>
              </w:rPr>
            </w:pPr>
            <w:r>
              <w:rPr>
                <w:rFonts w:ascii="Arial" w:cs="Arial" w:eastAsia="Arial" w:hAnsi="Arial"/>
                <w:sz w:val="18"/>
                <w:szCs w:val="18"/>
                <w:color w:val="auto"/>
              </w:rPr>
              <w:t>BMS Druggable/LDD Target Chemistry</w:t>
            </w:r>
          </w:p>
        </w:tc>
        <w:tc>
          <w:tcPr>
            <w:tcW w:w="2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2.9</w:t>
            </w:r>
          </w:p>
        </w:tc>
        <w:tc>
          <w:tcPr>
            <w:tcW w:w="7740" w:type="dxa"/>
            <w:vAlign w:val="bottom"/>
          </w:tcPr>
          <w:p>
            <w:pPr>
              <w:ind w:left="200"/>
              <w:spacing w:after="0"/>
              <w:rPr>
                <w:sz w:val="20"/>
                <w:szCs w:val="20"/>
                <w:color w:val="auto"/>
              </w:rPr>
            </w:pPr>
            <w:r>
              <w:rPr>
                <w:rFonts w:ascii="Arial" w:cs="Arial" w:eastAsia="Arial" w:hAnsi="Arial"/>
                <w:sz w:val="18"/>
                <w:szCs w:val="18"/>
                <w:color w:val="auto"/>
              </w:rPr>
              <w:t>BMS Undruggable Target Chemistry</w:t>
            </w:r>
          </w:p>
        </w:tc>
        <w:tc>
          <w:tcPr>
            <w:tcW w:w="2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2.10</w:t>
            </w:r>
          </w:p>
        </w:tc>
        <w:tc>
          <w:tcPr>
            <w:tcW w:w="7740" w:type="dxa"/>
            <w:vAlign w:val="bottom"/>
          </w:tcPr>
          <w:p>
            <w:pPr>
              <w:ind w:left="200"/>
              <w:spacing w:after="0"/>
              <w:rPr>
                <w:sz w:val="20"/>
                <w:szCs w:val="20"/>
                <w:color w:val="auto"/>
              </w:rPr>
            </w:pPr>
            <w:r>
              <w:rPr>
                <w:rFonts w:ascii="Arial" w:cs="Arial" w:eastAsia="Arial" w:hAnsi="Arial"/>
                <w:sz w:val="18"/>
                <w:szCs w:val="18"/>
                <w:color w:val="auto"/>
              </w:rPr>
              <w:t>Reports</w:t>
            </w:r>
          </w:p>
        </w:tc>
        <w:tc>
          <w:tcPr>
            <w:tcW w:w="2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2.11</w:t>
            </w:r>
          </w:p>
        </w:tc>
        <w:tc>
          <w:tcPr>
            <w:tcW w:w="7740" w:type="dxa"/>
            <w:vAlign w:val="bottom"/>
          </w:tcPr>
          <w:p>
            <w:pPr>
              <w:ind w:left="200"/>
              <w:spacing w:after="0"/>
              <w:rPr>
                <w:sz w:val="20"/>
                <w:szCs w:val="20"/>
                <w:color w:val="auto"/>
              </w:rPr>
            </w:pPr>
            <w:r>
              <w:rPr>
                <w:rFonts w:ascii="Arial" w:cs="Arial" w:eastAsia="Arial" w:hAnsi="Arial"/>
                <w:sz w:val="18"/>
                <w:szCs w:val="18"/>
                <w:color w:val="auto"/>
              </w:rPr>
              <w:t>No Representation</w:t>
            </w:r>
          </w:p>
        </w:tc>
        <w:tc>
          <w:tcPr>
            <w:tcW w:w="2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2.12</w:t>
            </w:r>
          </w:p>
        </w:tc>
        <w:tc>
          <w:tcPr>
            <w:tcW w:w="7740" w:type="dxa"/>
            <w:vAlign w:val="bottom"/>
          </w:tcPr>
          <w:p>
            <w:pPr>
              <w:ind w:left="200"/>
              <w:spacing w:after="0"/>
              <w:rPr>
                <w:sz w:val="20"/>
                <w:szCs w:val="20"/>
                <w:color w:val="auto"/>
              </w:rPr>
            </w:pPr>
            <w:r>
              <w:rPr>
                <w:rFonts w:ascii="Arial" w:cs="Arial" w:eastAsia="Arial" w:hAnsi="Arial"/>
                <w:sz w:val="18"/>
                <w:szCs w:val="18"/>
                <w:color w:val="auto"/>
              </w:rPr>
              <w:t>Material Transfer</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2.13</w:t>
            </w:r>
          </w:p>
        </w:tc>
        <w:tc>
          <w:tcPr>
            <w:tcW w:w="7740" w:type="dxa"/>
            <w:vAlign w:val="bottom"/>
          </w:tcPr>
          <w:p>
            <w:pPr>
              <w:ind w:left="200"/>
              <w:spacing w:after="0"/>
              <w:rPr>
                <w:sz w:val="20"/>
                <w:szCs w:val="20"/>
                <w:color w:val="auto"/>
              </w:rPr>
            </w:pPr>
            <w:r>
              <w:rPr>
                <w:rFonts w:ascii="Arial" w:cs="Arial" w:eastAsia="Arial" w:hAnsi="Arial"/>
                <w:sz w:val="18"/>
                <w:szCs w:val="18"/>
                <w:color w:val="auto"/>
              </w:rPr>
              <w:t>Rights with Respect to Excluded Campaigns or Excluded Targets</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740" w:type="dxa"/>
            <w:vAlign w:val="bottom"/>
            <w:gridSpan w:val="2"/>
          </w:tcPr>
          <w:p>
            <w:pPr>
              <w:ind w:left="120"/>
              <w:spacing w:after="0"/>
              <w:rPr>
                <w:sz w:val="20"/>
                <w:szCs w:val="20"/>
                <w:color w:val="auto"/>
              </w:rPr>
            </w:pPr>
            <w:r>
              <w:rPr>
                <w:rFonts w:ascii="Arial" w:cs="Arial" w:eastAsia="Arial" w:hAnsi="Arial"/>
                <w:sz w:val="18"/>
                <w:szCs w:val="18"/>
                <w:color w:val="auto"/>
              </w:rPr>
              <w:t>ARTICLE III HSR/ANTITRUST FILINGS</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3.1</w:t>
            </w:r>
          </w:p>
        </w:tc>
        <w:tc>
          <w:tcPr>
            <w:tcW w:w="7740" w:type="dxa"/>
            <w:vAlign w:val="bottom"/>
          </w:tcPr>
          <w:p>
            <w:pPr>
              <w:ind w:left="200"/>
              <w:spacing w:after="0"/>
              <w:rPr>
                <w:sz w:val="20"/>
                <w:szCs w:val="20"/>
                <w:color w:val="auto"/>
              </w:rPr>
            </w:pPr>
            <w:r>
              <w:rPr>
                <w:rFonts w:ascii="Arial" w:cs="Arial" w:eastAsia="Arial" w:hAnsi="Arial"/>
                <w:sz w:val="18"/>
                <w:szCs w:val="18"/>
                <w:color w:val="auto"/>
              </w:rPr>
              <w:t>Efforts</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3.2</w:t>
            </w:r>
          </w:p>
        </w:tc>
        <w:tc>
          <w:tcPr>
            <w:tcW w:w="7740" w:type="dxa"/>
            <w:vAlign w:val="bottom"/>
          </w:tcPr>
          <w:p>
            <w:pPr>
              <w:ind w:left="200"/>
              <w:spacing w:after="0"/>
              <w:rPr>
                <w:sz w:val="20"/>
                <w:szCs w:val="20"/>
                <w:color w:val="auto"/>
              </w:rPr>
            </w:pPr>
            <w:r>
              <w:rPr>
                <w:rFonts w:ascii="Arial" w:cs="Arial" w:eastAsia="Arial" w:hAnsi="Arial"/>
                <w:sz w:val="18"/>
                <w:szCs w:val="18"/>
                <w:color w:val="auto"/>
              </w:rPr>
              <w:t>HSR/Antitrust Filings</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3.3</w:t>
            </w:r>
          </w:p>
        </w:tc>
        <w:tc>
          <w:tcPr>
            <w:tcW w:w="7740" w:type="dxa"/>
            <w:vAlign w:val="bottom"/>
          </w:tcPr>
          <w:p>
            <w:pPr>
              <w:ind w:left="200"/>
              <w:spacing w:after="0"/>
              <w:rPr>
                <w:sz w:val="20"/>
                <w:szCs w:val="20"/>
                <w:color w:val="auto"/>
              </w:rPr>
            </w:pPr>
            <w:r>
              <w:rPr>
                <w:rFonts w:ascii="Arial" w:cs="Arial" w:eastAsia="Arial" w:hAnsi="Arial"/>
                <w:sz w:val="18"/>
                <w:szCs w:val="18"/>
                <w:color w:val="auto"/>
              </w:rPr>
              <w:t>No Further Obligations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740" w:type="dxa"/>
            <w:vAlign w:val="bottom"/>
            <w:gridSpan w:val="2"/>
          </w:tcPr>
          <w:p>
            <w:pPr>
              <w:ind w:left="120"/>
              <w:spacing w:after="0"/>
              <w:rPr>
                <w:sz w:val="20"/>
                <w:szCs w:val="20"/>
                <w:color w:val="auto"/>
              </w:rPr>
            </w:pPr>
            <w:r>
              <w:rPr>
                <w:rFonts w:ascii="Arial" w:cs="Arial" w:eastAsia="Arial" w:hAnsi="Arial"/>
                <w:sz w:val="18"/>
                <w:szCs w:val="18"/>
                <w:color w:val="auto"/>
              </w:rPr>
              <w:t>ARTICLE IV DEVELOPMENT, MANUFACTURING AND COMMERCIALIZATION</w:t>
            </w:r>
          </w:p>
        </w:tc>
        <w:tc>
          <w:tcPr>
            <w:tcW w:w="2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4.1</w:t>
            </w:r>
          </w:p>
        </w:tc>
        <w:tc>
          <w:tcPr>
            <w:tcW w:w="7740" w:type="dxa"/>
            <w:vAlign w:val="bottom"/>
          </w:tcPr>
          <w:p>
            <w:pPr>
              <w:ind w:left="200"/>
              <w:spacing w:after="0"/>
              <w:rPr>
                <w:sz w:val="20"/>
                <w:szCs w:val="20"/>
                <w:color w:val="auto"/>
              </w:rPr>
            </w:pPr>
            <w:r>
              <w:rPr>
                <w:rFonts w:ascii="Arial" w:cs="Arial" w:eastAsia="Arial" w:hAnsi="Arial"/>
                <w:sz w:val="18"/>
                <w:szCs w:val="18"/>
                <w:color w:val="auto"/>
              </w:rPr>
              <w:t>Responsibility and Ownership</w:t>
            </w:r>
          </w:p>
        </w:tc>
        <w:tc>
          <w:tcPr>
            <w:tcW w:w="2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4.2</w:t>
            </w:r>
          </w:p>
        </w:tc>
        <w:tc>
          <w:tcPr>
            <w:tcW w:w="7740" w:type="dxa"/>
            <w:vAlign w:val="bottom"/>
          </w:tcPr>
          <w:p>
            <w:pPr>
              <w:ind w:left="200"/>
              <w:spacing w:after="0"/>
              <w:rPr>
                <w:sz w:val="20"/>
                <w:szCs w:val="20"/>
                <w:color w:val="auto"/>
              </w:rPr>
            </w:pPr>
            <w:r>
              <w:rPr>
                <w:rFonts w:ascii="Arial" w:cs="Arial" w:eastAsia="Arial" w:hAnsi="Arial"/>
                <w:sz w:val="18"/>
                <w:szCs w:val="18"/>
                <w:color w:val="auto"/>
              </w:rPr>
              <w:t>Diligence</w:t>
            </w:r>
          </w:p>
        </w:tc>
        <w:tc>
          <w:tcPr>
            <w:tcW w:w="2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8740" w:type="dxa"/>
            <w:vAlign w:val="bottom"/>
            <w:gridSpan w:val="2"/>
          </w:tcPr>
          <w:p>
            <w:pPr>
              <w:ind w:left="120"/>
              <w:spacing w:after="0"/>
              <w:rPr>
                <w:sz w:val="20"/>
                <w:szCs w:val="20"/>
                <w:color w:val="auto"/>
              </w:rPr>
            </w:pPr>
            <w:r>
              <w:rPr>
                <w:rFonts w:ascii="Arial" w:cs="Arial" w:eastAsia="Arial" w:hAnsi="Arial"/>
                <w:sz w:val="18"/>
                <w:szCs w:val="18"/>
                <w:color w:val="auto"/>
              </w:rPr>
              <w:t>ARTICLE V GOVERNANCE; REPORTS</w:t>
            </w:r>
          </w:p>
        </w:tc>
        <w:tc>
          <w:tcPr>
            <w:tcW w:w="2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5.1</w:t>
            </w:r>
          </w:p>
        </w:tc>
        <w:tc>
          <w:tcPr>
            <w:tcW w:w="7740" w:type="dxa"/>
            <w:vAlign w:val="bottom"/>
          </w:tcPr>
          <w:p>
            <w:pPr>
              <w:ind w:left="200"/>
              <w:spacing w:after="0"/>
              <w:rPr>
                <w:sz w:val="20"/>
                <w:szCs w:val="20"/>
                <w:color w:val="auto"/>
              </w:rPr>
            </w:pPr>
            <w:r>
              <w:rPr>
                <w:rFonts w:ascii="Arial" w:cs="Arial" w:eastAsia="Arial" w:hAnsi="Arial"/>
                <w:sz w:val="18"/>
                <w:szCs w:val="18"/>
                <w:color w:val="auto"/>
              </w:rPr>
              <w:t>Alliance Managers</w:t>
            </w:r>
          </w:p>
        </w:tc>
        <w:tc>
          <w:tcPr>
            <w:tcW w:w="2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5.2</w:t>
            </w:r>
          </w:p>
        </w:tc>
        <w:tc>
          <w:tcPr>
            <w:tcW w:w="7740" w:type="dxa"/>
            <w:vAlign w:val="bottom"/>
          </w:tcPr>
          <w:p>
            <w:pPr>
              <w:ind w:left="200"/>
              <w:spacing w:after="0"/>
              <w:rPr>
                <w:sz w:val="20"/>
                <w:szCs w:val="20"/>
                <w:color w:val="auto"/>
              </w:rPr>
            </w:pPr>
            <w:r>
              <w:rPr>
                <w:rFonts w:ascii="Arial" w:cs="Arial" w:eastAsia="Arial" w:hAnsi="Arial"/>
                <w:sz w:val="18"/>
                <w:szCs w:val="18"/>
                <w:color w:val="auto"/>
              </w:rPr>
              <w:t>Joint Steering Committee</w:t>
            </w:r>
          </w:p>
        </w:tc>
        <w:tc>
          <w:tcPr>
            <w:tcW w:w="2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5.3</w:t>
            </w:r>
          </w:p>
        </w:tc>
        <w:tc>
          <w:tcPr>
            <w:tcW w:w="7740" w:type="dxa"/>
            <w:vAlign w:val="bottom"/>
          </w:tcPr>
          <w:p>
            <w:pPr>
              <w:ind w:left="200"/>
              <w:spacing w:after="0"/>
              <w:rPr>
                <w:sz w:val="20"/>
                <w:szCs w:val="20"/>
                <w:color w:val="auto"/>
              </w:rPr>
            </w:pPr>
            <w:r>
              <w:rPr>
                <w:rFonts w:ascii="Arial" w:cs="Arial" w:eastAsia="Arial" w:hAnsi="Arial"/>
                <w:sz w:val="18"/>
                <w:szCs w:val="18"/>
                <w:color w:val="auto"/>
              </w:rPr>
              <w:t>Progress Reports</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8740" w:type="dxa"/>
            <w:vAlign w:val="bottom"/>
            <w:gridSpan w:val="2"/>
          </w:tcPr>
          <w:p>
            <w:pPr>
              <w:ind w:left="120"/>
              <w:spacing w:after="0"/>
              <w:rPr>
                <w:sz w:val="20"/>
                <w:szCs w:val="20"/>
                <w:color w:val="auto"/>
              </w:rPr>
            </w:pPr>
            <w:r>
              <w:rPr>
                <w:rFonts w:ascii="Arial" w:cs="Arial" w:eastAsia="Arial" w:hAnsi="Arial"/>
                <w:sz w:val="18"/>
                <w:szCs w:val="18"/>
                <w:color w:val="auto"/>
              </w:rPr>
              <w:t>ARTICLE VI LICENSES</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6.1</w:t>
            </w:r>
          </w:p>
        </w:tc>
        <w:tc>
          <w:tcPr>
            <w:tcW w:w="7740" w:type="dxa"/>
            <w:vAlign w:val="bottom"/>
          </w:tcPr>
          <w:p>
            <w:pPr>
              <w:ind w:left="200"/>
              <w:spacing w:after="0"/>
              <w:rPr>
                <w:sz w:val="20"/>
                <w:szCs w:val="20"/>
                <w:color w:val="auto"/>
              </w:rPr>
            </w:pPr>
            <w:r>
              <w:rPr>
                <w:rFonts w:ascii="Arial" w:cs="Arial" w:eastAsia="Arial" w:hAnsi="Arial"/>
                <w:sz w:val="18"/>
                <w:szCs w:val="18"/>
                <w:color w:val="auto"/>
              </w:rPr>
              <w:t>Licenses</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6.2</w:t>
            </w:r>
          </w:p>
        </w:tc>
        <w:tc>
          <w:tcPr>
            <w:tcW w:w="7740" w:type="dxa"/>
            <w:vAlign w:val="bottom"/>
          </w:tcPr>
          <w:p>
            <w:pPr>
              <w:ind w:left="200"/>
              <w:spacing w:after="0"/>
              <w:rPr>
                <w:sz w:val="20"/>
                <w:szCs w:val="20"/>
                <w:color w:val="auto"/>
              </w:rPr>
            </w:pPr>
            <w:r>
              <w:rPr>
                <w:rFonts w:ascii="Arial" w:cs="Arial" w:eastAsia="Arial" w:hAnsi="Arial"/>
                <w:sz w:val="18"/>
                <w:szCs w:val="18"/>
                <w:color w:val="auto"/>
              </w:rPr>
              <w:t>Sublicenses</w:t>
            </w: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64"/>
        </w:trPr>
        <w:tc>
          <w:tcPr>
            <w:tcW w:w="1000" w:type="dxa"/>
            <w:vAlign w:val="bottom"/>
          </w:tcPr>
          <w:p>
            <w:pPr>
              <w:spacing w:after="0"/>
              <w:rPr>
                <w:sz w:val="24"/>
                <w:szCs w:val="24"/>
                <w:color w:val="auto"/>
              </w:rPr>
            </w:pPr>
          </w:p>
        </w:tc>
        <w:tc>
          <w:tcPr>
            <w:tcW w:w="7740" w:type="dxa"/>
            <w:vAlign w:val="bottom"/>
          </w:tcPr>
          <w:p>
            <w:pPr>
              <w:ind w:left="4540"/>
              <w:spacing w:after="0"/>
              <w:rPr>
                <w:sz w:val="20"/>
                <w:szCs w:val="20"/>
                <w:color w:val="auto"/>
              </w:rPr>
            </w:pPr>
            <w:r>
              <w:rPr>
                <w:rFonts w:ascii="Arial" w:cs="Arial" w:eastAsia="Arial" w:hAnsi="Arial"/>
                <w:sz w:val="18"/>
                <w:szCs w:val="18"/>
                <w:color w:val="auto"/>
              </w:rPr>
              <w:t>-i-</w:t>
            </w:r>
          </w:p>
        </w:tc>
        <w:tc>
          <w:tcPr>
            <w:tcW w:w="2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6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677" w:name="page678"/>
    <w:bookmarkEnd w:id="677"/>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5920" w:type="dxa"/>
            <w:vAlign w:val="bottom"/>
          </w:tcPr>
          <w:p>
            <w:pPr>
              <w:spacing w:after="0"/>
              <w:rPr>
                <w:sz w:val="20"/>
                <w:szCs w:val="20"/>
                <w:color w:val="auto"/>
              </w:rPr>
            </w:pPr>
          </w:p>
        </w:tc>
      </w:tr>
      <w:tr>
        <w:trPr>
          <w:trHeight w:val="513"/>
        </w:trPr>
        <w:tc>
          <w:tcPr>
            <w:tcW w:w="1000" w:type="dxa"/>
            <w:vAlign w:val="bottom"/>
          </w:tcPr>
          <w:p>
            <w:pPr>
              <w:ind w:left="480"/>
              <w:spacing w:after="0"/>
              <w:rPr>
                <w:sz w:val="20"/>
                <w:szCs w:val="20"/>
                <w:color w:val="auto"/>
              </w:rPr>
            </w:pPr>
            <w:r>
              <w:rPr>
                <w:rFonts w:ascii="Arial" w:cs="Arial" w:eastAsia="Arial" w:hAnsi="Arial"/>
                <w:sz w:val="18"/>
                <w:szCs w:val="18"/>
                <w:color w:val="auto"/>
              </w:rPr>
              <w:t>6.3</w:t>
            </w:r>
          </w:p>
        </w:tc>
        <w:tc>
          <w:tcPr>
            <w:tcW w:w="4160" w:type="dxa"/>
            <w:vAlign w:val="bottom"/>
          </w:tcPr>
          <w:p>
            <w:pPr>
              <w:ind w:left="200"/>
              <w:spacing w:after="0"/>
              <w:rPr>
                <w:sz w:val="20"/>
                <w:szCs w:val="20"/>
                <w:color w:val="auto"/>
              </w:rPr>
            </w:pPr>
            <w:r>
              <w:rPr>
                <w:rFonts w:ascii="Arial" w:cs="Arial" w:eastAsia="Arial" w:hAnsi="Arial"/>
                <w:sz w:val="18"/>
                <w:szCs w:val="18"/>
                <w:color w:val="auto"/>
              </w:rPr>
              <w:t>Subcontracting</w:t>
            </w:r>
          </w:p>
        </w:tc>
        <w:tc>
          <w:tcPr>
            <w:tcW w:w="5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6.4</w:t>
            </w:r>
          </w:p>
        </w:tc>
        <w:tc>
          <w:tcPr>
            <w:tcW w:w="4160" w:type="dxa"/>
            <w:vAlign w:val="bottom"/>
          </w:tcPr>
          <w:p>
            <w:pPr>
              <w:ind w:left="200"/>
              <w:spacing w:after="0"/>
              <w:rPr>
                <w:sz w:val="20"/>
                <w:szCs w:val="20"/>
                <w:color w:val="auto"/>
              </w:rPr>
            </w:pPr>
            <w:r>
              <w:rPr>
                <w:rFonts w:ascii="Arial" w:cs="Arial" w:eastAsia="Arial" w:hAnsi="Arial"/>
                <w:sz w:val="18"/>
                <w:szCs w:val="18"/>
                <w:color w:val="auto"/>
              </w:rPr>
              <w:t>Rights Retained by the Parties</w:t>
            </w:r>
          </w:p>
        </w:tc>
        <w:tc>
          <w:tcPr>
            <w:tcW w:w="5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6.5</w:t>
            </w:r>
          </w:p>
        </w:tc>
        <w:tc>
          <w:tcPr>
            <w:tcW w:w="4160" w:type="dxa"/>
            <w:vAlign w:val="bottom"/>
          </w:tcPr>
          <w:p>
            <w:pPr>
              <w:ind w:left="200"/>
              <w:spacing w:after="0"/>
              <w:rPr>
                <w:sz w:val="20"/>
                <w:szCs w:val="20"/>
                <w:color w:val="auto"/>
              </w:rPr>
            </w:pPr>
            <w:r>
              <w:rPr>
                <w:rFonts w:ascii="Arial" w:cs="Arial" w:eastAsia="Arial" w:hAnsi="Arial"/>
                <w:sz w:val="18"/>
                <w:szCs w:val="18"/>
                <w:color w:val="auto"/>
              </w:rPr>
              <w:t>No Implied Licenses</w:t>
            </w:r>
          </w:p>
        </w:tc>
        <w:tc>
          <w:tcPr>
            <w:tcW w:w="5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6.6</w:t>
            </w:r>
          </w:p>
        </w:tc>
        <w:tc>
          <w:tcPr>
            <w:tcW w:w="4160" w:type="dxa"/>
            <w:vAlign w:val="bottom"/>
          </w:tcPr>
          <w:p>
            <w:pPr>
              <w:ind w:left="200"/>
              <w:spacing w:after="0"/>
              <w:rPr>
                <w:sz w:val="20"/>
                <w:szCs w:val="20"/>
                <w:color w:val="auto"/>
              </w:rPr>
            </w:pPr>
            <w:r>
              <w:rPr>
                <w:rFonts w:ascii="Arial" w:cs="Arial" w:eastAsia="Arial" w:hAnsi="Arial"/>
                <w:sz w:val="18"/>
                <w:szCs w:val="18"/>
                <w:color w:val="auto"/>
              </w:rPr>
              <w:t>Section 365(n) of the Bankruptcy Code</w:t>
            </w:r>
          </w:p>
        </w:tc>
        <w:tc>
          <w:tcPr>
            <w:tcW w:w="5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6.7</w:t>
            </w:r>
          </w:p>
        </w:tc>
        <w:tc>
          <w:tcPr>
            <w:tcW w:w="4160" w:type="dxa"/>
            <w:vAlign w:val="bottom"/>
          </w:tcPr>
          <w:p>
            <w:pPr>
              <w:ind w:left="200"/>
              <w:spacing w:after="0"/>
              <w:rPr>
                <w:sz w:val="20"/>
                <w:szCs w:val="20"/>
                <w:color w:val="auto"/>
              </w:rPr>
            </w:pPr>
            <w:r>
              <w:rPr>
                <w:rFonts w:ascii="Arial" w:cs="Arial" w:eastAsia="Arial" w:hAnsi="Arial"/>
                <w:sz w:val="18"/>
                <w:szCs w:val="18"/>
                <w:color w:val="auto"/>
              </w:rPr>
              <w:t>America Invents Act</w:t>
            </w:r>
          </w:p>
        </w:tc>
        <w:tc>
          <w:tcPr>
            <w:tcW w:w="5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6.8</w:t>
            </w:r>
          </w:p>
        </w:tc>
        <w:tc>
          <w:tcPr>
            <w:tcW w:w="4160" w:type="dxa"/>
            <w:vAlign w:val="bottom"/>
          </w:tcPr>
          <w:p>
            <w:pPr>
              <w:ind w:left="200"/>
              <w:spacing w:after="0"/>
              <w:rPr>
                <w:sz w:val="20"/>
                <w:szCs w:val="20"/>
                <w:color w:val="auto"/>
              </w:rPr>
            </w:pPr>
            <w:r>
              <w:rPr>
                <w:rFonts w:ascii="Arial" w:cs="Arial" w:eastAsia="Arial" w:hAnsi="Arial"/>
                <w:sz w:val="18"/>
                <w:szCs w:val="18"/>
                <w:color w:val="auto"/>
              </w:rPr>
              <w:t>Recording</w:t>
            </w:r>
          </w:p>
        </w:tc>
        <w:tc>
          <w:tcPr>
            <w:tcW w:w="5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ARTICLE VII RIGHT OF FIRST NEGOTIATION</w:t>
            </w:r>
          </w:p>
        </w:tc>
        <w:tc>
          <w:tcPr>
            <w:tcW w:w="5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7.1</w:t>
            </w:r>
          </w:p>
        </w:tc>
        <w:tc>
          <w:tcPr>
            <w:tcW w:w="4160" w:type="dxa"/>
            <w:vAlign w:val="bottom"/>
          </w:tcPr>
          <w:p>
            <w:pPr>
              <w:ind w:left="200"/>
              <w:spacing w:after="0"/>
              <w:rPr>
                <w:sz w:val="20"/>
                <w:szCs w:val="20"/>
                <w:color w:val="auto"/>
              </w:rPr>
            </w:pPr>
            <w:r>
              <w:rPr>
                <w:rFonts w:ascii="Arial" w:cs="Arial" w:eastAsia="Arial" w:hAnsi="Arial"/>
                <w:sz w:val="18"/>
                <w:szCs w:val="18"/>
                <w:color w:val="auto"/>
              </w:rPr>
              <w:t>Notification</w:t>
            </w:r>
          </w:p>
        </w:tc>
        <w:tc>
          <w:tcPr>
            <w:tcW w:w="5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7.2</w:t>
            </w:r>
          </w:p>
        </w:tc>
        <w:tc>
          <w:tcPr>
            <w:tcW w:w="4160" w:type="dxa"/>
            <w:vAlign w:val="bottom"/>
          </w:tcPr>
          <w:p>
            <w:pPr>
              <w:ind w:left="200"/>
              <w:spacing w:after="0"/>
              <w:rPr>
                <w:sz w:val="20"/>
                <w:szCs w:val="20"/>
                <w:color w:val="auto"/>
              </w:rPr>
            </w:pPr>
            <w:r>
              <w:rPr>
                <w:rFonts w:ascii="Arial" w:cs="Arial" w:eastAsia="Arial" w:hAnsi="Arial"/>
                <w:sz w:val="18"/>
                <w:szCs w:val="18"/>
                <w:color w:val="auto"/>
              </w:rPr>
              <w:t>Right of First Negotiation</w:t>
            </w:r>
          </w:p>
        </w:tc>
        <w:tc>
          <w:tcPr>
            <w:tcW w:w="5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7.3</w:t>
            </w:r>
          </w:p>
        </w:tc>
        <w:tc>
          <w:tcPr>
            <w:tcW w:w="4160" w:type="dxa"/>
            <w:vAlign w:val="bottom"/>
          </w:tcPr>
          <w:p>
            <w:pPr>
              <w:ind w:left="200"/>
              <w:spacing w:after="0"/>
              <w:rPr>
                <w:sz w:val="20"/>
                <w:szCs w:val="20"/>
                <w:color w:val="auto"/>
              </w:rPr>
            </w:pPr>
            <w:r>
              <w:rPr>
                <w:rFonts w:ascii="Arial" w:cs="Arial" w:eastAsia="Arial" w:hAnsi="Arial"/>
                <w:sz w:val="18"/>
                <w:szCs w:val="18"/>
                <w:color w:val="auto"/>
              </w:rPr>
              <w:t>Counteroffer Right</w:t>
            </w:r>
          </w:p>
        </w:tc>
        <w:tc>
          <w:tcPr>
            <w:tcW w:w="5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ARTICLE VIII EXCLUSIVITY</w:t>
            </w:r>
          </w:p>
        </w:tc>
        <w:tc>
          <w:tcPr>
            <w:tcW w:w="5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8.1</w:t>
            </w:r>
          </w:p>
        </w:tc>
        <w:tc>
          <w:tcPr>
            <w:tcW w:w="4160" w:type="dxa"/>
            <w:vAlign w:val="bottom"/>
          </w:tcPr>
          <w:p>
            <w:pPr>
              <w:ind w:left="200"/>
              <w:spacing w:after="0"/>
              <w:rPr>
                <w:sz w:val="20"/>
                <w:szCs w:val="20"/>
                <w:color w:val="auto"/>
              </w:rPr>
            </w:pPr>
            <w:r>
              <w:rPr>
                <w:rFonts w:ascii="Arial" w:cs="Arial" w:eastAsia="Arial" w:hAnsi="Arial"/>
                <w:sz w:val="18"/>
                <w:szCs w:val="18"/>
                <w:color w:val="auto"/>
              </w:rPr>
              <w:t>Repare Exclusivity Obligations</w:t>
            </w:r>
          </w:p>
        </w:tc>
        <w:tc>
          <w:tcPr>
            <w:tcW w:w="5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8.2</w:t>
            </w:r>
          </w:p>
        </w:tc>
        <w:tc>
          <w:tcPr>
            <w:tcW w:w="4160" w:type="dxa"/>
            <w:vAlign w:val="bottom"/>
          </w:tcPr>
          <w:p>
            <w:pPr>
              <w:ind w:left="200"/>
              <w:spacing w:after="0"/>
              <w:rPr>
                <w:sz w:val="20"/>
                <w:szCs w:val="20"/>
                <w:color w:val="auto"/>
              </w:rPr>
            </w:pPr>
            <w:r>
              <w:rPr>
                <w:rFonts w:ascii="Arial" w:cs="Arial" w:eastAsia="Arial" w:hAnsi="Arial"/>
                <w:sz w:val="18"/>
                <w:szCs w:val="18"/>
                <w:color w:val="auto"/>
              </w:rPr>
              <w:t>Certain Exceptions to Exclusivity</w:t>
            </w:r>
          </w:p>
        </w:tc>
        <w:tc>
          <w:tcPr>
            <w:tcW w:w="5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ARTICLE IX FINANCIAL TERMS</w:t>
            </w:r>
          </w:p>
        </w:tc>
        <w:tc>
          <w:tcPr>
            <w:tcW w:w="5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9.1</w:t>
            </w:r>
          </w:p>
        </w:tc>
        <w:tc>
          <w:tcPr>
            <w:tcW w:w="4160" w:type="dxa"/>
            <w:vAlign w:val="bottom"/>
          </w:tcPr>
          <w:p>
            <w:pPr>
              <w:ind w:left="200"/>
              <w:spacing w:after="0"/>
              <w:rPr>
                <w:sz w:val="20"/>
                <w:szCs w:val="20"/>
                <w:color w:val="auto"/>
              </w:rPr>
            </w:pPr>
            <w:r>
              <w:rPr>
                <w:rFonts w:ascii="Arial" w:cs="Arial" w:eastAsia="Arial" w:hAnsi="Arial"/>
                <w:sz w:val="18"/>
                <w:szCs w:val="18"/>
                <w:color w:val="auto"/>
              </w:rPr>
              <w:t>Upfront Payment</w:t>
            </w:r>
          </w:p>
        </w:tc>
        <w:tc>
          <w:tcPr>
            <w:tcW w:w="5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9.2</w:t>
            </w:r>
          </w:p>
        </w:tc>
        <w:tc>
          <w:tcPr>
            <w:tcW w:w="4160" w:type="dxa"/>
            <w:vAlign w:val="bottom"/>
          </w:tcPr>
          <w:p>
            <w:pPr>
              <w:ind w:left="200"/>
              <w:spacing w:after="0"/>
              <w:rPr>
                <w:sz w:val="20"/>
                <w:szCs w:val="20"/>
                <w:color w:val="auto"/>
              </w:rPr>
            </w:pPr>
            <w:r>
              <w:rPr>
                <w:rFonts w:ascii="Arial" w:cs="Arial" w:eastAsia="Arial" w:hAnsi="Arial"/>
                <w:sz w:val="18"/>
                <w:szCs w:val="18"/>
                <w:color w:val="auto"/>
              </w:rPr>
              <w:t>Warrant Agreement</w:t>
            </w:r>
          </w:p>
        </w:tc>
        <w:tc>
          <w:tcPr>
            <w:tcW w:w="5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9.3</w:t>
            </w:r>
          </w:p>
        </w:tc>
        <w:tc>
          <w:tcPr>
            <w:tcW w:w="4160" w:type="dxa"/>
            <w:vAlign w:val="bottom"/>
          </w:tcPr>
          <w:p>
            <w:pPr>
              <w:ind w:left="200"/>
              <w:spacing w:after="0"/>
              <w:rPr>
                <w:sz w:val="20"/>
                <w:szCs w:val="20"/>
                <w:color w:val="auto"/>
              </w:rPr>
            </w:pPr>
            <w:r>
              <w:rPr>
                <w:rFonts w:ascii="Arial" w:cs="Arial" w:eastAsia="Arial" w:hAnsi="Arial"/>
                <w:sz w:val="18"/>
                <w:szCs w:val="18"/>
                <w:color w:val="auto"/>
              </w:rPr>
              <w:t>Option Exercise Fee</w:t>
            </w:r>
          </w:p>
        </w:tc>
        <w:tc>
          <w:tcPr>
            <w:tcW w:w="5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9.4</w:t>
            </w:r>
          </w:p>
        </w:tc>
        <w:tc>
          <w:tcPr>
            <w:tcW w:w="4160" w:type="dxa"/>
            <w:vAlign w:val="bottom"/>
          </w:tcPr>
          <w:p>
            <w:pPr>
              <w:ind w:left="200"/>
              <w:spacing w:after="0"/>
              <w:rPr>
                <w:sz w:val="20"/>
                <w:szCs w:val="20"/>
                <w:color w:val="auto"/>
              </w:rPr>
            </w:pPr>
            <w:r>
              <w:rPr>
                <w:rFonts w:ascii="Arial" w:cs="Arial" w:eastAsia="Arial" w:hAnsi="Arial"/>
                <w:sz w:val="18"/>
                <w:szCs w:val="18"/>
                <w:color w:val="auto"/>
              </w:rPr>
              <w:t>[***] Milestone Payment</w:t>
            </w:r>
          </w:p>
        </w:tc>
        <w:tc>
          <w:tcPr>
            <w:tcW w:w="5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9.5</w:t>
            </w:r>
          </w:p>
        </w:tc>
        <w:tc>
          <w:tcPr>
            <w:tcW w:w="4160" w:type="dxa"/>
            <w:vAlign w:val="bottom"/>
          </w:tcPr>
          <w:p>
            <w:pPr>
              <w:ind w:left="200"/>
              <w:spacing w:after="0"/>
              <w:rPr>
                <w:sz w:val="20"/>
                <w:szCs w:val="20"/>
                <w:color w:val="auto"/>
              </w:rPr>
            </w:pPr>
            <w:r>
              <w:rPr>
                <w:rFonts w:ascii="Arial" w:cs="Arial" w:eastAsia="Arial" w:hAnsi="Arial"/>
                <w:sz w:val="18"/>
                <w:szCs w:val="18"/>
                <w:color w:val="auto"/>
              </w:rPr>
              <w:t>Additional Target Selection Fee</w:t>
            </w:r>
          </w:p>
        </w:tc>
        <w:tc>
          <w:tcPr>
            <w:tcW w:w="5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9.6</w:t>
            </w:r>
          </w:p>
        </w:tc>
        <w:tc>
          <w:tcPr>
            <w:tcW w:w="4160" w:type="dxa"/>
            <w:vAlign w:val="bottom"/>
          </w:tcPr>
          <w:p>
            <w:pPr>
              <w:ind w:left="200"/>
              <w:spacing w:after="0"/>
              <w:rPr>
                <w:sz w:val="20"/>
                <w:szCs w:val="20"/>
                <w:color w:val="auto"/>
              </w:rPr>
            </w:pPr>
            <w:r>
              <w:rPr>
                <w:rFonts w:ascii="Arial" w:cs="Arial" w:eastAsia="Arial" w:hAnsi="Arial"/>
                <w:sz w:val="18"/>
                <w:szCs w:val="18"/>
                <w:color w:val="auto"/>
              </w:rPr>
              <w:t>Additional Collaboration Undruggable Target Fee</w:t>
            </w:r>
          </w:p>
        </w:tc>
        <w:tc>
          <w:tcPr>
            <w:tcW w:w="5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9.7</w:t>
            </w:r>
          </w:p>
        </w:tc>
        <w:tc>
          <w:tcPr>
            <w:tcW w:w="4160" w:type="dxa"/>
            <w:vAlign w:val="bottom"/>
          </w:tcPr>
          <w:p>
            <w:pPr>
              <w:ind w:left="200"/>
              <w:spacing w:after="0"/>
              <w:rPr>
                <w:sz w:val="20"/>
                <w:szCs w:val="20"/>
                <w:color w:val="auto"/>
              </w:rPr>
            </w:pPr>
            <w:r>
              <w:rPr>
                <w:rFonts w:ascii="Arial" w:cs="Arial" w:eastAsia="Arial" w:hAnsi="Arial"/>
                <w:sz w:val="18"/>
                <w:szCs w:val="18"/>
                <w:color w:val="auto"/>
              </w:rPr>
              <w:t>[***] Milestone Payment</w:t>
            </w:r>
          </w:p>
        </w:tc>
        <w:tc>
          <w:tcPr>
            <w:tcW w:w="5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9.8</w:t>
            </w:r>
          </w:p>
        </w:tc>
        <w:tc>
          <w:tcPr>
            <w:tcW w:w="4160" w:type="dxa"/>
            <w:vAlign w:val="bottom"/>
          </w:tcPr>
          <w:p>
            <w:pPr>
              <w:ind w:left="200"/>
              <w:spacing w:after="0"/>
              <w:rPr>
                <w:sz w:val="20"/>
                <w:szCs w:val="20"/>
                <w:color w:val="auto"/>
              </w:rPr>
            </w:pPr>
            <w:r>
              <w:rPr>
                <w:rFonts w:ascii="Arial" w:cs="Arial" w:eastAsia="Arial" w:hAnsi="Arial"/>
                <w:sz w:val="18"/>
                <w:szCs w:val="18"/>
                <w:color w:val="auto"/>
              </w:rPr>
              <w:t>[***] Milestone Payment</w:t>
            </w:r>
          </w:p>
        </w:tc>
        <w:tc>
          <w:tcPr>
            <w:tcW w:w="5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9.9</w:t>
            </w:r>
          </w:p>
        </w:tc>
        <w:tc>
          <w:tcPr>
            <w:tcW w:w="4160" w:type="dxa"/>
            <w:vAlign w:val="bottom"/>
          </w:tcPr>
          <w:p>
            <w:pPr>
              <w:ind w:left="200"/>
              <w:spacing w:after="0"/>
              <w:rPr>
                <w:sz w:val="20"/>
                <w:szCs w:val="20"/>
                <w:color w:val="auto"/>
              </w:rPr>
            </w:pPr>
            <w:r>
              <w:rPr>
                <w:rFonts w:ascii="Arial" w:cs="Arial" w:eastAsia="Arial" w:hAnsi="Arial"/>
                <w:sz w:val="18"/>
                <w:szCs w:val="18"/>
                <w:color w:val="auto"/>
              </w:rPr>
              <w:t>Milestone Payments</w:t>
            </w:r>
          </w:p>
        </w:tc>
        <w:tc>
          <w:tcPr>
            <w:tcW w:w="5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9.10</w:t>
            </w:r>
          </w:p>
        </w:tc>
        <w:tc>
          <w:tcPr>
            <w:tcW w:w="4160" w:type="dxa"/>
            <w:vAlign w:val="bottom"/>
          </w:tcPr>
          <w:p>
            <w:pPr>
              <w:ind w:left="200"/>
              <w:spacing w:after="0"/>
              <w:rPr>
                <w:sz w:val="20"/>
                <w:szCs w:val="20"/>
                <w:color w:val="auto"/>
              </w:rPr>
            </w:pPr>
            <w:r>
              <w:rPr>
                <w:rFonts w:ascii="Arial" w:cs="Arial" w:eastAsia="Arial" w:hAnsi="Arial"/>
                <w:sz w:val="18"/>
                <w:szCs w:val="18"/>
                <w:color w:val="auto"/>
              </w:rPr>
              <w:t>Royalty Payments</w:t>
            </w:r>
          </w:p>
        </w:tc>
        <w:tc>
          <w:tcPr>
            <w:tcW w:w="59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9.11</w:t>
            </w:r>
          </w:p>
        </w:tc>
        <w:tc>
          <w:tcPr>
            <w:tcW w:w="4160" w:type="dxa"/>
            <w:vAlign w:val="bottom"/>
          </w:tcPr>
          <w:p>
            <w:pPr>
              <w:ind w:left="200"/>
              <w:spacing w:after="0"/>
              <w:rPr>
                <w:sz w:val="20"/>
                <w:szCs w:val="20"/>
                <w:color w:val="auto"/>
              </w:rPr>
            </w:pPr>
            <w:r>
              <w:rPr>
                <w:rFonts w:ascii="Arial" w:cs="Arial" w:eastAsia="Arial" w:hAnsi="Arial"/>
                <w:sz w:val="18"/>
                <w:szCs w:val="18"/>
                <w:color w:val="auto"/>
              </w:rPr>
              <w:t>Third Party Compound Payments</w:t>
            </w:r>
          </w:p>
        </w:tc>
        <w:tc>
          <w:tcPr>
            <w:tcW w:w="5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9.12</w:t>
            </w:r>
          </w:p>
        </w:tc>
        <w:tc>
          <w:tcPr>
            <w:tcW w:w="4160" w:type="dxa"/>
            <w:vAlign w:val="bottom"/>
          </w:tcPr>
          <w:p>
            <w:pPr>
              <w:ind w:left="200"/>
              <w:spacing w:after="0"/>
              <w:rPr>
                <w:sz w:val="20"/>
                <w:szCs w:val="20"/>
                <w:color w:val="auto"/>
              </w:rPr>
            </w:pPr>
            <w:r>
              <w:rPr>
                <w:rFonts w:ascii="Arial" w:cs="Arial" w:eastAsia="Arial" w:hAnsi="Arial"/>
                <w:sz w:val="18"/>
                <w:szCs w:val="18"/>
                <w:color w:val="auto"/>
              </w:rPr>
              <w:t>Third Party Payments</w:t>
            </w:r>
          </w:p>
        </w:tc>
        <w:tc>
          <w:tcPr>
            <w:tcW w:w="59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9.13</w:t>
            </w:r>
          </w:p>
        </w:tc>
        <w:tc>
          <w:tcPr>
            <w:tcW w:w="4160" w:type="dxa"/>
            <w:vAlign w:val="bottom"/>
          </w:tcPr>
          <w:p>
            <w:pPr>
              <w:ind w:left="200"/>
              <w:spacing w:after="0"/>
              <w:rPr>
                <w:sz w:val="20"/>
                <w:szCs w:val="20"/>
                <w:color w:val="auto"/>
              </w:rPr>
            </w:pPr>
            <w:r>
              <w:rPr>
                <w:rFonts w:ascii="Arial" w:cs="Arial" w:eastAsia="Arial" w:hAnsi="Arial"/>
                <w:sz w:val="18"/>
                <w:szCs w:val="18"/>
                <w:color w:val="auto"/>
              </w:rPr>
              <w:t>Financial Records</w:t>
            </w:r>
          </w:p>
        </w:tc>
        <w:tc>
          <w:tcPr>
            <w:tcW w:w="59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9.14</w:t>
            </w:r>
          </w:p>
        </w:tc>
        <w:tc>
          <w:tcPr>
            <w:tcW w:w="4160" w:type="dxa"/>
            <w:vAlign w:val="bottom"/>
          </w:tcPr>
          <w:p>
            <w:pPr>
              <w:ind w:left="200"/>
              <w:spacing w:after="0"/>
              <w:rPr>
                <w:sz w:val="20"/>
                <w:szCs w:val="20"/>
                <w:color w:val="auto"/>
              </w:rPr>
            </w:pPr>
            <w:r>
              <w:rPr>
                <w:rFonts w:ascii="Arial" w:cs="Arial" w:eastAsia="Arial" w:hAnsi="Arial"/>
                <w:sz w:val="18"/>
                <w:szCs w:val="18"/>
                <w:color w:val="auto"/>
              </w:rPr>
              <w:t>Audits</w:t>
            </w:r>
          </w:p>
        </w:tc>
        <w:tc>
          <w:tcPr>
            <w:tcW w:w="59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9.15</w:t>
            </w:r>
          </w:p>
        </w:tc>
        <w:tc>
          <w:tcPr>
            <w:tcW w:w="4160" w:type="dxa"/>
            <w:vAlign w:val="bottom"/>
          </w:tcPr>
          <w:p>
            <w:pPr>
              <w:ind w:left="200"/>
              <w:spacing w:after="0"/>
              <w:rPr>
                <w:sz w:val="20"/>
                <w:szCs w:val="20"/>
                <w:color w:val="auto"/>
              </w:rPr>
            </w:pPr>
            <w:r>
              <w:rPr>
                <w:rFonts w:ascii="Arial" w:cs="Arial" w:eastAsia="Arial" w:hAnsi="Arial"/>
                <w:sz w:val="18"/>
                <w:szCs w:val="18"/>
                <w:color w:val="auto"/>
              </w:rPr>
              <w:t>Tax Matters</w:t>
            </w:r>
          </w:p>
        </w:tc>
        <w:tc>
          <w:tcPr>
            <w:tcW w:w="59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9.16</w:t>
            </w:r>
          </w:p>
        </w:tc>
        <w:tc>
          <w:tcPr>
            <w:tcW w:w="4160" w:type="dxa"/>
            <w:vAlign w:val="bottom"/>
          </w:tcPr>
          <w:p>
            <w:pPr>
              <w:ind w:left="200"/>
              <w:spacing w:after="0"/>
              <w:rPr>
                <w:sz w:val="20"/>
                <w:szCs w:val="20"/>
                <w:color w:val="auto"/>
              </w:rPr>
            </w:pPr>
            <w:r>
              <w:rPr>
                <w:rFonts w:ascii="Arial" w:cs="Arial" w:eastAsia="Arial" w:hAnsi="Arial"/>
                <w:sz w:val="18"/>
                <w:szCs w:val="18"/>
                <w:color w:val="auto"/>
              </w:rPr>
              <w:t>Currency Exchange</w:t>
            </w:r>
          </w:p>
        </w:tc>
        <w:tc>
          <w:tcPr>
            <w:tcW w:w="59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9.17</w:t>
            </w:r>
          </w:p>
        </w:tc>
        <w:tc>
          <w:tcPr>
            <w:tcW w:w="4160" w:type="dxa"/>
            <w:vAlign w:val="bottom"/>
          </w:tcPr>
          <w:p>
            <w:pPr>
              <w:ind w:left="200"/>
              <w:spacing w:after="0"/>
              <w:rPr>
                <w:sz w:val="20"/>
                <w:szCs w:val="20"/>
                <w:color w:val="auto"/>
              </w:rPr>
            </w:pPr>
            <w:r>
              <w:rPr>
                <w:rFonts w:ascii="Arial" w:cs="Arial" w:eastAsia="Arial" w:hAnsi="Arial"/>
                <w:sz w:val="18"/>
                <w:szCs w:val="18"/>
                <w:color w:val="auto"/>
              </w:rPr>
              <w:t>Late Payments</w:t>
            </w:r>
          </w:p>
        </w:tc>
        <w:tc>
          <w:tcPr>
            <w:tcW w:w="59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9.18</w:t>
            </w:r>
          </w:p>
        </w:tc>
        <w:tc>
          <w:tcPr>
            <w:tcW w:w="4160" w:type="dxa"/>
            <w:vAlign w:val="bottom"/>
          </w:tcPr>
          <w:p>
            <w:pPr>
              <w:ind w:left="200"/>
              <w:spacing w:after="0"/>
              <w:rPr>
                <w:sz w:val="20"/>
                <w:szCs w:val="20"/>
                <w:color w:val="auto"/>
              </w:rPr>
            </w:pPr>
            <w:r>
              <w:rPr>
                <w:rFonts w:ascii="Arial" w:cs="Arial" w:eastAsia="Arial" w:hAnsi="Arial"/>
                <w:sz w:val="18"/>
                <w:szCs w:val="18"/>
                <w:color w:val="auto"/>
              </w:rPr>
              <w:t>Blocked Payments</w:t>
            </w:r>
          </w:p>
        </w:tc>
        <w:tc>
          <w:tcPr>
            <w:tcW w:w="59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9.19</w:t>
            </w:r>
          </w:p>
        </w:tc>
        <w:tc>
          <w:tcPr>
            <w:tcW w:w="4160" w:type="dxa"/>
            <w:vAlign w:val="bottom"/>
          </w:tcPr>
          <w:p>
            <w:pPr>
              <w:ind w:left="200"/>
              <w:spacing w:after="0"/>
              <w:rPr>
                <w:sz w:val="20"/>
                <w:szCs w:val="20"/>
                <w:color w:val="auto"/>
              </w:rPr>
            </w:pPr>
            <w:r>
              <w:rPr>
                <w:rFonts w:ascii="Arial" w:cs="Arial" w:eastAsia="Arial" w:hAnsi="Arial"/>
                <w:sz w:val="18"/>
                <w:szCs w:val="18"/>
                <w:color w:val="auto"/>
              </w:rPr>
              <w:t>Prohibitions on Payments</w:t>
            </w:r>
          </w:p>
        </w:tc>
        <w:tc>
          <w:tcPr>
            <w:tcW w:w="59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64"/>
        </w:trPr>
        <w:tc>
          <w:tcPr>
            <w:tcW w:w="10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920" w:type="dxa"/>
            <w:vAlign w:val="bottom"/>
          </w:tcPr>
          <w:p>
            <w:pPr>
              <w:jc w:val="right"/>
              <w:ind w:right="5250"/>
              <w:spacing w:after="0"/>
              <w:rPr>
                <w:sz w:val="20"/>
                <w:szCs w:val="20"/>
                <w:color w:val="auto"/>
              </w:rPr>
            </w:pPr>
            <w:r>
              <w:rPr>
                <w:rFonts w:ascii="Arial" w:cs="Arial" w:eastAsia="Arial" w:hAnsi="Arial"/>
                <w:sz w:val="18"/>
                <w:szCs w:val="18"/>
                <w:color w:val="auto"/>
              </w:rPr>
              <w:t>-ii-</w:t>
            </w:r>
          </w:p>
        </w:tc>
      </w:tr>
    </w:tbl>
    <w:p>
      <w:pPr>
        <w:jc w:val="right"/>
        <w:ind w:right="5250"/>
        <w:spacing w:after="0"/>
        <w:rPr>
          <w:sz w:val="20"/>
          <w:szCs w:val="20"/>
          <w:color w:val="auto"/>
        </w:rPr>
        <w:sectPr>
          <w:pgSz w:w="11900" w:h="16838" w:orient="portrait"/>
          <w:cols w:equalWidth="0" w:num="1">
            <w:col w:w="11080"/>
          </w:cols>
          <w:pgMar w:left="320" w:top="46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678" w:name="page679"/>
    <w:bookmarkEnd w:id="678"/>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5660" w:type="dxa"/>
            <w:vAlign w:val="bottom"/>
          </w:tcPr>
          <w:p>
            <w:pPr>
              <w:spacing w:after="0"/>
              <w:rPr>
                <w:sz w:val="20"/>
                <w:szCs w:val="20"/>
                <w:color w:val="auto"/>
              </w:rPr>
            </w:pPr>
          </w:p>
        </w:tc>
      </w:tr>
      <w:tr>
        <w:trPr>
          <w:trHeight w:val="513"/>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ARTICLE X INTELLECTUAL PROPERTY</w:t>
            </w:r>
          </w:p>
        </w:tc>
        <w:tc>
          <w:tcPr>
            <w:tcW w:w="56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4420" w:type="dxa"/>
            <w:vAlign w:val="bottom"/>
          </w:tcPr>
          <w:p>
            <w:pPr>
              <w:ind w:left="200"/>
              <w:spacing w:after="0"/>
              <w:rPr>
                <w:sz w:val="20"/>
                <w:szCs w:val="20"/>
                <w:color w:val="auto"/>
              </w:rPr>
            </w:pPr>
            <w:r>
              <w:rPr>
                <w:rFonts w:ascii="Arial" w:cs="Arial" w:eastAsia="Arial" w:hAnsi="Arial"/>
                <w:sz w:val="18"/>
                <w:szCs w:val="18"/>
                <w:color w:val="auto"/>
              </w:rPr>
              <w:t>Background IP</w:t>
            </w:r>
          </w:p>
        </w:tc>
        <w:tc>
          <w:tcPr>
            <w:tcW w:w="56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10.2</w:t>
            </w:r>
          </w:p>
        </w:tc>
        <w:tc>
          <w:tcPr>
            <w:tcW w:w="4420" w:type="dxa"/>
            <w:vAlign w:val="bottom"/>
          </w:tcPr>
          <w:p>
            <w:pPr>
              <w:ind w:left="200"/>
              <w:spacing w:after="0"/>
              <w:rPr>
                <w:sz w:val="20"/>
                <w:szCs w:val="20"/>
                <w:color w:val="auto"/>
              </w:rPr>
            </w:pPr>
            <w:r>
              <w:rPr>
                <w:rFonts w:ascii="Arial" w:cs="Arial" w:eastAsia="Arial" w:hAnsi="Arial"/>
                <w:sz w:val="18"/>
                <w:szCs w:val="18"/>
                <w:color w:val="auto"/>
              </w:rPr>
              <w:t>Ownership of Collaboration Intellectual Property</w:t>
            </w:r>
          </w:p>
        </w:tc>
        <w:tc>
          <w:tcPr>
            <w:tcW w:w="56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10.3</w:t>
            </w:r>
          </w:p>
        </w:tc>
        <w:tc>
          <w:tcPr>
            <w:tcW w:w="4420" w:type="dxa"/>
            <w:vAlign w:val="bottom"/>
          </w:tcPr>
          <w:p>
            <w:pPr>
              <w:ind w:left="200"/>
              <w:spacing w:after="0"/>
              <w:rPr>
                <w:sz w:val="20"/>
                <w:szCs w:val="20"/>
                <w:color w:val="auto"/>
              </w:rPr>
            </w:pPr>
            <w:r>
              <w:rPr>
                <w:rFonts w:ascii="Arial" w:cs="Arial" w:eastAsia="Arial" w:hAnsi="Arial"/>
                <w:sz w:val="18"/>
                <w:szCs w:val="18"/>
                <w:color w:val="auto"/>
                <w:w w:val="90"/>
              </w:rPr>
              <w:t>Prosecution, Defense and Enforcement of Subject Patents</w:t>
            </w:r>
          </w:p>
        </w:tc>
        <w:tc>
          <w:tcPr>
            <w:tcW w:w="56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10.4</w:t>
            </w:r>
          </w:p>
        </w:tc>
        <w:tc>
          <w:tcPr>
            <w:tcW w:w="4420" w:type="dxa"/>
            <w:vAlign w:val="bottom"/>
          </w:tcPr>
          <w:p>
            <w:pPr>
              <w:ind w:left="200"/>
              <w:spacing w:after="0"/>
              <w:rPr>
                <w:sz w:val="20"/>
                <w:szCs w:val="20"/>
                <w:color w:val="auto"/>
              </w:rPr>
            </w:pPr>
            <w:r>
              <w:rPr>
                <w:rFonts w:ascii="Arial" w:cs="Arial" w:eastAsia="Arial" w:hAnsi="Arial"/>
                <w:sz w:val="18"/>
                <w:szCs w:val="18"/>
                <w:color w:val="auto"/>
              </w:rPr>
              <w:t>Defense of Claims Brought by Third Parties</w:t>
            </w:r>
          </w:p>
        </w:tc>
        <w:tc>
          <w:tcPr>
            <w:tcW w:w="56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ARTICLE XI CONFIDENTIALITY</w:t>
            </w:r>
          </w:p>
        </w:tc>
        <w:tc>
          <w:tcPr>
            <w:tcW w:w="56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000" w:type="dxa"/>
            <w:vAlign w:val="bottom"/>
          </w:tcPr>
          <w:p>
            <w:pPr>
              <w:jc w:val="right"/>
              <w:ind w:right="130"/>
              <w:spacing w:after="0"/>
              <w:rPr>
                <w:sz w:val="20"/>
                <w:szCs w:val="20"/>
                <w:color w:val="auto"/>
              </w:rPr>
            </w:pPr>
            <w:r>
              <w:rPr>
                <w:rFonts w:ascii="Arial" w:cs="Arial" w:eastAsia="Arial" w:hAnsi="Arial"/>
                <w:sz w:val="18"/>
                <w:szCs w:val="18"/>
                <w:color w:val="auto"/>
              </w:rPr>
              <w:t>11.1</w:t>
            </w:r>
          </w:p>
        </w:tc>
        <w:tc>
          <w:tcPr>
            <w:tcW w:w="4420" w:type="dxa"/>
            <w:vAlign w:val="bottom"/>
          </w:tcPr>
          <w:p>
            <w:pPr>
              <w:ind w:left="200"/>
              <w:spacing w:after="0"/>
              <w:rPr>
                <w:sz w:val="20"/>
                <w:szCs w:val="20"/>
                <w:color w:val="auto"/>
              </w:rPr>
            </w:pPr>
            <w:r>
              <w:rPr>
                <w:rFonts w:ascii="Arial" w:cs="Arial" w:eastAsia="Arial" w:hAnsi="Arial"/>
                <w:sz w:val="18"/>
                <w:szCs w:val="18"/>
                <w:color w:val="auto"/>
              </w:rPr>
              <w:t>Confidential Information</w:t>
            </w:r>
          </w:p>
        </w:tc>
        <w:tc>
          <w:tcPr>
            <w:tcW w:w="56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000" w:type="dxa"/>
            <w:vAlign w:val="bottom"/>
          </w:tcPr>
          <w:p>
            <w:pPr>
              <w:jc w:val="right"/>
              <w:ind w:right="130"/>
              <w:spacing w:after="0"/>
              <w:rPr>
                <w:sz w:val="20"/>
                <w:szCs w:val="20"/>
                <w:color w:val="auto"/>
              </w:rPr>
            </w:pPr>
            <w:r>
              <w:rPr>
                <w:rFonts w:ascii="Arial" w:cs="Arial" w:eastAsia="Arial" w:hAnsi="Arial"/>
                <w:sz w:val="18"/>
                <w:szCs w:val="18"/>
                <w:color w:val="auto"/>
              </w:rPr>
              <w:t>11.2</w:t>
            </w:r>
          </w:p>
        </w:tc>
        <w:tc>
          <w:tcPr>
            <w:tcW w:w="4420" w:type="dxa"/>
            <w:vAlign w:val="bottom"/>
          </w:tcPr>
          <w:p>
            <w:pPr>
              <w:ind w:left="200"/>
              <w:spacing w:after="0"/>
              <w:rPr>
                <w:sz w:val="20"/>
                <w:szCs w:val="20"/>
                <w:color w:val="auto"/>
              </w:rPr>
            </w:pPr>
            <w:r>
              <w:rPr>
                <w:rFonts w:ascii="Arial" w:cs="Arial" w:eastAsia="Arial" w:hAnsi="Arial"/>
                <w:sz w:val="18"/>
                <w:szCs w:val="18"/>
                <w:color w:val="auto"/>
              </w:rPr>
              <w:t>Permitted Disclosures</w:t>
            </w:r>
          </w:p>
        </w:tc>
        <w:tc>
          <w:tcPr>
            <w:tcW w:w="5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000" w:type="dxa"/>
            <w:vAlign w:val="bottom"/>
          </w:tcPr>
          <w:p>
            <w:pPr>
              <w:jc w:val="right"/>
              <w:ind w:right="130"/>
              <w:spacing w:after="0"/>
              <w:rPr>
                <w:sz w:val="20"/>
                <w:szCs w:val="20"/>
                <w:color w:val="auto"/>
              </w:rPr>
            </w:pPr>
            <w:r>
              <w:rPr>
                <w:rFonts w:ascii="Arial" w:cs="Arial" w:eastAsia="Arial" w:hAnsi="Arial"/>
                <w:sz w:val="18"/>
                <w:szCs w:val="18"/>
                <w:color w:val="auto"/>
              </w:rPr>
              <w:t>11.3</w:t>
            </w:r>
          </w:p>
        </w:tc>
        <w:tc>
          <w:tcPr>
            <w:tcW w:w="4420" w:type="dxa"/>
            <w:vAlign w:val="bottom"/>
          </w:tcPr>
          <w:p>
            <w:pPr>
              <w:ind w:left="200"/>
              <w:spacing w:after="0"/>
              <w:rPr>
                <w:sz w:val="20"/>
                <w:szCs w:val="20"/>
                <w:color w:val="auto"/>
              </w:rPr>
            </w:pPr>
            <w:r>
              <w:rPr>
                <w:rFonts w:ascii="Arial" w:cs="Arial" w:eastAsia="Arial" w:hAnsi="Arial"/>
                <w:sz w:val="18"/>
                <w:szCs w:val="18"/>
                <w:color w:val="auto"/>
                <w:w w:val="96"/>
              </w:rPr>
              <w:t>Publicity; Terms of this Agreement; Non-Use of Names</w:t>
            </w:r>
          </w:p>
        </w:tc>
        <w:tc>
          <w:tcPr>
            <w:tcW w:w="5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000" w:type="dxa"/>
            <w:vAlign w:val="bottom"/>
          </w:tcPr>
          <w:p>
            <w:pPr>
              <w:jc w:val="right"/>
              <w:ind w:right="130"/>
              <w:spacing w:after="0"/>
              <w:rPr>
                <w:sz w:val="20"/>
                <w:szCs w:val="20"/>
                <w:color w:val="auto"/>
              </w:rPr>
            </w:pPr>
            <w:r>
              <w:rPr>
                <w:rFonts w:ascii="Arial" w:cs="Arial" w:eastAsia="Arial" w:hAnsi="Arial"/>
                <w:sz w:val="18"/>
                <w:szCs w:val="18"/>
                <w:color w:val="auto"/>
              </w:rPr>
              <w:t>11.4</w:t>
            </w:r>
          </w:p>
        </w:tc>
        <w:tc>
          <w:tcPr>
            <w:tcW w:w="4420" w:type="dxa"/>
            <w:vAlign w:val="bottom"/>
          </w:tcPr>
          <w:p>
            <w:pPr>
              <w:ind w:left="200"/>
              <w:spacing w:after="0"/>
              <w:rPr>
                <w:sz w:val="20"/>
                <w:szCs w:val="20"/>
                <w:color w:val="auto"/>
              </w:rPr>
            </w:pPr>
            <w:r>
              <w:rPr>
                <w:rFonts w:ascii="Arial" w:cs="Arial" w:eastAsia="Arial" w:hAnsi="Arial"/>
                <w:sz w:val="18"/>
                <w:szCs w:val="18"/>
                <w:color w:val="auto"/>
              </w:rPr>
              <w:t>Publications</w:t>
            </w:r>
          </w:p>
        </w:tc>
        <w:tc>
          <w:tcPr>
            <w:tcW w:w="56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000" w:type="dxa"/>
            <w:vAlign w:val="bottom"/>
          </w:tcPr>
          <w:p>
            <w:pPr>
              <w:jc w:val="right"/>
              <w:ind w:right="130"/>
              <w:spacing w:after="0"/>
              <w:rPr>
                <w:sz w:val="20"/>
                <w:szCs w:val="20"/>
                <w:color w:val="auto"/>
              </w:rPr>
            </w:pPr>
            <w:r>
              <w:rPr>
                <w:rFonts w:ascii="Arial" w:cs="Arial" w:eastAsia="Arial" w:hAnsi="Arial"/>
                <w:sz w:val="18"/>
                <w:szCs w:val="18"/>
                <w:color w:val="auto"/>
              </w:rPr>
              <w:t>11.5</w:t>
            </w:r>
          </w:p>
        </w:tc>
        <w:tc>
          <w:tcPr>
            <w:tcW w:w="4420" w:type="dxa"/>
            <w:vAlign w:val="bottom"/>
          </w:tcPr>
          <w:p>
            <w:pPr>
              <w:ind w:left="200"/>
              <w:spacing w:after="0"/>
              <w:rPr>
                <w:sz w:val="20"/>
                <w:szCs w:val="20"/>
                <w:color w:val="auto"/>
              </w:rPr>
            </w:pPr>
            <w:r>
              <w:rPr>
                <w:rFonts w:ascii="Arial" w:cs="Arial" w:eastAsia="Arial" w:hAnsi="Arial"/>
                <w:sz w:val="18"/>
                <w:szCs w:val="18"/>
                <w:color w:val="auto"/>
              </w:rPr>
              <w:t>Term</w:t>
            </w:r>
          </w:p>
        </w:tc>
        <w:tc>
          <w:tcPr>
            <w:tcW w:w="56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000" w:type="dxa"/>
            <w:vAlign w:val="bottom"/>
          </w:tcPr>
          <w:p>
            <w:pPr>
              <w:jc w:val="right"/>
              <w:ind w:right="130"/>
              <w:spacing w:after="0"/>
              <w:rPr>
                <w:sz w:val="20"/>
                <w:szCs w:val="20"/>
                <w:color w:val="auto"/>
              </w:rPr>
            </w:pPr>
            <w:r>
              <w:rPr>
                <w:rFonts w:ascii="Arial" w:cs="Arial" w:eastAsia="Arial" w:hAnsi="Arial"/>
                <w:sz w:val="18"/>
                <w:szCs w:val="18"/>
                <w:color w:val="auto"/>
              </w:rPr>
              <w:t>11.6</w:t>
            </w:r>
          </w:p>
        </w:tc>
        <w:tc>
          <w:tcPr>
            <w:tcW w:w="4420" w:type="dxa"/>
            <w:vAlign w:val="bottom"/>
          </w:tcPr>
          <w:p>
            <w:pPr>
              <w:ind w:left="200"/>
              <w:spacing w:after="0"/>
              <w:rPr>
                <w:sz w:val="20"/>
                <w:szCs w:val="20"/>
                <w:color w:val="auto"/>
              </w:rPr>
            </w:pPr>
            <w:r>
              <w:rPr>
                <w:rFonts w:ascii="Arial" w:cs="Arial" w:eastAsia="Arial" w:hAnsi="Arial"/>
                <w:sz w:val="18"/>
                <w:szCs w:val="18"/>
                <w:color w:val="auto"/>
              </w:rPr>
              <w:t>Return of Confidential Information</w:t>
            </w:r>
          </w:p>
        </w:tc>
        <w:tc>
          <w:tcPr>
            <w:tcW w:w="56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ARTICLE XII REPRESENTATIONS AND WARRANTIES</w:t>
            </w:r>
          </w:p>
        </w:tc>
        <w:tc>
          <w:tcPr>
            <w:tcW w:w="5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12.1</w:t>
            </w:r>
          </w:p>
        </w:tc>
        <w:tc>
          <w:tcPr>
            <w:tcW w:w="4420" w:type="dxa"/>
            <w:vAlign w:val="bottom"/>
          </w:tcPr>
          <w:p>
            <w:pPr>
              <w:ind w:left="200"/>
              <w:spacing w:after="0"/>
              <w:rPr>
                <w:sz w:val="20"/>
                <w:szCs w:val="20"/>
                <w:color w:val="auto"/>
              </w:rPr>
            </w:pPr>
            <w:r>
              <w:rPr>
                <w:rFonts w:ascii="Arial" w:cs="Arial" w:eastAsia="Arial" w:hAnsi="Arial"/>
                <w:sz w:val="18"/>
                <w:szCs w:val="18"/>
                <w:color w:val="auto"/>
              </w:rPr>
              <w:t>Mutual Representations</w:t>
            </w:r>
          </w:p>
        </w:tc>
        <w:tc>
          <w:tcPr>
            <w:tcW w:w="5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12.2</w:t>
            </w:r>
          </w:p>
        </w:tc>
        <w:tc>
          <w:tcPr>
            <w:tcW w:w="4420" w:type="dxa"/>
            <w:vAlign w:val="bottom"/>
          </w:tcPr>
          <w:p>
            <w:pPr>
              <w:ind w:left="200"/>
              <w:spacing w:after="0"/>
              <w:rPr>
                <w:sz w:val="20"/>
                <w:szCs w:val="20"/>
                <w:color w:val="auto"/>
              </w:rPr>
            </w:pPr>
            <w:r>
              <w:rPr>
                <w:rFonts w:ascii="Arial" w:cs="Arial" w:eastAsia="Arial" w:hAnsi="Arial"/>
                <w:sz w:val="18"/>
                <w:szCs w:val="18"/>
                <w:color w:val="auto"/>
              </w:rPr>
              <w:t>Additional Repare Representations</w:t>
            </w:r>
          </w:p>
        </w:tc>
        <w:tc>
          <w:tcPr>
            <w:tcW w:w="5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12.3</w:t>
            </w:r>
          </w:p>
        </w:tc>
        <w:tc>
          <w:tcPr>
            <w:tcW w:w="4420" w:type="dxa"/>
            <w:vAlign w:val="bottom"/>
          </w:tcPr>
          <w:p>
            <w:pPr>
              <w:ind w:left="200"/>
              <w:spacing w:after="0"/>
              <w:rPr>
                <w:sz w:val="20"/>
                <w:szCs w:val="20"/>
                <w:color w:val="auto"/>
              </w:rPr>
            </w:pPr>
            <w:r>
              <w:rPr>
                <w:rFonts w:ascii="Arial" w:cs="Arial" w:eastAsia="Arial" w:hAnsi="Arial"/>
                <w:sz w:val="18"/>
                <w:szCs w:val="18"/>
                <w:color w:val="auto"/>
              </w:rPr>
              <w:t>Covenants</w:t>
            </w:r>
          </w:p>
        </w:tc>
        <w:tc>
          <w:tcPr>
            <w:tcW w:w="56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12.4</w:t>
            </w:r>
          </w:p>
        </w:tc>
        <w:tc>
          <w:tcPr>
            <w:tcW w:w="4420" w:type="dxa"/>
            <w:vAlign w:val="bottom"/>
          </w:tcPr>
          <w:p>
            <w:pPr>
              <w:ind w:left="200"/>
              <w:spacing w:after="0"/>
              <w:rPr>
                <w:sz w:val="20"/>
                <w:szCs w:val="20"/>
                <w:color w:val="auto"/>
              </w:rPr>
            </w:pPr>
            <w:r>
              <w:rPr>
                <w:rFonts w:ascii="Arial" w:cs="Arial" w:eastAsia="Arial" w:hAnsi="Arial"/>
                <w:sz w:val="18"/>
                <w:szCs w:val="18"/>
                <w:color w:val="auto"/>
              </w:rPr>
              <w:t>Disclaimer</w:t>
            </w:r>
          </w:p>
        </w:tc>
        <w:tc>
          <w:tcPr>
            <w:tcW w:w="56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ARTICLE XIII INDEMNIFICATION</w:t>
            </w:r>
          </w:p>
        </w:tc>
        <w:tc>
          <w:tcPr>
            <w:tcW w:w="56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13.1</w:t>
            </w:r>
          </w:p>
        </w:tc>
        <w:tc>
          <w:tcPr>
            <w:tcW w:w="4420" w:type="dxa"/>
            <w:vAlign w:val="bottom"/>
          </w:tcPr>
          <w:p>
            <w:pPr>
              <w:ind w:left="200"/>
              <w:spacing w:after="0"/>
              <w:rPr>
                <w:sz w:val="20"/>
                <w:szCs w:val="20"/>
                <w:color w:val="auto"/>
              </w:rPr>
            </w:pPr>
            <w:r>
              <w:rPr>
                <w:rFonts w:ascii="Arial" w:cs="Arial" w:eastAsia="Arial" w:hAnsi="Arial"/>
                <w:sz w:val="18"/>
                <w:szCs w:val="18"/>
                <w:color w:val="auto"/>
              </w:rPr>
              <w:t>By BMS</w:t>
            </w:r>
          </w:p>
        </w:tc>
        <w:tc>
          <w:tcPr>
            <w:tcW w:w="56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13.2</w:t>
            </w:r>
          </w:p>
        </w:tc>
        <w:tc>
          <w:tcPr>
            <w:tcW w:w="4420" w:type="dxa"/>
            <w:vAlign w:val="bottom"/>
          </w:tcPr>
          <w:p>
            <w:pPr>
              <w:ind w:left="200"/>
              <w:spacing w:after="0"/>
              <w:rPr>
                <w:sz w:val="20"/>
                <w:szCs w:val="20"/>
                <w:color w:val="auto"/>
              </w:rPr>
            </w:pPr>
            <w:r>
              <w:rPr>
                <w:rFonts w:ascii="Arial" w:cs="Arial" w:eastAsia="Arial" w:hAnsi="Arial"/>
                <w:sz w:val="18"/>
                <w:szCs w:val="18"/>
                <w:color w:val="auto"/>
              </w:rPr>
              <w:t>By Repare</w:t>
            </w:r>
          </w:p>
        </w:tc>
        <w:tc>
          <w:tcPr>
            <w:tcW w:w="56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13.3</w:t>
            </w:r>
          </w:p>
        </w:tc>
        <w:tc>
          <w:tcPr>
            <w:tcW w:w="4420" w:type="dxa"/>
            <w:vAlign w:val="bottom"/>
          </w:tcPr>
          <w:p>
            <w:pPr>
              <w:ind w:left="200"/>
              <w:spacing w:after="0"/>
              <w:rPr>
                <w:sz w:val="20"/>
                <w:szCs w:val="20"/>
                <w:color w:val="auto"/>
              </w:rPr>
            </w:pPr>
            <w:r>
              <w:rPr>
                <w:rFonts w:ascii="Arial" w:cs="Arial" w:eastAsia="Arial" w:hAnsi="Arial"/>
                <w:sz w:val="18"/>
                <w:szCs w:val="18"/>
                <w:color w:val="auto"/>
              </w:rPr>
              <w:t>Limitation of Liability</w:t>
            </w:r>
          </w:p>
        </w:tc>
        <w:tc>
          <w:tcPr>
            <w:tcW w:w="56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ARTICLE XIV TERM AND TERMINATION</w:t>
            </w:r>
          </w:p>
        </w:tc>
        <w:tc>
          <w:tcPr>
            <w:tcW w:w="56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14.1</w:t>
            </w:r>
          </w:p>
        </w:tc>
        <w:tc>
          <w:tcPr>
            <w:tcW w:w="4420" w:type="dxa"/>
            <w:vAlign w:val="bottom"/>
          </w:tcPr>
          <w:p>
            <w:pPr>
              <w:ind w:left="200"/>
              <w:spacing w:after="0"/>
              <w:rPr>
                <w:sz w:val="20"/>
                <w:szCs w:val="20"/>
                <w:color w:val="auto"/>
              </w:rPr>
            </w:pPr>
            <w:r>
              <w:rPr>
                <w:rFonts w:ascii="Arial" w:cs="Arial" w:eastAsia="Arial" w:hAnsi="Arial"/>
                <w:sz w:val="18"/>
                <w:szCs w:val="18"/>
                <w:color w:val="auto"/>
              </w:rPr>
              <w:t>Term; Expiration</w:t>
            </w:r>
          </w:p>
        </w:tc>
        <w:tc>
          <w:tcPr>
            <w:tcW w:w="56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14.2</w:t>
            </w:r>
          </w:p>
        </w:tc>
        <w:tc>
          <w:tcPr>
            <w:tcW w:w="4420" w:type="dxa"/>
            <w:vAlign w:val="bottom"/>
          </w:tcPr>
          <w:p>
            <w:pPr>
              <w:ind w:left="200"/>
              <w:spacing w:after="0"/>
              <w:rPr>
                <w:sz w:val="20"/>
                <w:szCs w:val="20"/>
                <w:color w:val="auto"/>
              </w:rPr>
            </w:pPr>
            <w:r>
              <w:rPr>
                <w:rFonts w:ascii="Arial" w:cs="Arial" w:eastAsia="Arial" w:hAnsi="Arial"/>
                <w:sz w:val="18"/>
                <w:szCs w:val="18"/>
                <w:color w:val="auto"/>
              </w:rPr>
              <w:t>Termination for Convenience</w:t>
            </w:r>
          </w:p>
        </w:tc>
        <w:tc>
          <w:tcPr>
            <w:tcW w:w="56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14.3</w:t>
            </w:r>
          </w:p>
        </w:tc>
        <w:tc>
          <w:tcPr>
            <w:tcW w:w="4420" w:type="dxa"/>
            <w:vAlign w:val="bottom"/>
          </w:tcPr>
          <w:p>
            <w:pPr>
              <w:ind w:left="200"/>
              <w:spacing w:after="0"/>
              <w:rPr>
                <w:sz w:val="20"/>
                <w:szCs w:val="20"/>
                <w:color w:val="auto"/>
              </w:rPr>
            </w:pPr>
            <w:r>
              <w:rPr>
                <w:rFonts w:ascii="Arial" w:cs="Arial" w:eastAsia="Arial" w:hAnsi="Arial"/>
                <w:sz w:val="18"/>
                <w:szCs w:val="18"/>
                <w:color w:val="auto"/>
              </w:rPr>
              <w:t>Termination for Breach</w:t>
            </w:r>
          </w:p>
        </w:tc>
        <w:tc>
          <w:tcPr>
            <w:tcW w:w="56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14.4</w:t>
            </w:r>
          </w:p>
        </w:tc>
        <w:tc>
          <w:tcPr>
            <w:tcW w:w="4420" w:type="dxa"/>
            <w:vAlign w:val="bottom"/>
          </w:tcPr>
          <w:p>
            <w:pPr>
              <w:ind w:left="200"/>
              <w:spacing w:after="0"/>
              <w:rPr>
                <w:sz w:val="20"/>
                <w:szCs w:val="20"/>
                <w:color w:val="auto"/>
              </w:rPr>
            </w:pPr>
            <w:r>
              <w:rPr>
                <w:rFonts w:ascii="Arial" w:cs="Arial" w:eastAsia="Arial" w:hAnsi="Arial"/>
                <w:sz w:val="18"/>
                <w:szCs w:val="18"/>
                <w:color w:val="auto"/>
              </w:rPr>
              <w:t>Termination for Insolvency</w:t>
            </w:r>
          </w:p>
        </w:tc>
        <w:tc>
          <w:tcPr>
            <w:tcW w:w="56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14.5</w:t>
            </w:r>
          </w:p>
        </w:tc>
        <w:tc>
          <w:tcPr>
            <w:tcW w:w="4420" w:type="dxa"/>
            <w:vAlign w:val="bottom"/>
          </w:tcPr>
          <w:p>
            <w:pPr>
              <w:ind w:left="200"/>
              <w:spacing w:after="0"/>
              <w:rPr>
                <w:sz w:val="20"/>
                <w:szCs w:val="20"/>
                <w:color w:val="auto"/>
              </w:rPr>
            </w:pPr>
            <w:r>
              <w:rPr>
                <w:rFonts w:ascii="Arial" w:cs="Arial" w:eastAsia="Arial" w:hAnsi="Arial"/>
                <w:sz w:val="18"/>
                <w:szCs w:val="18"/>
                <w:color w:val="auto"/>
              </w:rPr>
              <w:t>Effects of Expiration or Termination</w:t>
            </w:r>
          </w:p>
        </w:tc>
        <w:tc>
          <w:tcPr>
            <w:tcW w:w="56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14.6</w:t>
            </w:r>
          </w:p>
        </w:tc>
        <w:tc>
          <w:tcPr>
            <w:tcW w:w="4420" w:type="dxa"/>
            <w:vAlign w:val="bottom"/>
          </w:tcPr>
          <w:p>
            <w:pPr>
              <w:ind w:left="200"/>
              <w:spacing w:after="0"/>
              <w:rPr>
                <w:sz w:val="20"/>
                <w:szCs w:val="20"/>
                <w:color w:val="auto"/>
              </w:rPr>
            </w:pPr>
            <w:r>
              <w:rPr>
                <w:rFonts w:ascii="Arial" w:cs="Arial" w:eastAsia="Arial" w:hAnsi="Arial"/>
                <w:sz w:val="18"/>
                <w:szCs w:val="18"/>
                <w:color w:val="auto"/>
              </w:rPr>
              <w:t>Surviving Provisions</w:t>
            </w:r>
          </w:p>
        </w:tc>
        <w:tc>
          <w:tcPr>
            <w:tcW w:w="56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ARTICLE XV MISCELLANEOUS</w:t>
            </w:r>
          </w:p>
        </w:tc>
        <w:tc>
          <w:tcPr>
            <w:tcW w:w="56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15.1</w:t>
            </w:r>
          </w:p>
        </w:tc>
        <w:tc>
          <w:tcPr>
            <w:tcW w:w="4420" w:type="dxa"/>
            <w:vAlign w:val="bottom"/>
          </w:tcPr>
          <w:p>
            <w:pPr>
              <w:ind w:left="200"/>
              <w:spacing w:after="0"/>
              <w:rPr>
                <w:sz w:val="20"/>
                <w:szCs w:val="20"/>
                <w:color w:val="auto"/>
              </w:rPr>
            </w:pPr>
            <w:r>
              <w:rPr>
                <w:rFonts w:ascii="Arial" w:cs="Arial" w:eastAsia="Arial" w:hAnsi="Arial"/>
                <w:sz w:val="18"/>
                <w:szCs w:val="18"/>
                <w:color w:val="auto"/>
              </w:rPr>
              <w:t>Dispute Resolution</w:t>
            </w:r>
          </w:p>
        </w:tc>
        <w:tc>
          <w:tcPr>
            <w:tcW w:w="56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15.2</w:t>
            </w:r>
          </w:p>
        </w:tc>
        <w:tc>
          <w:tcPr>
            <w:tcW w:w="4420" w:type="dxa"/>
            <w:vAlign w:val="bottom"/>
          </w:tcPr>
          <w:p>
            <w:pPr>
              <w:ind w:left="200"/>
              <w:spacing w:after="0"/>
              <w:rPr>
                <w:sz w:val="20"/>
                <w:szCs w:val="20"/>
                <w:color w:val="auto"/>
              </w:rPr>
            </w:pPr>
            <w:r>
              <w:rPr>
                <w:rFonts w:ascii="Arial" w:cs="Arial" w:eastAsia="Arial" w:hAnsi="Arial"/>
                <w:sz w:val="18"/>
                <w:szCs w:val="18"/>
                <w:color w:val="auto"/>
              </w:rPr>
              <w:t>Arbitration</w:t>
            </w:r>
          </w:p>
        </w:tc>
        <w:tc>
          <w:tcPr>
            <w:tcW w:w="56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15.3</w:t>
            </w:r>
          </w:p>
        </w:tc>
        <w:tc>
          <w:tcPr>
            <w:tcW w:w="442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56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15.4</w:t>
            </w:r>
          </w:p>
        </w:tc>
        <w:tc>
          <w:tcPr>
            <w:tcW w:w="4420" w:type="dxa"/>
            <w:vAlign w:val="bottom"/>
          </w:tcPr>
          <w:p>
            <w:pPr>
              <w:ind w:left="200"/>
              <w:spacing w:after="0"/>
              <w:rPr>
                <w:sz w:val="20"/>
                <w:szCs w:val="20"/>
                <w:color w:val="auto"/>
              </w:rPr>
            </w:pPr>
            <w:r>
              <w:rPr>
                <w:rFonts w:ascii="Arial" w:cs="Arial" w:eastAsia="Arial" w:hAnsi="Arial"/>
                <w:sz w:val="18"/>
                <w:szCs w:val="18"/>
                <w:color w:val="auto"/>
              </w:rPr>
              <w:t>Assignment</w:t>
            </w:r>
          </w:p>
        </w:tc>
        <w:tc>
          <w:tcPr>
            <w:tcW w:w="56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64"/>
        </w:trPr>
        <w:tc>
          <w:tcPr>
            <w:tcW w:w="10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660" w:type="dxa"/>
            <w:vAlign w:val="bottom"/>
          </w:tcPr>
          <w:p>
            <w:pPr>
              <w:jc w:val="right"/>
              <w:ind w:right="5230"/>
              <w:spacing w:after="0"/>
              <w:rPr>
                <w:sz w:val="20"/>
                <w:szCs w:val="20"/>
                <w:color w:val="auto"/>
              </w:rPr>
            </w:pPr>
            <w:r>
              <w:rPr>
                <w:rFonts w:ascii="Arial" w:cs="Arial" w:eastAsia="Arial" w:hAnsi="Arial"/>
                <w:sz w:val="18"/>
                <w:szCs w:val="18"/>
                <w:color w:val="auto"/>
              </w:rPr>
              <w:t>-iii-</w:t>
            </w:r>
          </w:p>
        </w:tc>
      </w:tr>
    </w:tbl>
    <w:p>
      <w:pPr>
        <w:jc w:val="right"/>
        <w:ind w:right="5230"/>
        <w:spacing w:after="0"/>
        <w:rPr>
          <w:sz w:val="20"/>
          <w:szCs w:val="20"/>
          <w:color w:val="auto"/>
        </w:rPr>
        <w:sectPr>
          <w:pgSz w:w="11900" w:h="16838" w:orient="portrait"/>
          <w:cols w:equalWidth="0" w:num="1">
            <w:col w:w="11080"/>
          </w:cols>
          <w:pgMar w:left="320" w:top="46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679" w:name="page680"/>
    <w:bookmarkEnd w:id="679"/>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2720" w:type="dxa"/>
            <w:vAlign w:val="bottom"/>
          </w:tcPr>
          <w:p>
            <w:pPr>
              <w:spacing w:after="0"/>
              <w:rPr>
                <w:sz w:val="20"/>
                <w:szCs w:val="20"/>
                <w:color w:val="auto"/>
              </w:rPr>
            </w:pPr>
          </w:p>
        </w:tc>
      </w:tr>
      <w:tr>
        <w:trPr>
          <w:trHeight w:val="513"/>
        </w:trPr>
        <w:tc>
          <w:tcPr>
            <w:tcW w:w="1040" w:type="dxa"/>
            <w:vAlign w:val="bottom"/>
          </w:tcPr>
          <w:p>
            <w:pPr>
              <w:ind w:left="480"/>
              <w:spacing w:after="0"/>
              <w:rPr>
                <w:sz w:val="20"/>
                <w:szCs w:val="20"/>
                <w:color w:val="auto"/>
              </w:rPr>
            </w:pPr>
            <w:r>
              <w:rPr>
                <w:rFonts w:ascii="Arial" w:cs="Arial" w:eastAsia="Arial" w:hAnsi="Arial"/>
                <w:sz w:val="18"/>
                <w:szCs w:val="18"/>
                <w:color w:val="auto"/>
              </w:rPr>
              <w:t>15.5</w:t>
            </w:r>
          </w:p>
        </w:tc>
        <w:tc>
          <w:tcPr>
            <w:tcW w:w="7320" w:type="dxa"/>
            <w:vAlign w:val="bottom"/>
          </w:tcPr>
          <w:p>
            <w:pPr>
              <w:ind w:left="160"/>
              <w:spacing w:after="0"/>
              <w:rPr>
                <w:sz w:val="20"/>
                <w:szCs w:val="20"/>
                <w:color w:val="auto"/>
              </w:rPr>
            </w:pPr>
            <w:r>
              <w:rPr>
                <w:rFonts w:ascii="Arial" w:cs="Arial" w:eastAsia="Arial" w:hAnsi="Arial"/>
                <w:sz w:val="18"/>
                <w:szCs w:val="18"/>
                <w:color w:val="auto"/>
              </w:rPr>
              <w:t>Force Majeure</w:t>
            </w:r>
          </w:p>
        </w:tc>
        <w:tc>
          <w:tcPr>
            <w:tcW w:w="2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1040" w:type="dxa"/>
            <w:vAlign w:val="bottom"/>
          </w:tcPr>
          <w:p>
            <w:pPr>
              <w:ind w:left="480"/>
              <w:spacing w:after="0"/>
              <w:rPr>
                <w:sz w:val="20"/>
                <w:szCs w:val="20"/>
                <w:color w:val="auto"/>
              </w:rPr>
            </w:pPr>
            <w:r>
              <w:rPr>
                <w:rFonts w:ascii="Arial" w:cs="Arial" w:eastAsia="Arial" w:hAnsi="Arial"/>
                <w:sz w:val="18"/>
                <w:szCs w:val="18"/>
                <w:color w:val="auto"/>
              </w:rPr>
              <w:t>15.6</w:t>
            </w:r>
          </w:p>
        </w:tc>
        <w:tc>
          <w:tcPr>
            <w:tcW w:w="7320" w:type="dxa"/>
            <w:vAlign w:val="bottom"/>
          </w:tcPr>
          <w:p>
            <w:pPr>
              <w:ind w:left="160"/>
              <w:spacing w:after="0"/>
              <w:rPr>
                <w:sz w:val="20"/>
                <w:szCs w:val="20"/>
                <w:color w:val="auto"/>
              </w:rPr>
            </w:pPr>
            <w:r>
              <w:rPr>
                <w:rFonts w:ascii="Arial" w:cs="Arial" w:eastAsia="Arial" w:hAnsi="Arial"/>
                <w:sz w:val="18"/>
                <w:szCs w:val="18"/>
                <w:color w:val="auto"/>
              </w:rPr>
              <w:t>Notices</w:t>
            </w:r>
          </w:p>
        </w:tc>
        <w:tc>
          <w:tcPr>
            <w:tcW w:w="2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1040" w:type="dxa"/>
            <w:vAlign w:val="bottom"/>
          </w:tcPr>
          <w:p>
            <w:pPr>
              <w:ind w:left="480"/>
              <w:spacing w:after="0"/>
              <w:rPr>
                <w:sz w:val="20"/>
                <w:szCs w:val="20"/>
                <w:color w:val="auto"/>
              </w:rPr>
            </w:pPr>
            <w:r>
              <w:rPr>
                <w:rFonts w:ascii="Arial" w:cs="Arial" w:eastAsia="Arial" w:hAnsi="Arial"/>
                <w:sz w:val="18"/>
                <w:szCs w:val="18"/>
                <w:color w:val="auto"/>
              </w:rPr>
              <w:t>15.7</w:t>
            </w:r>
          </w:p>
        </w:tc>
        <w:tc>
          <w:tcPr>
            <w:tcW w:w="7320" w:type="dxa"/>
            <w:vAlign w:val="bottom"/>
          </w:tcPr>
          <w:p>
            <w:pPr>
              <w:ind w:left="160"/>
              <w:spacing w:after="0"/>
              <w:rPr>
                <w:sz w:val="20"/>
                <w:szCs w:val="20"/>
                <w:color w:val="auto"/>
              </w:rPr>
            </w:pPr>
            <w:r>
              <w:rPr>
                <w:rFonts w:ascii="Arial" w:cs="Arial" w:eastAsia="Arial" w:hAnsi="Arial"/>
                <w:sz w:val="18"/>
                <w:szCs w:val="18"/>
                <w:color w:val="auto"/>
              </w:rPr>
              <w:t>Waiver</w:t>
            </w:r>
          </w:p>
        </w:tc>
        <w:tc>
          <w:tcPr>
            <w:tcW w:w="2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040" w:type="dxa"/>
            <w:vAlign w:val="bottom"/>
          </w:tcPr>
          <w:p>
            <w:pPr>
              <w:ind w:left="480"/>
              <w:spacing w:after="0"/>
              <w:rPr>
                <w:sz w:val="20"/>
                <w:szCs w:val="20"/>
                <w:color w:val="auto"/>
              </w:rPr>
            </w:pPr>
            <w:r>
              <w:rPr>
                <w:rFonts w:ascii="Arial" w:cs="Arial" w:eastAsia="Arial" w:hAnsi="Arial"/>
                <w:sz w:val="18"/>
                <w:szCs w:val="18"/>
                <w:color w:val="auto"/>
              </w:rPr>
              <w:t>15.8</w:t>
            </w:r>
          </w:p>
        </w:tc>
        <w:tc>
          <w:tcPr>
            <w:tcW w:w="732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2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040" w:type="dxa"/>
            <w:vAlign w:val="bottom"/>
          </w:tcPr>
          <w:p>
            <w:pPr>
              <w:ind w:left="480"/>
              <w:spacing w:after="0"/>
              <w:rPr>
                <w:sz w:val="20"/>
                <w:szCs w:val="20"/>
                <w:color w:val="auto"/>
              </w:rPr>
            </w:pPr>
            <w:r>
              <w:rPr>
                <w:rFonts w:ascii="Arial" w:cs="Arial" w:eastAsia="Arial" w:hAnsi="Arial"/>
                <w:sz w:val="18"/>
                <w:szCs w:val="18"/>
                <w:color w:val="auto"/>
              </w:rPr>
              <w:t>15.9</w:t>
            </w:r>
          </w:p>
        </w:tc>
        <w:tc>
          <w:tcPr>
            <w:tcW w:w="7320" w:type="dxa"/>
            <w:vAlign w:val="bottom"/>
          </w:tcPr>
          <w:p>
            <w:pPr>
              <w:ind w:left="160"/>
              <w:spacing w:after="0"/>
              <w:rPr>
                <w:sz w:val="20"/>
                <w:szCs w:val="20"/>
                <w:color w:val="auto"/>
              </w:rPr>
            </w:pPr>
            <w:r>
              <w:rPr>
                <w:rFonts w:ascii="Arial" w:cs="Arial" w:eastAsia="Arial" w:hAnsi="Arial"/>
                <w:sz w:val="18"/>
                <w:szCs w:val="18"/>
                <w:color w:val="auto"/>
              </w:rPr>
              <w:t>Entire Agreement</w:t>
            </w:r>
          </w:p>
        </w:tc>
        <w:tc>
          <w:tcPr>
            <w:tcW w:w="2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040" w:type="dxa"/>
            <w:vAlign w:val="bottom"/>
          </w:tcPr>
          <w:p>
            <w:pPr>
              <w:ind w:left="480"/>
              <w:spacing w:after="0"/>
              <w:rPr>
                <w:sz w:val="20"/>
                <w:szCs w:val="20"/>
                <w:color w:val="auto"/>
              </w:rPr>
            </w:pPr>
            <w:r>
              <w:rPr>
                <w:rFonts w:ascii="Arial" w:cs="Arial" w:eastAsia="Arial" w:hAnsi="Arial"/>
                <w:sz w:val="18"/>
                <w:szCs w:val="18"/>
                <w:color w:val="auto"/>
              </w:rPr>
              <w:t>15.10</w:t>
            </w:r>
          </w:p>
        </w:tc>
        <w:tc>
          <w:tcPr>
            <w:tcW w:w="7320" w:type="dxa"/>
            <w:vAlign w:val="bottom"/>
          </w:tcPr>
          <w:p>
            <w:pPr>
              <w:ind w:left="160"/>
              <w:spacing w:after="0"/>
              <w:rPr>
                <w:sz w:val="20"/>
                <w:szCs w:val="20"/>
                <w:color w:val="auto"/>
              </w:rPr>
            </w:pPr>
            <w:r>
              <w:rPr>
                <w:rFonts w:ascii="Arial" w:cs="Arial" w:eastAsia="Arial" w:hAnsi="Arial"/>
                <w:sz w:val="18"/>
                <w:szCs w:val="18"/>
                <w:color w:val="auto"/>
              </w:rPr>
              <w:t>Modification</w:t>
            </w:r>
          </w:p>
        </w:tc>
        <w:tc>
          <w:tcPr>
            <w:tcW w:w="2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040" w:type="dxa"/>
            <w:vAlign w:val="bottom"/>
          </w:tcPr>
          <w:p>
            <w:pPr>
              <w:ind w:left="480"/>
              <w:spacing w:after="0"/>
              <w:rPr>
                <w:sz w:val="20"/>
                <w:szCs w:val="20"/>
                <w:color w:val="auto"/>
              </w:rPr>
            </w:pPr>
            <w:r>
              <w:rPr>
                <w:rFonts w:ascii="Arial" w:cs="Arial" w:eastAsia="Arial" w:hAnsi="Arial"/>
                <w:sz w:val="18"/>
                <w:szCs w:val="18"/>
                <w:color w:val="auto"/>
              </w:rPr>
              <w:t>15.11</w:t>
            </w:r>
          </w:p>
        </w:tc>
        <w:tc>
          <w:tcPr>
            <w:tcW w:w="7320" w:type="dxa"/>
            <w:vAlign w:val="bottom"/>
          </w:tcPr>
          <w:p>
            <w:pPr>
              <w:ind w:left="160"/>
              <w:spacing w:after="0"/>
              <w:rPr>
                <w:sz w:val="20"/>
                <w:szCs w:val="20"/>
                <w:color w:val="auto"/>
              </w:rPr>
            </w:pPr>
            <w:r>
              <w:rPr>
                <w:rFonts w:ascii="Arial" w:cs="Arial" w:eastAsia="Arial" w:hAnsi="Arial"/>
                <w:sz w:val="18"/>
                <w:szCs w:val="18"/>
                <w:color w:val="auto"/>
              </w:rPr>
              <w:t>Independent Contractors; No Intended Third Party Beneficiaries</w:t>
            </w:r>
          </w:p>
        </w:tc>
        <w:tc>
          <w:tcPr>
            <w:tcW w:w="2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040" w:type="dxa"/>
            <w:vAlign w:val="bottom"/>
          </w:tcPr>
          <w:p>
            <w:pPr>
              <w:ind w:left="480"/>
              <w:spacing w:after="0"/>
              <w:rPr>
                <w:sz w:val="20"/>
                <w:szCs w:val="20"/>
                <w:color w:val="auto"/>
              </w:rPr>
            </w:pPr>
            <w:r>
              <w:rPr>
                <w:rFonts w:ascii="Arial" w:cs="Arial" w:eastAsia="Arial" w:hAnsi="Arial"/>
                <w:sz w:val="18"/>
                <w:szCs w:val="18"/>
                <w:color w:val="auto"/>
              </w:rPr>
              <w:t>15.12</w:t>
            </w:r>
          </w:p>
        </w:tc>
        <w:tc>
          <w:tcPr>
            <w:tcW w:w="7320" w:type="dxa"/>
            <w:vAlign w:val="bottom"/>
          </w:tcPr>
          <w:p>
            <w:pPr>
              <w:ind w:left="160"/>
              <w:spacing w:after="0"/>
              <w:rPr>
                <w:sz w:val="20"/>
                <w:szCs w:val="20"/>
                <w:color w:val="auto"/>
              </w:rPr>
            </w:pPr>
            <w:r>
              <w:rPr>
                <w:rFonts w:ascii="Arial" w:cs="Arial" w:eastAsia="Arial" w:hAnsi="Arial"/>
                <w:sz w:val="18"/>
                <w:szCs w:val="18"/>
                <w:color w:val="auto"/>
              </w:rPr>
              <w:t>Interpretation; Construction</w:t>
            </w:r>
          </w:p>
        </w:tc>
        <w:tc>
          <w:tcPr>
            <w:tcW w:w="27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1040" w:type="dxa"/>
            <w:vAlign w:val="bottom"/>
          </w:tcPr>
          <w:p>
            <w:pPr>
              <w:ind w:left="480"/>
              <w:spacing w:after="0"/>
              <w:rPr>
                <w:sz w:val="20"/>
                <w:szCs w:val="20"/>
                <w:color w:val="auto"/>
              </w:rPr>
            </w:pPr>
            <w:r>
              <w:rPr>
                <w:rFonts w:ascii="Arial" w:cs="Arial" w:eastAsia="Arial" w:hAnsi="Arial"/>
                <w:sz w:val="18"/>
                <w:szCs w:val="18"/>
                <w:color w:val="auto"/>
              </w:rPr>
              <w:t>15.13</w:t>
            </w:r>
          </w:p>
        </w:tc>
        <w:tc>
          <w:tcPr>
            <w:tcW w:w="7320" w:type="dxa"/>
            <w:vAlign w:val="bottom"/>
          </w:tcPr>
          <w:p>
            <w:pPr>
              <w:ind w:left="160"/>
              <w:spacing w:after="0"/>
              <w:rPr>
                <w:sz w:val="20"/>
                <w:szCs w:val="20"/>
                <w:color w:val="auto"/>
              </w:rPr>
            </w:pPr>
            <w:r>
              <w:rPr>
                <w:rFonts w:ascii="Arial" w:cs="Arial" w:eastAsia="Arial" w:hAnsi="Arial"/>
                <w:sz w:val="18"/>
                <w:szCs w:val="18"/>
                <w:color w:val="auto"/>
              </w:rPr>
              <w:t>Performance by Affiliates</w:t>
            </w:r>
          </w:p>
        </w:tc>
        <w:tc>
          <w:tcPr>
            <w:tcW w:w="27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1040" w:type="dxa"/>
            <w:vAlign w:val="bottom"/>
          </w:tcPr>
          <w:p>
            <w:pPr>
              <w:ind w:left="480"/>
              <w:spacing w:after="0"/>
              <w:rPr>
                <w:sz w:val="20"/>
                <w:szCs w:val="20"/>
                <w:color w:val="auto"/>
              </w:rPr>
            </w:pPr>
            <w:r>
              <w:rPr>
                <w:rFonts w:ascii="Arial" w:cs="Arial" w:eastAsia="Arial" w:hAnsi="Arial"/>
                <w:sz w:val="18"/>
                <w:szCs w:val="18"/>
                <w:color w:val="auto"/>
              </w:rPr>
              <w:t>15.14</w:t>
            </w:r>
          </w:p>
        </w:tc>
        <w:tc>
          <w:tcPr>
            <w:tcW w:w="732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27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1040" w:type="dxa"/>
            <w:vAlign w:val="bottom"/>
          </w:tcPr>
          <w:p>
            <w:pPr>
              <w:ind w:left="480"/>
              <w:spacing w:after="0"/>
              <w:rPr>
                <w:sz w:val="20"/>
                <w:szCs w:val="20"/>
                <w:color w:val="auto"/>
              </w:rPr>
            </w:pPr>
            <w:r>
              <w:rPr>
                <w:rFonts w:ascii="Arial" w:cs="Arial" w:eastAsia="Arial" w:hAnsi="Arial"/>
                <w:sz w:val="18"/>
                <w:szCs w:val="18"/>
                <w:color w:val="auto"/>
              </w:rPr>
              <w:t>15.15</w:t>
            </w:r>
          </w:p>
        </w:tc>
        <w:tc>
          <w:tcPr>
            <w:tcW w:w="7320" w:type="dxa"/>
            <w:vAlign w:val="bottom"/>
          </w:tcPr>
          <w:p>
            <w:pPr>
              <w:ind w:left="160"/>
              <w:spacing w:after="0"/>
              <w:rPr>
                <w:sz w:val="20"/>
                <w:szCs w:val="20"/>
                <w:color w:val="auto"/>
              </w:rPr>
            </w:pPr>
            <w:r>
              <w:rPr>
                <w:rFonts w:ascii="Arial" w:cs="Arial" w:eastAsia="Arial" w:hAnsi="Arial"/>
                <w:sz w:val="18"/>
                <w:szCs w:val="18"/>
                <w:color w:val="auto"/>
              </w:rPr>
              <w:t>Equitable Relief</w:t>
            </w:r>
          </w:p>
        </w:tc>
        <w:tc>
          <w:tcPr>
            <w:tcW w:w="27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1040" w:type="dxa"/>
            <w:vAlign w:val="bottom"/>
          </w:tcPr>
          <w:p>
            <w:pPr>
              <w:ind w:left="480"/>
              <w:spacing w:after="0"/>
              <w:rPr>
                <w:sz w:val="20"/>
                <w:szCs w:val="20"/>
                <w:color w:val="auto"/>
              </w:rPr>
            </w:pPr>
            <w:r>
              <w:rPr>
                <w:rFonts w:ascii="Arial" w:cs="Arial" w:eastAsia="Arial" w:hAnsi="Arial"/>
                <w:sz w:val="18"/>
                <w:szCs w:val="18"/>
                <w:color w:val="auto"/>
              </w:rPr>
              <w:t>15.16</w:t>
            </w:r>
          </w:p>
        </w:tc>
        <w:tc>
          <w:tcPr>
            <w:tcW w:w="7320" w:type="dxa"/>
            <w:vAlign w:val="bottom"/>
          </w:tcPr>
          <w:p>
            <w:pPr>
              <w:ind w:left="160"/>
              <w:spacing w:after="0"/>
              <w:rPr>
                <w:sz w:val="20"/>
                <w:szCs w:val="20"/>
                <w:color w:val="auto"/>
              </w:rPr>
            </w:pPr>
            <w:r>
              <w:rPr>
                <w:rFonts w:ascii="Arial" w:cs="Arial" w:eastAsia="Arial" w:hAnsi="Arial"/>
                <w:sz w:val="18"/>
                <w:szCs w:val="18"/>
                <w:color w:val="auto"/>
              </w:rPr>
              <w:t>Further Assurances</w:t>
            </w:r>
          </w:p>
        </w:tc>
        <w:tc>
          <w:tcPr>
            <w:tcW w:w="2720" w:type="dxa"/>
            <w:vAlign w:val="bottom"/>
          </w:tcPr>
          <w:p>
            <w:pPr>
              <w:jc w:val="right"/>
              <w:spacing w:after="0"/>
              <w:rPr>
                <w:sz w:val="20"/>
                <w:szCs w:val="20"/>
                <w:color w:val="auto"/>
              </w:rPr>
            </w:pPr>
            <w:r>
              <w:rPr>
                <w:rFonts w:ascii="Arial" w:cs="Arial" w:eastAsia="Arial" w:hAnsi="Arial"/>
                <w:sz w:val="18"/>
                <w:szCs w:val="18"/>
                <w:color w:val="auto"/>
              </w:rPr>
              <w:t>84</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u w:val="single" w:color="auto"/>
          <w:color w:val="auto"/>
        </w:rPr>
        <w:t>Exhibits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Exhibit A – Research Plan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Exhibit B – Press Release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Exhibit C – Unblinding Letter</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Schedules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Schedule 1.1.55 – Existing Repare Campaigns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Schedule 5.2.6(c) – Expert Matter Arbitration</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60" w:right="499" w:bottom="1440" w:gutter="0" w:footer="0" w:header="0"/>
        </w:sectPr>
      </w:pPr>
    </w:p>
    <w:bookmarkStart w:id="680" w:name="page681"/>
    <w:bookmarkEnd w:id="6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COLLABORATION AND LICENSE AGREEMENT</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Collaboration and License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May 26,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Repare Therapeutics Inc., a Canadian corporation with offices at 7210 Frederick-Banting, Suite 100, St. Laurent, Quebec, Canada H4S 2A1 (“</w:t>
      </w:r>
      <w:r>
        <w:rPr>
          <w:rFonts w:ascii="Arial" w:cs="Arial" w:eastAsia="Arial" w:hAnsi="Arial"/>
          <w:sz w:val="18"/>
          <w:szCs w:val="18"/>
          <w:u w:val="single" w:color="auto"/>
          <w:color w:val="auto"/>
        </w:rPr>
        <w:t>Repare Inc.</w:t>
      </w:r>
      <w:r>
        <w:rPr>
          <w:rFonts w:ascii="Arial" w:cs="Arial" w:eastAsia="Arial" w:hAnsi="Arial"/>
          <w:sz w:val="18"/>
          <w:szCs w:val="18"/>
          <w:color w:val="auto"/>
        </w:rPr>
        <w:t>”) and Repare Therapeutics USA, Inc., a Delaware corporation with offices at One Broadway, 15</w:t>
      </w:r>
      <w:r>
        <w:rPr>
          <w:rFonts w:ascii="Arial" w:cs="Arial" w:eastAsia="Arial" w:hAnsi="Arial"/>
          <w:sz w:val="15"/>
          <w:szCs w:val="15"/>
          <w:color w:val="auto"/>
        </w:rPr>
        <w:t>th</w:t>
      </w:r>
      <w:r>
        <w:rPr>
          <w:rFonts w:ascii="Arial" w:cs="Arial" w:eastAsia="Arial" w:hAnsi="Arial"/>
          <w:sz w:val="18"/>
          <w:szCs w:val="18"/>
          <w:color w:val="auto"/>
        </w:rPr>
        <w:t xml:space="preserve"> Floor, Cambridge, Massachusetts 02142 (“</w:t>
      </w:r>
      <w:r>
        <w:rPr>
          <w:rFonts w:ascii="Arial" w:cs="Arial" w:eastAsia="Arial" w:hAnsi="Arial"/>
          <w:sz w:val="18"/>
          <w:szCs w:val="18"/>
          <w:u w:val="single" w:color="auto"/>
          <w:color w:val="auto"/>
        </w:rPr>
        <w:t>Repare USA</w:t>
      </w:r>
      <w:r>
        <w:rPr>
          <w:rFonts w:ascii="Arial" w:cs="Arial" w:eastAsia="Arial" w:hAnsi="Arial"/>
          <w:sz w:val="18"/>
          <w:szCs w:val="18"/>
          <w:color w:val="auto"/>
        </w:rPr>
        <w:t>” and, together with Repare Inc., “</w:t>
      </w:r>
      <w:r>
        <w:rPr>
          <w:rFonts w:ascii="Arial" w:cs="Arial" w:eastAsia="Arial" w:hAnsi="Arial"/>
          <w:sz w:val="18"/>
          <w:szCs w:val="18"/>
          <w:u w:val="single" w:color="auto"/>
          <w:color w:val="auto"/>
        </w:rPr>
        <w:t>Repare</w:t>
      </w:r>
      <w:r>
        <w:rPr>
          <w:rFonts w:ascii="Arial" w:cs="Arial" w:eastAsia="Arial" w:hAnsi="Arial"/>
          <w:sz w:val="18"/>
          <w:szCs w:val="18"/>
          <w:color w:val="auto"/>
        </w:rPr>
        <w:t>”), on the one hand, and Bristol-Myers Squibb Company, a Delaware corporation with offices at 430 E. 29</w:t>
      </w:r>
      <w:r>
        <w:rPr>
          <w:rFonts w:ascii="Arial" w:cs="Arial" w:eastAsia="Arial" w:hAnsi="Arial"/>
          <w:sz w:val="15"/>
          <w:szCs w:val="15"/>
          <w:color w:val="auto"/>
        </w:rPr>
        <w:t>th</w:t>
      </w:r>
      <w:r>
        <w:rPr>
          <w:rFonts w:ascii="Arial" w:cs="Arial" w:eastAsia="Arial" w:hAnsi="Arial"/>
          <w:sz w:val="18"/>
          <w:szCs w:val="18"/>
          <w:color w:val="auto"/>
        </w:rPr>
        <w:t xml:space="preserve"> Street, 14</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10016 (“</w:t>
      </w:r>
      <w:r>
        <w:rPr>
          <w:rFonts w:ascii="Arial" w:cs="Arial" w:eastAsia="Arial" w:hAnsi="Arial"/>
          <w:sz w:val="18"/>
          <w:szCs w:val="18"/>
          <w:u w:val="single" w:color="auto"/>
          <w:color w:val="auto"/>
        </w:rPr>
        <w:t>BMS</w:t>
      </w:r>
      <w:r>
        <w:rPr>
          <w:rFonts w:ascii="Arial" w:cs="Arial" w:eastAsia="Arial" w:hAnsi="Arial"/>
          <w:sz w:val="18"/>
          <w:szCs w:val="18"/>
          <w:color w:val="auto"/>
        </w:rPr>
        <w:t>”), on the other hand. BMS and Repare are each referred to herein by name or as a “</w:t>
      </w:r>
      <w:r>
        <w:rPr>
          <w:rFonts w:ascii="Arial" w:cs="Arial" w:eastAsia="Arial" w:hAnsi="Arial"/>
          <w:sz w:val="18"/>
          <w:szCs w:val="18"/>
          <w:u w:val="single" w:color="auto"/>
          <w:color w:val="auto"/>
        </w:rPr>
        <w:t>Party</w:t>
      </w:r>
      <w:r>
        <w:rPr>
          <w:rFonts w:ascii="Arial" w:cs="Arial" w:eastAsia="Arial" w:hAnsi="Arial"/>
          <w:sz w:val="18"/>
          <w:szCs w:val="18"/>
          <w:color w:val="auto"/>
        </w:rPr>
        <w:t>”, or,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120" w:right="68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Repare is a biotechnology company focused on developing innovative therapeutics that treat unmet clinical needs using its</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Synthetic Lethal (as defined below) Target (as defined below) discovery platform;</w:t>
      </w:r>
    </w:p>
    <w:p>
      <w:pPr>
        <w:spacing w:after="0" w:line="162" w:lineRule="exact"/>
        <w:rPr>
          <w:sz w:val="20"/>
          <w:szCs w:val="20"/>
          <w:color w:val="auto"/>
        </w:rPr>
      </w:pPr>
    </w:p>
    <w:p>
      <w:pPr>
        <w:ind w:left="120" w:right="7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BMS is engaged in the research, development and commercialization of therapeutic products to treat various diseases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w:t>
      </w:r>
    </w:p>
    <w:p>
      <w:pPr>
        <w:spacing w:after="0" w:line="162" w:lineRule="exact"/>
        <w:rPr>
          <w:sz w:val="20"/>
          <w:szCs w:val="20"/>
          <w:color w:val="auto"/>
        </w:rPr>
      </w:pPr>
    </w:p>
    <w:p>
      <w:pPr>
        <w:ind w:left="120" w:right="9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intend to collaborate on the research and development of therapies for the treatment of cancer indications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pre-identified patient populations; and</w:t>
      </w:r>
    </w:p>
    <w:p>
      <w:pPr>
        <w:spacing w:after="0" w:line="162" w:lineRule="exact"/>
        <w:rPr>
          <w:sz w:val="20"/>
          <w:szCs w:val="20"/>
          <w:color w:val="auto"/>
        </w:rPr>
      </w:pPr>
    </w:p>
    <w:p>
      <w:pPr>
        <w:ind w:left="120" w:right="68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Repare shall conduct certain research and development activities to identify Synthetic Lethal Targets, and BMS will obtain</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license option rights with respect to such targets, as further described herein;</w:t>
      </w:r>
    </w:p>
    <w:p>
      <w:pPr>
        <w:spacing w:after="0" w:line="162" w:lineRule="exact"/>
        <w:rPr>
          <w:sz w:val="20"/>
          <w:szCs w:val="20"/>
          <w:color w:val="auto"/>
        </w:rPr>
      </w:pPr>
    </w:p>
    <w:p>
      <w:pPr>
        <w:ind w:left="120" w:right="940" w:firstLine="440"/>
        <w:spacing w:after="0" w:line="31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and the mutual agreements set forth below, and for other good and valuable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the receipt and sufficiency of which are hereby acknowledged, the Parties hereby agree as follows:</w:t>
      </w: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DEFINITIONS</w:t>
      </w:r>
    </w:p>
    <w:p>
      <w:pPr>
        <w:spacing w:after="0" w:line="211"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Terms</w:t>
      </w:r>
      <w:r>
        <w:rPr>
          <w:rFonts w:ascii="Arial" w:cs="Arial" w:eastAsia="Arial" w:hAnsi="Arial"/>
          <w:sz w:val="16"/>
          <w:szCs w:val="16"/>
          <w:color w:val="auto"/>
        </w:rPr>
        <w:t>.</w:t>
      </w:r>
    </w:p>
    <w:p>
      <w:pPr>
        <w:spacing w:after="0" w:line="225"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Accounting Standards</w:t>
      </w:r>
      <w:r>
        <w:rPr>
          <w:rFonts w:ascii="Arial" w:cs="Arial" w:eastAsia="Arial" w:hAnsi="Arial"/>
          <w:sz w:val="16"/>
          <w:szCs w:val="16"/>
          <w:color w:val="auto"/>
        </w:rPr>
        <w:t>” means United States Generally Accepted Accounting Principles consistently applied.</w:t>
      </w:r>
    </w:p>
    <w:p>
      <w:pPr>
        <w:spacing w:after="0" w:line="225"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Additional Target</w:t>
      </w:r>
      <w:r>
        <w:rPr>
          <w:rFonts w:ascii="Arial" w:cs="Arial" w:eastAsia="Arial" w:hAnsi="Arial"/>
          <w:sz w:val="18"/>
          <w:szCs w:val="18"/>
          <w:color w:val="auto"/>
        </w:rPr>
        <w:t xml:space="preserve">” means, with respect to a given Primary Campaign, any Collaboration Druggable/LDD Target designated as an Additional Target from such Primary Campaign by BMS pursuant to Section 2.5.7; </w:t>
      </w:r>
      <w:r>
        <w:rPr>
          <w:rFonts w:ascii="Arial" w:cs="Arial" w:eastAsia="Arial" w:hAnsi="Arial"/>
          <w:sz w:val="18"/>
          <w:szCs w:val="18"/>
          <w:u w:val="single" w:color="auto"/>
          <w:color w:val="auto"/>
        </w:rPr>
        <w:t>but excluding</w:t>
      </w:r>
      <w:r>
        <w:rPr>
          <w:rFonts w:ascii="Arial" w:cs="Arial" w:eastAsia="Arial" w:hAnsi="Arial"/>
          <w:sz w:val="18"/>
          <w:szCs w:val="18"/>
          <w:color w:val="auto"/>
        </w:rPr>
        <w:t xml:space="preserve"> all Excluded Targets.</w:t>
      </w:r>
    </w:p>
    <w:p>
      <w:pPr>
        <w:spacing w:after="0" w:line="170" w:lineRule="exact"/>
        <w:rPr>
          <w:sz w:val="20"/>
          <w:szCs w:val="20"/>
          <w:color w:val="auto"/>
        </w:rPr>
      </w:pPr>
    </w:p>
    <w:p>
      <w:pPr>
        <w:jc w:val="both"/>
        <w:ind w:left="120" w:right="100" w:firstLine="991"/>
        <w:spacing w:after="0" w:line="259"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Additional Target Period</w:t>
      </w:r>
      <w:r>
        <w:rPr>
          <w:rFonts w:ascii="Arial" w:cs="Arial" w:eastAsia="Arial" w:hAnsi="Arial"/>
          <w:sz w:val="18"/>
          <w:szCs w:val="18"/>
          <w:color w:val="auto"/>
        </w:rPr>
        <w:t>” means, with respect to a given Primary Campaign, the period beginning on the date (if any) on which Repare has provided to BMS the Deliverables for the first Additional Target from such Primary Campaign following BMS’s provision to Repare of an Additional Target Chemistry Notification for such Additional Target, and ending [***] after such date (or at such later time as the JSC may agree upon pursuant to Section 5.2.2(l)).</w:t>
      </w:r>
    </w:p>
    <w:p>
      <w:pPr>
        <w:sectPr>
          <w:pgSz w:w="11900" w:h="16838" w:orient="portrait"/>
          <w:cols w:equalWidth="0" w:num="1">
            <w:col w:w="11080"/>
          </w:cols>
          <w:pgMar w:left="320" w:top="460" w:right="499" w:bottom="1440" w:gutter="0" w:footer="0" w:header="0"/>
        </w:sectPr>
      </w:pPr>
    </w:p>
    <w:bookmarkStart w:id="681" w:name="page682"/>
    <w:bookmarkEnd w:id="6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991"/>
        <w:spacing w:after="0" w:line="277"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other Person that, directly or indirectly, controls, is controlled by or is under common control with such Person, for so long as such control exists.</w:t>
      </w:r>
    </w:p>
    <w:p>
      <w:pPr>
        <w:spacing w:after="0" w:line="170"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Annual Net Sales</w:t>
      </w:r>
      <w:r>
        <w:rPr>
          <w:rFonts w:ascii="Arial" w:cs="Arial" w:eastAsia="Arial" w:hAnsi="Arial"/>
          <w:sz w:val="16"/>
          <w:szCs w:val="16"/>
          <w:color w:val="auto"/>
        </w:rPr>
        <w:t>” means, on a Product-by-Product basis, the total Net Sales of such Product in a particular Calendar Year in the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Territory.</w:t>
      </w:r>
    </w:p>
    <w:p>
      <w:pPr>
        <w:spacing w:after="0" w:line="211" w:lineRule="exact"/>
        <w:rPr>
          <w:sz w:val="20"/>
          <w:szCs w:val="20"/>
          <w:color w:val="auto"/>
        </w:rPr>
      </w:pPr>
    </w:p>
    <w:p>
      <w:pPr>
        <w:ind w:left="120" w:right="200" w:firstLine="991"/>
        <w:spacing w:after="0" w:line="296"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u w:val="single" w:color="auto"/>
          <w:color w:val="auto"/>
        </w:rPr>
        <w:t>Antitrust Law</w:t>
      </w:r>
      <w:r>
        <w:rPr>
          <w:rFonts w:ascii="Arial" w:cs="Arial" w:eastAsia="Arial" w:hAnsi="Arial"/>
          <w:sz w:val="16"/>
          <w:szCs w:val="16"/>
          <w:color w:val="auto"/>
        </w:rPr>
        <w:t>” means the Hart-Scott-Rodino Antitrust Improvements Act of 1976 and the rules and regulations promulgated thereunder (the “</w:t>
      </w:r>
      <w:r>
        <w:rPr>
          <w:rFonts w:ascii="Arial" w:cs="Arial" w:eastAsia="Arial" w:hAnsi="Arial"/>
          <w:sz w:val="16"/>
          <w:szCs w:val="16"/>
          <w:u w:val="single" w:color="auto"/>
          <w:color w:val="auto"/>
        </w:rPr>
        <w:t>HSR Act</w:t>
      </w:r>
      <w:r>
        <w:rPr>
          <w:rFonts w:ascii="Arial" w:cs="Arial" w:eastAsia="Arial" w:hAnsi="Arial"/>
          <w:sz w:val="16"/>
          <w:szCs w:val="16"/>
          <w:color w:val="auto"/>
        </w:rPr>
        <w:t>”), the Sherman Act, as amended, the Clayton Act, as amended, the Federal Trade Commission Act, as amended, and any other Laws related to merger control or designed to prohibit, restrict or regulate actions having the purpose or effect of monopolization or restraint of trade, in the United States, all states and territories thereof, and any other jurisdiction in the Territory that BMS or Repare, in its good faith judgment, determines requires a pre-merger notification filing prior to consummation of the transactions contemplated by this Agreement.</w:t>
      </w:r>
    </w:p>
    <w:p>
      <w:pPr>
        <w:spacing w:after="0" w:line="161" w:lineRule="exact"/>
        <w:rPr>
          <w:sz w:val="20"/>
          <w:szCs w:val="20"/>
          <w:color w:val="auto"/>
        </w:rPr>
      </w:pPr>
    </w:p>
    <w:p>
      <w:pPr>
        <w:ind w:left="120" w:right="280" w:firstLine="991"/>
        <w:spacing w:after="0" w:line="263"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Backup Campaign</w:t>
      </w:r>
      <w:r>
        <w:rPr>
          <w:rFonts w:ascii="Arial" w:cs="Arial" w:eastAsia="Arial" w:hAnsi="Arial"/>
          <w:sz w:val="18"/>
          <w:szCs w:val="18"/>
          <w:color w:val="auto"/>
        </w:rPr>
        <w:t xml:space="preserve">” means each of the Campaigns that BMS selects as a Backup Campaign pursuant to Section 2.4.1(b) or Section 2.4.2(b); </w:t>
      </w:r>
      <w:r>
        <w:rPr>
          <w:rFonts w:ascii="Arial" w:cs="Arial" w:eastAsia="Arial" w:hAnsi="Arial"/>
          <w:sz w:val="18"/>
          <w:szCs w:val="18"/>
          <w:u w:val="single" w:color="auto"/>
          <w:color w:val="auto"/>
        </w:rPr>
        <w:t>but excluding</w:t>
      </w:r>
      <w:r>
        <w:rPr>
          <w:rFonts w:ascii="Arial" w:cs="Arial" w:eastAsia="Arial" w:hAnsi="Arial"/>
          <w:sz w:val="18"/>
          <w:szCs w:val="18"/>
          <w:color w:val="auto"/>
        </w:rPr>
        <w:t xml:space="preserve"> all Primary Campaigns and all Excluded Campaigns. For clarity, a given Backup Campaign may be substituted for a Primary Campaign and become a Primary Campaign pursuant to Section 2.5.3.</w:t>
      </w:r>
    </w:p>
    <w:p>
      <w:pPr>
        <w:spacing w:after="0" w:line="184" w:lineRule="exact"/>
        <w:rPr>
          <w:sz w:val="20"/>
          <w:szCs w:val="20"/>
          <w:color w:val="auto"/>
        </w:rPr>
      </w:pPr>
    </w:p>
    <w:p>
      <w:pPr>
        <w:ind w:left="120" w:right="100" w:firstLine="991"/>
        <w:spacing w:after="0" w:line="257"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beneficial owner</w:t>
      </w:r>
      <w:r>
        <w:rPr>
          <w:rFonts w:ascii="Arial" w:cs="Arial" w:eastAsia="Arial" w:hAnsi="Arial"/>
          <w:sz w:val="18"/>
          <w:szCs w:val="18"/>
          <w:color w:val="auto"/>
        </w:rPr>
        <w:t>,” “</w:t>
      </w:r>
      <w:r>
        <w:rPr>
          <w:rFonts w:ascii="Arial" w:cs="Arial" w:eastAsia="Arial" w:hAnsi="Arial"/>
          <w:sz w:val="18"/>
          <w:szCs w:val="18"/>
          <w:u w:val="single" w:color="auto"/>
          <w:color w:val="auto"/>
        </w:rPr>
        <w:t>beneficially owns</w:t>
      </w:r>
      <w:r>
        <w:rPr>
          <w:rFonts w:ascii="Arial" w:cs="Arial" w:eastAsia="Arial" w:hAnsi="Arial"/>
          <w:sz w:val="18"/>
          <w:szCs w:val="18"/>
          <w:color w:val="auto"/>
        </w:rPr>
        <w:t>,”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and terms of similar import used in this Agreement shall, with respect to a Person, have the meaning set forth in Rule 13d-3 under the Securities Exchange Act of 1934, as amended (a) assuming the full conversion into, and exercise and exchange for, shares of common stock, other voting stock or any securities exercisable for common stock or other voting stock beneficially owned by such Person and (b) determined without regard for the number of days in which such Person has the right to acquire such beneficial ownership.</w:t>
      </w:r>
    </w:p>
    <w:p>
      <w:pPr>
        <w:spacing w:after="0" w:line="188" w:lineRule="exact"/>
        <w:rPr>
          <w:sz w:val="20"/>
          <w:szCs w:val="20"/>
          <w:color w:val="auto"/>
        </w:rPr>
      </w:pPr>
    </w:p>
    <w:p>
      <w:pPr>
        <w:ind w:left="120" w:right="500" w:firstLine="991"/>
        <w:spacing w:after="0" w:line="277"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BMS Discovery &amp; Development Program</w:t>
      </w:r>
      <w:r>
        <w:rPr>
          <w:rFonts w:ascii="Arial" w:cs="Arial" w:eastAsia="Arial" w:hAnsi="Arial"/>
          <w:sz w:val="18"/>
          <w:szCs w:val="18"/>
          <w:color w:val="auto"/>
        </w:rPr>
        <w:t>” means, with respect to a given Collaboration Druggable/LDD Target, any drug Development program that</w:t>
      </w:r>
    </w:p>
    <w:p>
      <w:pPr>
        <w:spacing w:after="0" w:line="170" w:lineRule="exact"/>
        <w:rPr>
          <w:sz w:val="20"/>
          <w:szCs w:val="20"/>
          <w:color w:val="auto"/>
        </w:rPr>
      </w:pPr>
    </w:p>
    <w:p>
      <w:pPr>
        <w:ind w:left="120" w:right="340" w:firstLine="1428"/>
        <w:spacing w:after="0" w:line="263" w:lineRule="auto"/>
        <w:tabs>
          <w:tab w:leader="none" w:pos="1932" w:val="left"/>
        </w:tabs>
        <w:numPr>
          <w:ilvl w:val="0"/>
          <w:numId w:val="430"/>
        </w:numPr>
        <w:rPr>
          <w:rFonts w:ascii="Arial" w:cs="Arial" w:eastAsia="Arial" w:hAnsi="Arial"/>
          <w:sz w:val="18"/>
          <w:szCs w:val="18"/>
          <w:color w:val="auto"/>
        </w:rPr>
      </w:pPr>
      <w:r>
        <w:rPr>
          <w:rFonts w:ascii="Arial" w:cs="Arial" w:eastAsia="Arial" w:hAnsi="Arial"/>
          <w:sz w:val="18"/>
          <w:szCs w:val="18"/>
          <w:color w:val="auto"/>
        </w:rPr>
        <w:t>has, as one of its ultimate goals, the Development of one (1) or more compounds or products that are Directed to such Druggable/LDD Target using the Synthetic Lethal relationship between such Druggable/LDD Target and any Collaboration Campaign Lesion(s) to define the patient population for such compound or product; and</w:t>
      </w:r>
    </w:p>
    <w:p>
      <w:pPr>
        <w:spacing w:after="0" w:line="183" w:lineRule="exact"/>
        <w:rPr>
          <w:rFonts w:ascii="Arial" w:cs="Arial" w:eastAsia="Arial" w:hAnsi="Arial"/>
          <w:sz w:val="18"/>
          <w:szCs w:val="18"/>
          <w:color w:val="auto"/>
        </w:rPr>
      </w:pPr>
    </w:p>
    <w:p>
      <w:pPr>
        <w:ind w:left="120" w:firstLine="1428"/>
        <w:spacing w:after="0" w:line="255" w:lineRule="auto"/>
        <w:tabs>
          <w:tab w:leader="none" w:pos="1942" w:val="left"/>
        </w:tabs>
        <w:numPr>
          <w:ilvl w:val="0"/>
          <w:numId w:val="430"/>
        </w:numPr>
        <w:rPr>
          <w:rFonts w:ascii="Arial" w:cs="Arial" w:eastAsia="Arial" w:hAnsi="Arial"/>
          <w:sz w:val="18"/>
          <w:szCs w:val="18"/>
          <w:color w:val="auto"/>
        </w:rPr>
      </w:pPr>
      <w:r>
        <w:rPr>
          <w:rFonts w:ascii="Arial" w:cs="Arial" w:eastAsia="Arial" w:hAnsi="Arial"/>
          <w:sz w:val="18"/>
          <w:szCs w:val="18"/>
          <w:color w:val="auto"/>
        </w:rPr>
        <w:t>is initiated or continued by BMS or any of its Affiliates or Sublicensees (i) under this Agreement at any time following BMS’s exercise of its Option pursuant to Section 2.7.2 with respect to the Collaboration Campaign under which Repare has identified a Synthetic Lethal relationship between such Collaboration Druggable/LDD Target and the Collaboration Campaign Lesion(s) that are the subject of such Collaboration Campaign or (ii) whether or not under this Agreement, at any time prior to the expiration of the Economics Bearing Term for such Collaboration Druggable/LDD Target, including any such program that BMS or any of its Affiliates (A) has in-licensed or otherwise acquired from any Third Party prior to the</w:t>
      </w:r>
    </w:p>
    <w:p>
      <w:pPr>
        <w:spacing w:after="0" w:line="124" w:lineRule="exact"/>
        <w:rPr>
          <w:rFonts w:ascii="Arial" w:cs="Arial" w:eastAsia="Arial" w:hAnsi="Arial"/>
          <w:sz w:val="18"/>
          <w:szCs w:val="18"/>
          <w:color w:val="auto"/>
        </w:rPr>
      </w:pPr>
    </w:p>
    <w:p>
      <w:pPr>
        <w:ind w:left="5580" w:hanging="106"/>
        <w:spacing w:after="0"/>
        <w:tabs>
          <w:tab w:leader="none" w:pos="558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40"/>
          </w:cols>
          <w:pgMar w:left="320" w:top="460" w:right="539" w:bottom="1440" w:gutter="0" w:footer="0" w:header="0"/>
        </w:sectPr>
      </w:pPr>
    </w:p>
    <w:bookmarkStart w:id="682" w:name="page683"/>
    <w:bookmarkEnd w:id="6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Effective Date or (B) in-licenses or otherwise acquires during the Economics Bearing Term for such Collaboration Druggable/LDD Target by exercising an option right held by BMS or any of its Affiliates on or before the Effective Date (each such program described in (A) or (B), a “</w:t>
      </w:r>
      <w:r>
        <w:rPr>
          <w:rFonts w:ascii="Arial" w:cs="Arial" w:eastAsia="Arial" w:hAnsi="Arial"/>
          <w:sz w:val="17"/>
          <w:szCs w:val="17"/>
          <w:u w:val="single" w:color="auto"/>
          <w:color w:val="auto"/>
        </w:rPr>
        <w:t>Pre-Existing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Druggable/LDD Target Third Party Program</w:t>
      </w:r>
      <w:r>
        <w:rPr>
          <w:rFonts w:ascii="Arial" w:cs="Arial" w:eastAsia="Arial" w:hAnsi="Arial"/>
          <w:sz w:val="17"/>
          <w:szCs w:val="17"/>
          <w:color w:val="auto"/>
        </w:rPr>
        <w:t xml:space="preserve">”); </w:t>
      </w:r>
      <w:r>
        <w:rPr>
          <w:rFonts w:ascii="Arial" w:cs="Arial" w:eastAsia="Arial" w:hAnsi="Arial"/>
          <w:sz w:val="17"/>
          <w:szCs w:val="17"/>
          <w:u w:val="single" w:color="auto"/>
          <w:color w:val="auto"/>
        </w:rPr>
        <w:t>but excluding</w:t>
      </w:r>
      <w:r>
        <w:rPr>
          <w:rFonts w:ascii="Arial" w:cs="Arial" w:eastAsia="Arial" w:hAnsi="Arial"/>
          <w:sz w:val="17"/>
          <w:szCs w:val="17"/>
          <w:color w:val="auto"/>
        </w:rPr>
        <w:t xml:space="preserve"> any Acquired Druggable/LDD Target Third Party Development Program.</w:t>
      </w:r>
    </w:p>
    <w:p>
      <w:pPr>
        <w:spacing w:after="0" w:line="165"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BMS Intellectual Property</w:t>
      </w:r>
      <w:r>
        <w:rPr>
          <w:rFonts w:ascii="Arial" w:cs="Arial" w:eastAsia="Arial" w:hAnsi="Arial"/>
          <w:sz w:val="16"/>
          <w:szCs w:val="16"/>
          <w:color w:val="auto"/>
        </w:rPr>
        <w:t>” means BMS Know-How and BMS Patents, collectively.</w:t>
      </w:r>
    </w:p>
    <w:p>
      <w:pPr>
        <w:spacing w:after="0" w:line="225" w:lineRule="exact"/>
        <w:rPr>
          <w:sz w:val="20"/>
          <w:szCs w:val="20"/>
          <w:color w:val="auto"/>
        </w:rPr>
      </w:pPr>
    </w:p>
    <w:p>
      <w:pPr>
        <w:jc w:val="both"/>
        <w:ind w:left="120" w:right="40" w:firstLine="991"/>
        <w:spacing w:after="0" w:line="259" w:lineRule="auto"/>
        <w:rPr>
          <w:sz w:val="20"/>
          <w:szCs w:val="20"/>
          <w:color w:val="auto"/>
        </w:rPr>
      </w:pPr>
      <w:r>
        <w:rPr>
          <w:rFonts w:ascii="Arial" w:cs="Arial" w:eastAsia="Arial" w:hAnsi="Arial"/>
          <w:sz w:val="18"/>
          <w:szCs w:val="18"/>
          <w:color w:val="auto"/>
        </w:rPr>
        <w:t>1.1.11 “</w:t>
      </w:r>
      <w:r>
        <w:rPr>
          <w:rFonts w:ascii="Arial" w:cs="Arial" w:eastAsia="Arial" w:hAnsi="Arial"/>
          <w:sz w:val="18"/>
          <w:szCs w:val="18"/>
          <w:u w:val="single" w:color="auto"/>
          <w:color w:val="auto"/>
        </w:rPr>
        <w:t>BMS Know-How</w:t>
      </w:r>
      <w:r>
        <w:rPr>
          <w:rFonts w:ascii="Arial" w:cs="Arial" w:eastAsia="Arial" w:hAnsi="Arial"/>
          <w:sz w:val="18"/>
          <w:szCs w:val="18"/>
          <w:color w:val="auto"/>
        </w:rPr>
        <w:t xml:space="preserve">” means any Know-How not in the public domain or otherwise generally known that is (a) Controlled by BMS as of the Effective Date or during the Collaboration Term, (b) necessary or reasonably useful for Repare to fulfill its obligations under the Collaboration and (c) actually disclosed and made available hereunder to Repare by BMS or any of its Affiliates; </w:t>
      </w:r>
      <w:r>
        <w:rPr>
          <w:rFonts w:ascii="Arial" w:cs="Arial" w:eastAsia="Arial" w:hAnsi="Arial"/>
          <w:sz w:val="18"/>
          <w:szCs w:val="18"/>
          <w:u w:val="single" w:color="auto"/>
          <w:color w:val="auto"/>
        </w:rPr>
        <w:t>but excluding</w:t>
      </w:r>
      <w:r>
        <w:rPr>
          <w:rFonts w:ascii="Arial" w:cs="Arial" w:eastAsia="Arial" w:hAnsi="Arial"/>
          <w:sz w:val="18"/>
          <w:szCs w:val="18"/>
          <w:color w:val="auto"/>
        </w:rPr>
        <w:t xml:space="preserve"> BMS’s rights, title and interest to and in any Collaboration Intellectual Property.</w:t>
      </w:r>
    </w:p>
    <w:p>
      <w:pPr>
        <w:spacing w:after="0" w:line="187"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BMS Patents</w:t>
      </w:r>
      <w:r>
        <w:rPr>
          <w:rFonts w:ascii="Arial" w:cs="Arial" w:eastAsia="Arial" w:hAnsi="Arial"/>
          <w:sz w:val="16"/>
          <w:szCs w:val="16"/>
          <w:color w:val="auto"/>
        </w:rPr>
        <w:t>” means any Patents that are (a) Controlled by BMS as of the Effective Date or during the Collaboration Term,</w:t>
      </w:r>
    </w:p>
    <w:p>
      <w:pPr>
        <w:spacing w:after="0" w:line="23" w:lineRule="exact"/>
        <w:rPr>
          <w:sz w:val="20"/>
          <w:szCs w:val="20"/>
          <w:color w:val="auto"/>
        </w:rPr>
      </w:pPr>
    </w:p>
    <w:p>
      <w:pPr>
        <w:ind w:left="120" w:right="580" w:hanging="4"/>
        <w:spacing w:after="0" w:line="260" w:lineRule="auto"/>
        <w:tabs>
          <w:tab w:leader="none" w:pos="375" w:val="left"/>
        </w:tabs>
        <w:numPr>
          <w:ilvl w:val="0"/>
          <w:numId w:val="431"/>
        </w:numPr>
        <w:rPr>
          <w:rFonts w:ascii="Arial" w:cs="Arial" w:eastAsia="Arial" w:hAnsi="Arial"/>
          <w:sz w:val="18"/>
          <w:szCs w:val="18"/>
          <w:color w:val="auto"/>
        </w:rPr>
      </w:pPr>
      <w:r>
        <w:rPr>
          <w:rFonts w:ascii="Arial" w:cs="Arial" w:eastAsia="Arial" w:hAnsi="Arial"/>
          <w:sz w:val="18"/>
          <w:szCs w:val="18"/>
          <w:color w:val="auto"/>
        </w:rPr>
        <w:t xml:space="preserve">necessary or reasonably useful for Repare to fulfill its obligations under the Collaboration and (c) claims or covers the BMS Know-How;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BMS’s rights, title and interest to and in any Collaboration Intellectual Property.</w:t>
      </w:r>
    </w:p>
    <w:p>
      <w:pPr>
        <w:spacing w:after="0" w:line="185"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1.1.13 “</w:t>
      </w:r>
      <w:r>
        <w:rPr>
          <w:rFonts w:ascii="Arial" w:cs="Arial" w:eastAsia="Arial" w:hAnsi="Arial"/>
          <w:sz w:val="18"/>
          <w:szCs w:val="18"/>
          <w:u w:val="single" w:color="auto"/>
          <w:color w:val="auto"/>
        </w:rPr>
        <w:t>BMS Undruggable Target</w:t>
      </w:r>
      <w:r>
        <w:rPr>
          <w:rFonts w:ascii="Arial" w:cs="Arial" w:eastAsia="Arial" w:hAnsi="Arial"/>
          <w:sz w:val="18"/>
          <w:szCs w:val="18"/>
          <w:color w:val="auto"/>
        </w:rPr>
        <w:t>” means (a) each of the Undruggable Targets that BMS provided to Ward under the Target Availability Determination Agreement and (b) any other Undruggable Target that BMS identifies or desires to identify to the Third Party Gatekeeper pursuant to Section 2.6.1(b).</w:t>
      </w:r>
    </w:p>
    <w:p>
      <w:pPr>
        <w:spacing w:after="0" w:line="184"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BMS Undruggable Target Program</w:t>
      </w:r>
      <w:r>
        <w:rPr>
          <w:rFonts w:ascii="Arial" w:cs="Arial" w:eastAsia="Arial" w:hAnsi="Arial"/>
          <w:sz w:val="16"/>
          <w:szCs w:val="16"/>
          <w:color w:val="auto"/>
        </w:rPr>
        <w:t>” means, with respect to a given Collaboration Undruggable Target, any drug Development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program that:</w:t>
      </w:r>
    </w:p>
    <w:p>
      <w:pPr>
        <w:spacing w:after="0" w:line="103" w:lineRule="exact"/>
        <w:rPr>
          <w:sz w:val="20"/>
          <w:szCs w:val="20"/>
          <w:color w:val="auto"/>
        </w:rPr>
      </w:pPr>
    </w:p>
    <w:p>
      <w:pPr>
        <w:ind w:left="120" w:right="60" w:firstLine="1428"/>
        <w:spacing w:after="0" w:line="286" w:lineRule="auto"/>
        <w:tabs>
          <w:tab w:leader="none" w:pos="1932" w:val="left"/>
        </w:tabs>
        <w:numPr>
          <w:ilvl w:val="0"/>
          <w:numId w:val="432"/>
        </w:numPr>
        <w:rPr>
          <w:rFonts w:ascii="Arial" w:cs="Arial" w:eastAsia="Arial" w:hAnsi="Arial"/>
          <w:sz w:val="17"/>
          <w:szCs w:val="17"/>
          <w:color w:val="auto"/>
        </w:rPr>
      </w:pPr>
      <w:r>
        <w:rPr>
          <w:rFonts w:ascii="Arial" w:cs="Arial" w:eastAsia="Arial" w:hAnsi="Arial"/>
          <w:sz w:val="17"/>
          <w:szCs w:val="17"/>
          <w:color w:val="auto"/>
        </w:rPr>
        <w:t>has, as one of its ultimate goals, the Development of one (1) or more compounds or products that are Directed to such Undruggable Target using the Synthetic Lethal relationship between such Undruggable Target and the applicable Undruggable Campaign Lesion(s) that Repare has identified to BMS under this Agreement to define the patient population for such compound or product; and</w:t>
      </w:r>
    </w:p>
    <w:p>
      <w:pPr>
        <w:spacing w:after="0" w:line="165" w:lineRule="exact"/>
        <w:rPr>
          <w:rFonts w:ascii="Arial" w:cs="Arial" w:eastAsia="Arial" w:hAnsi="Arial"/>
          <w:sz w:val="17"/>
          <w:szCs w:val="17"/>
          <w:color w:val="auto"/>
        </w:rPr>
      </w:pPr>
    </w:p>
    <w:p>
      <w:pPr>
        <w:ind w:left="120" w:right="60" w:firstLine="1428"/>
        <w:spacing w:after="0" w:line="272" w:lineRule="auto"/>
        <w:tabs>
          <w:tab w:leader="none" w:pos="1942" w:val="left"/>
        </w:tabs>
        <w:numPr>
          <w:ilvl w:val="0"/>
          <w:numId w:val="432"/>
        </w:numPr>
        <w:rPr>
          <w:rFonts w:ascii="Arial" w:cs="Arial" w:eastAsia="Arial" w:hAnsi="Arial"/>
          <w:sz w:val="17"/>
          <w:szCs w:val="17"/>
          <w:color w:val="auto"/>
        </w:rPr>
      </w:pPr>
      <w:r>
        <w:rPr>
          <w:rFonts w:ascii="Arial" w:cs="Arial" w:eastAsia="Arial" w:hAnsi="Arial"/>
          <w:sz w:val="17"/>
          <w:szCs w:val="17"/>
          <w:color w:val="auto"/>
        </w:rPr>
        <w:t>is initiated or continued by BMS or any of its Affiliates or Sublicensees (i) under this Agreement at any time following BMS’s exercise of its Option pursuant to Section 2.7.2 with respect to such Collaboration Undruggable Target or (ii) whether or not under this Agreement, at any time prior to the expiration of the Economics Bearing Term for such Collaboration Undruggable Target, including any such program that BMS or any of its Affiliates (A) has in-licensed or otherwise acquired from any Third Party prior to the Effective Date or (B) in-licenses or otherwise acquires during the Economics Bearing Term for such Collaboration Undruggable Target by exercising an option right held by BMS or any of its Affiliates on or before the Effective Date (each such program described in (A) or (B), a “</w:t>
      </w:r>
      <w:r>
        <w:rPr>
          <w:rFonts w:ascii="Arial" w:cs="Arial" w:eastAsia="Arial" w:hAnsi="Arial"/>
          <w:sz w:val="17"/>
          <w:szCs w:val="17"/>
          <w:u w:val="single" w:color="auto"/>
          <w:color w:val="auto"/>
        </w:rPr>
        <w:t>Pre-Existing Undruggable Target Third Party Program</w:t>
      </w:r>
      <w:r>
        <w:rPr>
          <w:rFonts w:ascii="Arial" w:cs="Arial" w:eastAsia="Arial" w:hAnsi="Arial"/>
          <w:sz w:val="17"/>
          <w:szCs w:val="17"/>
          <w:color w:val="auto"/>
        </w:rPr>
        <w:t xml:space="preserve">”); </w:t>
      </w:r>
      <w:r>
        <w:rPr>
          <w:rFonts w:ascii="Arial" w:cs="Arial" w:eastAsia="Arial" w:hAnsi="Arial"/>
          <w:sz w:val="17"/>
          <w:szCs w:val="17"/>
          <w:u w:val="single" w:color="auto"/>
          <w:color w:val="auto"/>
        </w:rPr>
        <w:t>but excluding</w:t>
      </w:r>
      <w:r>
        <w:rPr>
          <w:rFonts w:ascii="Arial" w:cs="Arial" w:eastAsia="Arial" w:hAnsi="Arial"/>
          <w:sz w:val="17"/>
          <w:szCs w:val="17"/>
          <w:color w:val="auto"/>
        </w:rPr>
        <w:t xml:space="preserve"> any Acquired Undruggable Target Third Party Development Program.</w:t>
      </w:r>
    </w:p>
    <w:p>
      <w:pPr>
        <w:spacing w:after="0" w:line="109" w:lineRule="exact"/>
        <w:rPr>
          <w:rFonts w:ascii="Arial" w:cs="Arial" w:eastAsia="Arial" w:hAnsi="Arial"/>
          <w:sz w:val="17"/>
          <w:szCs w:val="17"/>
          <w:color w:val="auto"/>
        </w:rPr>
      </w:pPr>
    </w:p>
    <w:p>
      <w:pPr>
        <w:ind w:left="5580" w:hanging="106"/>
        <w:spacing w:after="0"/>
        <w:tabs>
          <w:tab w:leader="none" w:pos="558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100"/>
          </w:cols>
          <w:pgMar w:left="320" w:top="460" w:right="479" w:bottom="1440" w:gutter="0" w:footer="0" w:header="0"/>
        </w:sectPr>
      </w:pPr>
    </w:p>
    <w:bookmarkStart w:id="683" w:name="page684"/>
    <w:bookmarkEnd w:id="6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80" w:firstLine="991"/>
        <w:spacing w:after="0" w:line="277" w:lineRule="auto"/>
        <w:rPr>
          <w:sz w:val="20"/>
          <w:szCs w:val="20"/>
          <w:color w:val="auto"/>
        </w:rPr>
      </w:pPr>
      <w:r>
        <w:rPr>
          <w:rFonts w:ascii="Arial" w:cs="Arial" w:eastAsia="Arial" w:hAnsi="Arial"/>
          <w:sz w:val="18"/>
          <w:szCs w:val="18"/>
          <w:color w:val="auto"/>
        </w:rPr>
        <w:t>1.1.15 “</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or Sunday or any other day on which commercial banks in Boston, Massachusetts, St. Laurent, Quebec, Canada or New York, New York are required by applicable Law to close.</w:t>
      </w:r>
    </w:p>
    <w:p>
      <w:pPr>
        <w:spacing w:after="0" w:line="170"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1.1.16 “</w:t>
      </w:r>
      <w:r>
        <w:rPr>
          <w:rFonts w:ascii="Arial" w:cs="Arial" w:eastAsia="Arial" w:hAnsi="Arial"/>
          <w:sz w:val="18"/>
          <w:szCs w:val="18"/>
          <w:u w:val="single" w:color="auto"/>
          <w:color w:val="auto"/>
        </w:rPr>
        <w:t>Calendar Quarter</w:t>
      </w:r>
      <w:r>
        <w:rPr>
          <w:rFonts w:ascii="Arial" w:cs="Arial" w:eastAsia="Arial" w:hAnsi="Arial"/>
          <w:sz w:val="18"/>
          <w:szCs w:val="18"/>
          <w:color w:val="auto"/>
        </w:rPr>
        <w:t xml:space="preserve">” means any calendar quarter ending on the last day of March, June, September or December of each year; </w:t>
      </w:r>
      <w:r>
        <w:rPr>
          <w:rFonts w:ascii="Arial" w:cs="Arial" w:eastAsia="Arial" w:hAnsi="Arial"/>
          <w:sz w:val="18"/>
          <w:szCs w:val="18"/>
          <w:u w:val="single" w:color="auto"/>
          <w:color w:val="auto"/>
        </w:rPr>
        <w:t>except that</w:t>
      </w:r>
      <w:r>
        <w:rPr>
          <w:rFonts w:ascii="Arial" w:cs="Arial" w:eastAsia="Arial" w:hAnsi="Arial"/>
          <w:sz w:val="18"/>
          <w:szCs w:val="18"/>
          <w:color w:val="auto"/>
        </w:rPr>
        <w:t xml:space="preserve"> (a) the first Calendar Quarter shall begin on the Effective Date and end on June, 30, 2020, and (b) the final Calendar Quarter shall end on the last day of the Term.</w:t>
      </w:r>
    </w:p>
    <w:p>
      <w:pPr>
        <w:spacing w:after="0" w:line="184" w:lineRule="exact"/>
        <w:rPr>
          <w:sz w:val="20"/>
          <w:szCs w:val="20"/>
          <w:color w:val="auto"/>
        </w:rPr>
      </w:pPr>
    </w:p>
    <w:p>
      <w:pPr>
        <w:ind w:left="120" w:right="120" w:firstLine="991"/>
        <w:spacing w:after="0" w:line="263" w:lineRule="auto"/>
        <w:rPr>
          <w:sz w:val="20"/>
          <w:szCs w:val="20"/>
          <w:color w:val="auto"/>
        </w:rPr>
      </w:pPr>
      <w:r>
        <w:rPr>
          <w:rFonts w:ascii="Arial" w:cs="Arial" w:eastAsia="Arial" w:hAnsi="Arial"/>
          <w:sz w:val="18"/>
          <w:szCs w:val="18"/>
          <w:color w:val="auto"/>
        </w:rPr>
        <w:t>1.1.17 “</w:t>
      </w:r>
      <w:r>
        <w:rPr>
          <w:rFonts w:ascii="Arial" w:cs="Arial" w:eastAsia="Arial" w:hAnsi="Arial"/>
          <w:sz w:val="18"/>
          <w:szCs w:val="18"/>
          <w:u w:val="single" w:color="auto"/>
          <w:color w:val="auto"/>
        </w:rPr>
        <w:t>Calendar Year</w:t>
      </w:r>
      <w:r>
        <w:rPr>
          <w:rFonts w:ascii="Arial" w:cs="Arial" w:eastAsia="Arial" w:hAnsi="Arial"/>
          <w:sz w:val="18"/>
          <w:szCs w:val="18"/>
          <w:color w:val="auto"/>
        </w:rPr>
        <w:t xml:space="preserve">” means any period of time commencing on January 1 and ending on the following December 31 of each year; </w:t>
      </w:r>
      <w:r>
        <w:rPr>
          <w:rFonts w:ascii="Arial" w:cs="Arial" w:eastAsia="Arial" w:hAnsi="Arial"/>
          <w:sz w:val="18"/>
          <w:szCs w:val="18"/>
          <w:u w:val="single" w:color="auto"/>
          <w:color w:val="auto"/>
        </w:rPr>
        <w:t>except that</w:t>
      </w:r>
      <w:r>
        <w:rPr>
          <w:rFonts w:ascii="Arial" w:cs="Arial" w:eastAsia="Arial" w:hAnsi="Arial"/>
          <w:sz w:val="18"/>
          <w:szCs w:val="18"/>
          <w:color w:val="auto"/>
        </w:rPr>
        <w:t xml:space="preserve"> (a) the first Calendar Year shall begin on the Effective Date and end on December 31, 2020, and (b) the final Calendar Year shall end on the last day of the Term.</w:t>
      </w:r>
    </w:p>
    <w:p>
      <w:pPr>
        <w:spacing w:after="0" w:line="184"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1.1.18 “</w:t>
      </w:r>
      <w:r>
        <w:rPr>
          <w:rFonts w:ascii="Arial" w:cs="Arial" w:eastAsia="Arial" w:hAnsi="Arial"/>
          <w:sz w:val="18"/>
          <w:szCs w:val="18"/>
          <w:u w:val="single" w:color="auto"/>
          <w:color w:val="auto"/>
        </w:rPr>
        <w:t>Campaign</w:t>
      </w:r>
      <w:r>
        <w:rPr>
          <w:rFonts w:ascii="Arial" w:cs="Arial" w:eastAsia="Arial" w:hAnsi="Arial"/>
          <w:sz w:val="18"/>
          <w:szCs w:val="18"/>
          <w:color w:val="auto"/>
        </w:rPr>
        <w:t>” means SNIPRx</w:t>
      </w:r>
      <w:r>
        <w:rPr>
          <w:rFonts w:ascii="Arial" w:cs="Arial" w:eastAsia="Arial" w:hAnsi="Arial"/>
          <w:sz w:val="15"/>
          <w:szCs w:val="15"/>
          <w:color w:val="auto"/>
        </w:rPr>
        <w:t>®</w:t>
      </w:r>
      <w:r>
        <w:rPr>
          <w:rFonts w:ascii="Arial" w:cs="Arial" w:eastAsia="Arial" w:hAnsi="Arial"/>
          <w:sz w:val="18"/>
          <w:szCs w:val="18"/>
          <w:color w:val="auto"/>
        </w:rPr>
        <w:t xml:space="preserve"> screening efforts to identify Targets that are Synthetic Lethal with (a) a single Lesion that, by itself, identifies a patient population or (b) a combination of multiple related Lesions that, together, identify a patient population.</w:t>
      </w:r>
    </w:p>
    <w:p>
      <w:pPr>
        <w:spacing w:after="0" w:line="170"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Campaign Lesion(s)</w:t>
      </w:r>
      <w:r>
        <w:rPr>
          <w:rFonts w:ascii="Arial" w:cs="Arial" w:eastAsia="Arial" w:hAnsi="Arial"/>
          <w:sz w:val="16"/>
          <w:szCs w:val="16"/>
          <w:color w:val="auto"/>
        </w:rPr>
        <w:t>” means, with respect to a given Campaign, the Lesion(s) that are the subject of such Campaign.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Collaboration Campaign Lesion(s)</w:t>
      </w:r>
      <w:r>
        <w:rPr>
          <w:rFonts w:ascii="Arial" w:cs="Arial" w:eastAsia="Arial" w:hAnsi="Arial"/>
          <w:sz w:val="16"/>
          <w:szCs w:val="16"/>
          <w:color w:val="auto"/>
        </w:rPr>
        <w:t>”, “</w:t>
      </w:r>
      <w:r>
        <w:rPr>
          <w:rFonts w:ascii="Arial" w:cs="Arial" w:eastAsia="Arial" w:hAnsi="Arial"/>
          <w:sz w:val="16"/>
          <w:szCs w:val="16"/>
          <w:u w:val="single" w:color="auto"/>
          <w:color w:val="auto"/>
        </w:rPr>
        <w:t>Undruggable Campaign Lesion(s)</w:t>
      </w:r>
      <w:r>
        <w:rPr>
          <w:rFonts w:ascii="Arial" w:cs="Arial" w:eastAsia="Arial" w:hAnsi="Arial"/>
          <w:sz w:val="16"/>
          <w:szCs w:val="16"/>
          <w:color w:val="auto"/>
        </w:rPr>
        <w:t>”, “</w:t>
      </w:r>
      <w:r>
        <w:rPr>
          <w:rFonts w:ascii="Arial" w:cs="Arial" w:eastAsia="Arial" w:hAnsi="Arial"/>
          <w:sz w:val="16"/>
          <w:szCs w:val="16"/>
          <w:u w:val="single" w:color="auto"/>
          <w:color w:val="auto"/>
        </w:rPr>
        <w:t>Pre-Option Campaign Lesion(s)</w:t>
      </w:r>
      <w:r>
        <w:rPr>
          <w:rFonts w:ascii="Arial" w:cs="Arial" w:eastAsia="Arial" w:hAnsi="Arial"/>
          <w:sz w:val="16"/>
          <w:szCs w:val="16"/>
          <w:color w:val="auto"/>
        </w:rPr>
        <w:t>” and “</w:t>
      </w:r>
      <w:r>
        <w:rPr>
          <w:rFonts w:ascii="Arial" w:cs="Arial" w:eastAsia="Arial" w:hAnsi="Arial"/>
          <w:sz w:val="16"/>
          <w:szCs w:val="16"/>
          <w:u w:val="single" w:color="auto"/>
          <w:color w:val="auto"/>
        </w:rPr>
        <w:t>Excluded Campaign Lesion(s)</w:t>
      </w:r>
      <w:r>
        <w:rPr>
          <w:rFonts w:ascii="Arial" w:cs="Arial" w:eastAsia="Arial" w:hAnsi="Arial"/>
          <w:sz w:val="16"/>
          <w:szCs w:val="16"/>
          <w:color w:val="auto"/>
        </w:rPr>
        <w:t>” will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have their correlative meanings.</w:t>
      </w:r>
    </w:p>
    <w:p>
      <w:pPr>
        <w:spacing w:after="0" w:line="211" w:lineRule="exact"/>
        <w:rPr>
          <w:sz w:val="20"/>
          <w:szCs w:val="20"/>
          <w:color w:val="auto"/>
        </w:rPr>
      </w:pPr>
    </w:p>
    <w:p>
      <w:pPr>
        <w:ind w:left="120" w:firstLine="991"/>
        <w:spacing w:after="0" w:line="290" w:lineRule="auto"/>
        <w:rPr>
          <w:sz w:val="20"/>
          <w:szCs w:val="20"/>
          <w:color w:val="auto"/>
        </w:rPr>
      </w:pPr>
      <w:r>
        <w:rPr>
          <w:rFonts w:ascii="Arial" w:cs="Arial" w:eastAsia="Arial" w:hAnsi="Arial"/>
          <w:sz w:val="16"/>
          <w:szCs w:val="16"/>
          <w:color w:val="auto"/>
        </w:rPr>
        <w:t>1.1.20 “</w:t>
      </w:r>
      <w:r>
        <w:rPr>
          <w:rFonts w:ascii="Arial" w:cs="Arial" w:eastAsia="Arial" w:hAnsi="Arial"/>
          <w:sz w:val="16"/>
          <w:szCs w:val="16"/>
          <w:u w:val="single" w:color="auto"/>
          <w:color w:val="auto"/>
        </w:rPr>
        <w:t>Change of Control</w:t>
      </w:r>
      <w:r>
        <w:rPr>
          <w:rFonts w:ascii="Arial" w:cs="Arial" w:eastAsia="Arial" w:hAnsi="Arial"/>
          <w:sz w:val="16"/>
          <w:szCs w:val="16"/>
          <w:color w:val="auto"/>
        </w:rPr>
        <w:t>” of a Party means any of the following, in a single transaction or a series of related transactions: (a) the sale or disposition of all or substantially all of the assets of such Party to a Third Party, (b) the direct or indirect acquisition by a Third Party (other than an employee benefit plan (or related trust) sponsored or maintained by such Party or any of its Affiliates) of beneficial ownership of more than fifty percent (50%) of the then-outstanding common shares or voting power of such Party or any direct or indirect entity which holds, directly or indirectly, beneficial ownership of more than fifty percent (50%) of the then-outstanding common shares or voting power of such Party (a “</w:t>
      </w:r>
      <w:r>
        <w:rPr>
          <w:rFonts w:ascii="Arial" w:cs="Arial" w:eastAsia="Arial" w:hAnsi="Arial"/>
          <w:sz w:val="16"/>
          <w:szCs w:val="16"/>
          <w:u w:val="single" w:color="auto"/>
          <w:color w:val="auto"/>
        </w:rPr>
        <w:t>Parent Entity</w:t>
      </w:r>
      <w:r>
        <w:rPr>
          <w:rFonts w:ascii="Arial" w:cs="Arial" w:eastAsia="Arial" w:hAnsi="Arial"/>
          <w:sz w:val="16"/>
          <w:szCs w:val="16"/>
          <w:color w:val="auto"/>
        </w:rPr>
        <w:t>”), or (c) the merger or consolidation of such Party or any Parent Entity with or into a Third Party, unless, following such merger or consolidation, the stockholders of such Party or Parent Entity immediately prior to such merger or consolidation beneficially own directly or indirectly more than fifty percent (50%) of the then-outstanding common shares or voting power of the entity resulting from such merger or consolidation.</w:t>
      </w:r>
    </w:p>
    <w:p>
      <w:pPr>
        <w:spacing w:after="0" w:line="165" w:lineRule="exact"/>
        <w:rPr>
          <w:sz w:val="20"/>
          <w:szCs w:val="20"/>
          <w:color w:val="auto"/>
        </w:rPr>
      </w:pPr>
    </w:p>
    <w:p>
      <w:pPr>
        <w:ind w:left="120" w:right="60" w:firstLine="991"/>
        <w:spacing w:after="0" w:line="308" w:lineRule="auto"/>
        <w:rPr>
          <w:sz w:val="20"/>
          <w:szCs w:val="20"/>
          <w:color w:val="auto"/>
        </w:rPr>
      </w:pPr>
      <w:r>
        <w:rPr>
          <w:rFonts w:ascii="Arial" w:cs="Arial" w:eastAsia="Arial" w:hAnsi="Arial"/>
          <w:sz w:val="17"/>
          <w:szCs w:val="17"/>
          <w:color w:val="auto"/>
        </w:rPr>
        <w:t>1.1.21 “</w:t>
      </w:r>
      <w:r>
        <w:rPr>
          <w:rFonts w:ascii="Arial" w:cs="Arial" w:eastAsia="Arial" w:hAnsi="Arial"/>
          <w:sz w:val="17"/>
          <w:szCs w:val="17"/>
          <w:u w:val="single" w:color="auto"/>
          <w:color w:val="auto"/>
        </w:rPr>
        <w:t>Chemistry</w:t>
      </w:r>
      <w:r>
        <w:rPr>
          <w:rFonts w:ascii="Arial" w:cs="Arial" w:eastAsia="Arial" w:hAnsi="Arial"/>
          <w:sz w:val="17"/>
          <w:szCs w:val="17"/>
          <w:color w:val="auto"/>
        </w:rPr>
        <w:t>” means (a) with respect to a given Target, Development activities directed to discovering one (1) or more compounds (including LDDs) that are Directed to such Target and (b) with respect to a given Undruggable Target, Target validation activities.</w:t>
      </w:r>
    </w:p>
    <w:p>
      <w:pPr>
        <w:spacing w:after="0" w:line="146"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Claims</w:t>
      </w:r>
      <w:r>
        <w:rPr>
          <w:rFonts w:ascii="Arial" w:cs="Arial" w:eastAsia="Arial" w:hAnsi="Arial"/>
          <w:sz w:val="16"/>
          <w:szCs w:val="16"/>
          <w:color w:val="auto"/>
        </w:rPr>
        <w:t>” means any and all suits, claims, actions, proceedings or demands brought by a Third Party.</w:t>
      </w:r>
    </w:p>
    <w:p>
      <w:pPr>
        <w:spacing w:after="0" w:line="225"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Collaboration</w:t>
      </w:r>
      <w:r>
        <w:rPr>
          <w:rFonts w:ascii="Arial" w:cs="Arial" w:eastAsia="Arial" w:hAnsi="Arial"/>
          <w:sz w:val="16"/>
          <w:szCs w:val="16"/>
          <w:color w:val="auto"/>
        </w:rPr>
        <w:t>” means the activities described in Section 2.1.</w:t>
      </w:r>
    </w:p>
    <w:p>
      <w:pPr>
        <w:spacing w:after="0" w:line="225"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1.1.24 “</w:t>
      </w:r>
      <w:r>
        <w:rPr>
          <w:rFonts w:ascii="Arial" w:cs="Arial" w:eastAsia="Arial" w:hAnsi="Arial"/>
          <w:sz w:val="18"/>
          <w:szCs w:val="18"/>
          <w:u w:val="single" w:color="auto"/>
          <w:color w:val="auto"/>
        </w:rPr>
        <w:t>Collaboration Campaign</w:t>
      </w:r>
      <w:r>
        <w:rPr>
          <w:rFonts w:ascii="Arial" w:cs="Arial" w:eastAsia="Arial" w:hAnsi="Arial"/>
          <w:sz w:val="18"/>
          <w:szCs w:val="18"/>
          <w:color w:val="auto"/>
        </w:rPr>
        <w:t>” means (a) any Primary Campaign for which BMS has exercised its Option pursuant to Section 2.7.2(a) and (b) any Excluded Campaign that is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120"/>
          </w:cols>
          <w:pgMar w:left="320" w:top="460" w:right="459" w:bottom="1440" w:gutter="0" w:footer="0" w:header="0"/>
        </w:sectPr>
      </w:pPr>
    </w:p>
    <w:bookmarkStart w:id="684" w:name="page685"/>
    <w:bookmarkEnd w:id="6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 xml:space="preserve">deemed to be a Collaboration Campaign pursuant to Section 2.13.3; </w:t>
      </w:r>
      <w:r>
        <w:rPr>
          <w:rFonts w:ascii="Arial" w:cs="Arial" w:eastAsia="Arial" w:hAnsi="Arial"/>
          <w:sz w:val="18"/>
          <w:szCs w:val="18"/>
          <w:u w:val="single" w:color="auto"/>
          <w:color w:val="auto"/>
        </w:rPr>
        <w:t>but excluding</w:t>
      </w:r>
      <w:r>
        <w:rPr>
          <w:rFonts w:ascii="Arial" w:cs="Arial" w:eastAsia="Arial" w:hAnsi="Arial"/>
          <w:sz w:val="18"/>
          <w:szCs w:val="18"/>
          <w:color w:val="auto"/>
        </w:rPr>
        <w:t xml:space="preserve"> all Excluded Campaigns other than those Campaigns that are deemed to be Collaboration Campaigns pursuant to Section 2.13.3.</w:t>
      </w:r>
    </w:p>
    <w:p>
      <w:pPr>
        <w:spacing w:after="0" w:line="170" w:lineRule="exact"/>
        <w:rPr>
          <w:sz w:val="20"/>
          <w:szCs w:val="20"/>
          <w:color w:val="auto"/>
        </w:rPr>
      </w:pPr>
    </w:p>
    <w:p>
      <w:pPr>
        <w:ind w:left="120" w:right="140" w:firstLine="991"/>
        <w:spacing w:after="0" w:line="286" w:lineRule="auto"/>
        <w:rPr>
          <w:sz w:val="20"/>
          <w:szCs w:val="20"/>
          <w:color w:val="auto"/>
        </w:rPr>
      </w:pPr>
      <w:r>
        <w:rPr>
          <w:rFonts w:ascii="Arial" w:cs="Arial" w:eastAsia="Arial" w:hAnsi="Arial"/>
          <w:sz w:val="17"/>
          <w:szCs w:val="17"/>
          <w:color w:val="auto"/>
        </w:rPr>
        <w:t>1.1.25 “</w:t>
      </w:r>
      <w:r>
        <w:rPr>
          <w:rFonts w:ascii="Arial" w:cs="Arial" w:eastAsia="Arial" w:hAnsi="Arial"/>
          <w:sz w:val="17"/>
          <w:szCs w:val="17"/>
          <w:u w:val="single" w:color="auto"/>
          <w:color w:val="auto"/>
        </w:rPr>
        <w:t>Collaboration Druggable Target</w:t>
      </w:r>
      <w:r>
        <w:rPr>
          <w:rFonts w:ascii="Arial" w:cs="Arial" w:eastAsia="Arial" w:hAnsi="Arial"/>
          <w:sz w:val="17"/>
          <w:szCs w:val="17"/>
          <w:color w:val="auto"/>
        </w:rPr>
        <w:t xml:space="preserve">” means (a) any Unblinded Druggable Target from any Collaboration Campaign or (b) any Druggable Target that is an Excluded Target that is deemed to be a Collaboration Target pursuant to Section 2.13.3; </w:t>
      </w:r>
      <w:r>
        <w:rPr>
          <w:rFonts w:ascii="Arial" w:cs="Arial" w:eastAsia="Arial" w:hAnsi="Arial"/>
          <w:sz w:val="17"/>
          <w:szCs w:val="17"/>
          <w:u w:val="single" w:color="auto"/>
          <w:color w:val="auto"/>
        </w:rPr>
        <w:t>but excluding</w:t>
      </w:r>
      <w:r>
        <w:rPr>
          <w:rFonts w:ascii="Arial" w:cs="Arial" w:eastAsia="Arial" w:hAnsi="Arial"/>
          <w:sz w:val="17"/>
          <w:szCs w:val="17"/>
          <w:color w:val="auto"/>
        </w:rPr>
        <w:t xml:space="preserve"> all Excluded Targets other than those Druggable Targets that are deemed to be Collaboration Targets pursuant to Section 2.13.3.</w:t>
      </w:r>
    </w:p>
    <w:p>
      <w:pPr>
        <w:spacing w:after="0" w:line="165"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Collaboration Druggable/LDD Target</w:t>
      </w:r>
      <w:r>
        <w:rPr>
          <w:rFonts w:ascii="Arial" w:cs="Arial" w:eastAsia="Arial" w:hAnsi="Arial"/>
          <w:sz w:val="16"/>
          <w:szCs w:val="16"/>
          <w:color w:val="auto"/>
        </w:rPr>
        <w:t>” means any Collaboration Druggable Target or Collaboration LDD Target.</w:t>
      </w:r>
    </w:p>
    <w:p>
      <w:pPr>
        <w:spacing w:after="0" w:line="225" w:lineRule="exact"/>
        <w:rPr>
          <w:sz w:val="20"/>
          <w:szCs w:val="20"/>
          <w:color w:val="auto"/>
        </w:rPr>
      </w:pPr>
    </w:p>
    <w:p>
      <w:pPr>
        <w:ind w:left="120" w:right="300" w:firstLine="991"/>
        <w:spacing w:after="0" w:line="296" w:lineRule="auto"/>
        <w:rPr>
          <w:sz w:val="20"/>
          <w:szCs w:val="20"/>
          <w:color w:val="auto"/>
        </w:rPr>
      </w:pPr>
      <w:r>
        <w:rPr>
          <w:rFonts w:ascii="Arial" w:cs="Arial" w:eastAsia="Arial" w:hAnsi="Arial"/>
          <w:sz w:val="16"/>
          <w:szCs w:val="16"/>
          <w:color w:val="auto"/>
        </w:rPr>
        <w:t>1.1.27 “</w:t>
      </w:r>
      <w:r>
        <w:rPr>
          <w:rFonts w:ascii="Arial" w:cs="Arial" w:eastAsia="Arial" w:hAnsi="Arial"/>
          <w:sz w:val="16"/>
          <w:szCs w:val="16"/>
          <w:u w:val="single" w:color="auto"/>
          <w:color w:val="auto"/>
        </w:rPr>
        <w:t>Collaboration-Identified Indication</w:t>
      </w:r>
      <w:r>
        <w:rPr>
          <w:rFonts w:ascii="Arial" w:cs="Arial" w:eastAsia="Arial" w:hAnsi="Arial"/>
          <w:sz w:val="16"/>
          <w:szCs w:val="16"/>
          <w:color w:val="auto"/>
        </w:rPr>
        <w:t>” means an Indication for which the patient population has been defined using a Synthetic Lethal relationship between (a) a Collaboration Target and the applicable Collaboration Campaign Lesion(s), (b) a Collaboration Target and the applicable Undruggable Campaign Lesion(s) or (c) a Reverted Target and the applicable Pre-Option Campaign Lesion(s) or Excluded Campaign Lesion(s), in each case ((a)-(c)), (i) identified by Repare to BMS under this Agreement and (ii) for which BMS has been unblinded under and in accordance with this Agreement (including the Research Plan) following Repare’s receipt from BMS of an Unblinding Notification.</w:t>
      </w:r>
    </w:p>
    <w:p>
      <w:pPr>
        <w:spacing w:after="0" w:line="161"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color w:val="auto"/>
        </w:rPr>
        <w:t>1.1.28 “</w:t>
      </w:r>
      <w:r>
        <w:rPr>
          <w:rFonts w:ascii="Arial" w:cs="Arial" w:eastAsia="Arial" w:hAnsi="Arial"/>
          <w:sz w:val="17"/>
          <w:szCs w:val="17"/>
          <w:u w:val="single" w:color="auto"/>
          <w:color w:val="auto"/>
        </w:rPr>
        <w:t>Collaboration Intellectual Property</w:t>
      </w:r>
      <w:r>
        <w:rPr>
          <w:rFonts w:ascii="Arial" w:cs="Arial" w:eastAsia="Arial" w:hAnsi="Arial"/>
          <w:sz w:val="17"/>
          <w:szCs w:val="17"/>
          <w:color w:val="auto"/>
        </w:rPr>
        <w:t>” means (a) any Know-How that is made, invented, created, designed, conceived, produced, reduced to practice, or otherwise developed by or on behalf of either Party or any of its Affiliates or Sublicensees or contractors, solely or jointly with others, in the course of conducting activities under this Agreement and (b) any Patent that claims or discloses any Know-How described in the foregoing clause (a). For clarity, (i) in the case of Repare, Collaboration Intellectual Property includes Repare Collaboration Intellectual Property, Repare’s rights in Joint Collaboration IP, and Sole Collaboration Intellectual Property owned by Repare pursuant to Section 10.2.5 and (ii) in the case of BMS, Collaboration Intellectual Property includes Resulting Compound/Product Collaboration IP, BMS’s rights in Joint Collaboration IP, and Sole Collaboration Intellectual Property owned by BMS pursuant to Section 10.2.5.</w:t>
      </w:r>
    </w:p>
    <w:p>
      <w:pPr>
        <w:spacing w:after="0" w:line="177"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1.1.29 “</w:t>
      </w:r>
      <w:r>
        <w:rPr>
          <w:rFonts w:ascii="Arial" w:cs="Arial" w:eastAsia="Arial" w:hAnsi="Arial"/>
          <w:sz w:val="18"/>
          <w:szCs w:val="18"/>
          <w:u w:val="single" w:color="auto"/>
          <w:color w:val="auto"/>
        </w:rPr>
        <w:t>Collaboration LDD Target</w:t>
      </w:r>
      <w:r>
        <w:rPr>
          <w:rFonts w:ascii="Arial" w:cs="Arial" w:eastAsia="Arial" w:hAnsi="Arial"/>
          <w:sz w:val="18"/>
          <w:szCs w:val="18"/>
          <w:color w:val="auto"/>
        </w:rPr>
        <w:t xml:space="preserve">” means (a) any Unblinded LDD Target from any Collaboration Campaign or (b) any LDD Target that is an Excluded Target that is deemed to be a Collaboration Target pursuant to Section 2.13.3; </w:t>
      </w:r>
      <w:r>
        <w:rPr>
          <w:rFonts w:ascii="Arial" w:cs="Arial" w:eastAsia="Arial" w:hAnsi="Arial"/>
          <w:sz w:val="18"/>
          <w:szCs w:val="18"/>
          <w:u w:val="single" w:color="auto"/>
          <w:color w:val="auto"/>
        </w:rPr>
        <w:t>but excluding</w:t>
      </w:r>
      <w:r>
        <w:rPr>
          <w:rFonts w:ascii="Arial" w:cs="Arial" w:eastAsia="Arial" w:hAnsi="Arial"/>
          <w:sz w:val="18"/>
          <w:szCs w:val="18"/>
          <w:color w:val="auto"/>
        </w:rPr>
        <w:t xml:space="preserve"> all Excluded Targets other than those LDD Targets that are deemed to be Collaboration Targets pursuant to Section 2.13.3.</w:t>
      </w:r>
    </w:p>
    <w:p>
      <w:pPr>
        <w:spacing w:after="0" w:line="184"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1.1.30 “</w:t>
      </w:r>
      <w:r>
        <w:rPr>
          <w:rFonts w:ascii="Arial" w:cs="Arial" w:eastAsia="Arial" w:hAnsi="Arial"/>
          <w:sz w:val="18"/>
          <w:szCs w:val="18"/>
          <w:u w:val="single" w:color="auto"/>
          <w:color w:val="auto"/>
        </w:rPr>
        <w:t>Collaboration Target</w:t>
      </w:r>
      <w:r>
        <w:rPr>
          <w:rFonts w:ascii="Arial" w:cs="Arial" w:eastAsia="Arial" w:hAnsi="Arial"/>
          <w:sz w:val="18"/>
          <w:szCs w:val="18"/>
          <w:color w:val="auto"/>
        </w:rPr>
        <w:t xml:space="preserve">” means any Collaboration Druggable Target, Collaboration LDD Target or Collaboration Undruggable Target; </w:t>
      </w:r>
      <w:r>
        <w:rPr>
          <w:rFonts w:ascii="Arial" w:cs="Arial" w:eastAsia="Arial" w:hAnsi="Arial"/>
          <w:sz w:val="18"/>
          <w:szCs w:val="18"/>
          <w:u w:val="single" w:color="auto"/>
          <w:color w:val="auto"/>
        </w:rPr>
        <w:t>but excluding</w:t>
      </w:r>
      <w:r>
        <w:rPr>
          <w:rFonts w:ascii="Arial" w:cs="Arial" w:eastAsia="Arial" w:hAnsi="Arial"/>
          <w:sz w:val="18"/>
          <w:szCs w:val="18"/>
          <w:color w:val="auto"/>
        </w:rPr>
        <w:t xml:space="preserve"> all Excluded Targets other than those Druggable/LDD Targets or Undruggable Targets that are deemed to be Collaboration Targets pursuant to Section 2.13.3.</w:t>
      </w:r>
    </w:p>
    <w:p>
      <w:pPr>
        <w:spacing w:after="0" w:line="184"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1.1.31 “</w:t>
      </w:r>
      <w:r>
        <w:rPr>
          <w:rFonts w:ascii="Arial" w:cs="Arial" w:eastAsia="Arial" w:hAnsi="Arial"/>
          <w:sz w:val="18"/>
          <w:szCs w:val="18"/>
          <w:u w:val="single" w:color="auto"/>
          <w:color w:val="auto"/>
        </w:rPr>
        <w:t>Collaboration Term</w:t>
      </w:r>
      <w:r>
        <w:rPr>
          <w:rFonts w:ascii="Arial" w:cs="Arial" w:eastAsia="Arial" w:hAnsi="Arial"/>
          <w:sz w:val="18"/>
          <w:szCs w:val="18"/>
          <w:color w:val="auto"/>
        </w:rPr>
        <w:t xml:space="preserve">” means the period commencing on the Effective Date and ending on the earlier of (a) any termination of this Agreement pursuant to ARTICLE XIV and (b) the later of (i) [***] after the Effective Date and (ii) completion by Repare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Validation Activities and, if applicable,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Validation Activities with respect to all Pre-Option Campaigns.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100"/>
          </w:cols>
          <w:pgMar w:left="320" w:top="460" w:right="479" w:bottom="1440" w:gutter="0" w:footer="0" w:header="0"/>
        </w:sectPr>
      </w:pPr>
    </w:p>
    <w:bookmarkStart w:id="685" w:name="page686"/>
    <w:bookmarkEnd w:id="6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1.1.32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Collaboration Undruggable Target</w:t>
      </w:r>
      <w:r>
        <w:rPr>
          <w:rFonts w:ascii="Arial" w:cs="Arial" w:eastAsia="Arial" w:hAnsi="Arial"/>
          <w:sz w:val="16"/>
          <w:szCs w:val="16"/>
          <w:color w:val="auto"/>
        </w:rPr>
        <w:t>” means (a) any Unblinded Undruggable Target for which BMS has exercised its Option or</w:t>
      </w:r>
    </w:p>
    <w:p>
      <w:pPr>
        <w:spacing w:after="0" w:line="23" w:lineRule="exact"/>
        <w:rPr>
          <w:sz w:val="20"/>
          <w:szCs w:val="20"/>
          <w:color w:val="auto"/>
        </w:rPr>
      </w:pPr>
    </w:p>
    <w:p>
      <w:pPr>
        <w:ind w:left="120" w:hanging="4"/>
        <w:spacing w:after="0" w:line="290" w:lineRule="auto"/>
        <w:tabs>
          <w:tab w:leader="none" w:pos="375" w:val="left"/>
        </w:tabs>
        <w:numPr>
          <w:ilvl w:val="0"/>
          <w:numId w:val="433"/>
        </w:numPr>
        <w:rPr>
          <w:rFonts w:ascii="Arial" w:cs="Arial" w:eastAsia="Arial" w:hAnsi="Arial"/>
          <w:sz w:val="17"/>
          <w:szCs w:val="17"/>
          <w:color w:val="auto"/>
        </w:rPr>
      </w:pPr>
      <w:r>
        <w:rPr>
          <w:rFonts w:ascii="Arial" w:cs="Arial" w:eastAsia="Arial" w:hAnsi="Arial"/>
          <w:sz w:val="17"/>
          <w:szCs w:val="17"/>
          <w:color w:val="auto"/>
        </w:rPr>
        <w:t xml:space="preserve">any Undruggable Target that is an Excluded Target that is deemed to be a Collaboration Target pursuant to Section 2.13.3; </w:t>
      </w:r>
      <w:r>
        <w:rPr>
          <w:rFonts w:ascii="Arial" w:cs="Arial" w:eastAsia="Arial" w:hAnsi="Arial"/>
          <w:sz w:val="17"/>
          <w:szCs w:val="17"/>
          <w:u w:val="single" w:color="auto"/>
          <w:color w:val="auto"/>
        </w:rPr>
        <w:t>but excluding</w:t>
      </w:r>
      <w:r>
        <w:rPr>
          <w:rFonts w:ascii="Arial" w:cs="Arial" w:eastAsia="Arial" w:hAnsi="Arial"/>
          <w:sz w:val="17"/>
          <w:szCs w:val="17"/>
          <w:color w:val="auto"/>
        </w:rPr>
        <w:t xml:space="preserve"> all Excluded Targets other than those Undruggable Targets that are deemed to be Collaboration Targets pursuant to Section 2.13.3.</w:t>
      </w:r>
    </w:p>
    <w:p>
      <w:pPr>
        <w:spacing w:after="0" w:line="161" w:lineRule="exact"/>
        <w:rPr>
          <w:sz w:val="20"/>
          <w:szCs w:val="20"/>
          <w:color w:val="auto"/>
        </w:rPr>
      </w:pPr>
    </w:p>
    <w:p>
      <w:pPr>
        <w:ind w:left="120" w:right="200" w:firstLine="991"/>
        <w:spacing w:after="0" w:line="263" w:lineRule="auto"/>
        <w:rPr>
          <w:sz w:val="20"/>
          <w:szCs w:val="20"/>
          <w:color w:val="auto"/>
        </w:rPr>
      </w:pPr>
      <w:r>
        <w:rPr>
          <w:rFonts w:ascii="Arial" w:cs="Arial" w:eastAsia="Arial" w:hAnsi="Arial"/>
          <w:sz w:val="18"/>
          <w:szCs w:val="18"/>
          <w:color w:val="auto"/>
        </w:rPr>
        <w:t>1.1.33 “</w:t>
      </w:r>
      <w:r>
        <w:rPr>
          <w:rFonts w:ascii="Arial" w:cs="Arial" w:eastAsia="Arial" w:hAnsi="Arial"/>
          <w:sz w:val="18"/>
          <w:szCs w:val="18"/>
          <w:u w:val="single" w:color="auto"/>
          <w:color w:val="auto"/>
        </w:rPr>
        <w:t>Commercialization</w:t>
      </w:r>
      <w:r>
        <w:rPr>
          <w:rFonts w:ascii="Arial" w:cs="Arial" w:eastAsia="Arial" w:hAnsi="Arial"/>
          <w:sz w:val="18"/>
          <w:szCs w:val="18"/>
          <w:color w:val="auto"/>
        </w:rPr>
        <w:t>” or “</w:t>
      </w:r>
      <w:r>
        <w:rPr>
          <w:rFonts w:ascii="Arial" w:cs="Arial" w:eastAsia="Arial" w:hAnsi="Arial"/>
          <w:sz w:val="18"/>
          <w:szCs w:val="18"/>
          <w:u w:val="single" w:color="auto"/>
          <w:color w:val="auto"/>
        </w:rPr>
        <w:t>Commercialize</w:t>
      </w:r>
      <w:r>
        <w:rPr>
          <w:rFonts w:ascii="Arial" w:cs="Arial" w:eastAsia="Arial" w:hAnsi="Arial"/>
          <w:sz w:val="18"/>
          <w:szCs w:val="18"/>
          <w:color w:val="auto"/>
        </w:rPr>
        <w:t xml:space="preserve">” means any activities directed to using, marketing, promoting, distributing, importing, exporting, offering to sell or selling a product, after or in expectation of receipt of Regulatory Approval for such product; </w:t>
      </w:r>
      <w:r>
        <w:rPr>
          <w:rFonts w:ascii="Arial" w:cs="Arial" w:eastAsia="Arial" w:hAnsi="Arial"/>
          <w:sz w:val="18"/>
          <w:szCs w:val="18"/>
          <w:u w:val="single" w:color="auto"/>
          <w:color w:val="auto"/>
        </w:rPr>
        <w:t>but excluding</w:t>
      </w:r>
      <w:r>
        <w:rPr>
          <w:rFonts w:ascii="Arial" w:cs="Arial" w:eastAsia="Arial" w:hAnsi="Arial"/>
          <w:sz w:val="18"/>
          <w:szCs w:val="18"/>
          <w:color w:val="auto"/>
        </w:rPr>
        <w:t xml:space="preserve"> all Development.</w:t>
      </w:r>
    </w:p>
    <w:p>
      <w:pPr>
        <w:spacing w:after="0" w:line="184" w:lineRule="exact"/>
        <w:rPr>
          <w:sz w:val="20"/>
          <w:szCs w:val="20"/>
          <w:color w:val="auto"/>
        </w:rPr>
      </w:pPr>
    </w:p>
    <w:p>
      <w:pPr>
        <w:ind w:left="120" w:right="60" w:firstLine="991"/>
        <w:spacing w:after="0" w:line="268" w:lineRule="auto"/>
        <w:rPr>
          <w:sz w:val="20"/>
          <w:szCs w:val="20"/>
          <w:color w:val="auto"/>
        </w:rPr>
      </w:pPr>
      <w:r>
        <w:rPr>
          <w:rFonts w:ascii="Arial" w:cs="Arial" w:eastAsia="Arial" w:hAnsi="Arial"/>
          <w:sz w:val="17"/>
          <w:szCs w:val="17"/>
          <w:color w:val="auto"/>
        </w:rPr>
        <w:t>1.1.34 “</w:t>
      </w:r>
      <w:r>
        <w:rPr>
          <w:rFonts w:ascii="Arial" w:cs="Arial" w:eastAsia="Arial" w:hAnsi="Arial"/>
          <w:sz w:val="17"/>
          <w:szCs w:val="17"/>
          <w:u w:val="single" w:color="auto"/>
          <w:color w:val="auto"/>
        </w:rPr>
        <w:t>Commercially Reasonable Efforts</w:t>
      </w:r>
      <w:r>
        <w:rPr>
          <w:rFonts w:ascii="Arial" w:cs="Arial" w:eastAsia="Arial" w:hAnsi="Arial"/>
          <w:sz w:val="17"/>
          <w:szCs w:val="17"/>
          <w:color w:val="auto"/>
        </w:rPr>
        <w:t>” means, with respect to a Party performing any obligation under this Agreement, the carrying out of such obligation with efforts that are consistent with the level of efforts and resources used by such Party in the exercise of its commercially reasonable business practices for a similar activity, including, with respect to the Development or Commercialization of a Resulting Compound or Product under this Agreement, the Development or Commercialization, respectively, of a pharmaceutical or biologic compound or product, as applicable, that is at a similar stage in its research, development or commercial life as the relevant Resulting Compound or Product based on conditions then prevailing, in view of all costs and risks relevant to such Resulting Compound or Product and subject to [***], and that has commercial, profit or market potential, or strategic value similar to that of the relevant Resulting Compound or Product, taking into account issues of intellectual property coverage, safety and efficacy, applicable Law, stage of development or product life based on conditions then prevailing, product profile, the then-current competitive environment for such Resulting Compound or Product and the likely timing of such Product’s entry into the market, the proprietary position, the regulatory environment and status of the Product (including regulatory exclusivity), anticipated or approved labeling, present and future market and commercial potential, the likelihood of receipt of Regulatory Approval and other regulatory requirements, profitability (including pricing and reimbursement status achieved or likely to be achieved), legal issues and Manufacturing, and other relevant scientific technical and commercial factors. Commercially Reasonable Efforts shall be determined on a country-by-country, Resulting Compound-by-Resulting Compound, Product-by-Product basis and Indication-by-Indication basis, and it is anticipated that the level of effort will change over time, reflecting changes in the status of the Product and the market(s) or country(ies).</w:t>
      </w:r>
    </w:p>
    <w:p>
      <w:pPr>
        <w:spacing w:after="0" w:line="182" w:lineRule="exact"/>
        <w:rPr>
          <w:sz w:val="20"/>
          <w:szCs w:val="20"/>
          <w:color w:val="auto"/>
        </w:rPr>
      </w:pPr>
    </w:p>
    <w:p>
      <w:pPr>
        <w:ind w:left="120" w:right="140" w:firstLine="991"/>
        <w:spacing w:after="0" w:line="279" w:lineRule="auto"/>
        <w:rPr>
          <w:sz w:val="20"/>
          <w:szCs w:val="20"/>
          <w:color w:val="auto"/>
        </w:rPr>
      </w:pPr>
      <w:r>
        <w:rPr>
          <w:rFonts w:ascii="Arial" w:cs="Arial" w:eastAsia="Arial" w:hAnsi="Arial"/>
          <w:sz w:val="17"/>
          <w:szCs w:val="17"/>
          <w:color w:val="auto"/>
        </w:rPr>
        <w:t>1.1.35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subject to Sections 11.1(a), 11.1(b), 11.1(c) and 11.1(d), all confidential or proprietary documents, technology, Know-How or other information (whether or not patentable) disclosed by one Party or any of its Affiliates to the other Party or any of its Affiliates pursuant to this Agreement or the Confidentiality Agreement, including confidential or proprietary information regarding a Party’s technology, products, business information or objectives, and all proprietary biological materials of a Party.</w:t>
      </w:r>
    </w:p>
    <w:p>
      <w:pPr>
        <w:spacing w:after="0" w:line="171" w:lineRule="exact"/>
        <w:rPr>
          <w:sz w:val="20"/>
          <w:szCs w:val="20"/>
          <w:color w:val="auto"/>
        </w:rPr>
      </w:pPr>
    </w:p>
    <w:p>
      <w:pPr>
        <w:ind w:left="120" w:right="580" w:firstLine="991"/>
        <w:spacing w:after="0" w:line="277" w:lineRule="auto"/>
        <w:rPr>
          <w:sz w:val="20"/>
          <w:szCs w:val="20"/>
          <w:color w:val="auto"/>
        </w:rPr>
      </w:pPr>
      <w:r>
        <w:rPr>
          <w:rFonts w:ascii="Arial" w:cs="Arial" w:eastAsia="Arial" w:hAnsi="Arial"/>
          <w:sz w:val="18"/>
          <w:szCs w:val="18"/>
          <w:color w:val="auto"/>
        </w:rPr>
        <w:t>1.1.36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the Mutual Confidential Disclosure Agreement between Repare and BMS, dated as of July 26, 2019.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140"/>
          </w:cols>
          <w:pgMar w:left="320" w:top="460" w:right="439" w:bottom="1440" w:gutter="0" w:footer="0" w:header="0"/>
        </w:sectPr>
      </w:pPr>
    </w:p>
    <w:bookmarkStart w:id="686" w:name="page687"/>
    <w:bookmarkEnd w:id="6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991"/>
        <w:spacing w:after="0" w:line="259" w:lineRule="auto"/>
        <w:rPr>
          <w:sz w:val="20"/>
          <w:szCs w:val="20"/>
          <w:color w:val="auto"/>
        </w:rPr>
      </w:pPr>
      <w:r>
        <w:rPr>
          <w:rFonts w:ascii="Arial" w:cs="Arial" w:eastAsia="Arial" w:hAnsi="Arial"/>
          <w:sz w:val="18"/>
          <w:szCs w:val="18"/>
          <w:color w:val="auto"/>
        </w:rPr>
        <w:t>1.1.37 “</w:t>
      </w:r>
      <w:r>
        <w:rPr>
          <w:rFonts w:ascii="Arial" w:cs="Arial" w:eastAsia="Arial" w:hAnsi="Arial"/>
          <w:sz w:val="18"/>
          <w:szCs w:val="18"/>
          <w:u w:val="single" w:color="auto"/>
          <w:color w:val="auto"/>
        </w:rPr>
        <w:t>Control</w:t>
      </w:r>
      <w:r>
        <w:rPr>
          <w:rFonts w:ascii="Arial" w:cs="Arial" w:eastAsia="Arial" w:hAnsi="Arial"/>
          <w:sz w:val="18"/>
          <w:szCs w:val="18"/>
          <w:color w:val="auto"/>
        </w:rPr>
        <w:t>” or “</w:t>
      </w:r>
      <w:r>
        <w:rPr>
          <w:rFonts w:ascii="Arial" w:cs="Arial" w:eastAsia="Arial" w:hAnsi="Arial"/>
          <w:sz w:val="18"/>
          <w:szCs w:val="18"/>
          <w:u w:val="single" w:color="auto"/>
          <w:color w:val="auto"/>
        </w:rPr>
        <w:t>Controlled</w:t>
      </w:r>
      <w:r>
        <w:rPr>
          <w:rFonts w:ascii="Arial" w:cs="Arial" w:eastAsia="Arial" w:hAnsi="Arial"/>
          <w:sz w:val="18"/>
          <w:szCs w:val="18"/>
          <w:color w:val="auto"/>
        </w:rPr>
        <w:t>” means, with respect to any materials, Know-How, Patent or other intellectual property right, the possession (whether by license (other than a license granted under this Agreement) or ownership) by a Party of the ability to grant to the other Party access or a license to such materials, Know-How, Patent or other intellectual property right as provided herein without violating the terms of any agreement with any Third Party.</w:t>
      </w:r>
    </w:p>
    <w:p>
      <w:pPr>
        <w:spacing w:after="0" w:line="187" w:lineRule="exact"/>
        <w:rPr>
          <w:sz w:val="20"/>
          <w:szCs w:val="20"/>
          <w:color w:val="auto"/>
        </w:rPr>
      </w:pPr>
    </w:p>
    <w:p>
      <w:pPr>
        <w:ind w:left="120" w:right="40" w:firstLine="991"/>
        <w:spacing w:after="0" w:line="275" w:lineRule="auto"/>
        <w:rPr>
          <w:sz w:val="20"/>
          <w:szCs w:val="20"/>
          <w:color w:val="auto"/>
        </w:rPr>
      </w:pPr>
      <w:r>
        <w:rPr>
          <w:rFonts w:ascii="Arial" w:cs="Arial" w:eastAsia="Arial" w:hAnsi="Arial"/>
          <w:sz w:val="17"/>
          <w:szCs w:val="17"/>
          <w:color w:val="auto"/>
        </w:rPr>
        <w:t>1.1.38 “</w:t>
      </w:r>
      <w:r>
        <w:rPr>
          <w:rFonts w:ascii="Arial" w:cs="Arial" w:eastAsia="Arial" w:hAnsi="Arial"/>
          <w:sz w:val="17"/>
          <w:szCs w:val="17"/>
          <w:u w:val="single" w:color="auto"/>
          <w:color w:val="auto"/>
        </w:rPr>
        <w:t>control</w:t>
      </w:r>
      <w:r>
        <w:rPr>
          <w:rFonts w:ascii="Arial" w:cs="Arial" w:eastAsia="Arial" w:hAnsi="Arial"/>
          <w:sz w:val="17"/>
          <w:szCs w:val="17"/>
          <w:color w:val="auto"/>
        </w:rPr>
        <w:t>,” as used in the definitions of “Affiliate,” “Repare Know-How” and “Repare Patents,” means: (a) to possess, directly or indirectly, the power to direct the management and policies of a Person, whether through ownership of voting securities or by contract relating to voting rights or corporate governance; or (b) direct or indirect beneficial ownership of at least fifty percent (50%) (or such lesser percentage that is the maximum allowed to be owned by a foreign Person in a particular jurisdiction and is sufficient to grant the holder of such voting stock or interest the power to direct the management and policies of such entity) of the voting share capital in a Person.</w:t>
      </w:r>
    </w:p>
    <w:p>
      <w:pPr>
        <w:spacing w:after="0" w:line="176" w:lineRule="exact"/>
        <w:rPr>
          <w:sz w:val="20"/>
          <w:szCs w:val="20"/>
          <w:color w:val="auto"/>
        </w:rPr>
      </w:pPr>
    </w:p>
    <w:p>
      <w:pPr>
        <w:ind w:left="120" w:right="60" w:firstLine="991"/>
        <w:spacing w:after="0" w:line="259" w:lineRule="auto"/>
        <w:rPr>
          <w:sz w:val="20"/>
          <w:szCs w:val="20"/>
          <w:color w:val="auto"/>
        </w:rPr>
      </w:pPr>
      <w:r>
        <w:rPr>
          <w:rFonts w:ascii="Arial" w:cs="Arial" w:eastAsia="Arial" w:hAnsi="Arial"/>
          <w:sz w:val="18"/>
          <w:szCs w:val="18"/>
          <w:color w:val="auto"/>
        </w:rPr>
        <w:t>1.1.39 “</w:t>
      </w:r>
      <w:r>
        <w:rPr>
          <w:rFonts w:ascii="Arial" w:cs="Arial" w:eastAsia="Arial" w:hAnsi="Arial"/>
          <w:sz w:val="18"/>
          <w:szCs w:val="18"/>
          <w:u w:val="single" w:color="auto"/>
          <w:color w:val="auto"/>
        </w:rPr>
        <w:t>Cover</w:t>
      </w:r>
      <w:r>
        <w:rPr>
          <w:rFonts w:ascii="Arial" w:cs="Arial" w:eastAsia="Arial" w:hAnsi="Arial"/>
          <w:sz w:val="18"/>
          <w:szCs w:val="18"/>
          <w:color w:val="auto"/>
        </w:rPr>
        <w:t>,” “</w:t>
      </w:r>
      <w:r>
        <w:rPr>
          <w:rFonts w:ascii="Arial" w:cs="Arial" w:eastAsia="Arial" w:hAnsi="Arial"/>
          <w:sz w:val="18"/>
          <w:szCs w:val="18"/>
          <w:u w:val="single" w:color="auto"/>
          <w:color w:val="auto"/>
        </w:rPr>
        <w:t>Covering</w:t>
      </w:r>
      <w:r>
        <w:rPr>
          <w:rFonts w:ascii="Arial" w:cs="Arial" w:eastAsia="Arial" w:hAnsi="Arial"/>
          <w:sz w:val="18"/>
          <w:szCs w:val="18"/>
          <w:color w:val="auto"/>
        </w:rPr>
        <w:t>” or “</w:t>
      </w:r>
      <w:r>
        <w:rPr>
          <w:rFonts w:ascii="Arial" w:cs="Arial" w:eastAsia="Arial" w:hAnsi="Arial"/>
          <w:sz w:val="18"/>
          <w:szCs w:val="18"/>
          <w:u w:val="single" w:color="auto"/>
          <w:color w:val="auto"/>
        </w:rPr>
        <w:t>Covered</w:t>
      </w:r>
      <w:r>
        <w:rPr>
          <w:rFonts w:ascii="Arial" w:cs="Arial" w:eastAsia="Arial" w:hAnsi="Arial"/>
          <w:sz w:val="18"/>
          <w:szCs w:val="18"/>
          <w:color w:val="auto"/>
        </w:rPr>
        <w:t>” means that, with respect to a product or technology and a Patent, but for ownership of or a license under such Patent, the Development, Manufacture, Commercialization or other use of such product or practice of such technology by a Person would infringe a claim of such Patent or, with respect to a claim included in any patent application, would infringe such claim if such patent application were to issue as a patent.</w:t>
      </w:r>
    </w:p>
    <w:p>
      <w:pPr>
        <w:spacing w:after="0" w:line="187" w:lineRule="exact"/>
        <w:rPr>
          <w:sz w:val="20"/>
          <w:szCs w:val="20"/>
          <w:color w:val="auto"/>
        </w:rPr>
      </w:pPr>
    </w:p>
    <w:p>
      <w:pPr>
        <w:ind w:left="120" w:right="460" w:firstLine="991"/>
        <w:spacing w:after="0" w:line="311" w:lineRule="auto"/>
        <w:rPr>
          <w:sz w:val="20"/>
          <w:szCs w:val="20"/>
          <w:color w:val="auto"/>
        </w:rPr>
      </w:pPr>
      <w:r>
        <w:rPr>
          <w:rFonts w:ascii="Arial" w:cs="Arial" w:eastAsia="Arial" w:hAnsi="Arial"/>
          <w:sz w:val="16"/>
          <w:szCs w:val="16"/>
          <w:color w:val="auto"/>
        </w:rPr>
        <w:t>1.1.40 “</w:t>
      </w:r>
      <w:r>
        <w:rPr>
          <w:rFonts w:ascii="Arial" w:cs="Arial" w:eastAsia="Arial" w:hAnsi="Arial"/>
          <w:sz w:val="16"/>
          <w:szCs w:val="16"/>
          <w:u w:val="single" w:color="auto"/>
          <w:color w:val="auto"/>
        </w:rPr>
        <w:t>Damages</w:t>
      </w:r>
      <w:r>
        <w:rPr>
          <w:rFonts w:ascii="Arial" w:cs="Arial" w:eastAsia="Arial" w:hAnsi="Arial"/>
          <w:sz w:val="16"/>
          <w:szCs w:val="16"/>
          <w:color w:val="auto"/>
        </w:rPr>
        <w:t xml:space="preserve">” means all damages, losses, liabilities, penalties, fines and costs (including reasonable legal expenses, costs of litigation and reasonable attorney’s fees) payable to a Third Party as a result of a Claim; </w:t>
      </w:r>
      <w:r>
        <w:rPr>
          <w:rFonts w:ascii="Arial" w:cs="Arial" w:eastAsia="Arial" w:hAnsi="Arial"/>
          <w:sz w:val="16"/>
          <w:szCs w:val="16"/>
          <w:u w:val="single" w:color="auto"/>
          <w:color w:val="auto"/>
        </w:rPr>
        <w:t>provided, however, that</w:t>
      </w:r>
      <w:r>
        <w:rPr>
          <w:rFonts w:ascii="Arial" w:cs="Arial" w:eastAsia="Arial" w:hAnsi="Arial"/>
          <w:sz w:val="16"/>
          <w:szCs w:val="16"/>
          <w:color w:val="auto"/>
        </w:rPr>
        <w:t>, notwithstanding the foregoing, Damages include, if any, the reasonable legal expenses, costs of litigation and reasonable attorney’s fees incurred by a Party as a result of a Claim.</w:t>
      </w:r>
    </w:p>
    <w:p>
      <w:pPr>
        <w:spacing w:after="0" w:line="149" w:lineRule="exact"/>
        <w:rPr>
          <w:sz w:val="20"/>
          <w:szCs w:val="20"/>
          <w:color w:val="auto"/>
        </w:rPr>
      </w:pPr>
    </w:p>
    <w:p>
      <w:pPr>
        <w:ind w:left="120" w:right="240" w:firstLine="991"/>
        <w:spacing w:after="0" w:line="263" w:lineRule="auto"/>
        <w:rPr>
          <w:sz w:val="20"/>
          <w:szCs w:val="20"/>
          <w:color w:val="auto"/>
        </w:rPr>
      </w:pPr>
      <w:r>
        <w:rPr>
          <w:rFonts w:ascii="Arial" w:cs="Arial" w:eastAsia="Arial" w:hAnsi="Arial"/>
          <w:sz w:val="18"/>
          <w:szCs w:val="18"/>
          <w:color w:val="auto"/>
        </w:rPr>
        <w:t>1.1.41 “</w:t>
      </w:r>
      <w:r>
        <w:rPr>
          <w:rFonts w:ascii="Arial" w:cs="Arial" w:eastAsia="Arial" w:hAnsi="Arial"/>
          <w:sz w:val="18"/>
          <w:szCs w:val="18"/>
          <w:u w:val="single" w:color="auto"/>
          <w:color w:val="auto"/>
        </w:rPr>
        <w:t>Defense</w:t>
      </w:r>
      <w:r>
        <w:rPr>
          <w:rFonts w:ascii="Arial" w:cs="Arial" w:eastAsia="Arial" w:hAnsi="Arial"/>
          <w:sz w:val="18"/>
          <w:szCs w:val="18"/>
          <w:color w:val="auto"/>
        </w:rPr>
        <w:t xml:space="preserve">” means any actions brought to defend a Patent against a challenge to the validity or enforceability of such Patent, including interferences, oppositions,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covered business method reviews or post-grant reviews; </w:t>
      </w:r>
      <w:r>
        <w:rPr>
          <w:rFonts w:ascii="Arial" w:cs="Arial" w:eastAsia="Arial" w:hAnsi="Arial"/>
          <w:sz w:val="18"/>
          <w:szCs w:val="18"/>
          <w:u w:val="single" w:color="auto"/>
          <w:color w:val="auto"/>
        </w:rPr>
        <w:t>but excluding</w:t>
      </w:r>
      <w:r>
        <w:rPr>
          <w:rFonts w:ascii="Arial" w:cs="Arial" w:eastAsia="Arial" w:hAnsi="Arial"/>
          <w:sz w:val="18"/>
          <w:szCs w:val="18"/>
          <w:color w:val="auto"/>
        </w:rPr>
        <w:t xml:space="preserve"> any actions included within “Prosecution.” “</w:t>
      </w:r>
      <w:r>
        <w:rPr>
          <w:rFonts w:ascii="Arial" w:cs="Arial" w:eastAsia="Arial" w:hAnsi="Arial"/>
          <w:sz w:val="18"/>
          <w:szCs w:val="18"/>
          <w:u w:val="single" w:color="auto"/>
          <w:color w:val="auto"/>
        </w:rPr>
        <w:t>Defend</w:t>
      </w:r>
      <w:r>
        <w:rPr>
          <w:rFonts w:ascii="Arial" w:cs="Arial" w:eastAsia="Arial" w:hAnsi="Arial"/>
          <w:sz w:val="18"/>
          <w:szCs w:val="18"/>
          <w:color w:val="auto"/>
        </w:rPr>
        <w:t>” will have the correlative meaning.</w:t>
      </w:r>
    </w:p>
    <w:p>
      <w:pPr>
        <w:spacing w:after="0" w:line="184"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1.1.42 “</w:t>
      </w:r>
      <w:r>
        <w:rPr>
          <w:rFonts w:ascii="Arial" w:cs="Arial" w:eastAsia="Arial" w:hAnsi="Arial"/>
          <w:sz w:val="18"/>
          <w:szCs w:val="18"/>
          <w:u w:val="single" w:color="auto"/>
          <w:color w:val="auto"/>
        </w:rPr>
        <w:t>Deliverables</w:t>
      </w:r>
      <w:r>
        <w:rPr>
          <w:rFonts w:ascii="Arial" w:cs="Arial" w:eastAsia="Arial" w:hAnsi="Arial"/>
          <w:sz w:val="18"/>
          <w:szCs w:val="18"/>
          <w:color w:val="auto"/>
        </w:rPr>
        <w:t>” means, with respect to a given Primary Campaign, [***] and other items set forth in the Research Plan that Repare will provide to BMS, if and when BMS timely exercises its Option for such Primary Campaign, to enable BMS to conduct Chemistry with respect to each Selected Target from such Primary Campaign, unless the JSC agrees pursuant to Section 5.2.2(h) or 5.2.2(i) that the content or timing of any Deliverables should be changed from what is set forth in the Research Plan.</w:t>
      </w:r>
    </w:p>
    <w:p>
      <w:pPr>
        <w:spacing w:after="0" w:line="187" w:lineRule="exact"/>
        <w:rPr>
          <w:sz w:val="20"/>
          <w:szCs w:val="20"/>
          <w:color w:val="auto"/>
        </w:rPr>
      </w:pPr>
    </w:p>
    <w:p>
      <w:pPr>
        <w:ind w:left="120" w:right="140" w:firstLine="991"/>
        <w:spacing w:after="0" w:line="301" w:lineRule="auto"/>
        <w:rPr>
          <w:sz w:val="20"/>
          <w:szCs w:val="20"/>
          <w:color w:val="auto"/>
        </w:rPr>
      </w:pPr>
      <w:r>
        <w:rPr>
          <w:rFonts w:ascii="Arial" w:cs="Arial" w:eastAsia="Arial" w:hAnsi="Arial"/>
          <w:sz w:val="16"/>
          <w:szCs w:val="16"/>
          <w:color w:val="auto"/>
        </w:rPr>
        <w:t>1.1.43 “</w:t>
      </w:r>
      <w:r>
        <w:rPr>
          <w:rFonts w:ascii="Arial" w:cs="Arial" w:eastAsia="Arial" w:hAnsi="Arial"/>
          <w:sz w:val="16"/>
          <w:szCs w:val="16"/>
          <w:u w:val="single" w:color="auto"/>
          <w:color w:val="auto"/>
        </w:rPr>
        <w:t>Develop</w:t>
      </w:r>
      <w:r>
        <w:rPr>
          <w:rFonts w:ascii="Arial" w:cs="Arial" w:eastAsia="Arial" w:hAnsi="Arial"/>
          <w:sz w:val="16"/>
          <w:szCs w:val="16"/>
          <w:color w:val="auto"/>
        </w:rPr>
        <w:t>” or “</w:t>
      </w:r>
      <w:r>
        <w:rPr>
          <w:rFonts w:ascii="Arial" w:cs="Arial" w:eastAsia="Arial" w:hAnsi="Arial"/>
          <w:sz w:val="16"/>
          <w:szCs w:val="16"/>
          <w:u w:val="single" w:color="auto"/>
          <w:color w:val="auto"/>
        </w:rPr>
        <w:t>Development</w:t>
      </w:r>
      <w:r>
        <w:rPr>
          <w:rFonts w:ascii="Arial" w:cs="Arial" w:eastAsia="Arial" w:hAnsi="Arial"/>
          <w:sz w:val="16"/>
          <w:szCs w:val="16"/>
          <w:color w:val="auto"/>
        </w:rPr>
        <w:t>” means discovery, research, preclinical, non-clinical and clinical development activities, including activities relating to screening, assays, test method development and stability testing, toxicology, pharmacology, formulation, quality assurance/quality control development, clinical trials (including Phase IV clinical trials), technology transfer, statistical analysis, process development and scale-up, pharmacokinetic studies, data collection and management, report writing and other pre-Regulatory Approval activities.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100"/>
          </w:cols>
          <w:pgMar w:left="320" w:top="460" w:right="479" w:bottom="1440" w:gutter="0" w:footer="0" w:header="0"/>
        </w:sectPr>
      </w:pPr>
    </w:p>
    <w:bookmarkStart w:id="687" w:name="page688"/>
    <w:bookmarkEnd w:id="6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1.1.44 “</w:t>
      </w:r>
      <w:r>
        <w:rPr>
          <w:rFonts w:ascii="Arial" w:cs="Arial" w:eastAsia="Arial" w:hAnsi="Arial"/>
          <w:sz w:val="18"/>
          <w:szCs w:val="18"/>
          <w:u w:val="single" w:color="auto"/>
          <w:color w:val="auto"/>
        </w:rPr>
        <w:t>Directed to</w:t>
      </w:r>
      <w:r>
        <w:rPr>
          <w:rFonts w:ascii="Arial" w:cs="Arial" w:eastAsia="Arial" w:hAnsi="Arial"/>
          <w:sz w:val="18"/>
          <w:szCs w:val="18"/>
          <w:color w:val="auto"/>
        </w:rPr>
        <w:t>” means, with respect to a given compound or product and a given Target, that such compound or product binds and modulates such Target to induce the desired Synthetic Lethal effect.</w:t>
      </w:r>
    </w:p>
    <w:p>
      <w:pPr>
        <w:spacing w:after="0" w:line="170"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1.1.45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Dollars</w:t>
      </w:r>
      <w:r>
        <w:rPr>
          <w:rFonts w:ascii="Arial" w:cs="Arial" w:eastAsia="Arial" w:hAnsi="Arial"/>
          <w:sz w:val="16"/>
          <w:szCs w:val="16"/>
          <w:color w:val="auto"/>
        </w:rPr>
        <w:t>” or “</w:t>
      </w:r>
      <w:r>
        <w:rPr>
          <w:rFonts w:ascii="Arial" w:cs="Arial" w:eastAsia="Arial" w:hAnsi="Arial"/>
          <w:sz w:val="16"/>
          <w:szCs w:val="16"/>
          <w:u w:val="single" w:color="auto"/>
          <w:color w:val="auto"/>
        </w:rPr>
        <w:t>$</w:t>
      </w:r>
      <w:r>
        <w:rPr>
          <w:rFonts w:ascii="Arial" w:cs="Arial" w:eastAsia="Arial" w:hAnsi="Arial"/>
          <w:sz w:val="16"/>
          <w:szCs w:val="16"/>
          <w:color w:val="auto"/>
        </w:rPr>
        <w:t>” means the legal tender of the United States.</w:t>
      </w:r>
    </w:p>
    <w:p>
      <w:pPr>
        <w:spacing w:after="0" w:line="225"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1.1.46 “</w:t>
      </w:r>
      <w:r>
        <w:rPr>
          <w:rFonts w:ascii="Arial" w:cs="Arial" w:eastAsia="Arial" w:hAnsi="Arial"/>
          <w:sz w:val="18"/>
          <w:szCs w:val="18"/>
          <w:u w:val="single" w:color="auto"/>
          <w:color w:val="auto"/>
        </w:rPr>
        <w:t>Druggable Target</w:t>
      </w:r>
      <w:r>
        <w:rPr>
          <w:rFonts w:ascii="Arial" w:cs="Arial" w:eastAsia="Arial" w:hAnsi="Arial"/>
          <w:sz w:val="18"/>
          <w:szCs w:val="18"/>
          <w:color w:val="auto"/>
        </w:rPr>
        <w:t>” means any Target for which the activity of the protein can be modulated by an active site or allosteric small molecule chemical entity, including such proteins that can be [***].</w:t>
      </w:r>
    </w:p>
    <w:p>
      <w:pPr>
        <w:spacing w:after="0" w:line="170"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1.1.47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Druggable/LDD Target</w:t>
      </w:r>
      <w:r>
        <w:rPr>
          <w:rFonts w:ascii="Arial" w:cs="Arial" w:eastAsia="Arial" w:hAnsi="Arial"/>
          <w:sz w:val="16"/>
          <w:szCs w:val="16"/>
          <w:color w:val="auto"/>
        </w:rPr>
        <w:t>” means any Druggable Target or LDD Target.</w:t>
      </w:r>
    </w:p>
    <w:p>
      <w:pPr>
        <w:spacing w:after="0" w:line="225"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1.1.48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Economics Bearing Term</w:t>
      </w:r>
      <w:r>
        <w:rPr>
          <w:rFonts w:ascii="Arial" w:cs="Arial" w:eastAsia="Arial" w:hAnsi="Arial"/>
          <w:sz w:val="16"/>
          <w:szCs w:val="16"/>
          <w:color w:val="auto"/>
        </w:rPr>
        <w:t>” means:</w:t>
      </w:r>
    </w:p>
    <w:p>
      <w:pPr>
        <w:spacing w:after="0" w:line="131" w:lineRule="exact"/>
        <w:rPr>
          <w:sz w:val="20"/>
          <w:szCs w:val="20"/>
          <w:color w:val="auto"/>
        </w:rPr>
      </w:pPr>
    </w:p>
    <w:p>
      <w:pPr>
        <w:ind w:left="2520" w:hanging="649"/>
        <w:spacing w:after="0" w:line="342" w:lineRule="auto"/>
        <w:tabs>
          <w:tab w:leader="none" w:pos="2520" w:val="left"/>
        </w:tabs>
        <w:numPr>
          <w:ilvl w:val="0"/>
          <w:numId w:val="434"/>
        </w:numPr>
        <w:rPr>
          <w:rFonts w:ascii="Arial" w:cs="Arial" w:eastAsia="Arial" w:hAnsi="Arial"/>
          <w:sz w:val="16"/>
          <w:szCs w:val="16"/>
          <w:color w:val="auto"/>
        </w:rPr>
      </w:pPr>
      <w:r>
        <w:rPr>
          <w:rFonts w:ascii="Arial" w:cs="Arial" w:eastAsia="Arial" w:hAnsi="Arial"/>
          <w:sz w:val="16"/>
          <w:szCs w:val="16"/>
          <w:color w:val="auto"/>
        </w:rPr>
        <w:t>with respect to a given Collaboration Druggable/LDD Target, the period beginning on the Effective Date and ending on the later of (i) [***] after the Effective Date or (ii) [***] after the date on which BMS exercised the applicable Option;</w:t>
      </w:r>
    </w:p>
    <w:p>
      <w:pPr>
        <w:spacing w:after="0" w:line="29" w:lineRule="exact"/>
        <w:rPr>
          <w:rFonts w:ascii="Arial" w:cs="Arial" w:eastAsia="Arial" w:hAnsi="Arial"/>
          <w:sz w:val="16"/>
          <w:szCs w:val="16"/>
          <w:color w:val="auto"/>
        </w:rPr>
      </w:pPr>
    </w:p>
    <w:p>
      <w:pPr>
        <w:ind w:left="2520" w:right="260" w:hanging="649"/>
        <w:spacing w:after="0" w:line="277" w:lineRule="auto"/>
        <w:tabs>
          <w:tab w:leader="none" w:pos="25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with respect to a given Reverted Non-Optioned Target, the period beginning on the Effective Date and ending [***] after the Effective Date;</w:t>
      </w:r>
    </w:p>
    <w:p>
      <w:pPr>
        <w:spacing w:after="0" w:line="75" w:lineRule="exact"/>
        <w:rPr>
          <w:rFonts w:ascii="Arial" w:cs="Arial" w:eastAsia="Arial" w:hAnsi="Arial"/>
          <w:sz w:val="18"/>
          <w:szCs w:val="18"/>
          <w:color w:val="auto"/>
        </w:rPr>
      </w:pPr>
    </w:p>
    <w:p>
      <w:pPr>
        <w:ind w:left="2520" w:hanging="649"/>
        <w:spacing w:after="0"/>
        <w:tabs>
          <w:tab w:leader="none" w:pos="2520" w:val="left"/>
        </w:tabs>
        <w:numPr>
          <w:ilvl w:val="0"/>
          <w:numId w:val="434"/>
        </w:numPr>
        <w:rPr>
          <w:rFonts w:ascii="Arial" w:cs="Arial" w:eastAsia="Arial" w:hAnsi="Arial"/>
          <w:sz w:val="16"/>
          <w:szCs w:val="16"/>
          <w:color w:val="auto"/>
        </w:rPr>
      </w:pPr>
      <w:r>
        <w:rPr>
          <w:rFonts w:ascii="Arial" w:cs="Arial" w:eastAsia="Arial" w:hAnsi="Arial"/>
          <w:sz w:val="16"/>
          <w:szCs w:val="16"/>
          <w:color w:val="auto"/>
        </w:rPr>
        <w:t>with respect to a given Reverted Optioned Target, the period beginning on the Effective Date and ending on the later of</w:t>
      </w:r>
    </w:p>
    <w:p>
      <w:pPr>
        <w:spacing w:after="0" w:line="46" w:lineRule="exact"/>
        <w:rPr>
          <w:rFonts w:ascii="Arial" w:cs="Arial" w:eastAsia="Arial" w:hAnsi="Arial"/>
          <w:sz w:val="16"/>
          <w:szCs w:val="16"/>
          <w:color w:val="auto"/>
        </w:rPr>
      </w:pPr>
    </w:p>
    <w:p>
      <w:pPr>
        <w:ind w:left="2520"/>
        <w:spacing w:after="0"/>
        <w:rPr>
          <w:rFonts w:ascii="Arial" w:cs="Arial" w:eastAsia="Arial" w:hAnsi="Arial"/>
          <w:sz w:val="16"/>
          <w:szCs w:val="16"/>
          <w:color w:val="auto"/>
        </w:rPr>
      </w:pPr>
      <w:r>
        <w:rPr>
          <w:rFonts w:ascii="Arial" w:cs="Arial" w:eastAsia="Arial" w:hAnsi="Arial"/>
          <w:sz w:val="18"/>
          <w:szCs w:val="18"/>
          <w:color w:val="auto"/>
        </w:rPr>
        <w:t>(i) [***] after the Effective Date or (ii) [***] after the date on which BMS exercised the applicable Option; and</w:t>
      </w:r>
    </w:p>
    <w:p>
      <w:pPr>
        <w:spacing w:after="0" w:line="116" w:lineRule="exact"/>
        <w:rPr>
          <w:rFonts w:ascii="Arial" w:cs="Arial" w:eastAsia="Arial" w:hAnsi="Arial"/>
          <w:sz w:val="16"/>
          <w:szCs w:val="16"/>
          <w:color w:val="auto"/>
        </w:rPr>
      </w:pPr>
    </w:p>
    <w:p>
      <w:pPr>
        <w:ind w:left="2520" w:right="200" w:hanging="649"/>
        <w:spacing w:after="0" w:line="263" w:lineRule="auto"/>
        <w:tabs>
          <w:tab w:leader="none" w:pos="25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with respect to a given Unblinded Undruggable Target, the period beginning on the Effective Date and ending on the later of (i) [***] after the Effective Date or (ii) [***] after the date (if any) on which BMS exercised the applicable Option.</w:t>
      </w:r>
    </w:p>
    <w:p>
      <w:pPr>
        <w:spacing w:after="0" w:line="184"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1.1.49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Excluded Druggable/LDD Target</w:t>
      </w:r>
      <w:r>
        <w:rPr>
          <w:rFonts w:ascii="Arial" w:cs="Arial" w:eastAsia="Arial" w:hAnsi="Arial"/>
          <w:sz w:val="16"/>
          <w:szCs w:val="16"/>
          <w:color w:val="auto"/>
        </w:rPr>
        <w:t>” means any Excluded Target that is a Druggable/LDD Target.</w:t>
      </w:r>
    </w:p>
    <w:p>
      <w:pPr>
        <w:spacing w:after="0" w:line="225"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1.1.50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Excluded Campaign</w:t>
      </w:r>
      <w:r>
        <w:rPr>
          <w:rFonts w:ascii="Arial" w:cs="Arial" w:eastAsia="Arial" w:hAnsi="Arial"/>
          <w:sz w:val="16"/>
          <w:szCs w:val="16"/>
          <w:color w:val="auto"/>
        </w:rPr>
        <w:t>” means any Campaign that has been excluded from the Collaboration pursuant to Section 2.4.2, 2.5.3, 2.5.4,</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2.5.8(b), 2.7.4(a), 2.13.2, 3.3 or 14.5.</w:t>
      </w:r>
    </w:p>
    <w:p>
      <w:pPr>
        <w:spacing w:after="0" w:line="211"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1.1.51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Excluded Target</w:t>
      </w:r>
      <w:r>
        <w:rPr>
          <w:rFonts w:ascii="Arial" w:cs="Arial" w:eastAsia="Arial" w:hAnsi="Arial"/>
          <w:sz w:val="16"/>
          <w:szCs w:val="16"/>
          <w:color w:val="auto"/>
        </w:rPr>
        <w:t>” means any Druggable/LDD Target or Undruggable Target that becomes excluded pursuant to Section 2.6.3(b),</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2.7.4, 2.8.1(b), 2.8.2(a), 2.8.2(c), 2.8.2(d)(ii), 2.9.1(b), 2.13.1, 3.3 or 14.5.</w:t>
      </w:r>
    </w:p>
    <w:p>
      <w:pPr>
        <w:spacing w:after="0" w:line="211" w:lineRule="exact"/>
        <w:rPr>
          <w:sz w:val="20"/>
          <w:szCs w:val="20"/>
          <w:color w:val="auto"/>
        </w:rPr>
      </w:pPr>
    </w:p>
    <w:p>
      <w:pPr>
        <w:ind w:left="120" w:right="500" w:firstLine="991"/>
        <w:spacing w:after="0" w:line="263" w:lineRule="auto"/>
        <w:rPr>
          <w:sz w:val="20"/>
          <w:szCs w:val="20"/>
          <w:color w:val="auto"/>
        </w:rPr>
      </w:pPr>
      <w:r>
        <w:rPr>
          <w:rFonts w:ascii="Arial" w:cs="Arial" w:eastAsia="Arial" w:hAnsi="Arial"/>
          <w:sz w:val="18"/>
          <w:szCs w:val="18"/>
          <w:color w:val="auto"/>
        </w:rPr>
        <w:t>1.1.52 “</w:t>
      </w:r>
      <w:r>
        <w:rPr>
          <w:rFonts w:ascii="Arial" w:cs="Arial" w:eastAsia="Arial" w:hAnsi="Arial"/>
          <w:sz w:val="18"/>
          <w:szCs w:val="18"/>
          <w:u w:val="single" w:color="auto"/>
          <w:color w:val="auto"/>
        </w:rPr>
        <w:t>Executive Officers</w:t>
      </w:r>
      <w:r>
        <w:rPr>
          <w:rFonts w:ascii="Arial" w:cs="Arial" w:eastAsia="Arial" w:hAnsi="Arial"/>
          <w:sz w:val="18"/>
          <w:szCs w:val="18"/>
          <w:color w:val="auto"/>
        </w:rPr>
        <w:t>” means (a) with respect to BMS, BMS’s [***] (or the officer or employee of BMS then serving in a substantially equivalent capacity) or his or her designee and (b), with respect to Repare, Repare’s [***] (or the officer or employee of Repare then serving in a substantially equivalent capacity) or his or her designee.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120"/>
          </w:cols>
          <w:pgMar w:left="320" w:top="460" w:right="459" w:bottom="1440" w:gutter="0" w:footer="0" w:header="0"/>
        </w:sectPr>
      </w:pPr>
    </w:p>
    <w:bookmarkStart w:id="688" w:name="page689"/>
    <w:bookmarkEnd w:id="6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991"/>
        <w:spacing w:after="0" w:line="296" w:lineRule="auto"/>
        <w:rPr>
          <w:sz w:val="20"/>
          <w:szCs w:val="20"/>
          <w:color w:val="auto"/>
        </w:rPr>
      </w:pPr>
      <w:r>
        <w:rPr>
          <w:rFonts w:ascii="Arial" w:cs="Arial" w:eastAsia="Arial" w:hAnsi="Arial"/>
          <w:sz w:val="16"/>
          <w:szCs w:val="16"/>
          <w:color w:val="auto"/>
        </w:rPr>
        <w:t>1.1.53 “</w:t>
      </w:r>
      <w:r>
        <w:rPr>
          <w:rFonts w:ascii="Arial" w:cs="Arial" w:eastAsia="Arial" w:hAnsi="Arial"/>
          <w:sz w:val="16"/>
          <w:szCs w:val="16"/>
          <w:u w:val="single" w:color="auto"/>
          <w:color w:val="auto"/>
        </w:rPr>
        <w:t>Existing Post-IND Compound</w:t>
      </w:r>
      <w:r>
        <w:rPr>
          <w:rFonts w:ascii="Arial" w:cs="Arial" w:eastAsia="Arial" w:hAnsi="Arial"/>
          <w:sz w:val="16"/>
          <w:szCs w:val="16"/>
          <w:color w:val="auto"/>
        </w:rPr>
        <w:t>” means, with respect to a given Collaboration Target, any Collaboration Druggable/LDD Target Resulting Compound or Collaboration Undruggable Target Resulting Compound (a) that is Directed to such Collaboration Target and (b) at the time of unblinding to BMS hereunder (pursuant to Section 2.5.8, 2.6.3 or 2.8.2(a)) of the Synthetic Lethal relationship between such Collaboration Target to which such compound is Directed and any Campaign Lesion(s), BMS or any of its Affiliates (i) has filed an IND for such compound, (ii) is or has been conducting a clinical trial involving such compound or (iii) is Commercializing any products containing such compound.</w:t>
      </w:r>
    </w:p>
    <w:p>
      <w:pPr>
        <w:spacing w:after="0" w:line="161" w:lineRule="exact"/>
        <w:rPr>
          <w:sz w:val="20"/>
          <w:szCs w:val="20"/>
          <w:color w:val="auto"/>
        </w:rPr>
      </w:pPr>
    </w:p>
    <w:p>
      <w:pPr>
        <w:ind w:left="120" w:right="200" w:firstLine="991"/>
        <w:spacing w:after="0" w:line="263" w:lineRule="auto"/>
        <w:rPr>
          <w:sz w:val="20"/>
          <w:szCs w:val="20"/>
          <w:color w:val="auto"/>
        </w:rPr>
      </w:pPr>
      <w:r>
        <w:rPr>
          <w:rFonts w:ascii="Arial" w:cs="Arial" w:eastAsia="Arial" w:hAnsi="Arial"/>
          <w:sz w:val="18"/>
          <w:szCs w:val="18"/>
          <w:color w:val="auto"/>
        </w:rPr>
        <w:t>1.1.54 “</w:t>
      </w:r>
      <w:r>
        <w:rPr>
          <w:rFonts w:ascii="Arial" w:cs="Arial" w:eastAsia="Arial" w:hAnsi="Arial"/>
          <w:sz w:val="18"/>
          <w:szCs w:val="18"/>
          <w:u w:val="single" w:color="auto"/>
          <w:color w:val="auto"/>
        </w:rPr>
        <w:t>Existing Post-IND Product</w:t>
      </w:r>
      <w:r>
        <w:rPr>
          <w:rFonts w:ascii="Arial" w:cs="Arial" w:eastAsia="Arial" w:hAnsi="Arial"/>
          <w:sz w:val="18"/>
          <w:szCs w:val="18"/>
          <w:color w:val="auto"/>
        </w:rPr>
        <w:t>” means any product containing any Existing Post-IND Compound as an active ingredient (alone or with other active ingredients) for use in the Licensed Field, in any presentation, formulation or dosage form. For clarity, Existing Post-IND Products include applicable Combination Products.</w:t>
      </w:r>
    </w:p>
    <w:p>
      <w:pPr>
        <w:spacing w:after="0" w:line="184"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1.1.55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Existing Repare Campaign</w:t>
      </w:r>
      <w:r>
        <w:rPr>
          <w:rFonts w:ascii="Arial" w:cs="Arial" w:eastAsia="Arial" w:hAnsi="Arial"/>
          <w:sz w:val="16"/>
          <w:szCs w:val="16"/>
          <w:color w:val="auto"/>
        </w:rPr>
        <w:t xml:space="preserve">” means any Campaign listed on </w:t>
      </w:r>
      <w:r>
        <w:rPr>
          <w:rFonts w:ascii="Arial" w:cs="Arial" w:eastAsia="Arial" w:hAnsi="Arial"/>
          <w:sz w:val="16"/>
          <w:szCs w:val="16"/>
          <w:u w:val="single" w:color="auto"/>
          <w:color w:val="auto"/>
        </w:rPr>
        <w:t>Schedule 1.1.55</w:t>
      </w:r>
      <w:r>
        <w:rPr>
          <w:rFonts w:ascii="Arial" w:cs="Arial" w:eastAsia="Arial" w:hAnsi="Arial"/>
          <w:sz w:val="16"/>
          <w:szCs w:val="16"/>
          <w:color w:val="auto"/>
        </w:rPr>
        <w:t>.</w:t>
      </w:r>
    </w:p>
    <w:p>
      <w:pPr>
        <w:spacing w:after="0" w:line="225"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1.1.56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FDA</w:t>
      </w:r>
      <w:r>
        <w:rPr>
          <w:rFonts w:ascii="Arial" w:cs="Arial" w:eastAsia="Arial" w:hAnsi="Arial"/>
          <w:sz w:val="16"/>
          <w:szCs w:val="16"/>
          <w:color w:val="auto"/>
        </w:rPr>
        <w:t>” means the United States Food and Drug Administration, or any successor agency thereof.</w:t>
      </w:r>
    </w:p>
    <w:p>
      <w:pPr>
        <w:spacing w:after="0" w:line="225"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8"/>
          <w:szCs w:val="18"/>
          <w:color w:val="auto"/>
        </w:rPr>
        <w:t>1.1.57 “</w:t>
      </w:r>
      <w:r>
        <w:rPr>
          <w:rFonts w:ascii="Arial" w:cs="Arial" w:eastAsia="Arial" w:hAnsi="Arial"/>
          <w:sz w:val="18"/>
          <w:szCs w:val="18"/>
          <w:u w:val="single" w:color="auto"/>
          <w:color w:val="auto"/>
        </w:rPr>
        <w:t>FDCA</w:t>
      </w:r>
      <w:r>
        <w:rPr>
          <w:rFonts w:ascii="Arial" w:cs="Arial" w:eastAsia="Arial" w:hAnsi="Arial"/>
          <w:sz w:val="18"/>
          <w:szCs w:val="18"/>
          <w:color w:val="auto"/>
        </w:rPr>
        <w:t>” means the United States Federal Food, Drug, and Cosmetic Act, and the regulations promulgated thereunder, each as amended from time to time.</w:t>
      </w:r>
    </w:p>
    <w:p>
      <w:pPr>
        <w:spacing w:after="0" w:line="170"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1.1.58 “</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xml:space="preserve">” means the first sale of a Product by any Selling Party in a country in an arms’ length transaction to a Third Party for end use or consumption, following receipt of applicable Regulatory Approval, including [***]; </w:t>
      </w:r>
      <w:r>
        <w:rPr>
          <w:rFonts w:ascii="Arial" w:cs="Arial" w:eastAsia="Arial" w:hAnsi="Arial"/>
          <w:sz w:val="18"/>
          <w:szCs w:val="18"/>
          <w:u w:val="single" w:color="auto"/>
          <w:color w:val="auto"/>
        </w:rPr>
        <w:t>but excluding</w:t>
      </w:r>
      <w:r>
        <w:rPr>
          <w:rFonts w:ascii="Arial" w:cs="Arial" w:eastAsia="Arial" w:hAnsi="Arial"/>
          <w:sz w:val="18"/>
          <w:szCs w:val="18"/>
          <w:color w:val="auto"/>
        </w:rPr>
        <w:t xml:space="preserve"> (a) sales for test marketing purposes, (b) transfers of Products for use in clinical trials, non-clinical Development activities or other Development activities with respect to such Product in such country by or on behalf of any Selling Party, or (c) transfers of Products for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charitable purposes or for compassionate use or for Product samples if no consideration is received for such transfers.</w:t>
      </w:r>
    </w:p>
    <w:p>
      <w:pPr>
        <w:spacing w:after="0" w:line="188"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1.1.59 “</w:t>
      </w:r>
      <w:r>
        <w:rPr>
          <w:rFonts w:ascii="Arial" w:cs="Arial" w:eastAsia="Arial" w:hAnsi="Arial"/>
          <w:sz w:val="18"/>
          <w:szCs w:val="18"/>
          <w:u w:val="single" w:color="auto"/>
          <w:color w:val="auto"/>
        </w:rPr>
        <w:t>Further Development Election</w:t>
      </w:r>
      <w:r>
        <w:rPr>
          <w:rFonts w:ascii="Arial" w:cs="Arial" w:eastAsia="Arial" w:hAnsi="Arial"/>
          <w:sz w:val="18"/>
          <w:szCs w:val="18"/>
          <w:color w:val="auto"/>
        </w:rPr>
        <w:t>” means, with respect to a given Collaboration Target, a written notification provided by BMS to Repare that BMS is selecting such Collaboration Target for further Development.</w:t>
      </w:r>
    </w:p>
    <w:p>
      <w:pPr>
        <w:spacing w:after="0" w:line="170" w:lineRule="exact"/>
        <w:rPr>
          <w:sz w:val="20"/>
          <w:szCs w:val="20"/>
          <w:color w:val="auto"/>
        </w:rPr>
      </w:pPr>
    </w:p>
    <w:p>
      <w:pPr>
        <w:ind w:left="120" w:right="20" w:firstLine="991"/>
        <w:spacing w:after="0" w:line="287" w:lineRule="auto"/>
        <w:rPr>
          <w:sz w:val="20"/>
          <w:szCs w:val="20"/>
          <w:color w:val="auto"/>
        </w:rPr>
      </w:pPr>
      <w:r>
        <w:rPr>
          <w:rFonts w:ascii="Arial" w:cs="Arial" w:eastAsia="Arial" w:hAnsi="Arial"/>
          <w:sz w:val="16"/>
          <w:szCs w:val="16"/>
          <w:color w:val="auto"/>
        </w:rPr>
        <w:t>1.1.60 “</w:t>
      </w:r>
      <w:r>
        <w:rPr>
          <w:rFonts w:ascii="Arial" w:cs="Arial" w:eastAsia="Arial" w:hAnsi="Arial"/>
          <w:sz w:val="16"/>
          <w:szCs w:val="16"/>
          <w:u w:val="single" w:color="auto"/>
          <w:color w:val="auto"/>
        </w:rPr>
        <w:t>Good Clinical Practices</w:t>
      </w:r>
      <w:r>
        <w:rPr>
          <w:rFonts w:ascii="Arial" w:cs="Arial" w:eastAsia="Arial" w:hAnsi="Arial"/>
          <w:sz w:val="16"/>
          <w:szCs w:val="16"/>
          <w:color w:val="auto"/>
        </w:rPr>
        <w:t>” or “</w:t>
      </w:r>
      <w:r>
        <w:rPr>
          <w:rFonts w:ascii="Arial" w:cs="Arial" w:eastAsia="Arial" w:hAnsi="Arial"/>
          <w:sz w:val="16"/>
          <w:szCs w:val="16"/>
          <w:u w:val="single" w:color="auto"/>
          <w:color w:val="auto"/>
        </w:rPr>
        <w:t>GCP</w:t>
      </w:r>
      <w:r>
        <w:rPr>
          <w:rFonts w:ascii="Arial" w:cs="Arial" w:eastAsia="Arial" w:hAnsi="Arial"/>
          <w:sz w:val="16"/>
          <w:szCs w:val="16"/>
          <w:color w:val="auto"/>
        </w:rPr>
        <w:t>” means the ethical and scientific quality standards for designing, conducting, recording, and reporting trials that involve the participation of human subjects as are required by applicable Regulatory Authorities or Law in the relevant jurisdiction. In the United States, GCP shall be based on Good Clinical Practices established through FDA guidances (including Guideline for Good Clinical Practice</w:t>
      </w:r>
    </w:p>
    <w:p>
      <w:pPr>
        <w:spacing w:after="0" w:line="2"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 ICH Harmonized Tripartite Guideline (ICH E6)), and, outside the United States, GCP shall be based on Guideline for Good Clinical Practice — ICH Harmonized Tripartite Guideline (ICH E6).</w:t>
      </w:r>
    </w:p>
    <w:p>
      <w:pPr>
        <w:spacing w:after="0" w:line="185"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1.1.61 “</w:t>
      </w:r>
      <w:r>
        <w:rPr>
          <w:rFonts w:ascii="Arial" w:cs="Arial" w:eastAsia="Arial" w:hAnsi="Arial"/>
          <w:sz w:val="18"/>
          <w:szCs w:val="18"/>
          <w:u w:val="single" w:color="auto"/>
          <w:color w:val="auto"/>
        </w:rPr>
        <w:t>Good Laboratory Practices</w:t>
      </w:r>
      <w:r>
        <w:rPr>
          <w:rFonts w:ascii="Arial" w:cs="Arial" w:eastAsia="Arial" w:hAnsi="Arial"/>
          <w:sz w:val="18"/>
          <w:szCs w:val="18"/>
          <w:color w:val="auto"/>
        </w:rPr>
        <w:t>” or “</w:t>
      </w:r>
      <w:r>
        <w:rPr>
          <w:rFonts w:ascii="Arial" w:cs="Arial" w:eastAsia="Arial" w:hAnsi="Arial"/>
          <w:sz w:val="18"/>
          <w:szCs w:val="18"/>
          <w:u w:val="single" w:color="auto"/>
          <w:color w:val="auto"/>
        </w:rPr>
        <w:t>GLP</w:t>
      </w:r>
      <w:r>
        <w:rPr>
          <w:rFonts w:ascii="Arial" w:cs="Arial" w:eastAsia="Arial" w:hAnsi="Arial"/>
          <w:sz w:val="18"/>
          <w:szCs w:val="18"/>
          <w:color w:val="auto"/>
        </w:rPr>
        <w:t>” means the then-current good laboratory practice standards promulgated or endorsed by the FDA, as defined in U.S. 21 C.F.R. Part 58 (or such other comparable regulatory standards in jurisdictions outside the United States, as they may be updated from time to time).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120"/>
          </w:cols>
          <w:pgMar w:left="320" w:top="460" w:right="459" w:bottom="1440" w:gutter="0" w:footer="0" w:header="0"/>
        </w:sectPr>
      </w:pPr>
    </w:p>
    <w:bookmarkStart w:id="689" w:name="page690"/>
    <w:bookmarkEnd w:id="6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91"/>
        <w:spacing w:after="0" w:line="275" w:lineRule="auto"/>
        <w:rPr>
          <w:sz w:val="20"/>
          <w:szCs w:val="20"/>
          <w:color w:val="auto"/>
        </w:rPr>
      </w:pPr>
      <w:r>
        <w:rPr>
          <w:rFonts w:ascii="Arial" w:cs="Arial" w:eastAsia="Arial" w:hAnsi="Arial"/>
          <w:sz w:val="17"/>
          <w:szCs w:val="17"/>
          <w:color w:val="auto"/>
        </w:rPr>
        <w:t>1.1.62 “</w:t>
      </w:r>
      <w:r>
        <w:rPr>
          <w:rFonts w:ascii="Arial" w:cs="Arial" w:eastAsia="Arial" w:hAnsi="Arial"/>
          <w:sz w:val="17"/>
          <w:szCs w:val="17"/>
          <w:u w:val="single" w:color="auto"/>
          <w:color w:val="auto"/>
        </w:rPr>
        <w:t>Good Manufacturing Practices</w:t>
      </w:r>
      <w:r>
        <w:rPr>
          <w:rFonts w:ascii="Arial" w:cs="Arial" w:eastAsia="Arial" w:hAnsi="Arial"/>
          <w:sz w:val="17"/>
          <w:szCs w:val="17"/>
          <w:color w:val="auto"/>
        </w:rPr>
        <w:t>” or “</w:t>
      </w:r>
      <w:r>
        <w:rPr>
          <w:rFonts w:ascii="Arial" w:cs="Arial" w:eastAsia="Arial" w:hAnsi="Arial"/>
          <w:sz w:val="17"/>
          <w:szCs w:val="17"/>
          <w:u w:val="single" w:color="auto"/>
          <w:color w:val="auto"/>
        </w:rPr>
        <w:t>GMP</w:t>
      </w:r>
      <w:r>
        <w:rPr>
          <w:rFonts w:ascii="Arial" w:cs="Arial" w:eastAsia="Arial" w:hAnsi="Arial"/>
          <w:sz w:val="17"/>
          <w:szCs w:val="17"/>
          <w:color w:val="auto"/>
        </w:rPr>
        <w:t>” means all applicable standards relating to manufacturing practices for fine chemicals, intermediates, bulk products or finished pharmaceutical products, including (a) all applicable requirements detailed in the FDA’s current Good Manufacturing Practices regulations, U.S. 21 C.F.R. Parts 210 and 211 and “The Rules Governing Medicinal Products in the European Community, Volume IV, Good Manufacturing Practice for Medicinal Products”, as each may be amended from time to time, and (b) all applicable Laws promulgated by any Governmental Authority having jurisdiction over the Manufacture of any Product.</w:t>
      </w:r>
    </w:p>
    <w:p>
      <w:pPr>
        <w:spacing w:after="0" w:line="176"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1.1.63 “</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(a) nation, principality,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entity and any court or other tribunal); (d) multinational organization or body; or (e) individual, entity or body exercising, or entitled to exercise, any executive, legislative, judicial, administrative, regulatory, police, military or taxing authority or power of any nature.</w:t>
      </w:r>
    </w:p>
    <w:p>
      <w:pPr>
        <w:spacing w:after="0" w:line="192"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1.1.64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Hit Confirmation</w:t>
      </w:r>
      <w:r>
        <w:rPr>
          <w:rFonts w:ascii="Arial" w:cs="Arial" w:eastAsia="Arial" w:hAnsi="Arial"/>
          <w:sz w:val="16"/>
          <w:szCs w:val="16"/>
          <w:color w:val="auto"/>
        </w:rPr>
        <w:t>” means re-testing Initial Screening hits using [***] using the same cell background(s) as the original screen(s).</w:t>
      </w:r>
    </w:p>
    <w:p>
      <w:pPr>
        <w:spacing w:after="0" w:line="225" w:lineRule="exact"/>
        <w:rPr>
          <w:sz w:val="20"/>
          <w:szCs w:val="20"/>
          <w:color w:val="auto"/>
        </w:rPr>
      </w:pPr>
    </w:p>
    <w:p>
      <w:pPr>
        <w:ind w:left="120" w:right="160" w:firstLine="991"/>
        <w:spacing w:after="0" w:line="259" w:lineRule="auto"/>
        <w:rPr>
          <w:sz w:val="20"/>
          <w:szCs w:val="20"/>
          <w:color w:val="auto"/>
        </w:rPr>
      </w:pPr>
      <w:r>
        <w:rPr>
          <w:rFonts w:ascii="Arial" w:cs="Arial" w:eastAsia="Arial" w:hAnsi="Arial"/>
          <w:sz w:val="18"/>
          <w:szCs w:val="18"/>
          <w:color w:val="auto"/>
        </w:rPr>
        <w:t>1.1.65 “</w:t>
      </w:r>
      <w:r>
        <w:rPr>
          <w:rFonts w:ascii="Arial" w:cs="Arial" w:eastAsia="Arial" w:hAnsi="Arial"/>
          <w:sz w:val="18"/>
          <w:szCs w:val="18"/>
          <w:i w:val="1"/>
          <w:iCs w:val="1"/>
          <w:u w:val="single" w:color="auto"/>
          <w:color w:val="auto"/>
        </w:rPr>
        <w:t>In Vitro</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Data Package</w:t>
      </w:r>
      <w:r>
        <w:rPr>
          <w:rFonts w:ascii="Arial" w:cs="Arial" w:eastAsia="Arial" w:hAnsi="Arial"/>
          <w:sz w:val="18"/>
          <w:szCs w:val="18"/>
          <w:color w:val="auto"/>
        </w:rPr>
        <w:t xml:space="preserve">” means, with respect to a given Primary Campaign, a data package prepared for such Primary Campaign following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Validation Activities for all Selected Druggable/LDD Targets from such Primary Campaign that includes all the data and other information set forth in the Research Plan, unless the JSC agrees pursuant to Section 5.2.2(e) that certain data or other information set forth in the Research Plan is not needed in order for a given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Package to be complete.</w:t>
      </w:r>
    </w:p>
    <w:p>
      <w:pPr>
        <w:spacing w:after="0" w:line="187" w:lineRule="exact"/>
        <w:rPr>
          <w:sz w:val="20"/>
          <w:szCs w:val="20"/>
          <w:color w:val="auto"/>
        </w:rPr>
      </w:pPr>
    </w:p>
    <w:p>
      <w:pPr>
        <w:ind w:left="120" w:right="700" w:firstLine="991"/>
        <w:spacing w:after="0" w:line="277" w:lineRule="auto"/>
        <w:rPr>
          <w:sz w:val="20"/>
          <w:szCs w:val="20"/>
          <w:color w:val="auto"/>
        </w:rPr>
      </w:pPr>
      <w:r>
        <w:rPr>
          <w:rFonts w:ascii="Arial" w:cs="Arial" w:eastAsia="Arial" w:hAnsi="Arial"/>
          <w:sz w:val="18"/>
          <w:szCs w:val="18"/>
          <w:color w:val="auto"/>
        </w:rPr>
        <w:t>1.1.66 “</w:t>
      </w:r>
      <w:r>
        <w:rPr>
          <w:rFonts w:ascii="Arial" w:cs="Arial" w:eastAsia="Arial" w:hAnsi="Arial"/>
          <w:sz w:val="18"/>
          <w:szCs w:val="18"/>
          <w:i w:val="1"/>
          <w:iCs w:val="1"/>
          <w:u w:val="single" w:color="auto"/>
          <w:color w:val="auto"/>
        </w:rPr>
        <w:t>In Vitro</w:t>
      </w:r>
      <w:r>
        <w:rPr>
          <w:rFonts w:ascii="Arial" w:cs="Arial" w:eastAsia="Arial" w:hAnsi="Arial"/>
          <w:sz w:val="18"/>
          <w:szCs w:val="18"/>
          <w:color w:val="auto"/>
        </w:rPr>
        <w:t xml:space="preserve"> </w:t>
      </w:r>
      <w:r>
        <w:rPr>
          <w:rFonts w:ascii="Arial" w:cs="Arial" w:eastAsia="Arial" w:hAnsi="Arial"/>
          <w:sz w:val="18"/>
          <w:szCs w:val="18"/>
          <w:u w:val="single" w:color="auto"/>
          <w:color w:val="auto"/>
        </w:rPr>
        <w:t>Validation</w:t>
      </w:r>
      <w:r>
        <w:rPr>
          <w:rFonts w:ascii="Arial" w:cs="Arial" w:eastAsia="Arial" w:hAnsi="Arial"/>
          <w:sz w:val="18"/>
          <w:szCs w:val="18"/>
          <w:color w:val="auto"/>
        </w:rPr>
        <w:t xml:space="preserve">” means confirmation,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Validation Activities, of the Target to Lesion Synthetic Lethal relationship that exists in [***] and the effect is the result of [***], as determined by the JSC.</w:t>
      </w:r>
    </w:p>
    <w:p>
      <w:pPr>
        <w:spacing w:after="0" w:line="170" w:lineRule="exact"/>
        <w:rPr>
          <w:sz w:val="20"/>
          <w:szCs w:val="20"/>
          <w:color w:val="auto"/>
        </w:rPr>
      </w:pPr>
    </w:p>
    <w:p>
      <w:pPr>
        <w:ind w:left="120" w:right="60" w:firstLine="991"/>
        <w:spacing w:after="0" w:line="286" w:lineRule="auto"/>
        <w:rPr>
          <w:sz w:val="20"/>
          <w:szCs w:val="20"/>
          <w:color w:val="auto"/>
        </w:rPr>
      </w:pPr>
      <w:r>
        <w:rPr>
          <w:rFonts w:ascii="Arial" w:cs="Arial" w:eastAsia="Arial" w:hAnsi="Arial"/>
          <w:sz w:val="17"/>
          <w:szCs w:val="17"/>
          <w:color w:val="auto"/>
        </w:rPr>
        <w:t>1.1.67 “</w:t>
      </w:r>
      <w:r>
        <w:rPr>
          <w:rFonts w:ascii="Arial" w:cs="Arial" w:eastAsia="Arial" w:hAnsi="Arial"/>
          <w:sz w:val="17"/>
          <w:szCs w:val="17"/>
          <w:i w:val="1"/>
          <w:iCs w:val="1"/>
          <w:u w:val="single" w:color="auto"/>
          <w:color w:val="auto"/>
        </w:rPr>
        <w:t>In Vitro</w:t>
      </w:r>
      <w:r>
        <w:rPr>
          <w:rFonts w:ascii="Arial" w:cs="Arial" w:eastAsia="Arial" w:hAnsi="Arial"/>
          <w:sz w:val="17"/>
          <w:szCs w:val="17"/>
          <w:color w:val="auto"/>
        </w:rPr>
        <w:t xml:space="preserve"> </w:t>
      </w:r>
      <w:r>
        <w:rPr>
          <w:rFonts w:ascii="Arial" w:cs="Arial" w:eastAsia="Arial" w:hAnsi="Arial"/>
          <w:sz w:val="17"/>
          <w:szCs w:val="17"/>
          <w:u w:val="single" w:color="auto"/>
          <w:color w:val="auto"/>
        </w:rPr>
        <w:t>Validation Activities</w:t>
      </w:r>
      <w:r>
        <w:rPr>
          <w:rFonts w:ascii="Arial" w:cs="Arial" w:eastAsia="Arial" w:hAnsi="Arial"/>
          <w:sz w:val="17"/>
          <w:szCs w:val="17"/>
          <w:color w:val="auto"/>
        </w:rPr>
        <w:t xml:space="preserve">” means, with respect to a given Target and a given Campaign, confirmation of the Synthetic Lethal relationship between such Target and the Campaign Lesion(s) that are the subject of such Campaign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using [***]. </w:t>
      </w:r>
      <w:r>
        <w:rPr>
          <w:rFonts w:ascii="Arial" w:cs="Arial" w:eastAsia="Arial" w:hAnsi="Arial"/>
          <w:sz w:val="17"/>
          <w:szCs w:val="17"/>
          <w:i w:val="1"/>
          <w:iCs w:val="1"/>
          <w:color w:val="auto"/>
        </w:rPr>
        <w:t>In Vitro Validation</w:t>
      </w:r>
      <w:r>
        <w:rPr>
          <w:rFonts w:ascii="Arial" w:cs="Arial" w:eastAsia="Arial" w:hAnsi="Arial"/>
          <w:sz w:val="17"/>
          <w:szCs w:val="17"/>
          <w:color w:val="auto"/>
        </w:rPr>
        <w:t xml:space="preserve"> Activities include testing [***], as well as demonstrating that the Synthetic Lethal relationship is due to [***] as reflected by [***].</w:t>
      </w:r>
    </w:p>
    <w:p>
      <w:pPr>
        <w:spacing w:after="0" w:line="165" w:lineRule="exact"/>
        <w:rPr>
          <w:sz w:val="20"/>
          <w:szCs w:val="20"/>
          <w:color w:val="auto"/>
        </w:rPr>
      </w:pPr>
    </w:p>
    <w:p>
      <w:pPr>
        <w:ind w:left="120" w:right="140" w:firstLine="991"/>
        <w:spacing w:after="0" w:line="301" w:lineRule="auto"/>
        <w:rPr>
          <w:sz w:val="20"/>
          <w:szCs w:val="20"/>
          <w:color w:val="auto"/>
        </w:rPr>
      </w:pPr>
      <w:r>
        <w:rPr>
          <w:rFonts w:ascii="Arial" w:cs="Arial" w:eastAsia="Arial" w:hAnsi="Arial"/>
          <w:sz w:val="16"/>
          <w:szCs w:val="16"/>
          <w:color w:val="auto"/>
        </w:rPr>
        <w:t>1.1.68 “</w:t>
      </w:r>
      <w:r>
        <w:rPr>
          <w:rFonts w:ascii="Arial" w:cs="Arial" w:eastAsia="Arial" w:hAnsi="Arial"/>
          <w:sz w:val="16"/>
          <w:szCs w:val="16"/>
          <w:i w:val="1"/>
          <w:iCs w:val="1"/>
          <w:u w:val="single" w:color="auto"/>
          <w:color w:val="auto"/>
        </w:rPr>
        <w:t>In Vivo</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Data Package</w:t>
      </w:r>
      <w:r>
        <w:rPr>
          <w:rFonts w:ascii="Arial" w:cs="Arial" w:eastAsia="Arial" w:hAnsi="Arial"/>
          <w:sz w:val="16"/>
          <w:szCs w:val="16"/>
          <w:color w:val="auto"/>
        </w:rPr>
        <w:t xml:space="preserve">” means, with respect to a given Primary Campaign, if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Validation Activities are performed for any Validated Target from such Primary Campaign pursuant to Section 2.5.5, a data package prepared for such Primary Campaign following such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Validation Activities that includes all the data and other information set forth in the Research Plan, unless the JSC agrees pursuant to Section 5.2.2(e) that certain data or other information set forth in the Research Plan is not needed in order for a given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Data Package to be complete.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60" w:right="459" w:bottom="1440" w:gutter="0" w:footer="0" w:header="0"/>
        </w:sectPr>
      </w:pPr>
    </w:p>
    <w:bookmarkStart w:id="690" w:name="page691"/>
    <w:bookmarkEnd w:id="6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firstLine="991"/>
        <w:spacing w:after="0" w:line="277" w:lineRule="auto"/>
        <w:rPr>
          <w:sz w:val="20"/>
          <w:szCs w:val="20"/>
          <w:color w:val="auto"/>
        </w:rPr>
      </w:pPr>
      <w:r>
        <w:rPr>
          <w:rFonts w:ascii="Arial" w:cs="Arial" w:eastAsia="Arial" w:hAnsi="Arial"/>
          <w:sz w:val="18"/>
          <w:szCs w:val="18"/>
          <w:color w:val="auto"/>
        </w:rPr>
        <w:t>1.1.69 “</w:t>
      </w:r>
      <w:r>
        <w:rPr>
          <w:rFonts w:ascii="Arial" w:cs="Arial" w:eastAsia="Arial" w:hAnsi="Arial"/>
          <w:sz w:val="18"/>
          <w:szCs w:val="18"/>
          <w:i w:val="1"/>
          <w:iCs w:val="1"/>
          <w:u w:val="single" w:color="auto"/>
          <w:color w:val="auto"/>
        </w:rPr>
        <w:t>In Vivo</w:t>
      </w:r>
      <w:r>
        <w:rPr>
          <w:rFonts w:ascii="Arial" w:cs="Arial" w:eastAsia="Arial" w:hAnsi="Arial"/>
          <w:sz w:val="18"/>
          <w:szCs w:val="18"/>
          <w:color w:val="auto"/>
        </w:rPr>
        <w:t xml:space="preserve"> </w:t>
      </w:r>
      <w:r>
        <w:rPr>
          <w:rFonts w:ascii="Arial" w:cs="Arial" w:eastAsia="Arial" w:hAnsi="Arial"/>
          <w:sz w:val="18"/>
          <w:szCs w:val="18"/>
          <w:u w:val="single" w:color="auto"/>
          <w:color w:val="auto"/>
        </w:rPr>
        <w:t>Validation</w:t>
      </w:r>
      <w:r>
        <w:rPr>
          <w:rFonts w:ascii="Arial" w:cs="Arial" w:eastAsia="Arial" w:hAnsi="Arial"/>
          <w:sz w:val="18"/>
          <w:szCs w:val="18"/>
          <w:color w:val="auto"/>
        </w:rPr>
        <w:t xml:space="preserve">” means confirmation, through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Validation Activities, of the Target to Lesion Synthetic Lethal relationship, as determined by the JSC.</w:t>
      </w:r>
    </w:p>
    <w:p>
      <w:pPr>
        <w:spacing w:after="0" w:line="170" w:lineRule="exact"/>
        <w:rPr>
          <w:sz w:val="20"/>
          <w:szCs w:val="20"/>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1.1.70 “</w:t>
      </w:r>
      <w:r>
        <w:rPr>
          <w:rFonts w:ascii="Arial" w:cs="Arial" w:eastAsia="Arial" w:hAnsi="Arial"/>
          <w:sz w:val="18"/>
          <w:szCs w:val="18"/>
          <w:i w:val="1"/>
          <w:iCs w:val="1"/>
          <w:u w:val="single" w:color="auto"/>
          <w:color w:val="auto"/>
        </w:rPr>
        <w:t>In Vivo</w:t>
      </w:r>
      <w:r>
        <w:rPr>
          <w:rFonts w:ascii="Arial" w:cs="Arial" w:eastAsia="Arial" w:hAnsi="Arial"/>
          <w:sz w:val="18"/>
          <w:szCs w:val="18"/>
          <w:color w:val="auto"/>
        </w:rPr>
        <w:t xml:space="preserve"> </w:t>
      </w:r>
      <w:r>
        <w:rPr>
          <w:rFonts w:ascii="Arial" w:cs="Arial" w:eastAsia="Arial" w:hAnsi="Arial"/>
          <w:sz w:val="18"/>
          <w:szCs w:val="18"/>
          <w:u w:val="single" w:color="auto"/>
          <w:color w:val="auto"/>
        </w:rPr>
        <w:t>Validation Activities</w:t>
      </w:r>
      <w:r>
        <w:rPr>
          <w:rFonts w:ascii="Arial" w:cs="Arial" w:eastAsia="Arial" w:hAnsi="Arial"/>
          <w:sz w:val="18"/>
          <w:szCs w:val="18"/>
          <w:color w:val="auto"/>
        </w:rPr>
        <w:t xml:space="preserve">” means, with respect to a given Target and a given Campaign, confirmation of the Synthetic Lethal relationship between such Target and the Campaign Lesion(s) that are the subject of such Campaign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using [***].</w:t>
      </w:r>
    </w:p>
    <w:p>
      <w:pPr>
        <w:spacing w:after="0" w:line="170"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1.1.71 “</w:t>
      </w:r>
      <w:r>
        <w:rPr>
          <w:rFonts w:ascii="Arial" w:cs="Arial" w:eastAsia="Arial" w:hAnsi="Arial"/>
          <w:sz w:val="18"/>
          <w:szCs w:val="18"/>
          <w:u w:val="single" w:color="auto"/>
          <w:color w:val="auto"/>
        </w:rPr>
        <w:t>IND</w:t>
      </w:r>
      <w:r>
        <w:rPr>
          <w:rFonts w:ascii="Arial" w:cs="Arial" w:eastAsia="Arial" w:hAnsi="Arial"/>
          <w:sz w:val="18"/>
          <w:szCs w:val="18"/>
          <w:color w:val="auto"/>
        </w:rPr>
        <w:t>” means any Investigational New Drug application, filed with the FDA pursuant to Part 312 of Title 21 of the U.S. Code of Federal Regulations, including any supplements or amendments thereto. References herein to IND shall include, to the extent applicable, any comparable filing(s) outside the United States (such as a Clinical Trial Application (CTA) in the countries that are officially recognized as member states of the EU).</w:t>
      </w:r>
    </w:p>
    <w:p>
      <w:pPr>
        <w:spacing w:after="0" w:line="187" w:lineRule="exact"/>
        <w:rPr>
          <w:sz w:val="20"/>
          <w:szCs w:val="20"/>
          <w:color w:val="auto"/>
        </w:rPr>
      </w:pPr>
    </w:p>
    <w:p>
      <w:pPr>
        <w:ind w:left="120" w:right="40" w:firstLine="991"/>
        <w:spacing w:after="0" w:line="275" w:lineRule="auto"/>
        <w:rPr>
          <w:sz w:val="20"/>
          <w:szCs w:val="20"/>
          <w:color w:val="auto"/>
        </w:rPr>
      </w:pPr>
      <w:r>
        <w:rPr>
          <w:rFonts w:ascii="Arial" w:cs="Arial" w:eastAsia="Arial" w:hAnsi="Arial"/>
          <w:sz w:val="17"/>
          <w:szCs w:val="17"/>
          <w:color w:val="auto"/>
        </w:rPr>
        <w:t>1.1.72 “</w:t>
      </w:r>
      <w:r>
        <w:rPr>
          <w:rFonts w:ascii="Arial" w:cs="Arial" w:eastAsia="Arial" w:hAnsi="Arial"/>
          <w:sz w:val="17"/>
          <w:szCs w:val="17"/>
          <w:u w:val="single" w:color="auto"/>
          <w:color w:val="auto"/>
        </w:rPr>
        <w:t>Independently Validated</w:t>
      </w:r>
      <w:r>
        <w:rPr>
          <w:rFonts w:ascii="Arial" w:cs="Arial" w:eastAsia="Arial" w:hAnsi="Arial"/>
          <w:sz w:val="17"/>
          <w:szCs w:val="17"/>
          <w:color w:val="auto"/>
        </w:rPr>
        <w:t xml:space="preserve">” means with respect to a given Target and given Lesion(s), that a Synthetic Lethal relationship has been shown to exist between such Target and such Lesion(s) in [***], as demonstrated [***], and has been demonstrated to be due to [***];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Independent Validation shall not be deemed to have been achieved to the extent that it is [***]. “</w:t>
      </w:r>
      <w:r>
        <w:rPr>
          <w:rFonts w:ascii="Arial" w:cs="Arial" w:eastAsia="Arial" w:hAnsi="Arial"/>
          <w:sz w:val="17"/>
          <w:szCs w:val="17"/>
          <w:u w:val="single" w:color="auto"/>
          <w:color w:val="auto"/>
        </w:rPr>
        <w:t>Independent Validation</w:t>
      </w:r>
      <w:r>
        <w:rPr>
          <w:rFonts w:ascii="Arial" w:cs="Arial" w:eastAsia="Arial" w:hAnsi="Arial"/>
          <w:sz w:val="17"/>
          <w:szCs w:val="17"/>
          <w:color w:val="auto"/>
        </w:rPr>
        <w:t>” will have its correlative meaning. For clarity, with respect to a given Target and given Lesion(s), a Synthetic Lethal relationship that has been shown to exist between such Target and such Lesion(s) that is “Independently Validated” will not be deemed to be “Validated”.</w:t>
      </w:r>
    </w:p>
    <w:p>
      <w:pPr>
        <w:spacing w:after="0" w:line="176"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1.1.73 “</w:t>
      </w:r>
      <w:r>
        <w:rPr>
          <w:rFonts w:ascii="Arial" w:cs="Arial" w:eastAsia="Arial" w:hAnsi="Arial"/>
          <w:sz w:val="18"/>
          <w:szCs w:val="18"/>
          <w:u w:val="single" w:color="auto"/>
          <w:color w:val="auto"/>
        </w:rPr>
        <w:t>Indication</w:t>
      </w:r>
      <w:r>
        <w:rPr>
          <w:rFonts w:ascii="Arial" w:cs="Arial" w:eastAsia="Arial" w:hAnsi="Arial"/>
          <w:sz w:val="18"/>
          <w:szCs w:val="18"/>
          <w:color w:val="auto"/>
        </w:rPr>
        <w:t>” means, with respect to a particular compound or product, the use of such compound or product for treating a separate and distinct patient population based on the results of a clinical trial, and not a sub-category of patients previously covered by the label for such product. For clarity, a labelling change based on the results of a clinical trial that removes a requirement for certain specified prior treatment shall be deemed a new Indication.</w:t>
      </w:r>
    </w:p>
    <w:p>
      <w:pPr>
        <w:spacing w:after="0" w:line="187"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1.1.74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Initial Screening</w:t>
      </w:r>
      <w:r>
        <w:rPr>
          <w:rFonts w:ascii="Arial" w:cs="Arial" w:eastAsia="Arial" w:hAnsi="Arial"/>
          <w:sz w:val="16"/>
          <w:szCs w:val="16"/>
          <w:color w:val="auto"/>
        </w:rPr>
        <w:t>” means the first round of Synthetic Lethal screens to be conducted in [***].</w:t>
      </w:r>
    </w:p>
    <w:p>
      <w:pPr>
        <w:spacing w:after="0" w:line="225" w:lineRule="exact"/>
        <w:rPr>
          <w:sz w:val="20"/>
          <w:szCs w:val="20"/>
          <w:color w:val="auto"/>
        </w:rPr>
      </w:pPr>
    </w:p>
    <w:p>
      <w:pPr>
        <w:ind w:left="120" w:right="100" w:firstLine="991"/>
        <w:spacing w:after="0" w:line="259" w:lineRule="auto"/>
        <w:rPr>
          <w:sz w:val="20"/>
          <w:szCs w:val="20"/>
          <w:color w:val="auto"/>
        </w:rPr>
      </w:pPr>
      <w:r>
        <w:rPr>
          <w:rFonts w:ascii="Arial" w:cs="Arial" w:eastAsia="Arial" w:hAnsi="Arial"/>
          <w:sz w:val="18"/>
          <w:szCs w:val="18"/>
          <w:color w:val="auto"/>
        </w:rPr>
        <w:t>1.1.75 “</w:t>
      </w:r>
      <w:r>
        <w:rPr>
          <w:rFonts w:ascii="Arial" w:cs="Arial" w:eastAsia="Arial" w:hAnsi="Arial"/>
          <w:sz w:val="18"/>
          <w:szCs w:val="18"/>
          <w:u w:val="single" w:color="auto"/>
          <w:color w:val="auto"/>
        </w:rPr>
        <w:t>Joint Collaboration IP</w:t>
      </w:r>
      <w:r>
        <w:rPr>
          <w:rFonts w:ascii="Arial" w:cs="Arial" w:eastAsia="Arial" w:hAnsi="Arial"/>
          <w:sz w:val="18"/>
          <w:szCs w:val="18"/>
          <w:color w:val="auto"/>
        </w:rPr>
        <w:t>” means any Collaboration Intellectual Property, other than the Repare Collaboration Intellectual Property and Resulting Compound/Product Collaboration IP, that is jointly made, invented, created, designed, conceived, produced, reduced to practice or otherwise developed by or on behalf of Repare or any of its Affiliates, on the one hand, and BMS or any of its Affiliates or Sublicensees, on the other hand.</w:t>
      </w:r>
    </w:p>
    <w:p>
      <w:pPr>
        <w:spacing w:after="0" w:line="187" w:lineRule="exact"/>
        <w:rPr>
          <w:sz w:val="20"/>
          <w:szCs w:val="20"/>
          <w:color w:val="auto"/>
        </w:rPr>
      </w:pPr>
    </w:p>
    <w:p>
      <w:pPr>
        <w:ind w:left="120" w:right="200" w:firstLine="991"/>
        <w:spacing w:after="0" w:line="259" w:lineRule="auto"/>
        <w:rPr>
          <w:sz w:val="20"/>
          <w:szCs w:val="20"/>
          <w:color w:val="auto"/>
        </w:rPr>
      </w:pPr>
      <w:r>
        <w:rPr>
          <w:rFonts w:ascii="Arial" w:cs="Arial" w:eastAsia="Arial" w:hAnsi="Arial"/>
          <w:sz w:val="18"/>
          <w:szCs w:val="18"/>
          <w:color w:val="auto"/>
        </w:rPr>
        <w:t>1.1.76 “</w:t>
      </w:r>
      <w:r>
        <w:rPr>
          <w:rFonts w:ascii="Arial" w:cs="Arial" w:eastAsia="Arial" w:hAnsi="Arial"/>
          <w:sz w:val="18"/>
          <w:szCs w:val="18"/>
          <w:u w:val="single" w:color="auto"/>
          <w:color w:val="auto"/>
        </w:rPr>
        <w:t>Know-How</w:t>
      </w:r>
      <w:r>
        <w:rPr>
          <w:rFonts w:ascii="Arial" w:cs="Arial" w:eastAsia="Arial" w:hAnsi="Arial"/>
          <w:sz w:val="18"/>
          <w:szCs w:val="18"/>
          <w:color w:val="auto"/>
        </w:rPr>
        <w:t>” means any tangible or intangible trade secrets, know-how, expertise, discoveries, inventions, information, data or materials, including ideas, concepts, formulas, methods, procedures, designs, technologies, compositions, plans, applications, technical data, assays, manufacturing information or data, samples, chemical and biological materials and all derivatives, modifications and improvements thereof, but excluding any Patents.</w:t>
      </w:r>
    </w:p>
    <w:p>
      <w:pPr>
        <w:spacing w:after="0" w:line="187" w:lineRule="exact"/>
        <w:rPr>
          <w:sz w:val="20"/>
          <w:szCs w:val="20"/>
          <w:color w:val="auto"/>
        </w:rPr>
      </w:pPr>
    </w:p>
    <w:p>
      <w:pPr>
        <w:ind w:left="120" w:right="140" w:firstLine="991"/>
        <w:spacing w:after="0" w:line="257" w:lineRule="auto"/>
        <w:rPr>
          <w:sz w:val="20"/>
          <w:szCs w:val="20"/>
          <w:color w:val="auto"/>
        </w:rPr>
      </w:pPr>
      <w:r>
        <w:rPr>
          <w:rFonts w:ascii="Arial" w:cs="Arial" w:eastAsia="Arial" w:hAnsi="Arial"/>
          <w:sz w:val="18"/>
          <w:szCs w:val="18"/>
          <w:color w:val="auto"/>
        </w:rPr>
        <w:t>1.1.77 “</w:t>
      </w:r>
      <w:r>
        <w:rPr>
          <w:rFonts w:ascii="Arial" w:cs="Arial" w:eastAsia="Arial" w:hAnsi="Arial"/>
          <w:sz w:val="18"/>
          <w:szCs w:val="18"/>
          <w:u w:val="single" w:color="auto"/>
          <w:color w:val="auto"/>
        </w:rPr>
        <w:t>Law</w:t>
      </w:r>
      <w:r>
        <w:rPr>
          <w:rFonts w:ascii="Arial" w:cs="Arial" w:eastAsia="Arial" w:hAnsi="Arial"/>
          <w:sz w:val="18"/>
          <w:szCs w:val="18"/>
          <w:color w:val="auto"/>
        </w:rPr>
        <w:t>” means any law, statute, rule, regulation, ordinance or other pronouncement having the effect of law, of any federal, national, multinational, state, provincial, county, city or other political subdivision, as from time to time enacted, repealed or amended, including Good Clinical Practices and adverse event reporting requirements, guidance from the International Conference on Harmonization or other generally accepted conventions, the FDCA and similar laws and regulations in countries outside the United States, and all other rules, regulations and requirements of the FDA and other applicable Regulatory Authorities.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60" w:right="459" w:bottom="1440" w:gutter="0" w:footer="0" w:header="0"/>
        </w:sectPr>
      </w:pPr>
    </w:p>
    <w:bookmarkStart w:id="691" w:name="page692"/>
    <w:bookmarkEnd w:id="6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1.1.78</w:t>
        <w:tab/>
        <w:t>“</w:t>
      </w:r>
      <w:r>
        <w:rPr>
          <w:rFonts w:ascii="Arial" w:cs="Arial" w:eastAsia="Arial" w:hAnsi="Arial"/>
          <w:sz w:val="18"/>
          <w:szCs w:val="18"/>
          <w:u w:val="single" w:color="auto"/>
          <w:color w:val="auto"/>
        </w:rPr>
        <w:t>LDD</w:t>
      </w:r>
      <w:r>
        <w:rPr>
          <w:rFonts w:ascii="Arial" w:cs="Arial" w:eastAsia="Arial" w:hAnsi="Arial"/>
          <w:sz w:val="18"/>
          <w:szCs w:val="18"/>
          <w:color w:val="auto"/>
        </w:rPr>
        <w:t>” means [***].</w:t>
      </w:r>
    </w:p>
    <w:p>
      <w:pPr>
        <w:spacing w:after="0" w:line="225"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1.1.79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LDD Target</w:t>
      </w:r>
      <w:r>
        <w:rPr>
          <w:rFonts w:ascii="Arial" w:cs="Arial" w:eastAsia="Arial" w:hAnsi="Arial"/>
          <w:sz w:val="16"/>
          <w:szCs w:val="16"/>
          <w:color w:val="auto"/>
        </w:rPr>
        <w:t xml:space="preserve">” means a Target which can be [***]; </w:t>
      </w:r>
      <w:r>
        <w:rPr>
          <w:rFonts w:ascii="Arial" w:cs="Arial" w:eastAsia="Arial" w:hAnsi="Arial"/>
          <w:sz w:val="16"/>
          <w:szCs w:val="16"/>
          <w:u w:val="single" w:color="auto"/>
          <w:color w:val="auto"/>
        </w:rPr>
        <w:t>but excluding</w:t>
      </w:r>
      <w:r>
        <w:rPr>
          <w:rFonts w:ascii="Arial" w:cs="Arial" w:eastAsia="Arial" w:hAnsi="Arial"/>
          <w:sz w:val="16"/>
          <w:szCs w:val="16"/>
          <w:color w:val="auto"/>
        </w:rPr>
        <w:t xml:space="preserve"> any Undruggable Target.</w:t>
      </w:r>
    </w:p>
    <w:p>
      <w:pPr>
        <w:spacing w:after="0" w:line="225"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1.1.80</w:t>
        <w:tab/>
        <w:t>[***].</w:t>
      </w:r>
    </w:p>
    <w:p>
      <w:pPr>
        <w:spacing w:after="0" w:line="225" w:lineRule="exact"/>
        <w:rPr>
          <w:sz w:val="20"/>
          <w:szCs w:val="20"/>
          <w:color w:val="auto"/>
        </w:rPr>
      </w:pPr>
    </w:p>
    <w:p>
      <w:pPr>
        <w:ind w:left="120" w:right="460" w:firstLine="991"/>
        <w:spacing w:after="0" w:line="308" w:lineRule="auto"/>
        <w:rPr>
          <w:sz w:val="20"/>
          <w:szCs w:val="20"/>
          <w:color w:val="auto"/>
        </w:rPr>
      </w:pPr>
      <w:r>
        <w:rPr>
          <w:rFonts w:ascii="Arial" w:cs="Arial" w:eastAsia="Arial" w:hAnsi="Arial"/>
          <w:sz w:val="17"/>
          <w:szCs w:val="17"/>
          <w:color w:val="auto"/>
        </w:rPr>
        <w:t>1.1.81 “</w:t>
      </w:r>
      <w:r>
        <w:rPr>
          <w:rFonts w:ascii="Arial" w:cs="Arial" w:eastAsia="Arial" w:hAnsi="Arial"/>
          <w:sz w:val="17"/>
          <w:szCs w:val="17"/>
          <w:u w:val="single" w:color="auto"/>
          <w:color w:val="auto"/>
        </w:rPr>
        <w:t>Lesion</w:t>
      </w:r>
      <w:r>
        <w:rPr>
          <w:rFonts w:ascii="Arial" w:cs="Arial" w:eastAsia="Arial" w:hAnsi="Arial"/>
          <w:sz w:val="17"/>
          <w:szCs w:val="17"/>
          <w:color w:val="auto"/>
        </w:rPr>
        <w:t>” means a specific genetic alteration or biomarker that may include gene mutation, deletion, increased copy number, enhanced or decreased expression, epigenetic regulation or other perturbation influencing protein production or activity.</w:t>
      </w:r>
    </w:p>
    <w:p>
      <w:pPr>
        <w:spacing w:after="0" w:line="146"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1.1.82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Licensed Field</w:t>
      </w:r>
      <w:r>
        <w:rPr>
          <w:rFonts w:ascii="Arial" w:cs="Arial" w:eastAsia="Arial" w:hAnsi="Arial"/>
          <w:sz w:val="16"/>
          <w:szCs w:val="16"/>
          <w:color w:val="auto"/>
        </w:rPr>
        <w:t>” means all uses and indications, including the prevention, treatment or control of any disease, disorder or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condition.</w:t>
      </w:r>
    </w:p>
    <w:p>
      <w:pPr>
        <w:spacing w:after="0" w:line="211" w:lineRule="exact"/>
        <w:rPr>
          <w:sz w:val="20"/>
          <w:szCs w:val="20"/>
          <w:color w:val="auto"/>
        </w:rPr>
      </w:pPr>
    </w:p>
    <w:p>
      <w:pPr>
        <w:ind w:left="120" w:right="220" w:firstLine="991"/>
        <w:spacing w:after="0" w:line="301" w:lineRule="auto"/>
        <w:rPr>
          <w:sz w:val="20"/>
          <w:szCs w:val="20"/>
          <w:color w:val="auto"/>
        </w:rPr>
      </w:pPr>
      <w:r>
        <w:rPr>
          <w:rFonts w:ascii="Arial" w:cs="Arial" w:eastAsia="Arial" w:hAnsi="Arial"/>
          <w:sz w:val="16"/>
          <w:szCs w:val="16"/>
          <w:color w:val="auto"/>
        </w:rPr>
        <w:t>1.1.83 “</w:t>
      </w:r>
      <w:r>
        <w:rPr>
          <w:rFonts w:ascii="Arial" w:cs="Arial" w:eastAsia="Arial" w:hAnsi="Arial"/>
          <w:sz w:val="16"/>
          <w:szCs w:val="16"/>
          <w:u w:val="single" w:color="auto"/>
          <w:color w:val="auto"/>
        </w:rPr>
        <w:t>Manufacture</w:t>
      </w:r>
      <w:r>
        <w:rPr>
          <w:rFonts w:ascii="Arial" w:cs="Arial" w:eastAsia="Arial" w:hAnsi="Arial"/>
          <w:sz w:val="16"/>
          <w:szCs w:val="16"/>
          <w:color w:val="auto"/>
        </w:rPr>
        <w:t>” or “</w:t>
      </w:r>
      <w:r>
        <w:rPr>
          <w:rFonts w:ascii="Arial" w:cs="Arial" w:eastAsia="Arial" w:hAnsi="Arial"/>
          <w:sz w:val="16"/>
          <w:szCs w:val="16"/>
          <w:u w:val="single" w:color="auto"/>
          <w:color w:val="auto"/>
        </w:rPr>
        <w:t>Manufacturing</w:t>
      </w:r>
      <w:r>
        <w:rPr>
          <w:rFonts w:ascii="Arial" w:cs="Arial" w:eastAsia="Arial" w:hAnsi="Arial"/>
          <w:sz w:val="16"/>
          <w:szCs w:val="16"/>
          <w:color w:val="auto"/>
        </w:rPr>
        <w:t>” means, as applicable, all activities associated with the production, manufacture, processing, filling, packaging, labeling, shipping and storage of a drug substance or drug product, or any components thereof, including process and formulation development, process validation, stability testing, manufacturing scale-up, preclinical, clinical and commercial manufacture and analytical methods development and validation, product characterization, quality assurance and quality control development, testing and release.</w:t>
      </w:r>
    </w:p>
    <w:p>
      <w:pPr>
        <w:spacing w:after="0" w:line="157"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1.1.84 “</w:t>
      </w:r>
      <w:r>
        <w:rPr>
          <w:rFonts w:ascii="Arial" w:cs="Arial" w:eastAsia="Arial" w:hAnsi="Arial"/>
          <w:sz w:val="16"/>
          <w:szCs w:val="16"/>
          <w:u w:val="single" w:color="auto"/>
          <w:color w:val="auto"/>
        </w:rPr>
        <w:t>Material Safety Issue</w:t>
      </w:r>
      <w:r>
        <w:rPr>
          <w:rFonts w:ascii="Arial" w:cs="Arial" w:eastAsia="Arial" w:hAnsi="Arial"/>
          <w:sz w:val="16"/>
          <w:szCs w:val="16"/>
          <w:color w:val="auto"/>
        </w:rPr>
        <w:t>” means, with respect to a given Resulting Compound or Product, a Party’s good faith belief that administration or use of such Resulting Compound or Product to or in humans would create an unacceptable risk for harm in humans, which belief may be based upon (a) pre-clinical safety data, including data from animal toxicology studies, or (b) the observation of serious adverse events in humans, in each case ((a) or (b)), after any Resulting Compound or Product, either as a single agent or in combination with another pharmaceutical or biologic agent (including in a Combination Product), has been administered to or taken by humans, such as during a clinical trial.</w:t>
      </w:r>
    </w:p>
    <w:p>
      <w:pPr>
        <w:spacing w:after="0" w:line="161"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1.1.85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Net Sales</w:t>
      </w:r>
      <w:r>
        <w:rPr>
          <w:rFonts w:ascii="Arial" w:cs="Arial" w:eastAsia="Arial" w:hAnsi="Arial"/>
          <w:sz w:val="17"/>
          <w:szCs w:val="17"/>
          <w:color w:val="auto"/>
        </w:rPr>
        <w:t>” means, [***].</w:t>
      </w:r>
    </w:p>
    <w:p>
      <w:pPr>
        <w:spacing w:after="0" w:line="225"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1.1.86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Novel BMS Campaign</w:t>
      </w:r>
      <w:r>
        <w:rPr>
          <w:rFonts w:ascii="Arial" w:cs="Arial" w:eastAsia="Arial" w:hAnsi="Arial"/>
          <w:sz w:val="16"/>
          <w:szCs w:val="16"/>
          <w:color w:val="auto"/>
        </w:rPr>
        <w:t>” means any Campaign selected by BMS as a Pre-Option Campaign pursuant to Section 2.4 that is not</w:t>
      </w:r>
    </w:p>
    <w:p>
      <w:pPr>
        <w:spacing w:after="0" w:line="23" w:lineRule="exact"/>
        <w:rPr>
          <w:sz w:val="20"/>
          <w:szCs w:val="20"/>
          <w:color w:val="auto"/>
        </w:rPr>
      </w:pPr>
    </w:p>
    <w:p>
      <w:pPr>
        <w:ind w:left="120" w:right="280" w:hanging="4"/>
        <w:spacing w:after="0" w:line="255" w:lineRule="auto"/>
        <w:tabs>
          <w:tab w:leader="none" w:pos="365"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an Existing Repare Campaign, (b) [***], (c) [***], or (d) any Campaign that, at the time BMS notifies Repare that BMS would like to select such Campaign as a Pre-Option Campaign, Repare has internally identified as applicable to (i) Repare’s Manchester program, (ii) Repare’s ATR inhibitor program or (iii) Repare’s Pol-Theta program.</w:t>
      </w:r>
    </w:p>
    <w:p>
      <w:pPr>
        <w:spacing w:after="0" w:line="190"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1.1.87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Option Exercise Fee</w:t>
      </w:r>
      <w:r>
        <w:rPr>
          <w:rFonts w:ascii="Arial" w:cs="Arial" w:eastAsia="Arial" w:hAnsi="Arial"/>
          <w:sz w:val="16"/>
          <w:szCs w:val="16"/>
          <w:color w:val="auto"/>
        </w:rPr>
        <w:t>” means each payment described in Section 9.3.1 or Section 9.3.2.</w:t>
      </w:r>
    </w:p>
    <w:p>
      <w:pPr>
        <w:spacing w:after="0" w:line="225" w:lineRule="exact"/>
        <w:rPr>
          <w:sz w:val="20"/>
          <w:szCs w:val="20"/>
          <w:color w:val="auto"/>
        </w:rPr>
      </w:pPr>
    </w:p>
    <w:p>
      <w:pPr>
        <w:ind w:left="120" w:right="500" w:firstLine="991"/>
        <w:spacing w:after="0" w:line="308" w:lineRule="auto"/>
        <w:rPr>
          <w:sz w:val="20"/>
          <w:szCs w:val="20"/>
          <w:color w:val="auto"/>
        </w:rPr>
      </w:pPr>
      <w:r>
        <w:rPr>
          <w:rFonts w:ascii="Arial" w:cs="Arial" w:eastAsia="Arial" w:hAnsi="Arial"/>
          <w:sz w:val="17"/>
          <w:szCs w:val="17"/>
          <w:color w:val="auto"/>
        </w:rPr>
        <w:t>1.1.88 “</w:t>
      </w:r>
      <w:r>
        <w:rPr>
          <w:rFonts w:ascii="Arial" w:cs="Arial" w:eastAsia="Arial" w:hAnsi="Arial"/>
          <w:sz w:val="17"/>
          <w:szCs w:val="17"/>
          <w:u w:val="single" w:color="auto"/>
          <w:color w:val="auto"/>
        </w:rPr>
        <w:t>Patent</w:t>
      </w:r>
      <w:r>
        <w:rPr>
          <w:rFonts w:ascii="Arial" w:cs="Arial" w:eastAsia="Arial" w:hAnsi="Arial"/>
          <w:sz w:val="17"/>
          <w:szCs w:val="17"/>
          <w:color w:val="auto"/>
        </w:rPr>
        <w:t>” means any (a) patent or patent application anywhere in the world, (b) divisional, continuation, continuation in-part thereof or any other patent application claiming priority, or entitled to claim priority, directly or indirectly to (i) any such patent or patent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60" w:right="459" w:bottom="1440" w:gutter="0" w:footer="0" w:header="0"/>
        </w:sectPr>
      </w:pPr>
    </w:p>
    <w:bookmarkStart w:id="692" w:name="page693"/>
    <w:bookmarkEnd w:id="6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application or (ii) any patent or patent application from which such patent or patent application claims, or is entitled to claim, direct or indirect priority, and (c) patent issuing on any of the foregoing anywhere in the world, together with any registration, reissue, re-examination, patent of addition, renewal, patent term extension, supplemental protection certificate, or extension of any of the foregoing anywhere in the world.</w:t>
      </w:r>
    </w:p>
    <w:p>
      <w:pPr>
        <w:spacing w:after="0" w:line="165" w:lineRule="exact"/>
        <w:rPr>
          <w:sz w:val="20"/>
          <w:szCs w:val="20"/>
          <w:color w:val="auto"/>
        </w:rPr>
      </w:pPr>
    </w:p>
    <w:p>
      <w:pPr>
        <w:ind w:left="120" w:right="320" w:firstLine="991"/>
        <w:spacing w:after="0" w:line="277" w:lineRule="auto"/>
        <w:rPr>
          <w:sz w:val="20"/>
          <w:szCs w:val="20"/>
          <w:color w:val="auto"/>
        </w:rPr>
      </w:pPr>
      <w:r>
        <w:rPr>
          <w:rFonts w:ascii="Arial" w:cs="Arial" w:eastAsia="Arial" w:hAnsi="Arial"/>
          <w:sz w:val="18"/>
          <w:szCs w:val="18"/>
          <w:color w:val="auto"/>
        </w:rPr>
        <w:t>1.1.89 “</w:t>
      </w:r>
      <w:r>
        <w:rPr>
          <w:rFonts w:ascii="Arial" w:cs="Arial" w:eastAsia="Arial" w:hAnsi="Arial"/>
          <w:sz w:val="18"/>
          <w:szCs w:val="18"/>
          <w:u w:val="single" w:color="auto"/>
          <w:color w:val="auto"/>
        </w:rPr>
        <w:t>Person</w:t>
      </w:r>
      <w:r>
        <w:rPr>
          <w:rFonts w:ascii="Arial" w:cs="Arial" w:eastAsia="Arial" w:hAnsi="Arial"/>
          <w:sz w:val="18"/>
          <w:szCs w:val="18"/>
          <w:color w:val="auto"/>
        </w:rPr>
        <w:t>” means any corporation, limited or general partnership, limited liability company, joint venture, trust, unincorporated association, governmental body, authority, bureau or agency, any other entity or body, or an individual.</w:t>
      </w:r>
    </w:p>
    <w:p>
      <w:pPr>
        <w:spacing w:after="0" w:line="170"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1.1.90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Phase I Study</w:t>
      </w:r>
      <w:r>
        <w:rPr>
          <w:rFonts w:ascii="Arial" w:cs="Arial" w:eastAsia="Arial" w:hAnsi="Arial"/>
          <w:sz w:val="16"/>
          <w:szCs w:val="16"/>
          <w:color w:val="auto"/>
        </w:rPr>
        <w:t>” means a human clinical trial of a Product in any country that would satisfy the requirements of 21 C.F.R. §</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312.21(a), as amended (or the non-United States equivalent thereof).</w:t>
      </w:r>
    </w:p>
    <w:p>
      <w:pPr>
        <w:spacing w:after="0" w:line="211"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1.1.91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Phase II Study</w:t>
      </w:r>
      <w:r>
        <w:rPr>
          <w:rFonts w:ascii="Arial" w:cs="Arial" w:eastAsia="Arial" w:hAnsi="Arial"/>
          <w:sz w:val="16"/>
          <w:szCs w:val="16"/>
          <w:color w:val="auto"/>
        </w:rPr>
        <w:t>” means a human clinical trial of a Product in any country that would satisfy the requirements of 21 C.F.R. §</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312.21(b), as amended (or the non-United States equivalent thereof).</w:t>
      </w:r>
    </w:p>
    <w:p>
      <w:pPr>
        <w:spacing w:after="0" w:line="211"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1.1.92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Pivotal Study</w:t>
      </w:r>
      <w:r>
        <w:rPr>
          <w:rFonts w:ascii="Arial" w:cs="Arial" w:eastAsia="Arial" w:hAnsi="Arial"/>
          <w:sz w:val="16"/>
          <w:szCs w:val="16"/>
          <w:color w:val="auto"/>
        </w:rPr>
        <w:t>” means a human clinical trial of a product in any country that satisfies both of the following ((a) and (b)):</w:t>
      </w:r>
    </w:p>
    <w:p>
      <w:pPr>
        <w:spacing w:after="0" w:line="117" w:lineRule="exact"/>
        <w:rPr>
          <w:sz w:val="20"/>
          <w:szCs w:val="20"/>
          <w:color w:val="auto"/>
        </w:rPr>
      </w:pPr>
    </w:p>
    <w:p>
      <w:pPr>
        <w:jc w:val="both"/>
        <w:ind w:left="120" w:right="220" w:firstLine="1428"/>
        <w:spacing w:after="0" w:line="259" w:lineRule="auto"/>
        <w:tabs>
          <w:tab w:leader="none" w:pos="1932" w:val="left"/>
        </w:tabs>
        <w:numPr>
          <w:ilvl w:val="0"/>
          <w:numId w:val="437"/>
        </w:numPr>
        <w:rPr>
          <w:rFonts w:ascii="Arial" w:cs="Arial" w:eastAsia="Arial" w:hAnsi="Arial"/>
          <w:sz w:val="18"/>
          <w:szCs w:val="18"/>
          <w:color w:val="auto"/>
        </w:rPr>
      </w:pPr>
      <w:r>
        <w:rPr>
          <w:rFonts w:ascii="Arial" w:cs="Arial" w:eastAsia="Arial" w:hAnsi="Arial"/>
          <w:sz w:val="18"/>
          <w:szCs w:val="18"/>
          <w:color w:val="auto"/>
        </w:rPr>
        <w:t>such trial includes a sufficient number of subjects and is designed to establish that such product has an acceptable safety and efficacy profile for its intended use, and to determine warnings, precautions and adverse reactions that are associated with such product in the dosage range to be prescribed, which trial is intended to support Regulatory Approval of such product, or a similar human clinical trial prescribed by an applicable Regulatory Authority; and</w:t>
      </w:r>
    </w:p>
    <w:p>
      <w:pPr>
        <w:spacing w:after="0" w:line="186" w:lineRule="exact"/>
        <w:rPr>
          <w:rFonts w:ascii="Arial" w:cs="Arial" w:eastAsia="Arial" w:hAnsi="Arial"/>
          <w:sz w:val="18"/>
          <w:szCs w:val="18"/>
          <w:color w:val="auto"/>
        </w:rPr>
      </w:pPr>
    </w:p>
    <w:p>
      <w:pPr>
        <w:ind w:left="120" w:right="280" w:firstLine="1428"/>
        <w:spacing w:after="0" w:line="311" w:lineRule="auto"/>
        <w:tabs>
          <w:tab w:leader="none" w:pos="1942" w:val="left"/>
        </w:tabs>
        <w:numPr>
          <w:ilvl w:val="0"/>
          <w:numId w:val="437"/>
        </w:numPr>
        <w:rPr>
          <w:rFonts w:ascii="Arial" w:cs="Arial" w:eastAsia="Arial" w:hAnsi="Arial"/>
          <w:sz w:val="16"/>
          <w:szCs w:val="16"/>
          <w:color w:val="auto"/>
        </w:rPr>
      </w:pPr>
      <w:r>
        <w:rPr>
          <w:rFonts w:ascii="Arial" w:cs="Arial" w:eastAsia="Arial" w:hAnsi="Arial"/>
          <w:sz w:val="16"/>
          <w:szCs w:val="16"/>
          <w:color w:val="auto"/>
        </w:rPr>
        <w:t>such trial is a registration trial designed to be sufficient to support the filing of an application for a Regulatory Approval for such product in an applicable country or jurisdiction or some or all of an extra-national territory, as evidenced by (i) an agreement with or statement from an applicable Regulatory Authority, or (ii) other guidance or minutes issued by an applicable Regulatory Authority, for such registration trial.</w:t>
      </w:r>
    </w:p>
    <w:p>
      <w:pPr>
        <w:spacing w:after="0" w:line="149"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1.1.93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Pre-Option Campaign</w:t>
      </w:r>
      <w:r>
        <w:rPr>
          <w:rFonts w:ascii="Arial" w:cs="Arial" w:eastAsia="Arial" w:hAnsi="Arial"/>
          <w:sz w:val="16"/>
          <w:szCs w:val="16"/>
          <w:color w:val="auto"/>
        </w:rPr>
        <w:t xml:space="preserve">” means any Primary Campaign or Backup Campaign; </w:t>
      </w:r>
      <w:r>
        <w:rPr>
          <w:rFonts w:ascii="Arial" w:cs="Arial" w:eastAsia="Arial" w:hAnsi="Arial"/>
          <w:sz w:val="16"/>
          <w:szCs w:val="16"/>
          <w:u w:val="single" w:color="auto"/>
          <w:color w:val="auto"/>
        </w:rPr>
        <w:t>but excluding</w:t>
      </w:r>
      <w:r>
        <w:rPr>
          <w:rFonts w:ascii="Arial" w:cs="Arial" w:eastAsia="Arial" w:hAnsi="Arial"/>
          <w:sz w:val="16"/>
          <w:szCs w:val="16"/>
          <w:color w:val="auto"/>
        </w:rPr>
        <w:t xml:space="preserve"> all Collaboration Campaigns.</w:t>
      </w:r>
    </w:p>
    <w:p>
      <w:pPr>
        <w:spacing w:after="0" w:line="225"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1.1.94 “</w:t>
      </w:r>
      <w:r>
        <w:rPr>
          <w:rFonts w:ascii="Arial" w:cs="Arial" w:eastAsia="Arial" w:hAnsi="Arial"/>
          <w:sz w:val="18"/>
          <w:szCs w:val="18"/>
          <w:u w:val="single" w:color="auto"/>
          <w:color w:val="auto"/>
        </w:rPr>
        <w:t>Primary Campaign</w:t>
      </w:r>
      <w:r>
        <w:rPr>
          <w:rFonts w:ascii="Arial" w:cs="Arial" w:eastAsia="Arial" w:hAnsi="Arial"/>
          <w:sz w:val="18"/>
          <w:szCs w:val="18"/>
          <w:color w:val="auto"/>
        </w:rPr>
        <w:t xml:space="preserve">” means (a) each of the Campaigns that BMS selects as a Primary Campaign pursuant to Section 2.4.1(a) or Section 2.4.2(a) or that the JSC agrees to designate as a Primary Campaign pursuant to Section 2.4.3, and (b) each Campaign that is a Backup Campaign that BMS has substituted for a Primary Campaign and then is deemed a Primary Campaign pursuant to Section 2.5.3; </w:t>
      </w:r>
      <w:r>
        <w:rPr>
          <w:rFonts w:ascii="Arial" w:cs="Arial" w:eastAsia="Arial" w:hAnsi="Arial"/>
          <w:sz w:val="18"/>
          <w:szCs w:val="18"/>
          <w:u w:val="single" w:color="auto"/>
          <w:color w:val="auto"/>
        </w:rPr>
        <w:t>but excluding</w:t>
      </w:r>
      <w:r>
        <w:rPr>
          <w:rFonts w:ascii="Arial" w:cs="Arial" w:eastAsia="Arial" w:hAnsi="Arial"/>
          <w:sz w:val="18"/>
          <w:szCs w:val="18"/>
          <w:color w:val="auto"/>
        </w:rPr>
        <w:t xml:space="preserve"> all Excluded Campaigns.</w:t>
      </w:r>
    </w:p>
    <w:p>
      <w:pPr>
        <w:spacing w:after="0" w:line="187"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1.1.95 “</w:t>
      </w:r>
      <w:r>
        <w:rPr>
          <w:rFonts w:ascii="Arial" w:cs="Arial" w:eastAsia="Arial" w:hAnsi="Arial"/>
          <w:sz w:val="18"/>
          <w:szCs w:val="18"/>
          <w:u w:val="single" w:color="auto"/>
          <w:color w:val="auto"/>
        </w:rPr>
        <w:t>Primary Target</w:t>
      </w:r>
      <w:r>
        <w:rPr>
          <w:rFonts w:ascii="Arial" w:cs="Arial" w:eastAsia="Arial" w:hAnsi="Arial"/>
          <w:sz w:val="18"/>
          <w:szCs w:val="18"/>
          <w:color w:val="auto"/>
        </w:rPr>
        <w:t xml:space="preserve">” means, with respect to a given Primary Campaign, the Collaboration Druggable/LDD Target designated as the Primary Target from such Primary Campaign by BMS pursuant to Section 2.5.7; </w:t>
      </w:r>
      <w:r>
        <w:rPr>
          <w:rFonts w:ascii="Arial" w:cs="Arial" w:eastAsia="Arial" w:hAnsi="Arial"/>
          <w:sz w:val="18"/>
          <w:szCs w:val="18"/>
          <w:u w:val="single" w:color="auto"/>
          <w:color w:val="auto"/>
        </w:rPr>
        <w:t>but excluding</w:t>
      </w:r>
      <w:r>
        <w:rPr>
          <w:rFonts w:ascii="Arial" w:cs="Arial" w:eastAsia="Arial" w:hAnsi="Arial"/>
          <w:sz w:val="18"/>
          <w:szCs w:val="18"/>
          <w:color w:val="auto"/>
        </w:rPr>
        <w:t xml:space="preserve"> all Excluded Targets.</w:t>
      </w:r>
    </w:p>
    <w:p>
      <w:pPr>
        <w:spacing w:after="0" w:line="170" w:lineRule="exact"/>
        <w:rPr>
          <w:sz w:val="20"/>
          <w:szCs w:val="20"/>
          <w:color w:val="auto"/>
        </w:rPr>
      </w:pPr>
    </w:p>
    <w:p>
      <w:pPr>
        <w:ind w:left="120" w:right="440" w:firstLine="991"/>
        <w:spacing w:after="0" w:line="277" w:lineRule="auto"/>
        <w:rPr>
          <w:sz w:val="20"/>
          <w:szCs w:val="20"/>
          <w:color w:val="auto"/>
        </w:rPr>
      </w:pPr>
      <w:r>
        <w:rPr>
          <w:rFonts w:ascii="Arial" w:cs="Arial" w:eastAsia="Arial" w:hAnsi="Arial"/>
          <w:sz w:val="18"/>
          <w:szCs w:val="18"/>
          <w:color w:val="auto"/>
        </w:rPr>
        <w:t>1.1.96 “</w:t>
      </w:r>
      <w:r>
        <w:rPr>
          <w:rFonts w:ascii="Arial" w:cs="Arial" w:eastAsia="Arial" w:hAnsi="Arial"/>
          <w:sz w:val="18"/>
          <w:szCs w:val="18"/>
          <w:u w:val="single" w:color="auto"/>
          <w:color w:val="auto"/>
        </w:rPr>
        <w:t>Primary Target Period</w:t>
      </w:r>
      <w:r>
        <w:rPr>
          <w:rFonts w:ascii="Arial" w:cs="Arial" w:eastAsia="Arial" w:hAnsi="Arial"/>
          <w:sz w:val="18"/>
          <w:szCs w:val="18"/>
          <w:color w:val="auto"/>
        </w:rPr>
        <w:t>” means, with respect to a given Collaboration Campaign, the period beginning on the date on which Repare has provided to BMS all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60" w:right="479" w:bottom="1440" w:gutter="0" w:footer="0" w:header="0"/>
        </w:sectPr>
      </w:pPr>
    </w:p>
    <w:bookmarkStart w:id="693" w:name="page694"/>
    <w:bookmarkEnd w:id="6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Deliverables for the Primary Target from such Collaboration Campaign following BMS’s exercise of its Option with respect to such Collaboration Campaign, and ending on the earlier of (a) [***] after such provision of such Deliverables to BMS (or at such later time as the JSC may agree upon pursuant to Section 5.2.2(l)) or (b) the date, if any, on which BMS makes a Further Development Election with respect to the Primary Target from such Collaboration Campaign.</w:t>
      </w:r>
    </w:p>
    <w:p>
      <w:pPr>
        <w:spacing w:after="0" w:line="187" w:lineRule="exact"/>
        <w:rPr>
          <w:sz w:val="20"/>
          <w:szCs w:val="20"/>
          <w:color w:val="auto"/>
        </w:rPr>
      </w:pPr>
    </w:p>
    <w:p>
      <w:pPr>
        <w:ind w:left="120" w:firstLine="991"/>
        <w:spacing w:after="0" w:line="308" w:lineRule="auto"/>
        <w:rPr>
          <w:sz w:val="20"/>
          <w:szCs w:val="20"/>
          <w:color w:val="auto"/>
        </w:rPr>
      </w:pPr>
      <w:r>
        <w:rPr>
          <w:rFonts w:ascii="Arial" w:cs="Arial" w:eastAsia="Arial" w:hAnsi="Arial"/>
          <w:sz w:val="17"/>
          <w:szCs w:val="17"/>
          <w:color w:val="auto"/>
        </w:rPr>
        <w:t>1.1.97 “</w:t>
      </w:r>
      <w:r>
        <w:rPr>
          <w:rFonts w:ascii="Arial" w:cs="Arial" w:eastAsia="Arial" w:hAnsi="Arial"/>
          <w:sz w:val="17"/>
          <w:szCs w:val="17"/>
          <w:u w:val="single" w:color="auto"/>
          <w:color w:val="auto"/>
        </w:rPr>
        <w:t>Product</w:t>
      </w:r>
      <w:r>
        <w:rPr>
          <w:rFonts w:ascii="Arial" w:cs="Arial" w:eastAsia="Arial" w:hAnsi="Arial"/>
          <w:sz w:val="17"/>
          <w:szCs w:val="17"/>
          <w:color w:val="auto"/>
        </w:rPr>
        <w:t>” means any product containing any Resulting Compound as an active ingredient (alone or with other active ingredients) for use in the Licensed Field, in any presentation, formulation or dosage form. For clarity, Products include Combination Products.</w:t>
      </w:r>
    </w:p>
    <w:p>
      <w:pPr>
        <w:spacing w:after="0" w:line="146" w:lineRule="exact"/>
        <w:rPr>
          <w:sz w:val="20"/>
          <w:szCs w:val="20"/>
          <w:color w:val="auto"/>
        </w:rPr>
      </w:pPr>
    </w:p>
    <w:p>
      <w:pPr>
        <w:jc w:val="both"/>
        <w:ind w:left="120" w:right="320" w:firstLine="991"/>
        <w:spacing w:after="0" w:line="342" w:lineRule="auto"/>
        <w:rPr>
          <w:sz w:val="20"/>
          <w:szCs w:val="20"/>
          <w:color w:val="auto"/>
        </w:rPr>
      </w:pPr>
      <w:r>
        <w:rPr>
          <w:rFonts w:ascii="Arial" w:cs="Arial" w:eastAsia="Arial" w:hAnsi="Arial"/>
          <w:sz w:val="16"/>
          <w:szCs w:val="16"/>
          <w:color w:val="auto"/>
        </w:rPr>
        <w:t>1.1.98 “</w:t>
      </w:r>
      <w:r>
        <w:rPr>
          <w:rFonts w:ascii="Arial" w:cs="Arial" w:eastAsia="Arial" w:hAnsi="Arial"/>
          <w:sz w:val="16"/>
          <w:szCs w:val="16"/>
          <w:u w:val="single" w:color="auto"/>
          <w:color w:val="auto"/>
        </w:rPr>
        <w:t>Prosecution</w:t>
      </w:r>
      <w:r>
        <w:rPr>
          <w:rFonts w:ascii="Arial" w:cs="Arial" w:eastAsia="Arial" w:hAnsi="Arial"/>
          <w:sz w:val="16"/>
          <w:szCs w:val="16"/>
          <w:color w:val="auto"/>
        </w:rPr>
        <w:t>” or “</w:t>
      </w:r>
      <w:r>
        <w:rPr>
          <w:rFonts w:ascii="Arial" w:cs="Arial" w:eastAsia="Arial" w:hAnsi="Arial"/>
          <w:sz w:val="16"/>
          <w:szCs w:val="16"/>
          <w:u w:val="single" w:color="auto"/>
          <w:color w:val="auto"/>
        </w:rPr>
        <w:t>Prosecute</w:t>
      </w:r>
      <w:r>
        <w:rPr>
          <w:rFonts w:ascii="Arial" w:cs="Arial" w:eastAsia="Arial" w:hAnsi="Arial"/>
          <w:sz w:val="16"/>
          <w:szCs w:val="16"/>
          <w:color w:val="auto"/>
        </w:rPr>
        <w:t>” means the filing, preparation, prosecution and maintenance of any Patent, including any and all pre-grant proceedings before any patent authority, such as interferences, and including any reissue, reexamination, or other post-grant proceedings.</w:t>
      </w:r>
    </w:p>
    <w:p>
      <w:pPr>
        <w:spacing w:after="0" w:line="124"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1.1.99 “</w:t>
      </w:r>
      <w:r>
        <w:rPr>
          <w:rFonts w:ascii="Arial" w:cs="Arial" w:eastAsia="Arial" w:hAnsi="Arial"/>
          <w:sz w:val="18"/>
          <w:szCs w:val="18"/>
          <w:u w:val="single" w:color="auto"/>
          <w:color w:val="auto"/>
        </w:rPr>
        <w:t>Publication</w:t>
      </w:r>
      <w:r>
        <w:rPr>
          <w:rFonts w:ascii="Arial" w:cs="Arial" w:eastAsia="Arial" w:hAnsi="Arial"/>
          <w:sz w:val="18"/>
          <w:szCs w:val="18"/>
          <w:color w:val="auto"/>
        </w:rPr>
        <w:t>” means any publication in a scientific journal, any scientific abstract to be presented to any audience, any presentation at any scientific conference, including slides and texts of oral or other public presentations, any other scientific presentation and any other oral, written or electronic scientific disclosure directed to any audience.</w:t>
      </w:r>
    </w:p>
    <w:p>
      <w:pPr>
        <w:spacing w:after="0" w:line="184" w:lineRule="exact"/>
        <w:rPr>
          <w:sz w:val="20"/>
          <w:szCs w:val="20"/>
          <w:color w:val="auto"/>
        </w:rPr>
      </w:pPr>
    </w:p>
    <w:p>
      <w:pPr>
        <w:ind w:left="120" w:right="200" w:firstLine="991"/>
        <w:spacing w:after="0" w:line="308" w:lineRule="auto"/>
        <w:rPr>
          <w:sz w:val="20"/>
          <w:szCs w:val="20"/>
          <w:color w:val="auto"/>
        </w:rPr>
      </w:pPr>
      <w:r>
        <w:rPr>
          <w:rFonts w:ascii="Arial" w:cs="Arial" w:eastAsia="Arial" w:hAnsi="Arial"/>
          <w:sz w:val="17"/>
          <w:szCs w:val="17"/>
          <w:color w:val="auto"/>
        </w:rPr>
        <w:t>1.1.100 “</w:t>
      </w:r>
      <w:r>
        <w:rPr>
          <w:rFonts w:ascii="Arial" w:cs="Arial" w:eastAsia="Arial" w:hAnsi="Arial"/>
          <w:sz w:val="17"/>
          <w:szCs w:val="17"/>
          <w:u w:val="single" w:color="auto"/>
          <w:color w:val="auto"/>
        </w:rPr>
        <w:t>Regulatory Approval</w:t>
      </w:r>
      <w:r>
        <w:rPr>
          <w:rFonts w:ascii="Arial" w:cs="Arial" w:eastAsia="Arial" w:hAnsi="Arial"/>
          <w:sz w:val="17"/>
          <w:szCs w:val="17"/>
          <w:color w:val="auto"/>
        </w:rPr>
        <w:t>” means all approvals of each applicable Regulatory Authority necessary for the commercial marketing and sale of a product for a particular indication in a country, including, where applicable, pricing and reimbursement approvals.</w:t>
      </w:r>
    </w:p>
    <w:p>
      <w:pPr>
        <w:spacing w:after="0" w:line="146"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1.1.101 “</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means a federal, national, multinational, state, provincial or local regulatory agency, department, bureau or other governmental entity with authority over the testing, manufacture, use, storage, import, promotion, marketing or sale (including pricing and reimbursement approval) of a product in a country or territory.</w:t>
      </w:r>
    </w:p>
    <w:p>
      <w:pPr>
        <w:spacing w:after="0" w:line="184" w:lineRule="exact"/>
        <w:rPr>
          <w:sz w:val="20"/>
          <w:szCs w:val="20"/>
          <w:color w:val="auto"/>
        </w:rPr>
      </w:pPr>
    </w:p>
    <w:p>
      <w:pPr>
        <w:ind w:left="120" w:right="120" w:firstLine="991"/>
        <w:spacing w:after="0" w:line="275" w:lineRule="auto"/>
        <w:rPr>
          <w:sz w:val="20"/>
          <w:szCs w:val="20"/>
          <w:color w:val="auto"/>
        </w:rPr>
      </w:pPr>
      <w:r>
        <w:rPr>
          <w:rFonts w:ascii="Arial" w:cs="Arial" w:eastAsia="Arial" w:hAnsi="Arial"/>
          <w:sz w:val="17"/>
          <w:szCs w:val="17"/>
          <w:color w:val="auto"/>
        </w:rPr>
        <w:t>1.1.102 “</w:t>
      </w:r>
      <w:r>
        <w:rPr>
          <w:rFonts w:ascii="Arial" w:cs="Arial" w:eastAsia="Arial" w:hAnsi="Arial"/>
          <w:sz w:val="17"/>
          <w:szCs w:val="17"/>
          <w:u w:val="single" w:color="auto"/>
          <w:color w:val="auto"/>
        </w:rPr>
        <w:t>Regulatory Exclusivity</w:t>
      </w:r>
      <w:r>
        <w:rPr>
          <w:rFonts w:ascii="Arial" w:cs="Arial" w:eastAsia="Arial" w:hAnsi="Arial"/>
          <w:sz w:val="17"/>
          <w:szCs w:val="17"/>
          <w:color w:val="auto"/>
        </w:rPr>
        <w:t>” means, with respect to a Product in a country, that such Product has been granted (a) data exclusivity afforded approved drug products pursuant to Section 505(c), 505(j), or 505A of the FDCA, and the regulations promulgated thereunder, as amended from time to time, or their equivalent in a country other than the United States, or (b) market exclusivity pursuant to the orphan drug provisions governing approved drugs designated for rare diseases or conditions under Sections 526 and 527 of the FDCA, and the regulations promulgated thereunder, as amended from time to time, or its equivalent in a country other than the United States.</w:t>
      </w:r>
    </w:p>
    <w:p>
      <w:pPr>
        <w:spacing w:after="0" w:line="176" w:lineRule="exact"/>
        <w:rPr>
          <w:sz w:val="20"/>
          <w:szCs w:val="20"/>
          <w:color w:val="auto"/>
        </w:rPr>
      </w:pPr>
    </w:p>
    <w:p>
      <w:pPr>
        <w:ind w:left="120" w:right="60" w:firstLine="991"/>
        <w:spacing w:after="0" w:line="286" w:lineRule="auto"/>
        <w:rPr>
          <w:sz w:val="20"/>
          <w:szCs w:val="20"/>
          <w:color w:val="auto"/>
        </w:rPr>
      </w:pPr>
      <w:r>
        <w:rPr>
          <w:rFonts w:ascii="Arial" w:cs="Arial" w:eastAsia="Arial" w:hAnsi="Arial"/>
          <w:sz w:val="17"/>
          <w:szCs w:val="17"/>
          <w:color w:val="auto"/>
        </w:rPr>
        <w:t>1.1.103 “</w:t>
      </w:r>
      <w:r>
        <w:rPr>
          <w:rFonts w:ascii="Arial" w:cs="Arial" w:eastAsia="Arial" w:hAnsi="Arial"/>
          <w:sz w:val="17"/>
          <w:szCs w:val="17"/>
          <w:u w:val="single" w:color="auto"/>
          <w:color w:val="auto"/>
        </w:rPr>
        <w:t>Regulatory Interactions</w:t>
      </w:r>
      <w:r>
        <w:rPr>
          <w:rFonts w:ascii="Arial" w:cs="Arial" w:eastAsia="Arial" w:hAnsi="Arial"/>
          <w:sz w:val="17"/>
          <w:szCs w:val="17"/>
          <w:color w:val="auto"/>
        </w:rPr>
        <w:t>” means (a) monitoring and coordinating all regulatory actions, preparing, submitting and coordinating all communications and filings with, and submissions to, all Regulatory Authorities with respect to the Development, Manufacture and Commercialization of Products and (b) interfacing, corresponding and meeting with the Regulatory Authorities with respect to the Products.</w:t>
      </w:r>
    </w:p>
    <w:p>
      <w:pPr>
        <w:spacing w:after="0" w:line="165" w:lineRule="exact"/>
        <w:rPr>
          <w:sz w:val="20"/>
          <w:szCs w:val="20"/>
          <w:color w:val="auto"/>
        </w:rPr>
      </w:pPr>
    </w:p>
    <w:p>
      <w:pPr>
        <w:ind w:left="1100"/>
        <w:spacing w:after="0"/>
        <w:tabs>
          <w:tab w:leader="none" w:pos="1800" w:val="left"/>
        </w:tabs>
        <w:rPr>
          <w:sz w:val="20"/>
          <w:szCs w:val="20"/>
          <w:color w:val="auto"/>
        </w:rPr>
      </w:pPr>
      <w:r>
        <w:rPr>
          <w:rFonts w:ascii="Arial" w:cs="Arial" w:eastAsia="Arial" w:hAnsi="Arial"/>
          <w:sz w:val="18"/>
          <w:szCs w:val="18"/>
          <w:color w:val="auto"/>
        </w:rPr>
        <w:t>1.1.104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Repare Intellectual Property</w:t>
      </w:r>
      <w:r>
        <w:rPr>
          <w:rFonts w:ascii="Arial" w:cs="Arial" w:eastAsia="Arial" w:hAnsi="Arial"/>
          <w:sz w:val="16"/>
          <w:szCs w:val="16"/>
          <w:color w:val="auto"/>
        </w:rPr>
        <w:t>” means Repare Know-How and Repare Patents, collectively.</w:t>
      </w:r>
    </w:p>
    <w:p>
      <w:pPr>
        <w:spacing w:after="0" w:line="225"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1.1.105 “</w:t>
      </w:r>
      <w:r>
        <w:rPr>
          <w:rFonts w:ascii="Arial" w:cs="Arial" w:eastAsia="Arial" w:hAnsi="Arial"/>
          <w:sz w:val="18"/>
          <w:szCs w:val="18"/>
          <w:u w:val="single" w:color="auto"/>
          <w:color w:val="auto"/>
        </w:rPr>
        <w:t>Repare Know-How</w:t>
      </w:r>
      <w:r>
        <w:rPr>
          <w:rFonts w:ascii="Arial" w:cs="Arial" w:eastAsia="Arial" w:hAnsi="Arial"/>
          <w:sz w:val="18"/>
          <w:szCs w:val="18"/>
          <w:color w:val="auto"/>
        </w:rPr>
        <w:t>” means any Know-How not in the public domain or otherwise generally known that is (a) Controlled by Repare or any of its Affiliates as of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60" w:right="519" w:bottom="1440" w:gutter="0" w:footer="0" w:header="0"/>
        </w:sectPr>
      </w:pPr>
    </w:p>
    <w:bookmarkStart w:id="694" w:name="page695"/>
    <w:bookmarkEnd w:id="6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 xml:space="preserve">Effective Date or during the Term and (b) necessary or reasonably useful for the Development, Manufacture or Commercialization of any Resulting Compound or Product; </w:t>
      </w:r>
      <w:r>
        <w:rPr>
          <w:rFonts w:ascii="Arial" w:cs="Arial" w:eastAsia="Arial" w:hAnsi="Arial"/>
          <w:sz w:val="16"/>
          <w:szCs w:val="16"/>
          <w:u w:val="single" w:color="auto"/>
          <w:color w:val="auto"/>
        </w:rPr>
        <w:t>but excluding</w:t>
      </w:r>
      <w:r>
        <w:rPr>
          <w:rFonts w:ascii="Arial" w:cs="Arial" w:eastAsia="Arial" w:hAnsi="Arial"/>
          <w:sz w:val="16"/>
          <w:szCs w:val="16"/>
          <w:color w:val="auto"/>
        </w:rPr>
        <w:t xml:space="preserve"> Repare’s and its Affiliates’ interest in any Collaboration Intellectual Property. Notwithstanding anything in this Agreement to the contrary, Repare Know-How shall not include any Know-How to the extent Controlled by any Person that acquires all or any part of Repare or an Affiliate of Repare, or any Affiliate of such Person, in each case (x) that is Controlled by such Person immediately prior to the effective date of the acquisition or (y) that is Controlled by such Person on or after the effective date of acquisition but is not Controlled by Repare or an Affiliate of Repare (excluding for purposes of this provision, such Person and Affiliates of Repare that are such Affiliates by virtue of controlling, being controlled by or under common control with such Person) and was made, invented, created, designed, conceived, produced, reduced to practice, or otherwise developed or obtained without the direct or indirect use of any Repare Confidential Information.</w:t>
      </w:r>
    </w:p>
    <w:p>
      <w:pPr>
        <w:spacing w:after="0" w:line="165" w:lineRule="exact"/>
        <w:rPr>
          <w:sz w:val="20"/>
          <w:szCs w:val="20"/>
          <w:color w:val="auto"/>
        </w:rPr>
      </w:pPr>
    </w:p>
    <w:p>
      <w:pPr>
        <w:ind w:left="120" w:firstLine="991"/>
        <w:spacing w:after="0" w:line="285" w:lineRule="auto"/>
        <w:rPr>
          <w:sz w:val="20"/>
          <w:szCs w:val="20"/>
          <w:color w:val="auto"/>
        </w:rPr>
      </w:pPr>
      <w:r>
        <w:rPr>
          <w:rFonts w:ascii="Arial" w:cs="Arial" w:eastAsia="Arial" w:hAnsi="Arial"/>
          <w:sz w:val="16"/>
          <w:szCs w:val="16"/>
          <w:color w:val="auto"/>
        </w:rPr>
        <w:t>1.1.106 “</w:t>
      </w:r>
      <w:r>
        <w:rPr>
          <w:rFonts w:ascii="Arial" w:cs="Arial" w:eastAsia="Arial" w:hAnsi="Arial"/>
          <w:sz w:val="16"/>
          <w:szCs w:val="16"/>
          <w:u w:val="single" w:color="auto"/>
          <w:color w:val="auto"/>
        </w:rPr>
        <w:t>Repare Patents</w:t>
      </w:r>
      <w:r>
        <w:rPr>
          <w:rFonts w:ascii="Arial" w:cs="Arial" w:eastAsia="Arial" w:hAnsi="Arial"/>
          <w:sz w:val="16"/>
          <w:szCs w:val="16"/>
          <w:color w:val="auto"/>
        </w:rPr>
        <w:t xml:space="preserve">” means any and all Patents that (a) are Controlled by Repare or any of its Affiliates as of the Effective Date or during the Term and (b) necessary or reasonably useful for the Development, Manufacture or Commercialization of any Resulting Compound or Product; </w:t>
      </w:r>
      <w:r>
        <w:rPr>
          <w:rFonts w:ascii="Arial" w:cs="Arial" w:eastAsia="Arial" w:hAnsi="Arial"/>
          <w:sz w:val="16"/>
          <w:szCs w:val="16"/>
          <w:u w:val="single" w:color="auto"/>
          <w:color w:val="auto"/>
        </w:rPr>
        <w:t>but excluding</w:t>
      </w:r>
      <w:r>
        <w:rPr>
          <w:rFonts w:ascii="Arial" w:cs="Arial" w:eastAsia="Arial" w:hAnsi="Arial"/>
          <w:sz w:val="16"/>
          <w:szCs w:val="16"/>
          <w:color w:val="auto"/>
        </w:rPr>
        <w:t xml:space="preserve"> Repare’s and its Affiliates’ interest in any Collaboration Intellectual Property. Notwithstanding anything in this Agreement to the contrary, Repare Patents shall not include any Patent to the extent Controlled by any Person that acquires all or any part of Repare or an Affiliate of Repare, or any Affiliate of such Person, in each case (x) that is Controlled by such Person immediately prior to the effective date of the acquisition or</w:t>
      </w:r>
    </w:p>
    <w:p>
      <w:pPr>
        <w:spacing w:after="0" w:line="2" w:lineRule="exact"/>
        <w:rPr>
          <w:sz w:val="20"/>
          <w:szCs w:val="20"/>
          <w:color w:val="auto"/>
        </w:rPr>
      </w:pPr>
    </w:p>
    <w:p>
      <w:pPr>
        <w:ind w:left="120" w:right="40" w:hanging="4"/>
        <w:spacing w:after="0" w:line="273" w:lineRule="auto"/>
        <w:tabs>
          <w:tab w:leader="none" w:pos="375" w:val="left"/>
        </w:tabs>
        <w:numPr>
          <w:ilvl w:val="0"/>
          <w:numId w:val="438"/>
        </w:numPr>
        <w:rPr>
          <w:rFonts w:ascii="Arial" w:cs="Arial" w:eastAsia="Arial" w:hAnsi="Arial"/>
          <w:sz w:val="17"/>
          <w:szCs w:val="17"/>
          <w:color w:val="auto"/>
        </w:rPr>
      </w:pPr>
      <w:r>
        <w:rPr>
          <w:rFonts w:ascii="Arial" w:cs="Arial" w:eastAsia="Arial" w:hAnsi="Arial"/>
          <w:sz w:val="17"/>
          <w:szCs w:val="17"/>
          <w:color w:val="auto"/>
        </w:rPr>
        <w:t>that is Controlled by such Person on or after the effective date of acquisition but is not Controlled by Repare or an Affiliate of Repare (excluding for purposes of this provision, such Person and Affiliates of Repare that are such Affiliates by virtue of controlling, being controlled by or under common control with such Person) and does not claim Know-How that was made, invented, created, designed, conceived, produced, reduced to practice, or otherwise developed or obtained through the direct or indirect use of any Repare Confidential Information.</w:t>
      </w:r>
    </w:p>
    <w:p>
      <w:pPr>
        <w:spacing w:after="0" w:line="176" w:lineRule="exact"/>
        <w:rPr>
          <w:sz w:val="20"/>
          <w:szCs w:val="20"/>
          <w:color w:val="auto"/>
        </w:rPr>
      </w:pPr>
    </w:p>
    <w:p>
      <w:pPr>
        <w:ind w:left="120" w:right="40" w:firstLine="991"/>
        <w:spacing w:after="0" w:line="272" w:lineRule="auto"/>
        <w:rPr>
          <w:sz w:val="20"/>
          <w:szCs w:val="20"/>
          <w:color w:val="auto"/>
        </w:rPr>
      </w:pPr>
      <w:r>
        <w:rPr>
          <w:rFonts w:ascii="Arial" w:cs="Arial" w:eastAsia="Arial" w:hAnsi="Arial"/>
          <w:sz w:val="17"/>
          <w:szCs w:val="17"/>
          <w:color w:val="auto"/>
        </w:rPr>
        <w:t>1.1.107 “</w:t>
      </w:r>
      <w:r>
        <w:rPr>
          <w:rFonts w:ascii="Arial" w:cs="Arial" w:eastAsia="Arial" w:hAnsi="Arial"/>
          <w:sz w:val="17"/>
          <w:szCs w:val="17"/>
          <w:u w:val="single" w:color="auto"/>
          <w:color w:val="auto"/>
        </w:rPr>
        <w:t>Repare Potential Undruggable Target</w:t>
      </w:r>
      <w:r>
        <w:rPr>
          <w:rFonts w:ascii="Arial" w:cs="Arial" w:eastAsia="Arial" w:hAnsi="Arial"/>
          <w:sz w:val="17"/>
          <w:szCs w:val="17"/>
          <w:color w:val="auto"/>
        </w:rPr>
        <w:t>” means (a) each of the Targets that are not Druggable/LDD Targets (</w:t>
      </w:r>
      <w:r>
        <w:rPr>
          <w:rFonts w:ascii="Arial" w:cs="Arial" w:eastAsia="Arial" w:hAnsi="Arial"/>
          <w:sz w:val="17"/>
          <w:szCs w:val="17"/>
          <w:i w:val="1"/>
          <w:iCs w:val="1"/>
          <w:color w:val="auto"/>
        </w:rPr>
        <w:t>i.e.</w:t>
      </w:r>
      <w:r>
        <w:rPr>
          <w:rFonts w:ascii="Arial" w:cs="Arial" w:eastAsia="Arial" w:hAnsi="Arial"/>
          <w:sz w:val="17"/>
          <w:szCs w:val="17"/>
          <w:color w:val="auto"/>
        </w:rPr>
        <w:t>, Targets that could potentially be Undruggable Targets) that Repare provided to [***] under the Target Availability Determination Agreement and (b) any other Targets that are not Druggable/LDD Targets (</w:t>
      </w:r>
      <w:r>
        <w:rPr>
          <w:rFonts w:ascii="Arial" w:cs="Arial" w:eastAsia="Arial" w:hAnsi="Arial"/>
          <w:sz w:val="17"/>
          <w:szCs w:val="17"/>
          <w:i w:val="1"/>
          <w:iCs w:val="1"/>
          <w:color w:val="auto"/>
        </w:rPr>
        <w:t>i.e.</w:t>
      </w:r>
      <w:r>
        <w:rPr>
          <w:rFonts w:ascii="Arial" w:cs="Arial" w:eastAsia="Arial" w:hAnsi="Arial"/>
          <w:sz w:val="17"/>
          <w:szCs w:val="17"/>
          <w:color w:val="auto"/>
        </w:rPr>
        <w:t xml:space="preserve">, Targets that could potentially be Undruggable Targets) for which Repare has identified a potential Synthetic Lethal relationship with respect to any Campaign Lesion(s) that are the subject of any Existing Repare Campaign or Novel BMS Campaign; </w:t>
      </w:r>
      <w:r>
        <w:rPr>
          <w:rFonts w:ascii="Arial" w:cs="Arial" w:eastAsia="Arial" w:hAnsi="Arial"/>
          <w:sz w:val="17"/>
          <w:szCs w:val="17"/>
          <w:u w:val="single" w:color="auto"/>
          <w:color w:val="auto"/>
        </w:rPr>
        <w:t>but excluding</w:t>
      </w:r>
      <w:r>
        <w:rPr>
          <w:rFonts w:ascii="Arial" w:cs="Arial" w:eastAsia="Arial" w:hAnsi="Arial"/>
          <w:sz w:val="17"/>
          <w:szCs w:val="17"/>
          <w:color w:val="auto"/>
        </w:rPr>
        <w:t xml:space="preserve"> any Target that is, at the applicable time, associated with a Campaign, other than a Pre-Option Campaign or Collaboration Campaign, for which Repare has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ongoing and active internal program or in which Repare has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identified interest prior to the time it provides the applicable list of Targets to the Third Party Gatekeeper; [***].</w:t>
      </w:r>
    </w:p>
    <w:p>
      <w:pPr>
        <w:spacing w:after="0" w:line="173" w:lineRule="exact"/>
        <w:rPr>
          <w:sz w:val="20"/>
          <w:szCs w:val="20"/>
          <w:color w:val="auto"/>
        </w:rPr>
      </w:pPr>
    </w:p>
    <w:p>
      <w:pPr>
        <w:ind w:left="120" w:firstLine="991"/>
        <w:spacing w:after="0" w:line="261" w:lineRule="auto"/>
        <w:rPr>
          <w:sz w:val="20"/>
          <w:szCs w:val="20"/>
          <w:color w:val="auto"/>
        </w:rPr>
      </w:pPr>
      <w:r>
        <w:rPr>
          <w:rFonts w:ascii="Arial" w:cs="Arial" w:eastAsia="Arial" w:hAnsi="Arial"/>
          <w:sz w:val="18"/>
          <w:szCs w:val="18"/>
          <w:color w:val="auto"/>
        </w:rPr>
        <w:t>1.1.108 “</w:t>
      </w:r>
      <w:r>
        <w:rPr>
          <w:rFonts w:ascii="Arial" w:cs="Arial" w:eastAsia="Arial" w:hAnsi="Arial"/>
          <w:sz w:val="18"/>
          <w:szCs w:val="18"/>
          <w:u w:val="single" w:color="auto"/>
          <w:color w:val="auto"/>
        </w:rPr>
        <w:t>Research Plan</w:t>
      </w:r>
      <w:r>
        <w:rPr>
          <w:rFonts w:ascii="Arial" w:cs="Arial" w:eastAsia="Arial" w:hAnsi="Arial"/>
          <w:sz w:val="18"/>
          <w:szCs w:val="18"/>
          <w:color w:val="auto"/>
        </w:rPr>
        <w:t xml:space="preserve">” means the research plan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which sets forth a high level summary of the activities to be conducted by Repare and its Affiliates with respect to Pre-Option Campaigns and Undruggable Targets during the Collaboration Term, including a summary of requirements for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Packages and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Data Packages (if applicable), as may be amended from time to time by the JSC pursuant to Section 5.2.2(m).</w:t>
      </w:r>
    </w:p>
    <w:p>
      <w:pPr>
        <w:spacing w:after="0" w:line="184" w:lineRule="exact"/>
        <w:rPr>
          <w:sz w:val="20"/>
          <w:szCs w:val="20"/>
          <w:color w:val="auto"/>
        </w:rPr>
      </w:pPr>
    </w:p>
    <w:p>
      <w:pPr>
        <w:ind w:left="1100"/>
        <w:spacing w:after="0"/>
        <w:tabs>
          <w:tab w:leader="none" w:pos="1800" w:val="left"/>
        </w:tabs>
        <w:rPr>
          <w:sz w:val="20"/>
          <w:szCs w:val="20"/>
          <w:color w:val="auto"/>
        </w:rPr>
      </w:pPr>
      <w:r>
        <w:rPr>
          <w:rFonts w:ascii="Arial" w:cs="Arial" w:eastAsia="Arial" w:hAnsi="Arial"/>
          <w:sz w:val="18"/>
          <w:szCs w:val="18"/>
          <w:color w:val="auto"/>
        </w:rPr>
        <w:t>1.1.109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Resulting Compound</w:t>
      </w:r>
      <w:r>
        <w:rPr>
          <w:rFonts w:ascii="Arial" w:cs="Arial" w:eastAsia="Arial" w:hAnsi="Arial"/>
          <w:sz w:val="16"/>
          <w:szCs w:val="16"/>
          <w:color w:val="auto"/>
        </w:rPr>
        <w:t>” means: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60" w:right="499" w:bottom="1440" w:gutter="0" w:footer="0" w:header="0"/>
        </w:sectPr>
      </w:pPr>
    </w:p>
    <w:bookmarkStart w:id="695" w:name="page696"/>
    <w:bookmarkEnd w:id="6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1428"/>
        <w:spacing w:after="0" w:line="263" w:lineRule="auto"/>
        <w:tabs>
          <w:tab w:leader="none" w:pos="1932" w:val="left"/>
        </w:tabs>
        <w:numPr>
          <w:ilvl w:val="0"/>
          <w:numId w:val="439"/>
        </w:numPr>
        <w:rPr>
          <w:rFonts w:ascii="Arial" w:cs="Arial" w:eastAsia="Arial" w:hAnsi="Arial"/>
          <w:sz w:val="18"/>
          <w:szCs w:val="18"/>
          <w:color w:val="auto"/>
        </w:rPr>
      </w:pPr>
      <w:r>
        <w:rPr>
          <w:rFonts w:ascii="Arial" w:cs="Arial" w:eastAsia="Arial" w:hAnsi="Arial"/>
          <w:sz w:val="18"/>
          <w:szCs w:val="18"/>
          <w:color w:val="auto"/>
        </w:rPr>
        <w:t>with respect to a given Collaboration Druggable/LDD Target, any compound (including any LDD) that (i) is owned by or licensed to BMS or any of its Affiliates during the Term, (ii) is Directed to such Collaboration Druggable/LDD Target and (iii) arose or arises out of any BMS Discovery &amp; Development Program (each, a “</w:t>
      </w:r>
      <w:r>
        <w:rPr>
          <w:rFonts w:ascii="Arial" w:cs="Arial" w:eastAsia="Arial" w:hAnsi="Arial"/>
          <w:sz w:val="18"/>
          <w:szCs w:val="18"/>
          <w:u w:val="single" w:color="auto"/>
          <w:color w:val="auto"/>
        </w:rPr>
        <w:t>Collaboration Druggable/LDD Target Resulting Compound</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0" w:right="20" w:firstLine="1428"/>
        <w:spacing w:after="0" w:line="263" w:lineRule="auto"/>
        <w:tabs>
          <w:tab w:leader="none" w:pos="1942" w:val="left"/>
        </w:tabs>
        <w:numPr>
          <w:ilvl w:val="0"/>
          <w:numId w:val="439"/>
        </w:numPr>
        <w:rPr>
          <w:rFonts w:ascii="Arial" w:cs="Arial" w:eastAsia="Arial" w:hAnsi="Arial"/>
          <w:sz w:val="18"/>
          <w:szCs w:val="18"/>
          <w:color w:val="auto"/>
        </w:rPr>
      </w:pPr>
      <w:r>
        <w:rPr>
          <w:rFonts w:ascii="Arial" w:cs="Arial" w:eastAsia="Arial" w:hAnsi="Arial"/>
          <w:sz w:val="18"/>
          <w:szCs w:val="18"/>
          <w:color w:val="auto"/>
        </w:rPr>
        <w:t>with respect to a given Collaboration Undruggable Target, any compound (including any LDD) that (i) is owned by or licensed to BMS or any of its Affiliates during the Term, (ii) is Directed to such Collaboration Undruggable Target and (iii) arose or arises out of any BMS Undruggable Target Program (each, a “</w:t>
      </w:r>
      <w:r>
        <w:rPr>
          <w:rFonts w:ascii="Arial" w:cs="Arial" w:eastAsia="Arial" w:hAnsi="Arial"/>
          <w:sz w:val="18"/>
          <w:szCs w:val="18"/>
          <w:u w:val="single" w:color="auto"/>
          <w:color w:val="auto"/>
        </w:rPr>
        <w:t>Collaboration Undruggable Target Resulting Compound</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920" w:hanging="372"/>
        <w:spacing w:after="0"/>
        <w:tabs>
          <w:tab w:leader="none" w:pos="192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each Independently Validated Third Party Compound;</w:t>
      </w:r>
    </w:p>
    <w:p>
      <w:pPr>
        <w:spacing w:after="0" w:line="225" w:lineRule="exact"/>
        <w:rPr>
          <w:rFonts w:ascii="Arial" w:cs="Arial" w:eastAsia="Arial" w:hAnsi="Arial"/>
          <w:sz w:val="18"/>
          <w:szCs w:val="18"/>
          <w:color w:val="auto"/>
        </w:rPr>
      </w:pPr>
    </w:p>
    <w:p>
      <w:pPr>
        <w:ind w:left="1940" w:hanging="392"/>
        <w:spacing w:after="0"/>
        <w:tabs>
          <w:tab w:leader="none" w:pos="194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each Non-Independently Validated Third Party Compound; and</w:t>
      </w:r>
    </w:p>
    <w:p>
      <w:pPr>
        <w:spacing w:after="0" w:line="225" w:lineRule="exact"/>
        <w:rPr>
          <w:rFonts w:ascii="Arial" w:cs="Arial" w:eastAsia="Arial" w:hAnsi="Arial"/>
          <w:sz w:val="18"/>
          <w:szCs w:val="18"/>
          <w:color w:val="auto"/>
        </w:rPr>
      </w:pPr>
    </w:p>
    <w:p>
      <w:pPr>
        <w:ind w:left="1920" w:hanging="372"/>
        <w:spacing w:after="0"/>
        <w:tabs>
          <w:tab w:leader="none" w:pos="192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each Reverted Optioned Target Third Party Compound.</w:t>
      </w:r>
    </w:p>
    <w:p>
      <w:pPr>
        <w:spacing w:after="0" w:line="225" w:lineRule="exact"/>
        <w:rPr>
          <w:sz w:val="20"/>
          <w:szCs w:val="20"/>
          <w:color w:val="auto"/>
        </w:rPr>
      </w:pPr>
    </w:p>
    <w:p>
      <w:pPr>
        <w:ind w:left="120" w:firstLine="991"/>
        <w:spacing w:after="0" w:line="311" w:lineRule="auto"/>
        <w:rPr>
          <w:sz w:val="20"/>
          <w:szCs w:val="20"/>
          <w:color w:val="auto"/>
        </w:rPr>
      </w:pPr>
      <w:r>
        <w:rPr>
          <w:rFonts w:ascii="Arial" w:cs="Arial" w:eastAsia="Arial" w:hAnsi="Arial"/>
          <w:sz w:val="16"/>
          <w:szCs w:val="16"/>
          <w:color w:val="auto"/>
        </w:rPr>
        <w:t>1.1.110 “</w:t>
      </w:r>
      <w:r>
        <w:rPr>
          <w:rFonts w:ascii="Arial" w:cs="Arial" w:eastAsia="Arial" w:hAnsi="Arial"/>
          <w:sz w:val="16"/>
          <w:szCs w:val="16"/>
          <w:u w:val="single" w:color="auto"/>
          <w:color w:val="auto"/>
        </w:rPr>
        <w:t>Reverted Non-Optioned Target</w:t>
      </w:r>
      <w:r>
        <w:rPr>
          <w:rFonts w:ascii="Arial" w:cs="Arial" w:eastAsia="Arial" w:hAnsi="Arial"/>
          <w:sz w:val="16"/>
          <w:szCs w:val="16"/>
          <w:color w:val="auto"/>
        </w:rPr>
        <w:t>” means any Excluded Target that is deemed a Reverted Non-Optioned Target pursuant to Section 2.7.4(a), 2.7.4(b), 2.13.2 or 14.5 (</w:t>
      </w:r>
      <w:r>
        <w:rPr>
          <w:rFonts w:ascii="Arial" w:cs="Arial" w:eastAsia="Arial" w:hAnsi="Arial"/>
          <w:sz w:val="16"/>
          <w:szCs w:val="16"/>
          <w:i w:val="1"/>
          <w:iCs w:val="1"/>
          <w:color w:val="auto"/>
        </w:rPr>
        <w:t>i.e.</w:t>
      </w:r>
      <w:r>
        <w:rPr>
          <w:rFonts w:ascii="Arial" w:cs="Arial" w:eastAsia="Arial" w:hAnsi="Arial"/>
          <w:sz w:val="16"/>
          <w:szCs w:val="16"/>
          <w:color w:val="auto"/>
        </w:rPr>
        <w:t>, because BMS did not exercise its Option with respect to such Target or the applicable Primary Campaign). For clarity, a “Reverted Non-Optioned Target” shall always be a formerly Unblinded Target for which BMS did not exercised its applicable Option.</w:t>
      </w:r>
    </w:p>
    <w:p>
      <w:pPr>
        <w:spacing w:after="0" w:line="149"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1.1.111 “</w:t>
      </w:r>
      <w:r>
        <w:rPr>
          <w:rFonts w:ascii="Arial" w:cs="Arial" w:eastAsia="Arial" w:hAnsi="Arial"/>
          <w:sz w:val="18"/>
          <w:szCs w:val="18"/>
          <w:u w:val="single" w:color="auto"/>
          <w:color w:val="auto"/>
        </w:rPr>
        <w:t>Reverted Optioned Target</w:t>
      </w:r>
      <w:r>
        <w:rPr>
          <w:rFonts w:ascii="Arial" w:cs="Arial" w:eastAsia="Arial" w:hAnsi="Arial"/>
          <w:sz w:val="18"/>
          <w:szCs w:val="18"/>
          <w:color w:val="auto"/>
        </w:rPr>
        <w:t>” means any Excluded Target that is deemed a Reverted Optioned Target pursuant to Section 2.8.1(b), 2.8.2(c)(i), 2.8.2(d)(ii), 2.9.1(b), 2.13.2 or 14.5. For clarity, a “Reverted Optioned Target” shall always be a formerly Unblinded Target (a) for which BMS has exercised its applicable Option and (b) (i) for which BMS did not provide a Further Development Election or (ii) with respect to which this Agreement has been terminated pursuant to Section 14.2 or 14.3.</w:t>
      </w:r>
    </w:p>
    <w:p>
      <w:pPr>
        <w:spacing w:after="0" w:line="187" w:lineRule="exact"/>
        <w:rPr>
          <w:sz w:val="20"/>
          <w:szCs w:val="20"/>
          <w:color w:val="auto"/>
        </w:rPr>
      </w:pPr>
    </w:p>
    <w:p>
      <w:pPr>
        <w:ind w:left="1100"/>
        <w:spacing w:after="0"/>
        <w:tabs>
          <w:tab w:leader="none" w:pos="1800" w:val="left"/>
        </w:tabs>
        <w:rPr>
          <w:sz w:val="20"/>
          <w:szCs w:val="20"/>
          <w:color w:val="auto"/>
        </w:rPr>
      </w:pPr>
      <w:r>
        <w:rPr>
          <w:rFonts w:ascii="Arial" w:cs="Arial" w:eastAsia="Arial" w:hAnsi="Arial"/>
          <w:sz w:val="18"/>
          <w:szCs w:val="18"/>
          <w:color w:val="auto"/>
        </w:rPr>
        <w:t>1.1.112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Reverted Target</w:t>
      </w:r>
      <w:r>
        <w:rPr>
          <w:rFonts w:ascii="Arial" w:cs="Arial" w:eastAsia="Arial" w:hAnsi="Arial"/>
          <w:sz w:val="16"/>
          <w:szCs w:val="16"/>
          <w:color w:val="auto"/>
        </w:rPr>
        <w:t>” means any Reverted Non-Optioned Target or Reverted Optioned Target.</w:t>
      </w:r>
    </w:p>
    <w:p>
      <w:pPr>
        <w:spacing w:after="0" w:line="225" w:lineRule="exact"/>
        <w:rPr>
          <w:sz w:val="20"/>
          <w:szCs w:val="20"/>
          <w:color w:val="auto"/>
        </w:rPr>
      </w:pPr>
    </w:p>
    <w:p>
      <w:pPr>
        <w:ind w:left="1100"/>
        <w:spacing w:after="0"/>
        <w:tabs>
          <w:tab w:leader="none" w:pos="1800" w:val="left"/>
        </w:tabs>
        <w:rPr>
          <w:sz w:val="20"/>
          <w:szCs w:val="20"/>
          <w:color w:val="auto"/>
        </w:rPr>
      </w:pPr>
      <w:r>
        <w:rPr>
          <w:rFonts w:ascii="Arial" w:cs="Arial" w:eastAsia="Arial" w:hAnsi="Arial"/>
          <w:sz w:val="18"/>
          <w:szCs w:val="18"/>
          <w:color w:val="auto"/>
        </w:rPr>
        <w:t>1.1.113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ROFN Compound</w:t>
      </w:r>
      <w:r>
        <w:rPr>
          <w:rFonts w:ascii="Arial" w:cs="Arial" w:eastAsia="Arial" w:hAnsi="Arial"/>
          <w:sz w:val="17"/>
          <w:szCs w:val="17"/>
          <w:color w:val="auto"/>
        </w:rPr>
        <w:t>” means any compound within [***].</w:t>
      </w:r>
    </w:p>
    <w:p>
      <w:pPr>
        <w:spacing w:after="0" w:line="225" w:lineRule="exact"/>
        <w:rPr>
          <w:sz w:val="20"/>
          <w:szCs w:val="20"/>
          <w:color w:val="auto"/>
        </w:rPr>
      </w:pPr>
    </w:p>
    <w:p>
      <w:pPr>
        <w:ind w:left="120" w:right="120" w:firstLine="991"/>
        <w:spacing w:after="0" w:line="263" w:lineRule="auto"/>
        <w:rPr>
          <w:sz w:val="20"/>
          <w:szCs w:val="20"/>
          <w:color w:val="auto"/>
        </w:rPr>
      </w:pPr>
      <w:r>
        <w:rPr>
          <w:rFonts w:ascii="Arial" w:cs="Arial" w:eastAsia="Arial" w:hAnsi="Arial"/>
          <w:sz w:val="18"/>
          <w:szCs w:val="18"/>
          <w:color w:val="auto"/>
        </w:rPr>
        <w:t>1.1.114 “</w:t>
      </w:r>
      <w:r>
        <w:rPr>
          <w:rFonts w:ascii="Arial" w:cs="Arial" w:eastAsia="Arial" w:hAnsi="Arial"/>
          <w:sz w:val="18"/>
          <w:szCs w:val="18"/>
          <w:u w:val="single" w:color="auto"/>
          <w:color w:val="auto"/>
        </w:rPr>
        <w:t>Subject Patent</w:t>
      </w:r>
      <w:r>
        <w:rPr>
          <w:rFonts w:ascii="Arial" w:cs="Arial" w:eastAsia="Arial" w:hAnsi="Arial"/>
          <w:sz w:val="18"/>
          <w:szCs w:val="18"/>
          <w:color w:val="auto"/>
        </w:rPr>
        <w:t>” means, with respect to a given Resulting Compound or Product, any Patent owned by or licensed to Repare or BMS or any of either Party’s respective Affiliates, solely or jointly with the other Party or any of the other Party’s Affiliates or any Third Party, that Covers any method of use, composition of matter, dosage or formulation of such Resulting Compound or Product.</w:t>
      </w:r>
    </w:p>
    <w:p>
      <w:pPr>
        <w:spacing w:after="0" w:line="184" w:lineRule="exact"/>
        <w:rPr>
          <w:sz w:val="20"/>
          <w:szCs w:val="20"/>
          <w:color w:val="auto"/>
        </w:rPr>
      </w:pPr>
    </w:p>
    <w:p>
      <w:pPr>
        <w:ind w:left="120" w:right="240" w:firstLine="991"/>
        <w:spacing w:after="0" w:line="277" w:lineRule="auto"/>
        <w:rPr>
          <w:sz w:val="20"/>
          <w:szCs w:val="20"/>
          <w:color w:val="auto"/>
        </w:rPr>
      </w:pPr>
      <w:r>
        <w:rPr>
          <w:rFonts w:ascii="Arial" w:cs="Arial" w:eastAsia="Arial" w:hAnsi="Arial"/>
          <w:sz w:val="18"/>
          <w:szCs w:val="18"/>
          <w:color w:val="auto"/>
        </w:rPr>
        <w:t>1.1.115 “</w:t>
      </w:r>
      <w:r>
        <w:rPr>
          <w:rFonts w:ascii="Arial" w:cs="Arial" w:eastAsia="Arial" w:hAnsi="Arial"/>
          <w:sz w:val="18"/>
          <w:szCs w:val="18"/>
          <w:u w:val="single" w:color="auto"/>
          <w:color w:val="auto"/>
        </w:rPr>
        <w:t>Sublicensee</w:t>
      </w:r>
      <w:r>
        <w:rPr>
          <w:rFonts w:ascii="Arial" w:cs="Arial" w:eastAsia="Arial" w:hAnsi="Arial"/>
          <w:sz w:val="18"/>
          <w:szCs w:val="18"/>
          <w:color w:val="auto"/>
        </w:rPr>
        <w:t>” means any Third Party to whom BMS or any of its Affiliates or Sublicensees grants a sublicense of any license granted to BMS pursuant to Section 6.1.2.</w:t>
      </w:r>
    </w:p>
    <w:p>
      <w:pPr>
        <w:spacing w:after="0" w:line="170" w:lineRule="exact"/>
        <w:rPr>
          <w:sz w:val="20"/>
          <w:szCs w:val="20"/>
          <w:color w:val="auto"/>
        </w:rPr>
      </w:pPr>
    </w:p>
    <w:p>
      <w:pPr>
        <w:jc w:val="both"/>
        <w:ind w:left="120" w:right="20" w:firstLine="991"/>
        <w:spacing w:after="0" w:line="263" w:lineRule="auto"/>
        <w:rPr>
          <w:sz w:val="20"/>
          <w:szCs w:val="20"/>
          <w:color w:val="auto"/>
        </w:rPr>
      </w:pPr>
      <w:r>
        <w:rPr>
          <w:rFonts w:ascii="Arial" w:cs="Arial" w:eastAsia="Arial" w:hAnsi="Arial"/>
          <w:sz w:val="18"/>
          <w:szCs w:val="18"/>
          <w:color w:val="auto"/>
        </w:rPr>
        <w:t>1.1.116 “</w:t>
      </w:r>
      <w:r>
        <w:rPr>
          <w:rFonts w:ascii="Arial" w:cs="Arial" w:eastAsia="Arial" w:hAnsi="Arial"/>
          <w:sz w:val="18"/>
          <w:szCs w:val="18"/>
          <w:u w:val="single" w:color="auto"/>
          <w:color w:val="auto"/>
        </w:rPr>
        <w:t>Synthetic Lethal</w:t>
      </w:r>
      <w:r>
        <w:rPr>
          <w:rFonts w:ascii="Arial" w:cs="Arial" w:eastAsia="Arial" w:hAnsi="Arial"/>
          <w:sz w:val="18"/>
          <w:szCs w:val="18"/>
          <w:color w:val="auto"/>
        </w:rPr>
        <w:t>” means, with respect to one (1) or more given Lesions, on the one hand, and a given Target, on the other hand, that a combination of such Lesion(s) and a deficiency in such Target leads to [***] that is greater than the [***] resulting from such Lesion(s) alone or a deficiency in such Target alone.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60" w:right="479" w:bottom="1440" w:gutter="0" w:footer="0" w:header="0"/>
        </w:sectPr>
      </w:pPr>
    </w:p>
    <w:bookmarkStart w:id="696" w:name="page697"/>
    <w:bookmarkEnd w:id="6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308" w:lineRule="auto"/>
        <w:rPr>
          <w:sz w:val="20"/>
          <w:szCs w:val="20"/>
          <w:color w:val="auto"/>
        </w:rPr>
      </w:pPr>
      <w:r>
        <w:rPr>
          <w:rFonts w:ascii="Arial" w:cs="Arial" w:eastAsia="Arial" w:hAnsi="Arial"/>
          <w:sz w:val="17"/>
          <w:szCs w:val="17"/>
          <w:color w:val="auto"/>
        </w:rPr>
        <w:t>1.1.117 “</w:t>
      </w:r>
      <w:r>
        <w:rPr>
          <w:rFonts w:ascii="Arial" w:cs="Arial" w:eastAsia="Arial" w:hAnsi="Arial"/>
          <w:sz w:val="17"/>
          <w:szCs w:val="17"/>
          <w:u w:val="single" w:color="auto"/>
          <w:color w:val="auto"/>
        </w:rPr>
        <w:t>Target</w:t>
      </w:r>
      <w:r>
        <w:rPr>
          <w:rFonts w:ascii="Arial" w:cs="Arial" w:eastAsia="Arial" w:hAnsi="Arial"/>
          <w:sz w:val="17"/>
          <w:szCs w:val="17"/>
          <w:color w:val="auto"/>
        </w:rPr>
        <w:t>” means a protein or polypeptide, including all variants thereof, [***] corresponding with such protein or polypeptide and any specific protein that is identified by a GenBank protein accession number or by its amino acid sequence and coded by a genetic locus.</w:t>
      </w:r>
    </w:p>
    <w:p>
      <w:pPr>
        <w:spacing w:after="0" w:line="146"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1.1.118 “</w:t>
      </w:r>
      <w:r>
        <w:rPr>
          <w:rFonts w:ascii="Arial" w:cs="Arial" w:eastAsia="Arial" w:hAnsi="Arial"/>
          <w:sz w:val="18"/>
          <w:szCs w:val="18"/>
          <w:u w:val="single" w:color="auto"/>
          <w:color w:val="auto"/>
        </w:rPr>
        <w:t>Target Availability Determination Agreement</w:t>
      </w:r>
      <w:r>
        <w:rPr>
          <w:rFonts w:ascii="Arial" w:cs="Arial" w:eastAsia="Arial" w:hAnsi="Arial"/>
          <w:sz w:val="18"/>
          <w:szCs w:val="18"/>
          <w:color w:val="auto"/>
        </w:rPr>
        <w:t>” means that certain Confidential Target Availability Determination Agreement by and between Repare, BMS and DT WARD, PC (“</w:t>
      </w:r>
      <w:r>
        <w:rPr>
          <w:rFonts w:ascii="Arial" w:cs="Arial" w:eastAsia="Arial" w:hAnsi="Arial"/>
          <w:sz w:val="18"/>
          <w:szCs w:val="18"/>
          <w:u w:val="single" w:color="auto"/>
          <w:color w:val="auto"/>
        </w:rPr>
        <w:t>Ward</w:t>
      </w:r>
      <w:r>
        <w:rPr>
          <w:rFonts w:ascii="Arial" w:cs="Arial" w:eastAsia="Arial" w:hAnsi="Arial"/>
          <w:sz w:val="18"/>
          <w:szCs w:val="18"/>
          <w:color w:val="auto"/>
        </w:rPr>
        <w:t>”), dated as of March 27, 2020.</w:t>
      </w:r>
    </w:p>
    <w:p>
      <w:pPr>
        <w:spacing w:after="0" w:line="170" w:lineRule="exact"/>
        <w:rPr>
          <w:sz w:val="20"/>
          <w:szCs w:val="20"/>
          <w:color w:val="auto"/>
        </w:rPr>
      </w:pPr>
    </w:p>
    <w:p>
      <w:pPr>
        <w:ind w:left="1100"/>
        <w:spacing w:after="0"/>
        <w:tabs>
          <w:tab w:leader="none" w:pos="1800" w:val="left"/>
        </w:tabs>
        <w:rPr>
          <w:sz w:val="20"/>
          <w:szCs w:val="20"/>
          <w:color w:val="auto"/>
        </w:rPr>
      </w:pPr>
      <w:r>
        <w:rPr>
          <w:rFonts w:ascii="Arial" w:cs="Arial" w:eastAsia="Arial" w:hAnsi="Arial"/>
          <w:sz w:val="18"/>
          <w:szCs w:val="18"/>
          <w:color w:val="auto"/>
        </w:rPr>
        <w:t>1.1.119</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Territory</w:t>
      </w:r>
      <w:r>
        <w:rPr>
          <w:rFonts w:ascii="Arial" w:cs="Arial" w:eastAsia="Arial" w:hAnsi="Arial"/>
          <w:sz w:val="17"/>
          <w:szCs w:val="17"/>
          <w:color w:val="auto"/>
        </w:rPr>
        <w:t>” means worldwide.</w:t>
      </w:r>
    </w:p>
    <w:p>
      <w:pPr>
        <w:spacing w:after="0" w:line="225" w:lineRule="exact"/>
        <w:rPr>
          <w:sz w:val="20"/>
          <w:szCs w:val="20"/>
          <w:color w:val="auto"/>
        </w:rPr>
      </w:pPr>
    </w:p>
    <w:p>
      <w:pPr>
        <w:ind w:left="1100"/>
        <w:spacing w:after="0"/>
        <w:tabs>
          <w:tab w:leader="none" w:pos="1800" w:val="left"/>
        </w:tabs>
        <w:rPr>
          <w:sz w:val="20"/>
          <w:szCs w:val="20"/>
          <w:color w:val="auto"/>
        </w:rPr>
      </w:pPr>
      <w:r>
        <w:rPr>
          <w:rFonts w:ascii="Arial" w:cs="Arial" w:eastAsia="Arial" w:hAnsi="Arial"/>
          <w:sz w:val="18"/>
          <w:szCs w:val="18"/>
          <w:color w:val="auto"/>
        </w:rPr>
        <w:t>1.1.120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other than Repare or BMS or each Party’s respective Affiliates.</w:t>
      </w:r>
    </w:p>
    <w:p>
      <w:pPr>
        <w:spacing w:after="0" w:line="225" w:lineRule="exact"/>
        <w:rPr>
          <w:sz w:val="20"/>
          <w:szCs w:val="20"/>
          <w:color w:val="auto"/>
        </w:rPr>
      </w:pPr>
    </w:p>
    <w:p>
      <w:pPr>
        <w:ind w:left="120" w:right="300" w:firstLine="991"/>
        <w:spacing w:after="0" w:line="263" w:lineRule="auto"/>
        <w:rPr>
          <w:sz w:val="20"/>
          <w:szCs w:val="20"/>
          <w:color w:val="auto"/>
        </w:rPr>
      </w:pPr>
      <w:r>
        <w:rPr>
          <w:rFonts w:ascii="Arial" w:cs="Arial" w:eastAsia="Arial" w:hAnsi="Arial"/>
          <w:sz w:val="18"/>
          <w:szCs w:val="18"/>
          <w:color w:val="auto"/>
        </w:rPr>
        <w:t>1.1.121 “</w:t>
      </w:r>
      <w:r>
        <w:rPr>
          <w:rFonts w:ascii="Arial" w:cs="Arial" w:eastAsia="Arial" w:hAnsi="Arial"/>
          <w:sz w:val="18"/>
          <w:szCs w:val="18"/>
          <w:u w:val="single" w:color="auto"/>
          <w:color w:val="auto"/>
        </w:rPr>
        <w:t>Third Party Compound</w:t>
      </w:r>
      <w:r>
        <w:rPr>
          <w:rFonts w:ascii="Arial" w:cs="Arial" w:eastAsia="Arial" w:hAnsi="Arial"/>
          <w:sz w:val="18"/>
          <w:szCs w:val="18"/>
          <w:color w:val="auto"/>
        </w:rPr>
        <w:t>” means any compound (including any LDD) that (a) is owned by or licensed to BMS or any of its Affiliates or Sublicensees during the Term, (b) is Directed to a Collaboration Druggable/LDD Target, Collaboration Undruggable Target or Reverted Target and (c) arose or arises out of any Acquired Third Party Development Program.</w:t>
      </w:r>
    </w:p>
    <w:p>
      <w:pPr>
        <w:spacing w:after="0" w:line="184"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1.1.122 “</w:t>
      </w:r>
      <w:r>
        <w:rPr>
          <w:rFonts w:ascii="Arial" w:cs="Arial" w:eastAsia="Arial" w:hAnsi="Arial"/>
          <w:sz w:val="18"/>
          <w:szCs w:val="18"/>
          <w:u w:val="single" w:color="auto"/>
          <w:color w:val="auto"/>
        </w:rPr>
        <w:t>Third Party Gatekeeper</w:t>
      </w:r>
      <w:r>
        <w:rPr>
          <w:rFonts w:ascii="Arial" w:cs="Arial" w:eastAsia="Arial" w:hAnsi="Arial"/>
          <w:sz w:val="18"/>
          <w:szCs w:val="18"/>
          <w:color w:val="auto"/>
        </w:rPr>
        <w:t>” means the individual agreed to by the Parties pursuant to Section 2.2.2, or such other individual that the Parties may agree on from time to time (such agreement not to be unreasonably withheld, conditioned or delayed).</w:t>
      </w:r>
    </w:p>
    <w:p>
      <w:pPr>
        <w:spacing w:after="0" w:line="170" w:lineRule="exact"/>
        <w:rPr>
          <w:sz w:val="20"/>
          <w:szCs w:val="20"/>
          <w:color w:val="auto"/>
        </w:rPr>
      </w:pPr>
    </w:p>
    <w:p>
      <w:pPr>
        <w:ind w:left="120" w:right="1000" w:firstLine="991"/>
        <w:spacing w:after="0" w:line="277" w:lineRule="auto"/>
        <w:rPr>
          <w:sz w:val="20"/>
          <w:szCs w:val="20"/>
          <w:color w:val="auto"/>
        </w:rPr>
      </w:pPr>
      <w:r>
        <w:rPr>
          <w:rFonts w:ascii="Arial" w:cs="Arial" w:eastAsia="Arial" w:hAnsi="Arial"/>
          <w:sz w:val="18"/>
          <w:szCs w:val="18"/>
          <w:color w:val="auto"/>
        </w:rPr>
        <w:t>1.1.123 “</w:t>
      </w:r>
      <w:r>
        <w:rPr>
          <w:rFonts w:ascii="Arial" w:cs="Arial" w:eastAsia="Arial" w:hAnsi="Arial"/>
          <w:sz w:val="18"/>
          <w:szCs w:val="18"/>
          <w:u w:val="single" w:color="auto"/>
          <w:color w:val="auto"/>
        </w:rPr>
        <w:t>Unblinded Druggable Target</w:t>
      </w:r>
      <w:r>
        <w:rPr>
          <w:rFonts w:ascii="Arial" w:cs="Arial" w:eastAsia="Arial" w:hAnsi="Arial"/>
          <w:sz w:val="18"/>
          <w:szCs w:val="18"/>
          <w:color w:val="auto"/>
        </w:rPr>
        <w:t xml:space="preserve">” means any Druggable Target that has been identified by Repare to BMS pursuant to Section 2.5.8(c) or 2.8.2(a); </w:t>
      </w:r>
      <w:r>
        <w:rPr>
          <w:rFonts w:ascii="Arial" w:cs="Arial" w:eastAsia="Arial" w:hAnsi="Arial"/>
          <w:sz w:val="18"/>
          <w:szCs w:val="18"/>
          <w:u w:val="single" w:color="auto"/>
          <w:color w:val="auto"/>
        </w:rPr>
        <w:t>but excluding</w:t>
      </w:r>
      <w:r>
        <w:rPr>
          <w:rFonts w:ascii="Arial" w:cs="Arial" w:eastAsia="Arial" w:hAnsi="Arial"/>
          <w:sz w:val="18"/>
          <w:szCs w:val="18"/>
          <w:color w:val="auto"/>
        </w:rPr>
        <w:t xml:space="preserve"> all Excluded Targets.</w:t>
      </w:r>
    </w:p>
    <w:p>
      <w:pPr>
        <w:spacing w:after="0" w:line="170" w:lineRule="exact"/>
        <w:rPr>
          <w:sz w:val="20"/>
          <w:szCs w:val="20"/>
          <w:color w:val="auto"/>
        </w:rPr>
      </w:pPr>
    </w:p>
    <w:p>
      <w:pPr>
        <w:ind w:left="1100"/>
        <w:spacing w:after="0"/>
        <w:tabs>
          <w:tab w:leader="none" w:pos="1800" w:val="left"/>
        </w:tabs>
        <w:rPr>
          <w:sz w:val="20"/>
          <w:szCs w:val="20"/>
          <w:color w:val="auto"/>
        </w:rPr>
      </w:pPr>
      <w:r>
        <w:rPr>
          <w:rFonts w:ascii="Arial" w:cs="Arial" w:eastAsia="Arial" w:hAnsi="Arial"/>
          <w:sz w:val="18"/>
          <w:szCs w:val="18"/>
          <w:color w:val="auto"/>
        </w:rPr>
        <w:t>1.1.124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Unblinded Druggable/LDD Target</w:t>
      </w:r>
      <w:r>
        <w:rPr>
          <w:rFonts w:ascii="Arial" w:cs="Arial" w:eastAsia="Arial" w:hAnsi="Arial"/>
          <w:sz w:val="16"/>
          <w:szCs w:val="16"/>
          <w:color w:val="auto"/>
        </w:rPr>
        <w:t>” means any Unblinded Druggable Target or Unblinded LDD Target.</w:t>
      </w:r>
    </w:p>
    <w:p>
      <w:pPr>
        <w:spacing w:after="0" w:line="225" w:lineRule="exact"/>
        <w:rPr>
          <w:sz w:val="20"/>
          <w:szCs w:val="20"/>
          <w:color w:val="auto"/>
        </w:rPr>
      </w:pPr>
    </w:p>
    <w:p>
      <w:pPr>
        <w:ind w:left="1100"/>
        <w:spacing w:after="0"/>
        <w:tabs>
          <w:tab w:leader="none" w:pos="1800" w:val="left"/>
        </w:tabs>
        <w:rPr>
          <w:sz w:val="20"/>
          <w:szCs w:val="20"/>
          <w:color w:val="auto"/>
        </w:rPr>
      </w:pPr>
      <w:r>
        <w:rPr>
          <w:rFonts w:ascii="Arial" w:cs="Arial" w:eastAsia="Arial" w:hAnsi="Arial"/>
          <w:sz w:val="18"/>
          <w:szCs w:val="18"/>
          <w:color w:val="auto"/>
        </w:rPr>
        <w:t>1.1.125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Unblinded LDD Target</w:t>
      </w:r>
      <w:r>
        <w:rPr>
          <w:rFonts w:ascii="Arial" w:cs="Arial" w:eastAsia="Arial" w:hAnsi="Arial"/>
          <w:sz w:val="16"/>
          <w:szCs w:val="16"/>
          <w:color w:val="auto"/>
        </w:rPr>
        <w:t>” means any LDD Target that has been identified by Repare to BMS pursuant to Section 2.5.8(c) or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2.8.2(a); </w:t>
      </w:r>
      <w:r>
        <w:rPr>
          <w:rFonts w:ascii="Arial" w:cs="Arial" w:eastAsia="Arial" w:hAnsi="Arial"/>
          <w:sz w:val="18"/>
          <w:szCs w:val="18"/>
          <w:u w:val="single" w:color="auto"/>
          <w:color w:val="auto"/>
        </w:rPr>
        <w:t>but excluding</w:t>
      </w:r>
      <w:r>
        <w:rPr>
          <w:rFonts w:ascii="Arial" w:cs="Arial" w:eastAsia="Arial" w:hAnsi="Arial"/>
          <w:sz w:val="18"/>
          <w:szCs w:val="18"/>
          <w:color w:val="auto"/>
        </w:rPr>
        <w:t xml:space="preserve"> all Excluded Targets.</w:t>
      </w:r>
    </w:p>
    <w:p>
      <w:pPr>
        <w:spacing w:after="0" w:line="211"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1.1.126 “</w:t>
      </w:r>
      <w:r>
        <w:rPr>
          <w:rFonts w:ascii="Arial" w:cs="Arial" w:eastAsia="Arial" w:hAnsi="Arial"/>
          <w:sz w:val="18"/>
          <w:szCs w:val="18"/>
          <w:u w:val="single" w:color="auto"/>
          <w:color w:val="auto"/>
        </w:rPr>
        <w:t>Unblinding Notification</w:t>
      </w:r>
      <w:r>
        <w:rPr>
          <w:rFonts w:ascii="Arial" w:cs="Arial" w:eastAsia="Arial" w:hAnsi="Arial"/>
          <w:sz w:val="18"/>
          <w:szCs w:val="18"/>
          <w:color w:val="auto"/>
        </w:rPr>
        <w:t>” means a Primary Target Unblinding Notification, an Undruggable Target Unblinding Notification or an Additional Target Unblinding Notification.</w:t>
      </w:r>
    </w:p>
    <w:p>
      <w:pPr>
        <w:spacing w:after="0" w:line="170" w:lineRule="exact"/>
        <w:rPr>
          <w:sz w:val="20"/>
          <w:szCs w:val="20"/>
          <w:color w:val="auto"/>
        </w:rPr>
      </w:pPr>
    </w:p>
    <w:p>
      <w:pPr>
        <w:ind w:left="1100"/>
        <w:spacing w:after="0"/>
        <w:tabs>
          <w:tab w:leader="none" w:pos="1800" w:val="left"/>
        </w:tabs>
        <w:rPr>
          <w:sz w:val="20"/>
          <w:szCs w:val="20"/>
          <w:color w:val="auto"/>
        </w:rPr>
      </w:pPr>
      <w:r>
        <w:rPr>
          <w:rFonts w:ascii="Arial" w:cs="Arial" w:eastAsia="Arial" w:hAnsi="Arial"/>
          <w:sz w:val="18"/>
          <w:szCs w:val="18"/>
          <w:color w:val="auto"/>
        </w:rPr>
        <w:t>1.1.127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Unblinded Target</w:t>
      </w:r>
      <w:r>
        <w:rPr>
          <w:rFonts w:ascii="Arial" w:cs="Arial" w:eastAsia="Arial" w:hAnsi="Arial"/>
          <w:sz w:val="16"/>
          <w:szCs w:val="16"/>
          <w:color w:val="auto"/>
        </w:rPr>
        <w:t>” means each Unblinded Druggable/LDD Target and each Unblinded Undruggable Target.</w:t>
      </w:r>
    </w:p>
    <w:p>
      <w:pPr>
        <w:spacing w:after="0" w:line="225" w:lineRule="exact"/>
        <w:rPr>
          <w:sz w:val="20"/>
          <w:szCs w:val="20"/>
          <w:color w:val="auto"/>
        </w:rPr>
      </w:pPr>
    </w:p>
    <w:p>
      <w:pPr>
        <w:ind w:left="120" w:right="640" w:firstLine="991"/>
        <w:spacing w:after="0" w:line="277" w:lineRule="auto"/>
        <w:rPr>
          <w:sz w:val="20"/>
          <w:szCs w:val="20"/>
          <w:color w:val="auto"/>
        </w:rPr>
      </w:pPr>
      <w:r>
        <w:rPr>
          <w:rFonts w:ascii="Arial" w:cs="Arial" w:eastAsia="Arial" w:hAnsi="Arial"/>
          <w:sz w:val="18"/>
          <w:szCs w:val="18"/>
          <w:color w:val="auto"/>
        </w:rPr>
        <w:t>1.1.128 “</w:t>
      </w:r>
      <w:r>
        <w:rPr>
          <w:rFonts w:ascii="Arial" w:cs="Arial" w:eastAsia="Arial" w:hAnsi="Arial"/>
          <w:sz w:val="18"/>
          <w:szCs w:val="18"/>
          <w:u w:val="single" w:color="auto"/>
          <w:color w:val="auto"/>
        </w:rPr>
        <w:t>Unblinded Undruggable Target</w:t>
      </w:r>
      <w:r>
        <w:rPr>
          <w:rFonts w:ascii="Arial" w:cs="Arial" w:eastAsia="Arial" w:hAnsi="Arial"/>
          <w:sz w:val="18"/>
          <w:szCs w:val="18"/>
          <w:color w:val="auto"/>
        </w:rPr>
        <w:t xml:space="preserve">” means any Undruggable Target that has been identified by Repare to BMS pursuant to Section 2.6.3(c); </w:t>
      </w:r>
      <w:r>
        <w:rPr>
          <w:rFonts w:ascii="Arial" w:cs="Arial" w:eastAsia="Arial" w:hAnsi="Arial"/>
          <w:sz w:val="18"/>
          <w:szCs w:val="18"/>
          <w:u w:val="single" w:color="auto"/>
          <w:color w:val="auto"/>
        </w:rPr>
        <w:t>but excluding</w:t>
      </w:r>
      <w:r>
        <w:rPr>
          <w:rFonts w:ascii="Arial" w:cs="Arial" w:eastAsia="Arial" w:hAnsi="Arial"/>
          <w:sz w:val="18"/>
          <w:szCs w:val="18"/>
          <w:color w:val="auto"/>
        </w:rPr>
        <w:t xml:space="preserve"> all Excluded Targets.</w:t>
      </w:r>
    </w:p>
    <w:p>
      <w:pPr>
        <w:spacing w:after="0" w:line="170" w:lineRule="exact"/>
        <w:rPr>
          <w:sz w:val="20"/>
          <w:szCs w:val="20"/>
          <w:color w:val="auto"/>
        </w:rPr>
      </w:pPr>
    </w:p>
    <w:p>
      <w:pPr>
        <w:ind w:left="120" w:right="180" w:firstLine="991"/>
        <w:spacing w:after="0" w:line="263" w:lineRule="auto"/>
        <w:rPr>
          <w:sz w:val="20"/>
          <w:szCs w:val="20"/>
          <w:color w:val="auto"/>
        </w:rPr>
      </w:pPr>
      <w:r>
        <w:rPr>
          <w:rFonts w:ascii="Arial" w:cs="Arial" w:eastAsia="Arial" w:hAnsi="Arial"/>
          <w:sz w:val="18"/>
          <w:szCs w:val="18"/>
          <w:color w:val="auto"/>
        </w:rPr>
        <w:t>1.1.129 “</w:t>
      </w:r>
      <w:r>
        <w:rPr>
          <w:rFonts w:ascii="Arial" w:cs="Arial" w:eastAsia="Arial" w:hAnsi="Arial"/>
          <w:sz w:val="18"/>
          <w:szCs w:val="18"/>
          <w:u w:val="single" w:color="auto"/>
          <w:color w:val="auto"/>
        </w:rPr>
        <w:t>Undruggable Campaign</w:t>
      </w:r>
      <w:r>
        <w:rPr>
          <w:rFonts w:ascii="Arial" w:cs="Arial" w:eastAsia="Arial" w:hAnsi="Arial"/>
          <w:sz w:val="18"/>
          <w:szCs w:val="18"/>
          <w:color w:val="auto"/>
        </w:rPr>
        <w:t>” means, with respect to a given Collaboration Undruggable Target, the Existing Repare Campaign or Novel BMS Campaign under which Repare has identified a Synthetic Lethal relationship between such Collaboration Undruggable Target and the Campaign Lesion(s) that are the subject of such Campaign.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60" w:right="459" w:bottom="1440" w:gutter="0" w:footer="0" w:header="0"/>
        </w:sectPr>
      </w:pPr>
    </w:p>
    <w:bookmarkStart w:id="697" w:name="page698"/>
    <w:bookmarkEnd w:id="6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tabs>
          <w:tab w:leader="none" w:pos="1800" w:val="left"/>
        </w:tabs>
        <w:rPr>
          <w:sz w:val="20"/>
          <w:szCs w:val="20"/>
          <w:color w:val="auto"/>
        </w:rPr>
      </w:pPr>
      <w:r>
        <w:rPr>
          <w:rFonts w:ascii="Arial" w:cs="Arial" w:eastAsia="Arial" w:hAnsi="Arial"/>
          <w:sz w:val="18"/>
          <w:szCs w:val="18"/>
          <w:color w:val="auto"/>
        </w:rPr>
        <w:t>1.1.130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Undruggable Target</w:t>
      </w:r>
      <w:r>
        <w:rPr>
          <w:rFonts w:ascii="Arial" w:cs="Arial" w:eastAsia="Arial" w:hAnsi="Arial"/>
          <w:sz w:val="16"/>
          <w:szCs w:val="16"/>
          <w:color w:val="auto"/>
        </w:rPr>
        <w:t>” means a Target which can be [***].</w:t>
      </w:r>
    </w:p>
    <w:p>
      <w:pPr>
        <w:spacing w:after="0" w:line="225" w:lineRule="exact"/>
        <w:rPr>
          <w:sz w:val="20"/>
          <w:szCs w:val="20"/>
          <w:color w:val="auto"/>
        </w:rPr>
      </w:pPr>
    </w:p>
    <w:p>
      <w:pPr>
        <w:ind w:left="1100"/>
        <w:spacing w:after="0"/>
        <w:tabs>
          <w:tab w:leader="none" w:pos="1800" w:val="left"/>
        </w:tabs>
        <w:rPr>
          <w:sz w:val="20"/>
          <w:szCs w:val="20"/>
          <w:color w:val="auto"/>
        </w:rPr>
      </w:pPr>
      <w:r>
        <w:rPr>
          <w:rFonts w:ascii="Arial" w:cs="Arial" w:eastAsia="Arial" w:hAnsi="Arial"/>
          <w:sz w:val="18"/>
          <w:szCs w:val="18"/>
          <w:color w:val="auto"/>
        </w:rPr>
        <w:t>1.1.131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United States</w:t>
      </w:r>
      <w:r>
        <w:rPr>
          <w:rFonts w:ascii="Arial" w:cs="Arial" w:eastAsia="Arial" w:hAnsi="Arial"/>
          <w:sz w:val="16"/>
          <w:szCs w:val="16"/>
          <w:color w:val="auto"/>
        </w:rPr>
        <w:t>” or “</w:t>
      </w:r>
      <w:r>
        <w:rPr>
          <w:rFonts w:ascii="Arial" w:cs="Arial" w:eastAsia="Arial" w:hAnsi="Arial"/>
          <w:sz w:val="16"/>
          <w:szCs w:val="16"/>
          <w:u w:val="single" w:color="auto"/>
          <w:color w:val="auto"/>
        </w:rPr>
        <w:t>U.S.</w:t>
      </w:r>
      <w:r>
        <w:rPr>
          <w:rFonts w:ascii="Arial" w:cs="Arial" w:eastAsia="Arial" w:hAnsi="Arial"/>
          <w:sz w:val="16"/>
          <w:szCs w:val="16"/>
          <w:color w:val="auto"/>
        </w:rPr>
        <w:t>” means the United States of America and all of its territories and possessions, including Puerto Rico.</w:t>
      </w:r>
    </w:p>
    <w:p>
      <w:pPr>
        <w:spacing w:after="0" w:line="225" w:lineRule="exact"/>
        <w:rPr>
          <w:sz w:val="20"/>
          <w:szCs w:val="20"/>
          <w:color w:val="auto"/>
        </w:rPr>
      </w:pPr>
    </w:p>
    <w:p>
      <w:pPr>
        <w:ind w:left="120" w:right="40" w:firstLine="991"/>
        <w:spacing w:after="0" w:line="268" w:lineRule="auto"/>
        <w:rPr>
          <w:sz w:val="20"/>
          <w:szCs w:val="20"/>
          <w:color w:val="auto"/>
        </w:rPr>
      </w:pPr>
      <w:r>
        <w:rPr>
          <w:rFonts w:ascii="Arial" w:cs="Arial" w:eastAsia="Arial" w:hAnsi="Arial"/>
          <w:sz w:val="17"/>
          <w:szCs w:val="17"/>
          <w:color w:val="auto"/>
        </w:rPr>
        <w:t>1.1.132 “</w:t>
      </w:r>
      <w:r>
        <w:rPr>
          <w:rFonts w:ascii="Arial" w:cs="Arial" w:eastAsia="Arial" w:hAnsi="Arial"/>
          <w:sz w:val="17"/>
          <w:szCs w:val="17"/>
          <w:u w:val="single" w:color="auto"/>
          <w:color w:val="auto"/>
        </w:rPr>
        <w:t>Valid Claim</w:t>
      </w:r>
      <w:r>
        <w:rPr>
          <w:rFonts w:ascii="Arial" w:cs="Arial" w:eastAsia="Arial" w:hAnsi="Arial"/>
          <w:sz w:val="17"/>
          <w:szCs w:val="17"/>
          <w:color w:val="auto"/>
        </w:rPr>
        <w:t xml:space="preserve">” means (a) a claim of any issued and unexpired Subject Patent whose validity, enforceability or patentability has not been affected by any of the following: (i) irretrievable lapse, abandonment, revocation, dedication to the public, or disclaimer; or (ii) a holding, finding or decision of invalidity, unenforceability or non-patentability by a court, government authority, national or regional patent office or other appropriate body that has competent jurisdiction, such holding, finding or decision being final and unappealable or unappealed within the time allowed for appeal; or (b) a claim of a pending application included within the definition of “Subject Patent” that was filed and is being prosecuted in good faith and has not been abandoned or finally disallowed without the possibility of appeal or refiling of the application and has not been canceled, withdrawn from consideration, finally determined to be unallowable by the applicable governmental authority or court for whatever reason (and from which no appeal is or can be taken), or abandoned; </w:t>
      </w:r>
      <w:r>
        <w:rPr>
          <w:rFonts w:ascii="Arial" w:cs="Arial" w:eastAsia="Arial" w:hAnsi="Arial"/>
          <w:sz w:val="17"/>
          <w:szCs w:val="17"/>
          <w:u w:val="single" w:color="auto"/>
          <w:color w:val="auto"/>
        </w:rPr>
        <w:t>except that</w:t>
      </w:r>
      <w:r>
        <w:rPr>
          <w:rFonts w:ascii="Arial" w:cs="Arial" w:eastAsia="Arial" w:hAnsi="Arial"/>
          <w:sz w:val="17"/>
          <w:szCs w:val="17"/>
          <w:color w:val="auto"/>
        </w:rPr>
        <w:t xml:space="preserve">, if such claim has not issued within [***] after the earliest filing date from which such claim takes priority, then such claim will cease to constitute a Valid Claim for the purposes of this Agreement unless and until such claim issues, at which time such claim will constitute a Valid Claim pursuant to the foregoing clause (a); </w:t>
      </w:r>
      <w:r>
        <w:rPr>
          <w:rFonts w:ascii="Arial" w:cs="Arial" w:eastAsia="Arial" w:hAnsi="Arial"/>
          <w:sz w:val="17"/>
          <w:szCs w:val="17"/>
          <w:u w:val="single" w:color="auto"/>
          <w:color w:val="auto"/>
        </w:rPr>
        <w:t>provided that</w:t>
      </w:r>
      <w:r>
        <w:rPr>
          <w:rFonts w:ascii="Arial" w:cs="Arial" w:eastAsia="Arial" w:hAnsi="Arial"/>
          <w:sz w:val="17"/>
          <w:szCs w:val="17"/>
          <w:color w:val="auto"/>
        </w:rPr>
        <w:t>, notwithstanding the foregoing exception, such claim of a pending application that issues after [***] after the earliest filing date from which such claim takes priority shall not qualify as a Valid Claim with respect to Covering a given Product in a given country in the event that, on the date of issuance (if any) of such pending claim in such country, (x) such Product has been commercially launched in such country and (y) there are no Valid Claims Covering such Product in such country pursuant to the foregoing clause (a).</w:t>
      </w:r>
    </w:p>
    <w:p>
      <w:pPr>
        <w:spacing w:after="0" w:line="184"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1.1.133 “</w:t>
      </w:r>
      <w:r>
        <w:rPr>
          <w:rFonts w:ascii="Arial" w:cs="Arial" w:eastAsia="Arial" w:hAnsi="Arial"/>
          <w:sz w:val="18"/>
          <w:szCs w:val="18"/>
          <w:u w:val="single" w:color="auto"/>
          <w:color w:val="auto"/>
        </w:rPr>
        <w:t>Validated</w:t>
      </w:r>
      <w:r>
        <w:rPr>
          <w:rFonts w:ascii="Arial" w:cs="Arial" w:eastAsia="Arial" w:hAnsi="Arial"/>
          <w:sz w:val="18"/>
          <w:szCs w:val="18"/>
          <w:color w:val="auto"/>
        </w:rPr>
        <w:t xml:space="preserve">” means, with respect to a given Target and a given Campaign, that a Synthetic Lethal relationship has been shown to exist between such Target and the Campaign Lesion(s) that are the subject of such Campaign in [***], as demonstrated by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Validation and, where conducted,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Validation. For clarity, with respect to a given Target and a given Campaign, a Synthetic Lethal relationship that has been shown to exist between such Target and the Campaign Lesion(s) that are the subject of such Campaign that is “Validated” will not automatically be deemed to be “Independently Validated”.</w:t>
      </w:r>
    </w:p>
    <w:p>
      <w:pPr>
        <w:spacing w:after="0" w:line="188" w:lineRule="exact"/>
        <w:rPr>
          <w:sz w:val="20"/>
          <w:szCs w:val="20"/>
          <w:color w:val="auto"/>
        </w:rPr>
      </w:pPr>
    </w:p>
    <w:p>
      <w:pPr>
        <w:ind w:left="120" w:firstLine="991"/>
        <w:spacing w:after="0" w:line="342" w:lineRule="auto"/>
        <w:rPr>
          <w:sz w:val="20"/>
          <w:szCs w:val="20"/>
          <w:color w:val="auto"/>
        </w:rPr>
      </w:pPr>
      <w:r>
        <w:rPr>
          <w:rFonts w:ascii="Arial" w:cs="Arial" w:eastAsia="Arial" w:hAnsi="Arial"/>
          <w:sz w:val="16"/>
          <w:szCs w:val="16"/>
          <w:color w:val="auto"/>
        </w:rPr>
        <w:t>1.1.134 “</w:t>
      </w:r>
      <w:r>
        <w:rPr>
          <w:rFonts w:ascii="Arial" w:cs="Arial" w:eastAsia="Arial" w:hAnsi="Arial"/>
          <w:sz w:val="16"/>
          <w:szCs w:val="16"/>
          <w:u w:val="single" w:color="auto"/>
          <w:color w:val="auto"/>
        </w:rPr>
        <w:t>Validated Target</w:t>
      </w:r>
      <w:r>
        <w:rPr>
          <w:rFonts w:ascii="Arial" w:cs="Arial" w:eastAsia="Arial" w:hAnsi="Arial"/>
          <w:sz w:val="16"/>
          <w:szCs w:val="16"/>
          <w:color w:val="auto"/>
        </w:rPr>
        <w:t xml:space="preserve">” means, with respect to a given Primary Campaign, each Druggable/LDD Target that has a Validated Synthetic Lethal relationship with such Primary Campaign, as shown by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Validation Activities and, where conducted,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Validation Activities.</w:t>
      </w:r>
    </w:p>
    <w:p>
      <w:pPr>
        <w:spacing w:after="0" w:line="12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Additional Definitions</w:t>
      </w:r>
      <w:r>
        <w:rPr>
          <w:rFonts w:ascii="Arial" w:cs="Arial" w:eastAsia="Arial" w:hAnsi="Arial"/>
          <w:sz w:val="18"/>
          <w:szCs w:val="18"/>
          <w:color w:val="auto"/>
        </w:rPr>
        <w:t>. Each of the following terms has the meaning described in the corresponding section of this Agreement indicated below:</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60" w:right="459" w:bottom="1440" w:gutter="0" w:footer="0" w:header="0"/>
        </w:sectPr>
      </w:pPr>
    </w:p>
    <w:bookmarkStart w:id="698" w:name="page699"/>
    <w:bookmarkEnd w:id="6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120" w:type="dxa"/>
            <w:vAlign w:val="bottom"/>
            <w:gridSpan w:val="2"/>
          </w:tcPr>
          <w:p>
            <w:pPr>
              <w:spacing w:after="0"/>
              <w:rPr>
                <w:sz w:val="20"/>
                <w:szCs w:val="20"/>
                <w:color w:val="auto"/>
              </w:rPr>
            </w:pPr>
            <w:r>
              <w:rPr>
                <w:rFonts w:ascii="Arial" w:cs="Arial" w:eastAsia="Arial" w:hAnsi="Arial"/>
                <w:sz w:val="14"/>
                <w:szCs w:val="14"/>
                <w:color w:val="auto"/>
              </w:rPr>
              <w:t>DEFINITION:</w:t>
            </w:r>
          </w:p>
        </w:tc>
        <w:tc>
          <w:tcPr>
            <w:tcW w:w="4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4"/>
                <w:szCs w:val="14"/>
                <w:color w:val="auto"/>
              </w:rPr>
              <w:t>SECTION:</w:t>
            </w:r>
          </w:p>
        </w:tc>
      </w:tr>
      <w:tr>
        <w:trPr>
          <w:trHeight w:val="189"/>
        </w:trPr>
        <w:tc>
          <w:tcPr>
            <w:tcW w:w="8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AAA</w:t>
            </w:r>
          </w:p>
        </w:tc>
        <w:tc>
          <w:tcPr>
            <w:tcW w:w="42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12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8"/>
                <w:szCs w:val="18"/>
                <w:color w:val="auto"/>
              </w:rPr>
              <w:t>15.2.2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Acquired Third Party Development Program</w:t>
            </w:r>
          </w:p>
        </w:tc>
        <w:tc>
          <w:tcPr>
            <w:tcW w:w="4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9.11.2(c)</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w w:val="95"/>
              </w:rPr>
              <w:t>Acquired Third Party Druggable/LDD Target Development Program</w:t>
            </w:r>
          </w:p>
        </w:tc>
        <w:tc>
          <w:tcPr>
            <w:tcW w:w="4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9.11.2(a)</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w w:val="99"/>
              </w:rPr>
              <w:t>Acquired Third Party Undruggable Target Development Program</w:t>
            </w:r>
          </w:p>
        </w:tc>
        <w:tc>
          <w:tcPr>
            <w:tcW w:w="4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9.11.2(b)</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Acquirer Activities</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8.2.2</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Additional Collaboration Undruggable Target Fee</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Additional Target Chemistry Notification</w:t>
            </w:r>
          </w:p>
        </w:tc>
        <w:tc>
          <w:tcPr>
            <w:tcW w:w="4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2.8.2(b)</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Additional Target Selection Fee</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Additional Target Unblinding Notification</w:t>
            </w:r>
          </w:p>
        </w:tc>
        <w:tc>
          <w:tcPr>
            <w:tcW w:w="4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2.8.2(a)</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Alliance Manager</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Antitrust Clearance Date</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Audit Team</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9.14.1</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Bankruptcy Code</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Biosimilar Product</w:t>
            </w:r>
          </w:p>
        </w:tc>
        <w:tc>
          <w:tcPr>
            <w:tcW w:w="4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9.10.3(c)</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BMS Indemnified Parties</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13.2.1</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BMS Termination IP</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14.5.4</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 Milestone Payment</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Collaboration Campaign Lesion(s)</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1.1.19</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Collaboration Druggable/LDD Target Resulting Compound</w:t>
            </w:r>
          </w:p>
        </w:tc>
        <w:tc>
          <w:tcPr>
            <w:tcW w:w="4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1.1.109(a)</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Collaboration Term ROFN Period</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Collaboration Undruggable Target Chemistry Period</w:t>
            </w:r>
          </w:p>
        </w:tc>
        <w:tc>
          <w:tcPr>
            <w:tcW w:w="4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2.9.1(a)</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Collaboration Undruggable Target Resulting Compound</w:t>
            </w:r>
          </w:p>
        </w:tc>
        <w:tc>
          <w:tcPr>
            <w:tcW w:w="4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1.1.109(b)</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Combination Product</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1.1.85</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Counteroffer Right</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7.3.1</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Cure Period</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14.3.1</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Disclosing Party</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Dispute</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DOJ</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Electronic Delivery</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15.14</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Excluded Campaign Lesion(s)</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1.1.19</w:t>
            </w:r>
          </w:p>
        </w:tc>
        <w:tc>
          <w:tcPr>
            <w:tcW w:w="180" w:type="dxa"/>
            <w:vAlign w:val="bottom"/>
          </w:tcPr>
          <w:p>
            <w:pPr>
              <w:spacing w:after="0"/>
              <w:rPr>
                <w:sz w:val="18"/>
                <w:szCs w:val="18"/>
                <w:color w:val="auto"/>
              </w:rPr>
            </w:pPr>
          </w:p>
        </w:tc>
      </w:tr>
      <w:tr>
        <w:trPr>
          <w:trHeight w:val="190"/>
        </w:trPr>
        <w:tc>
          <w:tcPr>
            <w:tcW w:w="5120" w:type="dxa"/>
            <w:vAlign w:val="bottom"/>
            <w:gridSpan w:val="2"/>
          </w:tcPr>
          <w:p>
            <w:pPr>
              <w:spacing w:after="0" w:line="190" w:lineRule="exact"/>
              <w:rPr>
                <w:sz w:val="20"/>
                <w:szCs w:val="20"/>
                <w:color w:val="auto"/>
              </w:rPr>
            </w:pPr>
            <w:r>
              <w:rPr>
                <w:rFonts w:ascii="Arial" w:cs="Arial" w:eastAsia="Arial" w:hAnsi="Arial"/>
                <w:sz w:val="18"/>
                <w:szCs w:val="18"/>
                <w:color w:val="auto"/>
              </w:rPr>
              <w:t>Expert</w:t>
            </w:r>
          </w:p>
        </w:tc>
        <w:tc>
          <w:tcPr>
            <w:tcW w:w="4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3"/>
          </w:tcPr>
          <w:p>
            <w:pPr>
              <w:jc w:val="right"/>
              <w:spacing w:after="0" w:line="190" w:lineRule="exact"/>
              <w:rPr>
                <w:sz w:val="20"/>
                <w:szCs w:val="20"/>
                <w:color w:val="auto"/>
              </w:rPr>
            </w:pPr>
            <w:r>
              <w:rPr>
                <w:rFonts w:ascii="Arial" w:cs="Arial" w:eastAsia="Arial" w:hAnsi="Arial"/>
                <w:sz w:val="18"/>
                <w:szCs w:val="18"/>
                <w:color w:val="auto"/>
                <w:w w:val="87"/>
              </w:rPr>
              <w:t>Schedule 5.2.6(c)</w:t>
            </w:r>
          </w:p>
        </w:tc>
      </w:tr>
      <w:tr>
        <w:trPr>
          <w:trHeight w:val="20"/>
        </w:trPr>
        <w:tc>
          <w:tcPr>
            <w:tcW w:w="51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5120" w:type="dxa"/>
            <w:vAlign w:val="bottom"/>
            <w:gridSpan w:val="2"/>
          </w:tcPr>
          <w:p>
            <w:pPr>
              <w:spacing w:after="0"/>
              <w:rPr>
                <w:sz w:val="20"/>
                <w:szCs w:val="20"/>
                <w:color w:val="auto"/>
              </w:rPr>
            </w:pPr>
            <w:r>
              <w:rPr>
                <w:rFonts w:ascii="Arial" w:cs="Arial" w:eastAsia="Arial" w:hAnsi="Arial"/>
                <w:sz w:val="18"/>
                <w:szCs w:val="18"/>
                <w:color w:val="auto"/>
              </w:rPr>
              <w:t>Final Data Package</w:t>
            </w:r>
          </w:p>
        </w:tc>
        <w:tc>
          <w:tcPr>
            <w:tcW w:w="4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2.5.6(b)</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Firewalled Scientist</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FTC</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Generic Product</w:t>
            </w:r>
          </w:p>
        </w:tc>
        <w:tc>
          <w:tcPr>
            <w:tcW w:w="4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9.10.3(c)</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 Milestone Payment</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HSR Act</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HSR/Antitrust Filing</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Independently Validated Third Party Compound</w:t>
            </w:r>
          </w:p>
        </w:tc>
        <w:tc>
          <w:tcPr>
            <w:tcW w:w="4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9.11.2(d)</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Internal BMS Gatekeeper</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JSC</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 Milestone Payment</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Lone Target Campaign</w:t>
            </w:r>
          </w:p>
        </w:tc>
        <w:tc>
          <w:tcPr>
            <w:tcW w:w="4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2.5.7(c)</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Material Receiving Party</w:t>
            </w:r>
          </w:p>
        </w:tc>
        <w:tc>
          <w:tcPr>
            <w:tcW w:w="5660" w:type="dxa"/>
            <w:vAlign w:val="bottom"/>
            <w:gridSpan w:val="4"/>
          </w:tcPr>
          <w:p>
            <w:pPr>
              <w:jc w:val="right"/>
              <w:ind w:right="20"/>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20"/>
                <w:szCs w:val="20"/>
                <w:color w:val="auto"/>
              </w:rPr>
            </w:pPr>
          </w:p>
        </w:tc>
      </w:tr>
      <w:tr>
        <w:trPr>
          <w:trHeight w:val="365"/>
        </w:trPr>
        <w:tc>
          <w:tcPr>
            <w:tcW w:w="8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520" w:type="dxa"/>
            <w:vAlign w:val="bottom"/>
          </w:tcPr>
          <w:p>
            <w:pPr>
              <w:jc w:val="right"/>
              <w:ind w:right="385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080"/>
          </w:cols>
          <w:pgMar w:left="320" w:top="460" w:right="499" w:bottom="1440" w:gutter="0" w:footer="0" w:header="0"/>
        </w:sectPr>
      </w:pPr>
    </w:p>
    <w:bookmarkStart w:id="699" w:name="page700"/>
    <w:bookmarkEnd w:id="6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740" w:type="dxa"/>
            <w:vAlign w:val="bottom"/>
            <w:gridSpan w:val="2"/>
          </w:tcPr>
          <w:p>
            <w:pPr>
              <w:spacing w:after="0"/>
              <w:rPr>
                <w:sz w:val="20"/>
                <w:szCs w:val="20"/>
                <w:color w:val="auto"/>
              </w:rPr>
            </w:pPr>
            <w:r>
              <w:rPr>
                <w:rFonts w:ascii="Arial" w:cs="Arial" w:eastAsia="Arial" w:hAnsi="Arial"/>
                <w:sz w:val="14"/>
                <w:szCs w:val="14"/>
                <w:color w:val="auto"/>
              </w:rPr>
              <w:t>DEFINITION:</w:t>
            </w:r>
          </w:p>
        </w:tc>
        <w:tc>
          <w:tcPr>
            <w:tcW w:w="520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SECTION:</w:t>
            </w:r>
          </w:p>
        </w:tc>
      </w:tr>
      <w:tr>
        <w:trPr>
          <w:trHeight w:val="189"/>
        </w:trPr>
        <w:tc>
          <w:tcPr>
            <w:tcW w:w="8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Materials</w:t>
            </w:r>
          </w:p>
        </w:tc>
        <w:tc>
          <w:tcPr>
            <w:tcW w:w="388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6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2.12</w:t>
            </w:r>
          </w:p>
        </w:tc>
        <w:tc>
          <w:tcPr>
            <w:tcW w:w="360" w:type="dxa"/>
            <w:vAlign w:val="bottom"/>
          </w:tcPr>
          <w:p>
            <w:pPr>
              <w:spacing w:after="0"/>
              <w:rPr>
                <w:sz w:val="16"/>
                <w:szCs w:val="16"/>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Negotiation Period</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7.2.1</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Non-Independently Validated Third Party Compound</w:t>
            </w:r>
          </w:p>
        </w:tc>
        <w:tc>
          <w:tcPr>
            <w:tcW w:w="5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9.11.2(e)</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Option</w:t>
            </w:r>
          </w:p>
        </w:tc>
        <w:tc>
          <w:tcPr>
            <w:tcW w:w="5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2.7.1(b)</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Option Term</w:t>
            </w:r>
          </w:p>
        </w:tc>
        <w:tc>
          <w:tcPr>
            <w:tcW w:w="5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2.7.2(c)</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Overlapping Undruggable Target</w:t>
            </w:r>
          </w:p>
        </w:tc>
        <w:tc>
          <w:tcPr>
            <w:tcW w:w="5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2.6.1(a)</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Post-Collaboration Term ROFN Period</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7.1</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Post-IND Third Party Compound</w:t>
            </w:r>
          </w:p>
        </w:tc>
        <w:tc>
          <w:tcPr>
            <w:tcW w:w="5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9.11.2(g)</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Potential Target</w:t>
            </w:r>
          </w:p>
        </w:tc>
        <w:tc>
          <w:tcPr>
            <w:tcW w:w="5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2.5.1(b)</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Pre-Existing Druggable/LDD Target Third Party Program</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1.1.9</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Pre-Existing Undruggable Target Third Party Program</w:t>
            </w:r>
          </w:p>
        </w:tc>
        <w:tc>
          <w:tcPr>
            <w:tcW w:w="5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1.1.14(b)</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Pre-Option Campaign Lesion(s)</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1.1.19</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Primary Target Unblinding Notification</w:t>
            </w:r>
          </w:p>
        </w:tc>
        <w:tc>
          <w:tcPr>
            <w:tcW w:w="5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2.5.8(a)</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Primary Target Unblinding Period</w:t>
            </w:r>
          </w:p>
        </w:tc>
        <w:tc>
          <w:tcPr>
            <w:tcW w:w="5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2.5.8(a)</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Prioritized Overlapping Undruggable Target</w:t>
            </w:r>
          </w:p>
        </w:tc>
        <w:tc>
          <w:tcPr>
            <w:tcW w:w="5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2.6.1(d)</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Purpose</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2.12</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Receiving Party</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11.1</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Redacted Version</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11.3.2</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Repare Collaboration Intellectual Property</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10.2.2</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Repare Indemnified Parties</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13.1.1</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Resulting Compound/Product Collaboration IP</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10.2.3</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Reverted Optioned Target Third Party Compound</w:t>
            </w:r>
          </w:p>
        </w:tc>
        <w:tc>
          <w:tcPr>
            <w:tcW w:w="5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9.11.2(f)</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Right of First Negotiation</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7.2.1</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ROFN Transaction</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7.1</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Royalty Term</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9.10.2</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SEC</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11.3.2</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Secondary Target</w:t>
            </w:r>
          </w:p>
        </w:tc>
        <w:tc>
          <w:tcPr>
            <w:tcW w:w="5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2.5.7(b)</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Secure Information Exchange</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11.6.5</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Selected Target</w:t>
            </w:r>
          </w:p>
        </w:tc>
        <w:tc>
          <w:tcPr>
            <w:tcW w:w="5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2.5.1(d)</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Sole Collaboration Intellectual Property</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10.2.5</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Tertiary Target</w:t>
            </w:r>
          </w:p>
        </w:tc>
        <w:tc>
          <w:tcPr>
            <w:tcW w:w="5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2.5.7(c)</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Term</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14.1</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Third Party Gatekeeper Agreement</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2.2.2</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Third Party Required IP</w:t>
            </w:r>
          </w:p>
        </w:tc>
        <w:tc>
          <w:tcPr>
            <w:tcW w:w="5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9.10.3(b)</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Transferring Party</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2.12</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Unblinded Primary Campaign</w:t>
            </w:r>
          </w:p>
        </w:tc>
        <w:tc>
          <w:tcPr>
            <w:tcW w:w="5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2.7.2(c)(i)</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Undruggable Campaign Lesion(s)</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1.1.19</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Undruggable Target Data Package</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2.6.2</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Undruggable Target Unblinding Notification</w:t>
            </w:r>
          </w:p>
        </w:tc>
        <w:tc>
          <w:tcPr>
            <w:tcW w:w="5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2.6.3(a)</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Undruggable Target Unblinding Period</w:t>
            </w:r>
          </w:p>
        </w:tc>
        <w:tc>
          <w:tcPr>
            <w:tcW w:w="5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2.6.3(a)</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Unsolicited Offer</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7.1</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Upstream IP</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9.12</w:t>
            </w: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Warrant Agreement</w:t>
            </w:r>
          </w:p>
        </w:tc>
        <w:tc>
          <w:tcPr>
            <w:tcW w:w="6220" w:type="dxa"/>
            <w:vAlign w:val="bottom"/>
            <w:gridSpan w:val="3"/>
          </w:tcPr>
          <w:p>
            <w:pPr>
              <w:jc w:val="right"/>
              <w:ind w:right="360"/>
              <w:spacing w:after="0"/>
              <w:rPr>
                <w:sz w:val="20"/>
                <w:szCs w:val="20"/>
                <w:color w:val="auto"/>
              </w:rPr>
            </w:pPr>
            <w:r>
              <w:rPr>
                <w:rFonts w:ascii="Arial" w:cs="Arial" w:eastAsia="Arial" w:hAnsi="Arial"/>
                <w:sz w:val="18"/>
                <w:szCs w:val="18"/>
                <w:color w:val="auto"/>
              </w:rPr>
              <w:t>9.2</w:t>
            </w:r>
          </w:p>
        </w:tc>
      </w:tr>
      <w:tr>
        <w:trPr>
          <w:trHeight w:val="365"/>
        </w:trPr>
        <w:tc>
          <w:tcPr>
            <w:tcW w:w="8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200" w:type="dxa"/>
            <w:vAlign w:val="bottom"/>
          </w:tcPr>
          <w:p>
            <w:pPr>
              <w:jc w:val="right"/>
              <w:ind w:right="4150"/>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080"/>
          </w:cols>
          <w:pgMar w:left="320" w:top="460" w:right="499" w:bottom="1440" w:gutter="0" w:footer="0" w:header="0"/>
        </w:sectPr>
      </w:pPr>
    </w:p>
    <w:bookmarkStart w:id="700" w:name="page701"/>
    <w:bookmarkEnd w:id="7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COLLABORATION</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Scope and Collaboration Overview</w:t>
      </w:r>
      <w:r>
        <w:rPr>
          <w:rFonts w:ascii="Arial" w:cs="Arial" w:eastAsia="Arial" w:hAnsi="Arial"/>
          <w:sz w:val="18"/>
          <w:szCs w:val="18"/>
          <w:color w:val="auto"/>
        </w:rPr>
        <w:t xml:space="preserve">. Subject to the terms and conditions of this Agreement (including, for clarity, Sections 2.5, 2.11, 12.4 and 15.5), during the Collaboration Term, to the extent that Repare has not already done so, Repare shall (a) in accordance with the Research Plan, on a Pre-Option Campaign-by-Pre-Option Campaign basis, conduct Initial Screening, Hit Confirmation,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Validation Activities and, as applicable,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Validation Activities with respect to such Pre-Option Campaign with the goal of identifying Druggable/LDD Targets that have a Synthetic Lethal relationship with the Pre-Option Campaign Lesion(s) that are the subject of such Pre-Option Campaign, (b) conduct Hit Confirmation on Prioritized Overlapping Undruggable Targets and (c) offer BMS the opportunity to obtain rights to (i) Unblinded Targets from the Primary Campaigns and (ii) Unblinded Undruggable Targets. [***].</w:t>
      </w:r>
    </w:p>
    <w:p>
      <w:pPr>
        <w:spacing w:after="0" w:line="19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u w:val="single" w:color="auto"/>
          <w:color w:val="auto"/>
        </w:rPr>
        <w:t>Gatekeepers</w:t>
      </w:r>
      <w:r>
        <w:rPr>
          <w:rFonts w:ascii="Arial" w:cs="Arial" w:eastAsia="Arial" w:hAnsi="Arial"/>
          <w:sz w:val="15"/>
          <w:szCs w:val="15"/>
          <w:color w:val="auto"/>
        </w:rPr>
        <w:t>.</w:t>
      </w:r>
    </w:p>
    <w:p>
      <w:pPr>
        <w:spacing w:after="0" w:line="225" w:lineRule="exact"/>
        <w:rPr>
          <w:sz w:val="20"/>
          <w:szCs w:val="20"/>
          <w:color w:val="auto"/>
        </w:rPr>
      </w:pPr>
    </w:p>
    <w:p>
      <w:pPr>
        <w:ind w:left="120" w:right="120" w:firstLine="991"/>
        <w:spacing w:after="0" w:line="269"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Internal BMS Gatekeeper</w:t>
      </w:r>
      <w:r>
        <w:rPr>
          <w:rFonts w:ascii="Arial" w:cs="Arial" w:eastAsia="Arial" w:hAnsi="Arial"/>
          <w:sz w:val="17"/>
          <w:szCs w:val="17"/>
          <w:color w:val="auto"/>
        </w:rPr>
        <w:t>. Within [***] after the Effective Date, BMS shall designate an employee of BMS who is reasonably acceptable to Repare to serve as the “</w:t>
      </w:r>
      <w:r>
        <w:rPr>
          <w:rFonts w:ascii="Arial" w:cs="Arial" w:eastAsia="Arial" w:hAnsi="Arial"/>
          <w:sz w:val="17"/>
          <w:szCs w:val="17"/>
          <w:u w:val="single" w:color="auto"/>
          <w:color w:val="auto"/>
        </w:rPr>
        <w:t>Internal BMS Gatekeeper</w:t>
      </w:r>
      <w:r>
        <w:rPr>
          <w:rFonts w:ascii="Arial" w:cs="Arial" w:eastAsia="Arial" w:hAnsi="Arial"/>
          <w:sz w:val="17"/>
          <w:szCs w:val="17"/>
          <w:color w:val="auto"/>
        </w:rPr>
        <w:t xml:space="preserve">”. The Internal BMS Gatekeeper may be replaced by another employee of BMS who is reasonably acceptable to Repare upon notice by BMS to Repare. BMS shall ensure (including by putting in place appropriate firewalls, system access restrictions or other protections that, collectively, are designed to ensure compliance) that each Internal BMS Gatekeeper refrains from sharing the identity of any Druggable/LDD Target or Undruggable Target identified by Repare to such Internal BMS Gatekeeper with BMS or any of BMS’s Affiliates or any other employee, agent or representative of BMS or any of BMS’s Affiliates, or any other Third Party;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 BMS shall ensure that the Internal BMS Gatekeeper does not retain any copies of any Confidential Information disclosed by Repare to the Internal BMS Gatekeeper regarding any Pre-Option Campaign, except for evidentiary purposes as written records solely for the purpose of determining BMS’s continuing obligations under this Agreement; </w:t>
      </w:r>
      <w:r>
        <w:rPr>
          <w:rFonts w:ascii="Arial" w:cs="Arial" w:eastAsia="Arial" w:hAnsi="Arial"/>
          <w:sz w:val="17"/>
          <w:szCs w:val="17"/>
          <w:u w:val="single" w:color="auto"/>
          <w:color w:val="auto"/>
        </w:rPr>
        <w:t>provided, further, that</w:t>
      </w:r>
      <w:r>
        <w:rPr>
          <w:rFonts w:ascii="Arial" w:cs="Arial" w:eastAsia="Arial" w:hAnsi="Arial"/>
          <w:sz w:val="17"/>
          <w:szCs w:val="17"/>
          <w:color w:val="auto"/>
        </w:rPr>
        <w:t xml:space="preserve"> any such Confidential Information may only be accessed by BMS’s personnel whose functions are primarily legal, audit, compliance or information technology-related, as is reasonably necessary for the performance of their duties in connection with such retention or determination.</w:t>
      </w:r>
    </w:p>
    <w:p>
      <w:pPr>
        <w:spacing w:after="0" w:line="182"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Third Party Gatekeeper</w:t>
      </w:r>
      <w:r>
        <w:rPr>
          <w:rFonts w:ascii="Arial" w:cs="Arial" w:eastAsia="Arial" w:hAnsi="Arial"/>
          <w:sz w:val="18"/>
          <w:szCs w:val="18"/>
          <w:color w:val="auto"/>
        </w:rPr>
        <w:t>. As promptly as practicable (but in any event no later than [***]) after the Effective Date, the Parties shall identify an initial Third Party Gatekeeper and negotiate and enter into an agreement with such initial Third Party Gatekeeper (the “</w:t>
      </w:r>
      <w:r>
        <w:rPr>
          <w:rFonts w:ascii="Arial" w:cs="Arial" w:eastAsia="Arial" w:hAnsi="Arial"/>
          <w:sz w:val="18"/>
          <w:szCs w:val="18"/>
          <w:u w:val="single" w:color="auto"/>
          <w:color w:val="auto"/>
        </w:rPr>
        <w:t>Third Party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Gatekeeper Agreement</w:t>
      </w:r>
      <w:r>
        <w:rPr>
          <w:rFonts w:ascii="Arial" w:cs="Arial" w:eastAsia="Arial" w:hAnsi="Arial"/>
          <w:sz w:val="18"/>
          <w:szCs w:val="18"/>
          <w:color w:val="auto"/>
        </w:rPr>
        <w:t>”), pursuant to which the Third Party Gatekeeper agrees to perform the applicable activities set forth in this ARTICLE II and agrees to keep the information provided by the Parties to the Third Party Gatekeeper confidential and not to use such information for any purpose other than the applicable activities set forth in this ARTICLE II, or as otherwise expressly set forth in the Third Party Gatekeeper Agreement. The Parties will equally share in any fees payable and costs to be reimbursed to the Third Party Gatekeeper, in each case, actually incurred by the Third Party Gatekeeper under this Agreement.</w:t>
      </w:r>
    </w:p>
    <w:p>
      <w:pPr>
        <w:spacing w:after="0" w:line="19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Consequences of Disclosure to BMS Outside of the Unblinding Process</w:t>
      </w:r>
      <w:r>
        <w:rPr>
          <w:rFonts w:ascii="Arial" w:cs="Arial" w:eastAsia="Arial" w:hAnsi="Arial"/>
          <w:sz w:val="16"/>
          <w:szCs w:val="16"/>
          <w:color w:val="auto"/>
        </w:rPr>
        <w:t>. Notwithstanding anything to the contrary set forth in this ARTICLE</w:t>
      </w:r>
    </w:p>
    <w:p>
      <w:pPr>
        <w:spacing w:after="0" w:line="23" w:lineRule="exact"/>
        <w:rPr>
          <w:sz w:val="20"/>
          <w:szCs w:val="20"/>
          <w:color w:val="auto"/>
        </w:rPr>
      </w:pPr>
    </w:p>
    <w:p>
      <w:pPr>
        <w:ind w:left="280" w:hanging="164"/>
        <w:spacing w:after="0"/>
        <w:tabs>
          <w:tab w:leader="none" w:pos="28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or otherwise under this Agreement, the identity of any Druggable/LDD Target or Undruggable Target, including in any</w:t>
      </w:r>
    </w:p>
    <w:p>
      <w:pPr>
        <w:spacing w:after="0" w:line="143" w:lineRule="exact"/>
        <w:rPr>
          <w:rFonts w:ascii="Arial" w:cs="Arial" w:eastAsia="Arial" w:hAnsi="Arial"/>
          <w:sz w:val="18"/>
          <w:szCs w:val="18"/>
          <w:color w:val="auto"/>
        </w:rPr>
      </w:pPr>
    </w:p>
    <w:p>
      <w:pPr>
        <w:ind w:left="5540" w:hanging="111"/>
        <w:spacing w:after="0"/>
        <w:tabs>
          <w:tab w:leader="none" w:pos="554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120"/>
          </w:cols>
          <w:pgMar w:left="320" w:top="460" w:right="459" w:bottom="1440" w:gutter="0" w:footer="0" w:header="0"/>
        </w:sectPr>
      </w:pPr>
    </w:p>
    <w:bookmarkStart w:id="701" w:name="page702"/>
    <w:bookmarkEnd w:id="7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i w:val="1"/>
          <w:iCs w:val="1"/>
          <w:color w:val="auto"/>
        </w:rPr>
        <w:t xml:space="preserve">In Vitro </w:t>
      </w:r>
      <w:r>
        <w:rPr>
          <w:rFonts w:ascii="Arial" w:cs="Arial" w:eastAsia="Arial" w:hAnsi="Arial"/>
          <w:sz w:val="18"/>
          <w:szCs w:val="18"/>
          <w:color w:val="auto"/>
        </w:rPr>
        <w:t>Data Package,</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Data Package, Final Data Package or Undruggable Target Data Package, will not be disclosed by Repare to BMS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to the Internal BMS Gatekeeper, the Firewalled Scientist or the JSC, as applicable) unless BMS has requested the identity of such Druggable/LDD Target or Undruggable Target (as applicable) in writing following the Effective Date pursuant to the applicable unblinding process set forth in Section 2.5.8, 2.6.3 or 2.8.2(a), as applicable, and no Druggable/LDD Target or Undruggable Target will be deemed to be an Unblinded Target hereunder unless and until BMS shall have, following the Effective Date of this Agreement, specifically requested in writing the disclosure to it of the identity of such Druggable/LDD Target or Undruggable Target (as applicable) and Repare thereafter identifies such Druggable/LDD Target or Undruggable Target (as applicable). [***].</w:t>
      </w:r>
    </w:p>
    <w:p>
      <w:pPr>
        <w:spacing w:after="0" w:line="19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Initial Pre-Option Campaign Designation</w:t>
      </w:r>
      <w:r>
        <w:rPr>
          <w:rFonts w:ascii="Arial" w:cs="Arial" w:eastAsia="Arial" w:hAnsi="Arial"/>
          <w:sz w:val="18"/>
          <w:szCs w:val="18"/>
          <w:color w:val="auto"/>
        </w:rPr>
        <w:t>. BMS may designate up to [***] Primary Campaigns and up to [***] Backup Campaigns as follows:</w:t>
      </w:r>
    </w:p>
    <w:p>
      <w:pPr>
        <w:spacing w:after="0" w:line="62"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u w:val="single" w:color="auto"/>
          <w:color w:val="auto"/>
        </w:rPr>
        <w:t>Existing Repare Campaigns</w:t>
      </w:r>
      <w:r>
        <w:rPr>
          <w:rFonts w:ascii="Arial" w:cs="Arial" w:eastAsia="Arial" w:hAnsi="Arial"/>
          <w:sz w:val="18"/>
          <w:szCs w:val="18"/>
          <w:color w:val="auto"/>
        </w:rPr>
        <w:t>. Within [***] after the Effective Date, BMS may designate (a) up to [***] Existing Repare Campaigns as Primary Campaigns and (b) up to [***] Existing Repare Campaigns as Backup Campaigns.</w:t>
      </w:r>
    </w:p>
    <w:p>
      <w:pPr>
        <w:spacing w:after="0" w:line="170" w:lineRule="exact"/>
        <w:rPr>
          <w:sz w:val="20"/>
          <w:szCs w:val="20"/>
          <w:color w:val="auto"/>
        </w:rPr>
      </w:pPr>
    </w:p>
    <w:p>
      <w:pPr>
        <w:ind w:left="120" w:right="80" w:firstLine="991"/>
        <w:spacing w:after="0" w:line="274" w:lineRule="auto"/>
        <w:rPr>
          <w:sz w:val="20"/>
          <w:szCs w:val="20"/>
          <w:color w:val="auto"/>
        </w:rPr>
      </w:pPr>
      <w:r>
        <w:rPr>
          <w:rFonts w:ascii="Arial" w:cs="Arial" w:eastAsia="Arial" w:hAnsi="Arial"/>
          <w:sz w:val="17"/>
          <w:szCs w:val="17"/>
          <w:color w:val="auto"/>
        </w:rPr>
        <w:t xml:space="preserve">2.4.2 </w:t>
      </w:r>
      <w:r>
        <w:rPr>
          <w:rFonts w:ascii="Arial" w:cs="Arial" w:eastAsia="Arial" w:hAnsi="Arial"/>
          <w:sz w:val="17"/>
          <w:szCs w:val="17"/>
          <w:u w:val="single" w:color="auto"/>
          <w:color w:val="auto"/>
        </w:rPr>
        <w:t>Novel BMS Campaigns</w:t>
      </w:r>
      <w:r>
        <w:rPr>
          <w:rFonts w:ascii="Arial" w:cs="Arial" w:eastAsia="Arial" w:hAnsi="Arial"/>
          <w:sz w:val="17"/>
          <w:szCs w:val="17"/>
          <w:color w:val="auto"/>
        </w:rPr>
        <w:t>. Within [***] after the Effective Date, BMS may designate (a) as Primary Campaigns, a number of Novel BMS Campaigns equal to [***] minus the number of Existing Repare Campaigns that BMS designated as Primary Campaigns pursuant to</w:t>
      </w:r>
    </w:p>
    <w:p>
      <w:pPr>
        <w:ind w:left="120"/>
        <w:spacing w:after="0" w:line="253" w:lineRule="auto"/>
        <w:rPr>
          <w:sz w:val="20"/>
          <w:szCs w:val="20"/>
          <w:color w:val="auto"/>
        </w:rPr>
      </w:pPr>
      <w:r>
        <w:rPr>
          <w:rFonts w:ascii="Arial" w:cs="Arial" w:eastAsia="Arial" w:hAnsi="Arial"/>
          <w:sz w:val="18"/>
          <w:szCs w:val="18"/>
          <w:color w:val="auto"/>
        </w:rPr>
        <w:t>Section 2.4.1(a) and (b) up to [***] Novel BMS Campaigns as Backup Campaigns, but, if, as a result of BMS designating any Novel BMS Campaign as a Backup Campaign pursuant to this Section 2.4.2(b), there are more than [***] Backup Campaigns, BMS shall select [***] (as required to keep the number of Backup Campaigns at [***]) of the Existing Repare Campaigns that BMS designated as Backup Campaigns pursuant to Section 2.4.1(b) to exclude from the Collaboration, and such Existing Repare Campaign(s) shall thereafter be deemed Excluded Campaign(s) and Section 2.13 shall apply to such Excluded Campaign(s).</w:t>
      </w:r>
    </w:p>
    <w:p>
      <w:pPr>
        <w:spacing w:after="0" w:line="191" w:lineRule="exact"/>
        <w:rPr>
          <w:sz w:val="20"/>
          <w:szCs w:val="20"/>
          <w:color w:val="auto"/>
        </w:rPr>
      </w:pPr>
    </w:p>
    <w:p>
      <w:pPr>
        <w:jc w:val="both"/>
        <w:ind w:left="120" w:firstLine="991"/>
        <w:spacing w:after="0" w:line="301" w:lineRule="auto"/>
        <w:rPr>
          <w:sz w:val="20"/>
          <w:szCs w:val="20"/>
          <w:color w:val="auto"/>
        </w:rPr>
      </w:pPr>
      <w:r>
        <w:rPr>
          <w:rFonts w:ascii="Arial" w:cs="Arial" w:eastAsia="Arial" w:hAnsi="Arial"/>
          <w:sz w:val="16"/>
          <w:szCs w:val="16"/>
          <w:color w:val="auto"/>
        </w:rPr>
        <w:t xml:space="preserve">2.4.3 </w:t>
      </w:r>
      <w:r>
        <w:rPr>
          <w:rFonts w:ascii="Arial" w:cs="Arial" w:eastAsia="Arial" w:hAnsi="Arial"/>
          <w:sz w:val="16"/>
          <w:szCs w:val="16"/>
          <w:u w:val="single" w:color="auto"/>
          <w:color w:val="auto"/>
        </w:rPr>
        <w:t>Possible Additional Existing Repare Campaigns</w:t>
      </w:r>
      <w:r>
        <w:rPr>
          <w:rFonts w:ascii="Arial" w:cs="Arial" w:eastAsia="Arial" w:hAnsi="Arial"/>
          <w:sz w:val="16"/>
          <w:szCs w:val="16"/>
          <w:color w:val="auto"/>
        </w:rPr>
        <w:t>. If, within [***] after the Effective Date, BMS does not designate one (1) or more Novel BMS Campaigns as Primary Campaigns pursuant to Section 2.4.2(a), BMS may request of the JSC that BMS be permitted to designate additional Existing Repare Campaigns as Primary Campaigns (but in no event shall there be more than [***] Primary Campaigns). Following any such request, the JSC may agree to permit BMS to designate [***] additional Existing Repare Campaigns as Primary Campaigns pursuant to Section 5.2.2(d).</w:t>
      </w:r>
    </w:p>
    <w:p>
      <w:pPr>
        <w:spacing w:after="0" w:line="157" w:lineRule="exact"/>
        <w:rPr>
          <w:sz w:val="20"/>
          <w:szCs w:val="20"/>
          <w:color w:val="auto"/>
        </w:rPr>
      </w:pPr>
    </w:p>
    <w:p>
      <w:pPr>
        <w:ind w:left="120" w:right="20" w:firstLine="991"/>
        <w:spacing w:after="0" w:line="342" w:lineRule="auto"/>
        <w:rPr>
          <w:sz w:val="20"/>
          <w:szCs w:val="20"/>
          <w:color w:val="auto"/>
        </w:rPr>
      </w:pPr>
      <w:r>
        <w:rPr>
          <w:rFonts w:ascii="Arial" w:cs="Arial" w:eastAsia="Arial" w:hAnsi="Arial"/>
          <w:sz w:val="16"/>
          <w:szCs w:val="16"/>
          <w:color w:val="auto"/>
        </w:rPr>
        <w:t xml:space="preserve">2.4.4 </w:t>
      </w:r>
      <w:r>
        <w:rPr>
          <w:rFonts w:ascii="Arial" w:cs="Arial" w:eastAsia="Arial" w:hAnsi="Arial"/>
          <w:sz w:val="16"/>
          <w:szCs w:val="16"/>
          <w:u w:val="single" w:color="auto"/>
          <w:color w:val="auto"/>
        </w:rPr>
        <w:t>Advanced Program Expansion</w:t>
      </w:r>
      <w:r>
        <w:rPr>
          <w:rFonts w:ascii="Arial" w:cs="Arial" w:eastAsia="Arial" w:hAnsi="Arial"/>
          <w:sz w:val="16"/>
          <w:szCs w:val="16"/>
          <w:color w:val="auto"/>
        </w:rPr>
        <w:t>. During the Collaboration Term, the Parties may, but are not obligated to, agree to add [***] as an Existing Repare Campaign, subject to agreement by the Parties on the terms on which such Campaign would be added as an Existing Repare Campaign.</w:t>
      </w:r>
    </w:p>
    <w:p>
      <w:pPr>
        <w:spacing w:after="0" w:line="12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Druggable/LDD Target Validation; Campaign Substitution and Reversion</w:t>
      </w:r>
      <w:r>
        <w:rPr>
          <w:rFonts w:ascii="Arial" w:cs="Arial" w:eastAsia="Arial" w:hAnsi="Arial"/>
          <w:sz w:val="16"/>
          <w:szCs w:val="16"/>
          <w:color w:val="auto"/>
        </w:rPr>
        <w:t>.</w:t>
      </w:r>
    </w:p>
    <w:p>
      <w:pPr>
        <w:spacing w:after="0" w:line="225" w:lineRule="exact"/>
        <w:rPr>
          <w:sz w:val="20"/>
          <w:szCs w:val="20"/>
          <w:color w:val="auto"/>
        </w:rPr>
      </w:pPr>
    </w:p>
    <w:p>
      <w:pPr>
        <w:jc w:val="center"/>
        <w:ind w:left="440"/>
        <w:spacing w:after="0"/>
        <w:tabs>
          <w:tab w:leader="none" w:pos="16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u w:val="single" w:color="auto"/>
          <w:color w:val="auto"/>
        </w:rPr>
        <w:t>Selection and Hit Confirmation</w:t>
      </w:r>
      <w:r>
        <w:rPr>
          <w:rFonts w:ascii="Arial" w:cs="Arial" w:eastAsia="Arial" w:hAnsi="Arial"/>
          <w:sz w:val="16"/>
          <w:szCs w:val="16"/>
          <w:color w:val="auto"/>
        </w:rPr>
        <w:t>. During the Collaboration Term, on a Pre-Option Campaign-by-Pre-Option Campaign basis: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60" w:right="479" w:bottom="1440" w:gutter="0" w:footer="0" w:header="0"/>
        </w:sectPr>
      </w:pPr>
    </w:p>
    <w:bookmarkStart w:id="702" w:name="page703"/>
    <w:bookmarkEnd w:id="7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1428"/>
        <w:spacing w:after="0" w:line="308" w:lineRule="auto"/>
        <w:tabs>
          <w:tab w:leader="none" w:pos="1928" w:val="left"/>
        </w:tabs>
        <w:numPr>
          <w:ilvl w:val="0"/>
          <w:numId w:val="441"/>
        </w:numPr>
        <w:rPr>
          <w:rFonts w:ascii="Arial" w:cs="Arial" w:eastAsia="Arial" w:hAnsi="Arial"/>
          <w:sz w:val="17"/>
          <w:szCs w:val="17"/>
          <w:color w:val="auto"/>
        </w:rPr>
      </w:pPr>
      <w:r>
        <w:rPr>
          <w:rFonts w:ascii="Arial" w:cs="Arial" w:eastAsia="Arial" w:hAnsi="Arial"/>
          <w:sz w:val="17"/>
          <w:szCs w:val="17"/>
          <w:color w:val="auto"/>
        </w:rPr>
        <w:t>To the extent that Repare has not already done so, Repare shall conduct Initial Screening to identify Druggable/LDD Targets that may be Synthetic Lethal against the Pre-Option Campaign Lesion(s) that are the subject of such Pre-Option Campaign.</w:t>
      </w:r>
    </w:p>
    <w:p>
      <w:pPr>
        <w:spacing w:after="0" w:line="146" w:lineRule="exact"/>
        <w:rPr>
          <w:rFonts w:ascii="Arial" w:cs="Arial" w:eastAsia="Arial" w:hAnsi="Arial"/>
          <w:sz w:val="17"/>
          <w:szCs w:val="17"/>
          <w:color w:val="auto"/>
        </w:rPr>
      </w:pPr>
    </w:p>
    <w:p>
      <w:pPr>
        <w:ind w:left="120" w:firstLine="1428"/>
        <w:spacing w:after="0" w:line="287" w:lineRule="auto"/>
        <w:tabs>
          <w:tab w:leader="none" w:pos="1942" w:val="left"/>
        </w:tabs>
        <w:numPr>
          <w:ilvl w:val="0"/>
          <w:numId w:val="441"/>
        </w:numPr>
        <w:rPr>
          <w:rFonts w:ascii="Arial" w:cs="Arial" w:eastAsia="Arial" w:hAnsi="Arial"/>
          <w:sz w:val="16"/>
          <w:szCs w:val="16"/>
          <w:color w:val="auto"/>
        </w:rPr>
      </w:pPr>
      <w:r>
        <w:rPr>
          <w:rFonts w:ascii="Arial" w:cs="Arial" w:eastAsia="Arial" w:hAnsi="Arial"/>
          <w:sz w:val="16"/>
          <w:szCs w:val="16"/>
          <w:color w:val="auto"/>
        </w:rPr>
        <w:t>Once Repare has completed Initial Screening for such Pre-Option Campaign, one (1) or more representatives from Repare shall meet with the Internal BMS Gatekeeper, the JSC or both, at BMS’s discretion, to present an anonymized report of the results from the Initial Screening for such Pre-Option Campaign. Such anonymized report shall include the data and other information agreed upon by the JSC pursuant to</w:t>
      </w:r>
    </w:p>
    <w:p>
      <w:pPr>
        <w:spacing w:after="0" w:line="2" w:lineRule="exact"/>
        <w:rPr>
          <w:rFonts w:ascii="Arial" w:cs="Arial" w:eastAsia="Arial" w:hAnsi="Arial"/>
          <w:sz w:val="16"/>
          <w:szCs w:val="16"/>
          <w:color w:val="auto"/>
        </w:rPr>
      </w:pPr>
    </w:p>
    <w:p>
      <w:pPr>
        <w:ind w:left="120"/>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Section 5.2.2(e) regarding all Druggable/LDD Targets that Repare has identified as showing promise for Synthetic Lethality with respect to the Pre-Option Campaign Lesion(s) that are the subject of such Pre-Option Campaign; </w:t>
      </w:r>
      <w:r>
        <w:rPr>
          <w:rFonts w:ascii="Arial" w:cs="Arial" w:eastAsia="Arial" w:hAnsi="Arial"/>
          <w:sz w:val="16"/>
          <w:szCs w:val="16"/>
          <w:u w:val="single" w:color="auto"/>
          <w:color w:val="auto"/>
        </w:rPr>
        <w:t>except that</w:t>
      </w:r>
      <w:r>
        <w:rPr>
          <w:rFonts w:ascii="Arial" w:cs="Arial" w:eastAsia="Arial" w:hAnsi="Arial"/>
          <w:sz w:val="16"/>
          <w:szCs w:val="16"/>
          <w:color w:val="auto"/>
        </w:rPr>
        <w:t xml:space="preserve"> (i) Repare may exclude from such anonymized report data regarding any Repare Potential Undruggable Target, (ii) Repare may exclude from such anonymized report data regarding any Druggable/LDD Target that is, at such time, associated with a Campaign, other than a Pre-Option Campaign or Collaboration Campaign, for which Repare has a </w:t>
      </w:r>
      <w:r>
        <w:rPr>
          <w:rFonts w:ascii="Arial" w:cs="Arial" w:eastAsia="Arial" w:hAnsi="Arial"/>
          <w:sz w:val="16"/>
          <w:szCs w:val="16"/>
          <w:i w:val="1"/>
          <w:iCs w:val="1"/>
          <w:color w:val="auto"/>
        </w:rPr>
        <w:t>bona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fide </w:t>
      </w:r>
      <w:r>
        <w:rPr>
          <w:rFonts w:ascii="Arial" w:cs="Arial" w:eastAsia="Arial" w:hAnsi="Arial"/>
          <w:sz w:val="16"/>
          <w:szCs w:val="16"/>
          <w:color w:val="auto"/>
        </w:rPr>
        <w:t>ongoing and active internal program or in which Repare has a</w:t>
      </w:r>
      <w:r>
        <w:rPr>
          <w:rFonts w:ascii="Arial" w:cs="Arial" w:eastAsia="Arial" w:hAnsi="Arial"/>
          <w:sz w:val="16"/>
          <w:szCs w:val="16"/>
          <w:i w:val="1"/>
          <w:iCs w:val="1"/>
          <w:color w:val="auto"/>
        </w:rPr>
        <w:t xml:space="preserve"> bona fide </w:t>
      </w:r>
      <w:r>
        <w:rPr>
          <w:rFonts w:ascii="Arial" w:cs="Arial" w:eastAsia="Arial" w:hAnsi="Arial"/>
          <w:sz w:val="16"/>
          <w:szCs w:val="16"/>
          <w:color w:val="auto"/>
        </w:rPr>
        <w:t>identified interest, as evidenced by contemporaneous written records</w:t>
      </w:r>
      <w:r>
        <w:rPr>
          <w:rFonts w:ascii="Arial" w:cs="Arial" w:eastAsia="Arial" w:hAnsi="Arial"/>
          <w:sz w:val="16"/>
          <w:szCs w:val="16"/>
          <w:i w:val="1"/>
          <w:iCs w:val="1"/>
          <w:color w:val="auto"/>
        </w:rPr>
        <w:t xml:space="preserve"> </w:t>
      </w:r>
      <w:r>
        <w:rPr>
          <w:rFonts w:ascii="Arial" w:cs="Arial" w:eastAsia="Arial" w:hAnsi="Arial"/>
          <w:sz w:val="16"/>
          <w:szCs w:val="16"/>
          <w:color w:val="auto"/>
        </w:rPr>
        <w:t>(which records may be provided, at the request of BMS, to the Third Party Gatekeeper for verification purposes), and (iii) as long as Repare includes in such anonymized report the data and other information agreed upon by the JSC pursuant to Section 5.2.2(e), Repare will use reasonable efforts to draft such anonymized report in such a way that none of the Internal BMS Gatekeeper, BMS nor any BMS JSC member can directly or indirectly determine the identity of any Druggable/LDD Target discussed in the report. Each Druggable/LDD described in the anonymized report may be referred to herein as a “</w:t>
      </w:r>
      <w:r>
        <w:rPr>
          <w:rFonts w:ascii="Arial" w:cs="Arial" w:eastAsia="Arial" w:hAnsi="Arial"/>
          <w:sz w:val="16"/>
          <w:szCs w:val="16"/>
          <w:u w:val="single" w:color="auto"/>
          <w:color w:val="auto"/>
        </w:rPr>
        <w:t>Potential Target</w:t>
      </w:r>
      <w:r>
        <w:rPr>
          <w:rFonts w:ascii="Arial" w:cs="Arial" w:eastAsia="Arial" w:hAnsi="Arial"/>
          <w:sz w:val="16"/>
          <w:szCs w:val="16"/>
          <w:color w:val="auto"/>
        </w:rPr>
        <w:t>.” Notwithstanding the foregoing, if the JSC determines pursuant to Section 5.2.2(j) that Repare shall provide the Internal BMS Gatekeeper with a non-anonymized report, Repare shall provide such non-anonymized report of such Initial Screening to the Internal BMS Gatekeeper, and not to any BMS JSC member or any other employee or representative of BMS.</w:t>
      </w:r>
    </w:p>
    <w:p>
      <w:pPr>
        <w:spacing w:after="0" w:line="171" w:lineRule="exact"/>
        <w:rPr>
          <w:rFonts w:ascii="Arial" w:cs="Arial" w:eastAsia="Arial" w:hAnsi="Arial"/>
          <w:sz w:val="16"/>
          <w:szCs w:val="16"/>
          <w:color w:val="auto"/>
        </w:rPr>
      </w:pPr>
    </w:p>
    <w:p>
      <w:pPr>
        <w:ind w:left="120" w:right="80" w:firstLine="1428"/>
        <w:spacing w:after="0" w:line="301" w:lineRule="auto"/>
        <w:tabs>
          <w:tab w:leader="none" w:pos="1932" w:val="left"/>
        </w:tabs>
        <w:numPr>
          <w:ilvl w:val="0"/>
          <w:numId w:val="441"/>
        </w:numPr>
        <w:rPr>
          <w:rFonts w:ascii="Arial" w:cs="Arial" w:eastAsia="Arial" w:hAnsi="Arial"/>
          <w:sz w:val="16"/>
          <w:szCs w:val="16"/>
          <w:color w:val="auto"/>
        </w:rPr>
      </w:pPr>
      <w:r>
        <w:rPr>
          <w:rFonts w:ascii="Arial" w:cs="Arial" w:eastAsia="Arial" w:hAnsi="Arial"/>
          <w:sz w:val="16"/>
          <w:szCs w:val="16"/>
          <w:color w:val="auto"/>
        </w:rPr>
        <w:t>Based on prioritization advice from the Internal BMS Gatekeeper, the JSC or both (at BMS’s discretion), to the extent that Repare has not already done so, Repare shall conduct Hit Confirmation on one (1) or more (as agreed in good faith by Repare and the Internal BMS Gatekeeper, the JSC or both (at BMS’s discretion)) Potential Targets from such Pre-Option Campaign to obtain additional data regarding a potential Synthetic Lethal relationship between such Potential Targets and the Pre-Option Campaign Lesion(s) that are the subject of such Pre-Option Campaign.</w:t>
      </w:r>
    </w:p>
    <w:p>
      <w:pPr>
        <w:spacing w:after="0" w:line="157" w:lineRule="exact"/>
        <w:rPr>
          <w:rFonts w:ascii="Arial" w:cs="Arial" w:eastAsia="Arial" w:hAnsi="Arial"/>
          <w:sz w:val="16"/>
          <w:szCs w:val="16"/>
          <w:color w:val="auto"/>
        </w:rPr>
      </w:pPr>
    </w:p>
    <w:p>
      <w:pPr>
        <w:ind w:left="120" w:right="20" w:firstLine="1428"/>
        <w:spacing w:after="0" w:line="291" w:lineRule="auto"/>
        <w:tabs>
          <w:tab w:leader="none" w:pos="1942" w:val="left"/>
        </w:tabs>
        <w:numPr>
          <w:ilvl w:val="0"/>
          <w:numId w:val="441"/>
        </w:numPr>
        <w:rPr>
          <w:rFonts w:ascii="Arial" w:cs="Arial" w:eastAsia="Arial" w:hAnsi="Arial"/>
          <w:sz w:val="16"/>
          <w:szCs w:val="16"/>
          <w:color w:val="auto"/>
        </w:rPr>
      </w:pPr>
      <w:r>
        <w:rPr>
          <w:rFonts w:ascii="Arial" w:cs="Arial" w:eastAsia="Arial" w:hAnsi="Arial"/>
          <w:sz w:val="16"/>
          <w:szCs w:val="16"/>
          <w:color w:val="auto"/>
        </w:rPr>
        <w:t>Once Repare has completed Hit Confirmation for the Potential Targets from such Pre-Option Campaign, Repare shall share the results of such Hit Confirmation with the Internal BMS Gatekeeper, the JSC or both (at BMS’s discretion), in an anonymized report, which shall include the data and other information agreed upon by the JSC pursuant to Section 5.2.2(e), but which Repare will use reasonable efforts to draft in such a way that none of the Internal BMS Gatekeeper, BMS nor any BMS JSC member can directly or indirectly determine the identity of any Druggable/LDD Target discussed in the report. Notwithstanding the foregoing, (i) if the JSC determines pursuant to Section 5.2.2(j) that Repare shall provide the Internal BMS Gatekeeper with a non-anonymized report of the results of such Hit Confirmation, Repare shall provide such non-anonymized report to the Internal BMS Gatekeeper, and not to any BMS JSC member or any other employee or representative of BMS and (ii) if the JSC determines pursuant</w:t>
      </w:r>
    </w:p>
    <w:p>
      <w:pPr>
        <w:spacing w:after="0" w:line="98" w:lineRule="exact"/>
        <w:rPr>
          <w:rFonts w:ascii="Arial" w:cs="Arial" w:eastAsia="Arial" w:hAnsi="Arial"/>
          <w:sz w:val="16"/>
          <w:szCs w:val="16"/>
          <w:color w:val="auto"/>
        </w:rPr>
      </w:pPr>
    </w:p>
    <w:p>
      <w:pPr>
        <w:ind w:left="5540" w:hanging="111"/>
        <w:spacing w:after="0"/>
        <w:tabs>
          <w:tab w:leader="none" w:pos="554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120"/>
          </w:cols>
          <w:pgMar w:left="320" w:top="460" w:right="459" w:bottom="1440" w:gutter="0" w:footer="0" w:header="0"/>
        </w:sectPr>
      </w:pPr>
    </w:p>
    <w:bookmarkStart w:id="703" w:name="page704"/>
    <w:bookmarkEnd w:id="7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 xml:space="preserve">to Section 5.2.2(o) that Repare shall provide the full JSC with a non-anonymized report of the results of such Hit Confirmation, Repare shall provide such non-anonymized report to the full JSC, and not to any other employee or representative of BMS. Based on such results, the Internal BMS Gatekeeper, the JSC or both (at BMS’s discretion), shall select one (1) or more (as agreed in good faith by Repare and the Internal BMS Gatekeeper, the JSC or both (at BMS’s discretion)) Potential Targets from such Pre-Option Campaign for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Validation Activities by Repare in accordance with Section 2.5.2 (each, a “</w:t>
      </w:r>
      <w:r>
        <w:rPr>
          <w:rFonts w:ascii="Arial" w:cs="Arial" w:eastAsia="Arial" w:hAnsi="Arial"/>
          <w:sz w:val="18"/>
          <w:szCs w:val="18"/>
          <w:u w:val="single" w:color="auto"/>
          <w:color w:val="auto"/>
        </w:rPr>
        <w:t>Selected Target</w:t>
      </w:r>
      <w:r>
        <w:rPr>
          <w:rFonts w:ascii="Arial" w:cs="Arial" w:eastAsia="Arial" w:hAnsi="Arial"/>
          <w:sz w:val="18"/>
          <w:szCs w:val="18"/>
          <w:color w:val="auto"/>
        </w:rPr>
        <w:t>”).</w:t>
      </w:r>
    </w:p>
    <w:p>
      <w:pPr>
        <w:spacing w:after="0" w:line="188"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i w:val="1"/>
          <w:iCs w:val="1"/>
          <w:u w:val="single" w:color="auto"/>
          <w:color w:val="auto"/>
        </w:rPr>
        <w:t xml:space="preserve">In Vitro </w:t>
      </w:r>
      <w:r>
        <w:rPr>
          <w:rFonts w:ascii="Arial" w:cs="Arial" w:eastAsia="Arial" w:hAnsi="Arial"/>
          <w:sz w:val="16"/>
          <w:szCs w:val="16"/>
          <w:u w:val="single" w:color="auto"/>
          <w:color w:val="auto"/>
        </w:rPr>
        <w:t>Validation Activities; Campaign Deliverables</w:t>
      </w:r>
      <w:r>
        <w:rPr>
          <w:rFonts w:ascii="Arial" w:cs="Arial" w:eastAsia="Arial" w:hAnsi="Arial"/>
          <w:sz w:val="16"/>
          <w:szCs w:val="16"/>
          <w:color w:val="auto"/>
        </w:rPr>
        <w:t>.</w:t>
      </w:r>
    </w:p>
    <w:p>
      <w:pPr>
        <w:spacing w:after="0" w:line="225" w:lineRule="exact"/>
        <w:rPr>
          <w:sz w:val="20"/>
          <w:szCs w:val="20"/>
          <w:color w:val="auto"/>
        </w:rPr>
      </w:pPr>
    </w:p>
    <w:p>
      <w:pPr>
        <w:ind w:left="120" w:right="40" w:firstLine="1428"/>
        <w:spacing w:after="0" w:line="286" w:lineRule="auto"/>
        <w:tabs>
          <w:tab w:leader="none" w:pos="1932" w:val="left"/>
        </w:tabs>
        <w:numPr>
          <w:ilvl w:val="0"/>
          <w:numId w:val="442"/>
        </w:numPr>
        <w:rPr>
          <w:rFonts w:ascii="Arial" w:cs="Arial" w:eastAsia="Arial" w:hAnsi="Arial"/>
          <w:sz w:val="17"/>
          <w:szCs w:val="17"/>
          <w:color w:val="auto"/>
        </w:rPr>
      </w:pPr>
      <w:r>
        <w:rPr>
          <w:rFonts w:ascii="Arial" w:cs="Arial" w:eastAsia="Arial" w:hAnsi="Arial"/>
          <w:sz w:val="17"/>
          <w:szCs w:val="17"/>
          <w:color w:val="auto"/>
        </w:rPr>
        <w:t xml:space="preserve">On a Pre-Option Campaign-by-Pre-Option Campaign basis, for each Selected Target from such Pre-Option Campaign, to the extent that Repare has not already done so, Repare shall conduct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Validation Activities with respect to such Selected Target to validate Synthetic Lethality against the Pre-Option Campaign Lesion(s) that are the subject of such Pre-Option Campaign.</w:t>
      </w:r>
    </w:p>
    <w:p>
      <w:pPr>
        <w:spacing w:after="0" w:line="165" w:lineRule="exact"/>
        <w:rPr>
          <w:rFonts w:ascii="Arial" w:cs="Arial" w:eastAsia="Arial" w:hAnsi="Arial"/>
          <w:sz w:val="17"/>
          <w:szCs w:val="17"/>
          <w:color w:val="auto"/>
        </w:rPr>
      </w:pPr>
    </w:p>
    <w:p>
      <w:pPr>
        <w:ind w:left="120" w:firstLine="1428"/>
        <w:spacing w:after="0" w:line="268" w:lineRule="auto"/>
        <w:tabs>
          <w:tab w:leader="none" w:pos="1942" w:val="left"/>
        </w:tabs>
        <w:numPr>
          <w:ilvl w:val="0"/>
          <w:numId w:val="442"/>
        </w:numPr>
        <w:rPr>
          <w:rFonts w:ascii="Arial" w:cs="Arial" w:eastAsia="Arial" w:hAnsi="Arial"/>
          <w:sz w:val="17"/>
          <w:szCs w:val="17"/>
          <w:color w:val="auto"/>
        </w:rPr>
      </w:pPr>
      <w:r>
        <w:rPr>
          <w:rFonts w:ascii="Arial" w:cs="Arial" w:eastAsia="Arial" w:hAnsi="Arial"/>
          <w:sz w:val="17"/>
          <w:szCs w:val="17"/>
          <w:color w:val="auto"/>
        </w:rPr>
        <w:t xml:space="preserve">Once Repare has completed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Validation Activities for all Selected Targets from a Primary Campaign, Repare shall provide the Internal BMS Gatekeeper, the JSC or both (at BMS’s discretion), with an anonymized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Package for such Primary Campaign, which shall include the data and other information set forth in the Research Plan (or as otherwise agreed upon by the JSC pursuant to Section 5.2.2(e)), but which Repare will use reasonable efforts to draft in such a way that none of the Internal BMS Gatekeeper, BMS nor any BMS JSC member can directly or indirectly determine the identity of any Druggable/LDD Target discussed in the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Package. If the JSC determines pursuant to Section 5.2.2(j) that Repare shall provide the Internal BMS Gatekeeper with an unblinded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Package for such Primary Campaign that discloses the identity of one or more Validated Targets from such Primary Campaign, Repare shall provide such unblinded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Package to the Internal BMS Gatekeeper, and not to any BMS JSC member or any other employee or representative of BMS. If the JSC determines pursuant to Section 5.2.2(o) that Repare shall provide the full JSC with an unblinded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Package for such Primary Campaign that discloses the identity of one or more Validated Targets from such Primary Campaign, Repare shall provide such unblinded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Package to the full JSC, and not to any other employee or representative of BMS. BMS shall ensure (including by putting in place appropriate firewalls, system access restrictions or other protections that, collectively, are designed to ensure compliance) that the Internal BMS Gatekeeper and the BMS JSC members (as applicable) refrain from sharing the identity of any Validated Target identified by Repare to the Internal BMS Gatekeeper or the BMS JSC Members (as applicable) pursuant to the foregoing with BMS or any of BMS’s Affiliates or any other employee, agent or representative of BMS or any of BMS’s Affiliates, or any other Third Party; </w:t>
      </w:r>
      <w:r>
        <w:rPr>
          <w:rFonts w:ascii="Arial" w:cs="Arial" w:eastAsia="Arial" w:hAnsi="Arial"/>
          <w:sz w:val="17"/>
          <w:szCs w:val="17"/>
          <w:u w:val="single" w:color="auto"/>
          <w:color w:val="auto"/>
        </w:rPr>
        <w:t>provided that</w:t>
      </w:r>
      <w:r>
        <w:rPr>
          <w:rFonts w:ascii="Arial" w:cs="Arial" w:eastAsia="Arial" w:hAnsi="Arial"/>
          <w:sz w:val="17"/>
          <w:szCs w:val="17"/>
          <w:color w:val="auto"/>
        </w:rPr>
        <w:t>, [***].</w:t>
      </w:r>
    </w:p>
    <w:p>
      <w:pPr>
        <w:spacing w:after="0" w:line="181" w:lineRule="exact"/>
        <w:rPr>
          <w:rFonts w:ascii="Arial" w:cs="Arial" w:eastAsia="Arial" w:hAnsi="Arial"/>
          <w:sz w:val="17"/>
          <w:szCs w:val="17"/>
          <w:color w:val="auto"/>
        </w:rPr>
      </w:pPr>
    </w:p>
    <w:p>
      <w:pPr>
        <w:ind w:left="120" w:right="20" w:firstLine="1428"/>
        <w:spacing w:after="0" w:line="263" w:lineRule="auto"/>
        <w:tabs>
          <w:tab w:leader="none" w:pos="1928" w:val="left"/>
        </w:tabs>
        <w:numPr>
          <w:ilvl w:val="0"/>
          <w:numId w:val="442"/>
        </w:numPr>
        <w:rPr>
          <w:rFonts w:ascii="Arial" w:cs="Arial" w:eastAsia="Arial" w:hAnsi="Arial"/>
          <w:sz w:val="18"/>
          <w:szCs w:val="18"/>
          <w:color w:val="auto"/>
        </w:rPr>
      </w:pPr>
      <w:r>
        <w:rPr>
          <w:rFonts w:ascii="Arial" w:cs="Arial" w:eastAsia="Arial" w:hAnsi="Arial"/>
          <w:sz w:val="18"/>
          <w:szCs w:val="18"/>
          <w:color w:val="auto"/>
        </w:rPr>
        <w:t xml:space="preserve">While Repare is conducting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Validation Activities with respect to a given Pre-Option Campaign, the JSC shall determine, pursuant to Section 5.2.2(h) and 5.2.2(i), whether to change the content or timing of any Deliverables to be provided by Repare to BMS with respect to such Pre-Option Campaign, if and when BMS timely exercises its Option for such Pre-Option Campaign.</w:t>
      </w:r>
    </w:p>
    <w:p>
      <w:pPr>
        <w:spacing w:after="0" w:line="116" w:lineRule="exact"/>
        <w:rPr>
          <w:rFonts w:ascii="Arial" w:cs="Arial" w:eastAsia="Arial" w:hAnsi="Arial"/>
          <w:sz w:val="18"/>
          <w:szCs w:val="18"/>
          <w:color w:val="auto"/>
        </w:rPr>
      </w:pPr>
    </w:p>
    <w:p>
      <w:pPr>
        <w:ind w:left="5540" w:hanging="111"/>
        <w:spacing w:after="0"/>
        <w:tabs>
          <w:tab w:leader="none" w:pos="554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080"/>
          </w:cols>
          <w:pgMar w:left="320" w:top="460" w:right="499" w:bottom="1440" w:gutter="0" w:footer="0" w:header="0"/>
        </w:sectPr>
      </w:pPr>
    </w:p>
    <w:bookmarkStart w:id="704" w:name="page705"/>
    <w:bookmarkEnd w:id="7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 xml:space="preserve">2.5.3 </w:t>
      </w:r>
      <w:r>
        <w:rPr>
          <w:rFonts w:ascii="Arial" w:cs="Arial" w:eastAsia="Arial" w:hAnsi="Arial"/>
          <w:sz w:val="18"/>
          <w:szCs w:val="18"/>
          <w:u w:val="single" w:color="auto"/>
          <w:color w:val="auto"/>
        </w:rPr>
        <w:t>Campaign Substitution</w:t>
      </w:r>
      <w:r>
        <w:rPr>
          <w:rFonts w:ascii="Arial" w:cs="Arial" w:eastAsia="Arial" w:hAnsi="Arial"/>
          <w:sz w:val="18"/>
          <w:szCs w:val="18"/>
          <w:color w:val="auto"/>
        </w:rPr>
        <w:t xml:space="preserve">. If, following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Validation Activities with respect to a Primary Campaign, no Selected Targets from such Primary Campaign are Validated Targets:</w:t>
      </w:r>
    </w:p>
    <w:p>
      <w:pPr>
        <w:spacing w:after="0" w:line="62" w:lineRule="exact"/>
        <w:rPr>
          <w:sz w:val="20"/>
          <w:szCs w:val="20"/>
          <w:color w:val="auto"/>
        </w:rPr>
      </w:pPr>
    </w:p>
    <w:p>
      <w:pPr>
        <w:ind w:left="120" w:firstLine="1428"/>
        <w:spacing w:after="0" w:line="269" w:lineRule="auto"/>
        <w:tabs>
          <w:tab w:leader="none" w:pos="1932" w:val="left"/>
        </w:tabs>
        <w:numPr>
          <w:ilvl w:val="0"/>
          <w:numId w:val="443"/>
        </w:numPr>
        <w:rPr>
          <w:rFonts w:ascii="Arial" w:cs="Arial" w:eastAsia="Arial" w:hAnsi="Arial"/>
          <w:sz w:val="17"/>
          <w:szCs w:val="17"/>
          <w:color w:val="auto"/>
        </w:rPr>
      </w:pPr>
      <w:r>
        <w:rPr>
          <w:rFonts w:ascii="Arial" w:cs="Arial" w:eastAsia="Arial" w:hAnsi="Arial"/>
          <w:sz w:val="17"/>
          <w:szCs w:val="17"/>
          <w:color w:val="auto"/>
        </w:rPr>
        <w:t xml:space="preserve">Repare shall provide the Internal BMS Gatekeeper, the JSC or both (at BMS’s discretion), with an anonymized data package for such Primary Campaign that includes a reasonably detailed analysis of the key data generated from the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Validation Activities with respect to the Selected Targets from such Primary Campaign, which data package shall include the data and other information set forth in the Research Plan (or as otherwise agreed upon by the JSC pursuant to Section 5.2.2(e)), but which Repare will use reasonable efforts to draft in such a way that none of the Internal BMS Gatekeeper, BMS nor any BMS JSC member can directly or indirectly determine the identity of any Druggable/LDD Target discussed in such data package; </w:t>
      </w:r>
      <w:r>
        <w:rPr>
          <w:rFonts w:ascii="Arial" w:cs="Arial" w:eastAsia="Arial" w:hAnsi="Arial"/>
          <w:sz w:val="17"/>
          <w:szCs w:val="17"/>
          <w:u w:val="single" w:color="auto"/>
          <w:color w:val="auto"/>
        </w:rPr>
        <w:t>provided, however, that</w:t>
      </w:r>
      <w:r>
        <w:rPr>
          <w:rFonts w:ascii="Arial" w:cs="Arial" w:eastAsia="Arial" w:hAnsi="Arial"/>
          <w:sz w:val="17"/>
          <w:szCs w:val="17"/>
          <w:color w:val="auto"/>
        </w:rPr>
        <w:t xml:space="preserve"> if the JSC determines pursuant to Section 5.2.2(j) that Repare shall provide the Internal BMS Gatekeeper with an unblinded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Package for such Primary Campaign, Repare shall provide such unblinded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Package to the Internal BMS Gatekeeper, and not to any BMS JSC member or any other employee or representative of BMS. BMS shall ensure (including by putting in place appropriate firewalls, system access restrictions or other protections that, collectively, are designed to ensure compliance) that the Internal BMS Gatekeeper refrains from sharing the identity of any such Selected Target identified by Repare to the Internal BMS Gatekeeper pursuant to the foregoing with BMS or any of BMS’s Affiliates or any other employee, agent or representative of BMS or any of BMS’s Affiliates, or any other Third Party; </w:t>
      </w:r>
      <w:r>
        <w:rPr>
          <w:rFonts w:ascii="Arial" w:cs="Arial" w:eastAsia="Arial" w:hAnsi="Arial"/>
          <w:sz w:val="17"/>
          <w:szCs w:val="17"/>
          <w:u w:val="single" w:color="auto"/>
          <w:color w:val="auto"/>
        </w:rPr>
        <w:t>provided, that</w:t>
      </w:r>
      <w:r>
        <w:rPr>
          <w:rFonts w:ascii="Arial" w:cs="Arial" w:eastAsia="Arial" w:hAnsi="Arial"/>
          <w:sz w:val="17"/>
          <w:szCs w:val="17"/>
          <w:color w:val="auto"/>
        </w:rPr>
        <w:t>, [***];</w:t>
      </w:r>
    </w:p>
    <w:p>
      <w:pPr>
        <w:spacing w:after="0" w:line="178" w:lineRule="exact"/>
        <w:rPr>
          <w:rFonts w:ascii="Arial" w:cs="Arial" w:eastAsia="Arial" w:hAnsi="Arial"/>
          <w:sz w:val="17"/>
          <w:szCs w:val="17"/>
          <w:color w:val="auto"/>
        </w:rPr>
      </w:pPr>
    </w:p>
    <w:p>
      <w:pPr>
        <w:ind w:left="1940" w:hanging="392"/>
        <w:spacing w:after="0"/>
        <w:tabs>
          <w:tab w:leader="none" w:pos="1940" w:val="left"/>
        </w:tabs>
        <w:numPr>
          <w:ilvl w:val="0"/>
          <w:numId w:val="443"/>
        </w:numPr>
        <w:rPr>
          <w:rFonts w:ascii="Arial" w:cs="Arial" w:eastAsia="Arial" w:hAnsi="Arial"/>
          <w:sz w:val="16"/>
          <w:szCs w:val="16"/>
          <w:color w:val="auto"/>
        </w:rPr>
      </w:pPr>
      <w:r>
        <w:rPr>
          <w:rFonts w:ascii="Arial" w:cs="Arial" w:eastAsia="Arial" w:hAnsi="Arial"/>
          <w:sz w:val="16"/>
          <w:szCs w:val="16"/>
          <w:color w:val="auto"/>
        </w:rPr>
        <w:t>such Primary Campaign shall be deemed an Excluded Campaign and Section 2.13 shall apply to such Excluded Campaign; and</w:t>
      </w:r>
    </w:p>
    <w:p>
      <w:pPr>
        <w:spacing w:after="0" w:line="248" w:lineRule="exact"/>
        <w:rPr>
          <w:rFonts w:ascii="Arial" w:cs="Arial" w:eastAsia="Arial" w:hAnsi="Arial"/>
          <w:sz w:val="16"/>
          <w:szCs w:val="16"/>
          <w:color w:val="auto"/>
        </w:rPr>
      </w:pPr>
    </w:p>
    <w:p>
      <w:pPr>
        <w:ind w:left="120" w:right="60" w:firstLine="1428"/>
        <w:spacing w:after="0" w:line="286" w:lineRule="auto"/>
        <w:tabs>
          <w:tab w:leader="none" w:pos="1932" w:val="left"/>
        </w:tabs>
        <w:numPr>
          <w:ilvl w:val="0"/>
          <w:numId w:val="443"/>
        </w:numPr>
        <w:rPr>
          <w:rFonts w:ascii="Arial" w:cs="Arial" w:eastAsia="Arial" w:hAnsi="Arial"/>
          <w:sz w:val="17"/>
          <w:szCs w:val="17"/>
          <w:color w:val="auto"/>
        </w:rPr>
      </w:pPr>
      <w:r>
        <w:rPr>
          <w:rFonts w:ascii="Arial" w:cs="Arial" w:eastAsia="Arial" w:hAnsi="Arial"/>
          <w:sz w:val="17"/>
          <w:szCs w:val="17"/>
          <w:color w:val="auto"/>
        </w:rPr>
        <w:t>if, at the time Repare provides the Internal BMS Gatekeeper or the JSC (as applicable) with such data package, there is at least one (1) remaining Backup Campaign, BMS shall, following discussion at the JSC, select a Backup Campaign to replace such Excluded Campaign and notify Repare of such selection in writing, and such Backup Campaign shall thereafter be deemed to be a Primary Campaign.</w:t>
      </w:r>
    </w:p>
    <w:p>
      <w:pPr>
        <w:spacing w:after="0" w:line="165" w:lineRule="exact"/>
        <w:rPr>
          <w:sz w:val="20"/>
          <w:szCs w:val="20"/>
          <w:color w:val="auto"/>
        </w:rPr>
      </w:pPr>
    </w:p>
    <w:p>
      <w:pPr>
        <w:ind w:left="120" w:right="60" w:firstLine="991"/>
        <w:spacing w:after="0" w:line="311" w:lineRule="auto"/>
        <w:rPr>
          <w:sz w:val="20"/>
          <w:szCs w:val="20"/>
          <w:color w:val="auto"/>
        </w:rPr>
      </w:pPr>
      <w:r>
        <w:rPr>
          <w:rFonts w:ascii="Arial" w:cs="Arial" w:eastAsia="Arial" w:hAnsi="Arial"/>
          <w:sz w:val="16"/>
          <w:szCs w:val="16"/>
          <w:color w:val="auto"/>
        </w:rPr>
        <w:t xml:space="preserve">2.5.4 </w:t>
      </w:r>
      <w:r>
        <w:rPr>
          <w:rFonts w:ascii="Arial" w:cs="Arial" w:eastAsia="Arial" w:hAnsi="Arial"/>
          <w:sz w:val="16"/>
          <w:szCs w:val="16"/>
          <w:u w:val="single" w:color="auto"/>
          <w:color w:val="auto"/>
        </w:rPr>
        <w:t>Backup Campaign Exclusion</w:t>
      </w:r>
      <w:r>
        <w:rPr>
          <w:rFonts w:ascii="Arial" w:cs="Arial" w:eastAsia="Arial" w:hAnsi="Arial"/>
          <w:sz w:val="16"/>
          <w:szCs w:val="16"/>
          <w:color w:val="auto"/>
        </w:rPr>
        <w:t xml:space="preserve">. On the date, if any, that Repare has provided to the Internal BMS Gatekeeper or the JSC (as applicable)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Package and an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Data Package (as applicable) for at least one (1) Validated Target for each of [***] Primary Campaigns, all remaining Backup Campaigns (if any) shall be deemed Excluded Campaigns and Section 2.13 shall apply to such Excluded Campaigns.</w:t>
      </w:r>
    </w:p>
    <w:p>
      <w:pPr>
        <w:spacing w:after="0" w:line="149"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8"/>
          <w:szCs w:val="18"/>
          <w:color w:val="auto"/>
        </w:rPr>
        <w:t>2.5.5</w:t>
      </w:r>
      <w:r>
        <w:rPr>
          <w:sz w:val="20"/>
          <w:szCs w:val="20"/>
          <w:color w:val="auto"/>
        </w:rPr>
        <w:tab/>
      </w:r>
      <w:r>
        <w:rPr>
          <w:rFonts w:ascii="Arial" w:cs="Arial" w:eastAsia="Arial" w:hAnsi="Arial"/>
          <w:sz w:val="17"/>
          <w:szCs w:val="17"/>
          <w:i w:val="1"/>
          <w:iCs w:val="1"/>
          <w:u w:val="single" w:color="auto"/>
          <w:color w:val="auto"/>
        </w:rPr>
        <w:t xml:space="preserve">In Vivo </w:t>
      </w:r>
      <w:r>
        <w:rPr>
          <w:rFonts w:ascii="Arial" w:cs="Arial" w:eastAsia="Arial" w:hAnsi="Arial"/>
          <w:sz w:val="17"/>
          <w:szCs w:val="17"/>
          <w:u w:val="single" w:color="auto"/>
          <w:color w:val="auto"/>
        </w:rPr>
        <w:t>Validation Activities</w:t>
      </w:r>
      <w:r>
        <w:rPr>
          <w:rFonts w:ascii="Arial" w:cs="Arial" w:eastAsia="Arial" w:hAnsi="Arial"/>
          <w:sz w:val="17"/>
          <w:szCs w:val="17"/>
          <w:color w:val="auto"/>
        </w:rPr>
        <w:t>.</w:t>
      </w:r>
    </w:p>
    <w:p>
      <w:pPr>
        <w:spacing w:after="0" w:line="225" w:lineRule="exact"/>
        <w:rPr>
          <w:sz w:val="20"/>
          <w:szCs w:val="20"/>
          <w:color w:val="auto"/>
        </w:rPr>
      </w:pPr>
    </w:p>
    <w:p>
      <w:pPr>
        <w:ind w:left="120" w:right="80" w:firstLine="1428"/>
        <w:spacing w:after="0" w:line="257" w:lineRule="auto"/>
        <w:tabs>
          <w:tab w:leader="none" w:pos="1932"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xml:space="preserve">If the JSC determines pursuant to Section 5.2.2(f) that it is feasible to conduct any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Validation Activities with respect to any Primary Campaign 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Validation Activities are included in the Research Plan with respect to a given Primary Campaign, then, to the extent that Repare has not already done so, Repare shall conduct such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Validation Activities at Repare’s cost (</w:t>
      </w:r>
      <w:r>
        <w:rPr>
          <w:rFonts w:ascii="Arial" w:cs="Arial" w:eastAsia="Arial" w:hAnsi="Arial"/>
          <w:sz w:val="18"/>
          <w:szCs w:val="18"/>
          <w:i w:val="1"/>
          <w:iCs w:val="1"/>
          <w:color w:val="auto"/>
        </w:rPr>
        <w:t>i.e.</w:t>
      </w:r>
      <w:r>
        <w:rPr>
          <w:rFonts w:ascii="Arial" w:cs="Arial" w:eastAsia="Arial" w:hAnsi="Arial"/>
          <w:sz w:val="18"/>
          <w:szCs w:val="18"/>
          <w:color w:val="auto"/>
        </w:rPr>
        <w:t xml:space="preserve">, with no additional funding by BMS), and, following completion of such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Validation Activities, Repare shall provide the Internal BMS Gatekeeper, the JSC or both (at BMS’s discretion), with an anonymized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Data Package for</w:t>
      </w:r>
    </w:p>
    <w:p>
      <w:pPr>
        <w:spacing w:after="0" w:line="120" w:lineRule="exact"/>
        <w:rPr>
          <w:rFonts w:ascii="Arial" w:cs="Arial" w:eastAsia="Arial" w:hAnsi="Arial"/>
          <w:sz w:val="18"/>
          <w:szCs w:val="18"/>
          <w:color w:val="auto"/>
        </w:rPr>
      </w:pPr>
    </w:p>
    <w:p>
      <w:pPr>
        <w:ind w:left="5540" w:hanging="111"/>
        <w:spacing w:after="0"/>
        <w:tabs>
          <w:tab w:leader="none" w:pos="5540" w:val="left"/>
        </w:tabs>
        <w:numPr>
          <w:ilvl w:val="1"/>
          <w:numId w:val="444"/>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100"/>
          </w:cols>
          <w:pgMar w:left="320" w:top="460" w:right="479" w:bottom="1440" w:gutter="0" w:footer="0" w:header="0"/>
        </w:sectPr>
      </w:pPr>
    </w:p>
    <w:bookmarkStart w:id="705" w:name="page706"/>
    <w:bookmarkEnd w:id="7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 xml:space="preserve">such Primary Campaign, which shall include the data and other information set forth in the Research Plan (or as otherwise agreed upon by the JSC pursuant to Section 5.2.2(e)), but which Repare will use reasonable efforts to draft in such a way that none of the Internal BMS Gatekeeper, BMS nor any BMS JSC member can directly or indirectly determine the identity of any Druggable/LDD Target discussed in the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Data Package. If the JSC determines pursuant to Section 5.2.2(j) that Repare shall provide the Internal BMS Gatekeeper with an unblinded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Data Package for such Primary Campaign that discloses the identity of one or more Validated Targets from such Primary Campaign, Repare shall provide such unblinded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Data Package to the Internal BMS Gatekeeper, and not to any JSC member or any other employee or representative of BMS. If the JSC determines pursuant to Section 5.2.2(o) that Repare shall provide the full JSC with an unblinded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Data Package for such Primary Campaign that discloses the identity of one or more Validated Targets from such Primary Campaign, Repare shall provide such unblinded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Data Package to the full JSC, and not to any other employee or representative of BMS. BMS shall ensure (including by putting in place appropriate firewalls, system access restrictions or other protections that, collectively, are designed to ensure compliance) that the Internal BMS Gatekeeper and the BMS JSC members (as applicable) refrain from sharing the identity of any Druggable/LDD Target identified by Repare to the Internal BMS Gatekeeper or the BMS JSC Members (as applicable) pursuant to the foregoing with BMS or any of BMS’s Affiliates or any other employee, agent or representative of BMS or any of BMS’s Affiliates, or any other Third Party; </w:t>
      </w:r>
      <w:r>
        <w:rPr>
          <w:rFonts w:ascii="Arial" w:cs="Arial" w:eastAsia="Arial" w:hAnsi="Arial"/>
          <w:sz w:val="17"/>
          <w:szCs w:val="17"/>
          <w:u w:val="single" w:color="auto"/>
          <w:color w:val="auto"/>
        </w:rPr>
        <w:t>provided that</w:t>
      </w:r>
      <w:r>
        <w:rPr>
          <w:rFonts w:ascii="Arial" w:cs="Arial" w:eastAsia="Arial" w:hAnsi="Arial"/>
          <w:sz w:val="17"/>
          <w:szCs w:val="17"/>
          <w:color w:val="auto"/>
        </w:rPr>
        <w:t>, [***].</w:t>
      </w:r>
    </w:p>
    <w:p>
      <w:pPr>
        <w:spacing w:after="0" w:line="186" w:lineRule="exact"/>
        <w:rPr>
          <w:sz w:val="20"/>
          <w:szCs w:val="20"/>
          <w:color w:val="auto"/>
        </w:rPr>
      </w:pPr>
    </w:p>
    <w:p>
      <w:pPr>
        <w:ind w:left="120" w:right="40" w:firstLine="1428"/>
        <w:spacing w:after="0" w:line="259" w:lineRule="auto"/>
        <w:tabs>
          <w:tab w:leader="none" w:pos="1942" w:val="left"/>
        </w:tabs>
        <w:numPr>
          <w:ilvl w:val="0"/>
          <w:numId w:val="445"/>
        </w:numPr>
        <w:rPr>
          <w:rFonts w:ascii="Arial" w:cs="Arial" w:eastAsia="Arial" w:hAnsi="Arial"/>
          <w:sz w:val="18"/>
          <w:szCs w:val="18"/>
          <w:color w:val="auto"/>
        </w:rPr>
      </w:pPr>
      <w:r>
        <w:rPr>
          <w:rFonts w:ascii="Arial" w:cs="Arial" w:eastAsia="Arial" w:hAnsi="Arial"/>
          <w:sz w:val="18"/>
          <w:szCs w:val="18"/>
          <w:color w:val="auto"/>
        </w:rPr>
        <w:t xml:space="preserve">If, after Repare begins conducting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Validation Activities with respect to a given Primary Campaign, the JSC determines, based on Repare’s interim reports from such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Validation Activities, that it is no longer desirable or feasible to conduct such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Validation Activities, then the JSC may determine to cease such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Validation Activities pursuant to Section 5.2.2(f), and, promptly following such determination, Repare shall cease conducting such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Validation Activities.</w:t>
      </w:r>
    </w:p>
    <w:p>
      <w:pPr>
        <w:spacing w:after="0" w:line="187"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8"/>
          <w:szCs w:val="18"/>
          <w:color w:val="auto"/>
        </w:rPr>
        <w:t>2.5.6</w:t>
      </w:r>
      <w:r>
        <w:rPr>
          <w:sz w:val="20"/>
          <w:szCs w:val="20"/>
          <w:color w:val="auto"/>
        </w:rPr>
        <w:tab/>
      </w:r>
      <w:r>
        <w:rPr>
          <w:rFonts w:ascii="Arial" w:cs="Arial" w:eastAsia="Arial" w:hAnsi="Arial"/>
          <w:sz w:val="16"/>
          <w:szCs w:val="16"/>
          <w:u w:val="single" w:color="auto"/>
          <w:color w:val="auto"/>
        </w:rPr>
        <w:t>Final Data Package</w:t>
      </w:r>
      <w:r>
        <w:rPr>
          <w:rFonts w:ascii="Arial" w:cs="Arial" w:eastAsia="Arial" w:hAnsi="Arial"/>
          <w:sz w:val="16"/>
          <w:szCs w:val="16"/>
          <w:color w:val="auto"/>
        </w:rPr>
        <w:t>.</w:t>
      </w:r>
    </w:p>
    <w:p>
      <w:pPr>
        <w:spacing w:after="0" w:line="225" w:lineRule="exact"/>
        <w:rPr>
          <w:sz w:val="20"/>
          <w:szCs w:val="20"/>
          <w:color w:val="auto"/>
        </w:rPr>
      </w:pPr>
    </w:p>
    <w:p>
      <w:pPr>
        <w:ind w:left="120" w:firstLine="1428"/>
        <w:spacing w:after="0" w:line="288" w:lineRule="auto"/>
        <w:tabs>
          <w:tab w:leader="none" w:pos="1928" w:val="left"/>
        </w:tabs>
        <w:numPr>
          <w:ilvl w:val="0"/>
          <w:numId w:val="446"/>
        </w:numPr>
        <w:rPr>
          <w:rFonts w:ascii="Arial" w:cs="Arial" w:eastAsia="Arial" w:hAnsi="Arial"/>
          <w:sz w:val="16"/>
          <w:szCs w:val="16"/>
          <w:color w:val="auto"/>
        </w:rPr>
      </w:pPr>
      <w:r>
        <w:rPr>
          <w:rFonts w:ascii="Arial" w:cs="Arial" w:eastAsia="Arial" w:hAnsi="Arial"/>
          <w:sz w:val="16"/>
          <w:szCs w:val="16"/>
          <w:color w:val="auto"/>
        </w:rPr>
        <w:t xml:space="preserve">Without limiting the foregoing provisions in this Section 2.5, with respect to a given Primary Campaign, upon (i) determination by the JSC of what constitutes the contents of a Final Data Package for such Primary Campaign and (ii) completion of the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Validation Activities for such Primary Campaign pursuant to Section 2.5.2 and, as applicable,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Validation Activities for such Primary Campaign pursuant to Section 2.5.5, Repare shall promptly provide, as applicable, (A) an anonymized Final Data Package to the Internal BMS Gatekeeper, the JSC or both (in BMS’s discretion) or (B) if the JSC determines pursuant to Section 5.2.2(j) that Repare shall provide the Internal BMS Gatekeeper with an unblinded Final Data Package for such Primary Campaign that discloses the identity of one or more Validated Targets from such Primary Campaign, such an unblinded Final Data Package to the Internal BMS Gatekeeper. BMS shall ensure (including by putting in place appropriate firewalls, system access restrictions or other protections that, collectively, are designed to ensure compliance) that the Internal BMS Gatekeeper refrains from sharing the identity of any such Validated Target identified by Repare to the Internal BMS Gatekeeper pursuant to the foregoing with BMS or any of BMS’s Affiliates or any other employee, agent or representative of BMS or any of BMS’s Affiliates, or any other Third Party; </w:t>
      </w:r>
      <w:r>
        <w:rPr>
          <w:rFonts w:ascii="Arial" w:cs="Arial" w:eastAsia="Arial" w:hAnsi="Arial"/>
          <w:sz w:val="16"/>
          <w:szCs w:val="16"/>
          <w:u w:val="single" w:color="auto"/>
          <w:color w:val="auto"/>
        </w:rPr>
        <w:t>provided that</w:t>
      </w:r>
      <w:r>
        <w:rPr>
          <w:rFonts w:ascii="Arial" w:cs="Arial" w:eastAsia="Arial" w:hAnsi="Arial"/>
          <w:sz w:val="16"/>
          <w:szCs w:val="16"/>
          <w:color w:val="auto"/>
        </w:rPr>
        <w:t>, [***].</w:t>
      </w:r>
    </w:p>
    <w:p>
      <w:pPr>
        <w:spacing w:after="0" w:line="100" w:lineRule="exact"/>
        <w:rPr>
          <w:rFonts w:ascii="Arial" w:cs="Arial" w:eastAsia="Arial" w:hAnsi="Arial"/>
          <w:sz w:val="16"/>
          <w:szCs w:val="16"/>
          <w:color w:val="auto"/>
        </w:rPr>
      </w:pPr>
    </w:p>
    <w:p>
      <w:pPr>
        <w:ind w:left="5540" w:hanging="111"/>
        <w:spacing w:after="0"/>
        <w:tabs>
          <w:tab w:leader="none" w:pos="554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120"/>
          </w:cols>
          <w:pgMar w:left="320" w:top="460" w:right="459" w:bottom="1440" w:gutter="0" w:footer="0" w:header="0"/>
        </w:sectPr>
      </w:pPr>
    </w:p>
    <w:bookmarkStart w:id="706" w:name="page707"/>
    <w:bookmarkEnd w:id="7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940" w:hanging="392"/>
        <w:spacing w:after="0"/>
        <w:tabs>
          <w:tab w:leader="none" w:pos="194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With respect to a given Primary Campaign, the “</w:t>
      </w:r>
      <w:r>
        <w:rPr>
          <w:rFonts w:ascii="Arial" w:cs="Arial" w:eastAsia="Arial" w:hAnsi="Arial"/>
          <w:sz w:val="18"/>
          <w:szCs w:val="18"/>
          <w:u w:val="single" w:color="auto"/>
          <w:color w:val="auto"/>
        </w:rPr>
        <w:t>Final Data Package</w:t>
      </w:r>
      <w:r>
        <w:rPr>
          <w:rFonts w:ascii="Arial" w:cs="Arial" w:eastAsia="Arial" w:hAnsi="Arial"/>
          <w:sz w:val="18"/>
          <w:szCs w:val="18"/>
          <w:color w:val="auto"/>
        </w:rPr>
        <w:t>” shall be either:</w:t>
      </w:r>
    </w:p>
    <w:p>
      <w:pPr>
        <w:spacing w:after="0" w:line="117" w:lineRule="exact"/>
        <w:rPr>
          <w:rFonts w:ascii="Arial" w:cs="Arial" w:eastAsia="Arial" w:hAnsi="Arial"/>
          <w:sz w:val="18"/>
          <w:szCs w:val="18"/>
          <w:color w:val="auto"/>
        </w:rPr>
      </w:pPr>
    </w:p>
    <w:p>
      <w:pPr>
        <w:ind w:left="120" w:right="40" w:firstLine="1979"/>
        <w:spacing w:after="0" w:line="311" w:lineRule="auto"/>
        <w:tabs>
          <w:tab w:leader="none" w:pos="2453" w:val="left"/>
        </w:tabs>
        <w:numPr>
          <w:ilvl w:val="1"/>
          <w:numId w:val="447"/>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Package for such Primary Campaign, if the JSC determines that it is not desirable or feasible to conduct or continue conducting, as applicable,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Validation Activities with respect to such Primary Campaign and does not approve, or determines to cease, as applicable, conducting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Validation Activities with respect to such Primary Campaign pursuant to Section 5.2.2(f); or</w:t>
      </w:r>
    </w:p>
    <w:p>
      <w:pPr>
        <w:spacing w:after="0" w:line="148" w:lineRule="exact"/>
        <w:rPr>
          <w:rFonts w:ascii="Arial" w:cs="Arial" w:eastAsia="Arial" w:hAnsi="Arial"/>
          <w:sz w:val="16"/>
          <w:szCs w:val="16"/>
          <w:color w:val="auto"/>
        </w:rPr>
      </w:pPr>
    </w:p>
    <w:p>
      <w:pPr>
        <w:ind w:left="120" w:firstLine="1979"/>
        <w:spacing w:after="0" w:line="257" w:lineRule="auto"/>
        <w:tabs>
          <w:tab w:leader="none" w:pos="2503" w:val="left"/>
        </w:tabs>
        <w:numPr>
          <w:ilvl w:val="1"/>
          <w:numId w:val="447"/>
        </w:numPr>
        <w:rPr>
          <w:rFonts w:ascii="Arial" w:cs="Arial" w:eastAsia="Arial" w:hAnsi="Arial"/>
          <w:sz w:val="18"/>
          <w:szCs w:val="18"/>
          <w:color w:val="auto"/>
        </w:rPr>
      </w:pPr>
      <w:r>
        <w:rPr>
          <w:rFonts w:ascii="Arial" w:cs="Arial" w:eastAsia="Arial" w:hAnsi="Arial"/>
          <w:sz w:val="18"/>
          <w:szCs w:val="18"/>
          <w:color w:val="auto"/>
        </w:rPr>
        <w:t xml:space="preserve">the combination of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Package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Data Package for such Primary Campaign, if (A) the JSC determines that it is desirable and feasible to conduct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Validation Activities with respect to such Primary Campaign and approves conducting such </w:t>
      </w:r>
      <w:r>
        <w:rPr>
          <w:rFonts w:ascii="Arial" w:cs="Arial" w:eastAsia="Arial" w:hAnsi="Arial"/>
          <w:sz w:val="18"/>
          <w:szCs w:val="18"/>
          <w:i w:val="1"/>
          <w:iCs w:val="1"/>
          <w:color w:val="auto"/>
        </w:rPr>
        <w:t xml:space="preserve">In Vivo </w:t>
      </w:r>
      <w:r>
        <w:rPr>
          <w:rFonts w:ascii="Arial" w:cs="Arial" w:eastAsia="Arial" w:hAnsi="Arial"/>
          <w:sz w:val="18"/>
          <w:szCs w:val="18"/>
          <w:color w:val="auto"/>
        </w:rPr>
        <w:t>Validation Activities with respect to such Primary Campaign pursuant to Section 5.2.2(f) or</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Validation Activities are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Research Plan with respect to such Primary Campaign and (B) the JSC does not determine to cease conducting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Validation Activities with respect to such Primary Campaign pursuant to Section 5.2.2(f).</w:t>
      </w:r>
    </w:p>
    <w:p>
      <w:pPr>
        <w:spacing w:after="0" w:line="188"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 xml:space="preserve">2.5.7 </w:t>
      </w:r>
      <w:r>
        <w:rPr>
          <w:rFonts w:ascii="Arial" w:cs="Arial" w:eastAsia="Arial" w:hAnsi="Arial"/>
          <w:sz w:val="18"/>
          <w:szCs w:val="18"/>
          <w:u w:val="single" w:color="auto"/>
          <w:color w:val="auto"/>
        </w:rPr>
        <w:t>Selection of Primary and Additional Targets</w:t>
      </w:r>
      <w:r>
        <w:rPr>
          <w:rFonts w:ascii="Arial" w:cs="Arial" w:eastAsia="Arial" w:hAnsi="Arial"/>
          <w:sz w:val="18"/>
          <w:szCs w:val="18"/>
          <w:color w:val="auto"/>
        </w:rPr>
        <w:t>. Within [***] (or such other period as may otherwise be agreed by the JSC reasonably in advance of such date for a given Primary Campaign) after the Internal BMS Gatekeeper, the JSC or both (as applicable) receives the anonymized Final Data Package (or, as applicable, the Internal BMS Gatekeeper receives the non-anonymized (</w:t>
      </w:r>
      <w:r>
        <w:rPr>
          <w:rFonts w:ascii="Arial" w:cs="Arial" w:eastAsia="Arial" w:hAnsi="Arial"/>
          <w:sz w:val="18"/>
          <w:szCs w:val="18"/>
          <w:i w:val="1"/>
          <w:iCs w:val="1"/>
          <w:color w:val="auto"/>
        </w:rPr>
        <w:t>i.e.</w:t>
      </w:r>
      <w:r>
        <w:rPr>
          <w:rFonts w:ascii="Arial" w:cs="Arial" w:eastAsia="Arial" w:hAnsi="Arial"/>
          <w:sz w:val="18"/>
          <w:szCs w:val="18"/>
          <w:color w:val="auto"/>
        </w:rPr>
        <w:t>, unblinded) Final Data Package) with respect to a given Primary Campaign:</w:t>
      </w:r>
    </w:p>
    <w:p>
      <w:pPr>
        <w:spacing w:after="0" w:line="79" w:lineRule="exact"/>
        <w:rPr>
          <w:sz w:val="20"/>
          <w:szCs w:val="20"/>
          <w:color w:val="auto"/>
        </w:rPr>
      </w:pPr>
    </w:p>
    <w:p>
      <w:pPr>
        <w:ind w:left="120" w:right="400" w:firstLine="1428"/>
        <w:spacing w:after="0" w:line="277" w:lineRule="auto"/>
        <w:tabs>
          <w:tab w:leader="none" w:pos="1932"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Internal BMS Gatekeeper or the JSC (at BMS’s discretion) shall designate one (1) Validated Target from such Primary Campaign as the Primary Target from such Primary Campaign;</w:t>
      </w:r>
    </w:p>
    <w:p>
      <w:pPr>
        <w:spacing w:after="0" w:line="170" w:lineRule="exact"/>
        <w:rPr>
          <w:rFonts w:ascii="Arial" w:cs="Arial" w:eastAsia="Arial" w:hAnsi="Arial"/>
          <w:sz w:val="18"/>
          <w:szCs w:val="18"/>
          <w:color w:val="auto"/>
        </w:rPr>
      </w:pPr>
    </w:p>
    <w:p>
      <w:pPr>
        <w:ind w:left="120" w:right="60" w:firstLine="1428"/>
        <w:spacing w:after="0" w:line="263" w:lineRule="auto"/>
        <w:tabs>
          <w:tab w:leader="none" w:pos="1942"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if such Primary Campaign has at least one (1) Validated Target in addition to the Primary Target from such Primary Campaign, then the Internal BMS Gatekeeper or the JSC (at BMS’s discretion) may designate one (1) such additional Validated Target from such Primary Campaign as an Additional Target from such Primary Campaign (each, a “</w:t>
      </w:r>
      <w:r>
        <w:rPr>
          <w:rFonts w:ascii="Arial" w:cs="Arial" w:eastAsia="Arial" w:hAnsi="Arial"/>
          <w:sz w:val="18"/>
          <w:szCs w:val="18"/>
          <w:u w:val="single" w:color="auto"/>
          <w:color w:val="auto"/>
        </w:rPr>
        <w:t>Secondary Target</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ind w:left="120" w:firstLine="1428"/>
        <w:spacing w:after="0" w:line="275" w:lineRule="auto"/>
        <w:tabs>
          <w:tab w:leader="none" w:pos="1932" w:val="left"/>
        </w:tabs>
        <w:numPr>
          <w:ilvl w:val="0"/>
          <w:numId w:val="448"/>
        </w:numPr>
        <w:rPr>
          <w:rFonts w:ascii="Arial" w:cs="Arial" w:eastAsia="Arial" w:hAnsi="Arial"/>
          <w:sz w:val="17"/>
          <w:szCs w:val="17"/>
          <w:color w:val="auto"/>
        </w:rPr>
      </w:pPr>
      <w:r>
        <w:rPr>
          <w:rFonts w:ascii="Arial" w:cs="Arial" w:eastAsia="Arial" w:hAnsi="Arial"/>
          <w:sz w:val="17"/>
          <w:szCs w:val="17"/>
          <w:color w:val="auto"/>
        </w:rPr>
        <w:t>if (i) such Primary Campaign has at least one (1) Validated Target in addition to the Primary Target and the Secondary Target from such Primary Campaign, (ii) another Primary Campaign has only one (1) Validated Target (each such Primary Campaign, a “</w:t>
      </w:r>
      <w:r>
        <w:rPr>
          <w:rFonts w:ascii="Arial" w:cs="Arial" w:eastAsia="Arial" w:hAnsi="Arial"/>
          <w:sz w:val="17"/>
          <w:szCs w:val="17"/>
          <w:u w:val="single" w:color="auto"/>
          <w:color w:val="auto"/>
        </w:rPr>
        <w:t>Lone Target</w:t>
      </w:r>
      <w:r>
        <w:rPr>
          <w:rFonts w:ascii="Arial" w:cs="Arial" w:eastAsia="Arial" w:hAnsi="Arial"/>
          <w:sz w:val="17"/>
          <w:szCs w:val="17"/>
          <w:color w:val="auto"/>
        </w:rPr>
        <w:t xml:space="preserve"> </w:t>
      </w:r>
      <w:r>
        <w:rPr>
          <w:rFonts w:ascii="Arial" w:cs="Arial" w:eastAsia="Arial" w:hAnsi="Arial"/>
          <w:sz w:val="17"/>
          <w:szCs w:val="17"/>
          <w:u w:val="single" w:color="auto"/>
          <w:color w:val="auto"/>
        </w:rPr>
        <w:t>Campaign</w:t>
      </w:r>
      <w:r>
        <w:rPr>
          <w:rFonts w:ascii="Arial" w:cs="Arial" w:eastAsia="Arial" w:hAnsi="Arial"/>
          <w:sz w:val="17"/>
          <w:szCs w:val="17"/>
          <w:color w:val="auto"/>
        </w:rPr>
        <w:t>”) and (iii) no Tertiary Target has yet been designated to compensate for such Lone Target Campaign, then the Internal BMS Gatekeeper or the JSC (at BMS’s discretion) may designate a second additional Validated Target from such Primary Campaign as an Additional Target from such Primary Campaign (a “</w:t>
      </w:r>
      <w:r>
        <w:rPr>
          <w:rFonts w:ascii="Arial" w:cs="Arial" w:eastAsia="Arial" w:hAnsi="Arial"/>
          <w:sz w:val="17"/>
          <w:szCs w:val="17"/>
          <w:u w:val="single" w:color="auto"/>
          <w:color w:val="auto"/>
        </w:rPr>
        <w:t>Tertiary Target</w:t>
      </w:r>
      <w:r>
        <w:rPr>
          <w:rFonts w:ascii="Arial" w:cs="Arial" w:eastAsia="Arial" w:hAnsi="Arial"/>
          <w:sz w:val="17"/>
          <w:szCs w:val="17"/>
          <w:color w:val="auto"/>
        </w:rPr>
        <w:t>”) to compensate for such Lone Target Campaign.</w:t>
      </w:r>
    </w:p>
    <w:p>
      <w:pPr>
        <w:spacing w:after="0" w:line="176"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8"/>
          <w:szCs w:val="18"/>
          <w:color w:val="auto"/>
        </w:rPr>
        <w:t>2.5.8</w:t>
      </w:r>
      <w:r>
        <w:rPr>
          <w:sz w:val="20"/>
          <w:szCs w:val="20"/>
          <w:color w:val="auto"/>
        </w:rPr>
        <w:tab/>
      </w:r>
      <w:r>
        <w:rPr>
          <w:rFonts w:ascii="Arial" w:cs="Arial" w:eastAsia="Arial" w:hAnsi="Arial"/>
          <w:sz w:val="16"/>
          <w:szCs w:val="16"/>
          <w:u w:val="single" w:color="auto"/>
          <w:color w:val="auto"/>
        </w:rPr>
        <w:t>Unblinding to BMS</w:t>
      </w:r>
      <w:r>
        <w:rPr>
          <w:rFonts w:ascii="Arial" w:cs="Arial" w:eastAsia="Arial" w:hAnsi="Arial"/>
          <w:sz w:val="16"/>
          <w:szCs w:val="16"/>
          <w:color w:val="auto"/>
        </w:rPr>
        <w:t>. On a Primary Campaign-by-Primary Campaign basis:</w:t>
      </w:r>
    </w:p>
    <w:p>
      <w:pPr>
        <w:spacing w:after="0" w:line="117" w:lineRule="exact"/>
        <w:rPr>
          <w:sz w:val="20"/>
          <w:szCs w:val="20"/>
          <w:color w:val="auto"/>
        </w:rPr>
      </w:pPr>
    </w:p>
    <w:p>
      <w:pPr>
        <w:ind w:left="120" w:right="60" w:firstLine="1428"/>
        <w:spacing w:after="0" w:line="263" w:lineRule="auto"/>
        <w:tabs>
          <w:tab w:leader="none" w:pos="1928" w:val="left"/>
        </w:tabs>
        <w:numPr>
          <w:ilvl w:val="0"/>
          <w:numId w:val="449"/>
        </w:numPr>
        <w:rPr>
          <w:rFonts w:ascii="Arial" w:cs="Arial" w:eastAsia="Arial" w:hAnsi="Arial"/>
          <w:sz w:val="18"/>
          <w:szCs w:val="18"/>
          <w:color w:val="auto"/>
        </w:rPr>
      </w:pPr>
      <w:r>
        <w:rPr>
          <w:rFonts w:ascii="Arial" w:cs="Arial" w:eastAsia="Arial" w:hAnsi="Arial"/>
          <w:sz w:val="18"/>
          <w:szCs w:val="18"/>
          <w:color w:val="auto"/>
        </w:rPr>
        <w:t>Within [***] after the Internal BMS Gatekeeper or the JSC (as applicable) has selected the final Primary Target and Additional Target(s) from such Primary Campaign pursuant to Section 2.5.7, BMS may provide written notice to Repare, which notice shall be deemed effective only upon delivery of a duly executed copy of the form letter attached</w:t>
      </w:r>
    </w:p>
    <w:p>
      <w:pPr>
        <w:spacing w:after="0" w:line="116" w:lineRule="exact"/>
        <w:rPr>
          <w:rFonts w:ascii="Arial" w:cs="Arial" w:eastAsia="Arial" w:hAnsi="Arial"/>
          <w:sz w:val="18"/>
          <w:szCs w:val="18"/>
          <w:color w:val="auto"/>
        </w:rPr>
      </w:pPr>
    </w:p>
    <w:p>
      <w:pPr>
        <w:ind w:left="5540" w:hanging="111"/>
        <w:spacing w:after="0"/>
        <w:tabs>
          <w:tab w:leader="none" w:pos="554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120"/>
          </w:cols>
          <w:pgMar w:left="320" w:top="460" w:right="459" w:bottom="1440" w:gutter="0" w:footer="0" w:header="0"/>
        </w:sectPr>
      </w:pPr>
    </w:p>
    <w:bookmarkStart w:id="707" w:name="page708"/>
    <w:bookmarkEnd w:id="7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40"/>
        <w:spacing w:after="0" w:line="312" w:lineRule="auto"/>
        <w:rPr>
          <w:sz w:val="20"/>
          <w:szCs w:val="20"/>
          <w:color w:val="auto"/>
        </w:rPr>
      </w:pPr>
      <w:r>
        <w:rPr>
          <w:rFonts w:ascii="Arial" w:cs="Arial" w:eastAsia="Arial" w:hAnsi="Arial"/>
          <w:sz w:val="17"/>
          <w:szCs w:val="17"/>
          <w:color w:val="auto"/>
        </w:rPr>
        <w:t xml:space="preserve">hereto as </w:t>
      </w:r>
      <w:r>
        <w:rPr>
          <w:rFonts w:ascii="Arial" w:cs="Arial" w:eastAsia="Arial" w:hAnsi="Arial"/>
          <w:sz w:val="17"/>
          <w:szCs w:val="17"/>
          <w:b w:val="1"/>
          <w:bCs w:val="1"/>
          <w:u w:val="single" w:color="auto"/>
          <w:color w:val="auto"/>
        </w:rPr>
        <w:t>Exhibit C</w:t>
      </w:r>
      <w:r>
        <w:rPr>
          <w:rFonts w:ascii="Arial" w:cs="Arial" w:eastAsia="Arial" w:hAnsi="Arial"/>
          <w:sz w:val="17"/>
          <w:szCs w:val="17"/>
          <w:color w:val="auto"/>
        </w:rPr>
        <w:t>, instructing Repare that BMS desires Repare to identify (</w:t>
      </w:r>
      <w:r>
        <w:rPr>
          <w:rFonts w:ascii="Arial" w:cs="Arial" w:eastAsia="Arial" w:hAnsi="Arial"/>
          <w:sz w:val="17"/>
          <w:szCs w:val="17"/>
          <w:i w:val="1"/>
          <w:iCs w:val="1"/>
          <w:color w:val="auto"/>
        </w:rPr>
        <w:t>i.e.</w:t>
      </w:r>
      <w:r>
        <w:rPr>
          <w:rFonts w:ascii="Arial" w:cs="Arial" w:eastAsia="Arial" w:hAnsi="Arial"/>
          <w:sz w:val="17"/>
          <w:szCs w:val="17"/>
          <w:color w:val="auto"/>
        </w:rPr>
        <w:t>, unblind) the Primary Target from such Primary Campaign to BMS (such written notice, a “</w:t>
      </w:r>
      <w:r>
        <w:rPr>
          <w:rFonts w:ascii="Arial" w:cs="Arial" w:eastAsia="Arial" w:hAnsi="Arial"/>
          <w:sz w:val="17"/>
          <w:szCs w:val="17"/>
          <w:u w:val="single" w:color="auto"/>
          <w:color w:val="auto"/>
        </w:rPr>
        <w:t>Primary Target Unblinding Notification</w:t>
      </w:r>
      <w:r>
        <w:rPr>
          <w:rFonts w:ascii="Arial" w:cs="Arial" w:eastAsia="Arial" w:hAnsi="Arial"/>
          <w:sz w:val="17"/>
          <w:szCs w:val="17"/>
          <w:color w:val="auto"/>
        </w:rPr>
        <w:t>” and such period, a “</w:t>
      </w:r>
      <w:r>
        <w:rPr>
          <w:rFonts w:ascii="Arial" w:cs="Arial" w:eastAsia="Arial" w:hAnsi="Arial"/>
          <w:sz w:val="17"/>
          <w:szCs w:val="17"/>
          <w:u w:val="single" w:color="auto"/>
          <w:color w:val="auto"/>
        </w:rPr>
        <w:t>Primary Target Unblinding Period</w:t>
      </w:r>
      <w:r>
        <w:rPr>
          <w:rFonts w:ascii="Arial" w:cs="Arial" w:eastAsia="Arial" w:hAnsi="Arial"/>
          <w:sz w:val="17"/>
          <w:szCs w:val="17"/>
          <w:color w:val="auto"/>
        </w:rPr>
        <w:t>”).</w:t>
      </w:r>
    </w:p>
    <w:p>
      <w:pPr>
        <w:spacing w:after="0" w:line="144" w:lineRule="exact"/>
        <w:rPr>
          <w:sz w:val="20"/>
          <w:szCs w:val="20"/>
          <w:color w:val="auto"/>
        </w:rPr>
      </w:pPr>
    </w:p>
    <w:p>
      <w:pPr>
        <w:ind w:left="120" w:right="380" w:firstLine="1428"/>
        <w:spacing w:after="0" w:line="311" w:lineRule="auto"/>
        <w:tabs>
          <w:tab w:leader="none" w:pos="1942" w:val="left"/>
        </w:tabs>
        <w:numPr>
          <w:ilvl w:val="0"/>
          <w:numId w:val="450"/>
        </w:numPr>
        <w:rPr>
          <w:rFonts w:ascii="Arial" w:cs="Arial" w:eastAsia="Arial" w:hAnsi="Arial"/>
          <w:sz w:val="16"/>
          <w:szCs w:val="16"/>
          <w:color w:val="auto"/>
        </w:rPr>
      </w:pPr>
      <w:r>
        <w:rPr>
          <w:rFonts w:ascii="Arial" w:cs="Arial" w:eastAsia="Arial" w:hAnsi="Arial"/>
          <w:sz w:val="16"/>
          <w:szCs w:val="16"/>
          <w:color w:val="auto"/>
        </w:rPr>
        <w:t>If BMS does not provide Repare with a Primary Target Unblinding Notification for such Primary Campaign during the applicable Primary Target Unblinding Period pursuant to Section 2.5.8(a) or instructs Repare not to identify the Primary Target from such Primary Campaign to BMS, then such Primary Campaign shall be deemed an Excluded Campaign and Section 2.13 shall apply to such Excluded Campaign.</w:t>
      </w:r>
    </w:p>
    <w:p>
      <w:pPr>
        <w:spacing w:after="0" w:line="148" w:lineRule="exact"/>
        <w:rPr>
          <w:rFonts w:ascii="Arial" w:cs="Arial" w:eastAsia="Arial" w:hAnsi="Arial"/>
          <w:sz w:val="16"/>
          <w:szCs w:val="16"/>
          <w:color w:val="auto"/>
        </w:rPr>
      </w:pPr>
    </w:p>
    <w:p>
      <w:pPr>
        <w:ind w:left="120" w:firstLine="1428"/>
        <w:spacing w:after="0" w:line="257" w:lineRule="auto"/>
        <w:tabs>
          <w:tab w:leader="none" w:pos="1932" w:val="left"/>
        </w:tabs>
        <w:numPr>
          <w:ilvl w:val="0"/>
          <w:numId w:val="450"/>
        </w:numPr>
        <w:rPr>
          <w:rFonts w:ascii="Arial" w:cs="Arial" w:eastAsia="Arial" w:hAnsi="Arial"/>
          <w:sz w:val="18"/>
          <w:szCs w:val="18"/>
          <w:color w:val="auto"/>
        </w:rPr>
      </w:pPr>
      <w:r>
        <w:rPr>
          <w:rFonts w:ascii="Arial" w:cs="Arial" w:eastAsia="Arial" w:hAnsi="Arial"/>
          <w:sz w:val="18"/>
          <w:szCs w:val="18"/>
          <w:color w:val="auto"/>
        </w:rPr>
        <w:t>Following (i) Repare’s receipt of a timely Primary Target Unblinding Notification (if any) for such Primary Campaign and (ii) a determination by Repare that Repare can provide BMS with all Deliverables for the Primary Target from such Primary Campaign, Repare shall provide BMS with a non-anonymized (</w:t>
      </w:r>
      <w:r>
        <w:rPr>
          <w:rFonts w:ascii="Arial" w:cs="Arial" w:eastAsia="Arial" w:hAnsi="Arial"/>
          <w:sz w:val="18"/>
          <w:szCs w:val="18"/>
          <w:i w:val="1"/>
          <w:iCs w:val="1"/>
          <w:color w:val="auto"/>
        </w:rPr>
        <w:t>i.e.</w:t>
      </w:r>
      <w:r>
        <w:rPr>
          <w:rFonts w:ascii="Arial" w:cs="Arial" w:eastAsia="Arial" w:hAnsi="Arial"/>
          <w:sz w:val="18"/>
          <w:szCs w:val="18"/>
          <w:color w:val="auto"/>
        </w:rPr>
        <w:t>, unblinded) Final Data Package for such Primary Campaign that includes the identity of the Primary Target from such Primary Campaign and, upon receipt by BMS of such non-anonymized (</w:t>
      </w:r>
      <w:r>
        <w:rPr>
          <w:rFonts w:ascii="Arial" w:cs="Arial" w:eastAsia="Arial" w:hAnsi="Arial"/>
          <w:sz w:val="18"/>
          <w:szCs w:val="18"/>
          <w:i w:val="1"/>
          <w:iCs w:val="1"/>
          <w:color w:val="auto"/>
        </w:rPr>
        <w:t>i.e.</w:t>
      </w:r>
      <w:r>
        <w:rPr>
          <w:rFonts w:ascii="Arial" w:cs="Arial" w:eastAsia="Arial" w:hAnsi="Arial"/>
          <w:sz w:val="18"/>
          <w:szCs w:val="18"/>
          <w:color w:val="auto"/>
        </w:rPr>
        <w:t>, unblinded) Final Data Package, the Option Term for such Primary Campaign shall be deemed to have commenced.</w:t>
      </w:r>
    </w:p>
    <w:p>
      <w:pPr>
        <w:spacing w:after="0" w:line="188"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Undruggable Targets</w:t>
      </w:r>
      <w:r>
        <w:rPr>
          <w:rFonts w:ascii="Arial" w:cs="Arial" w:eastAsia="Arial" w:hAnsi="Arial"/>
          <w:sz w:val="16"/>
          <w:szCs w:val="16"/>
          <w:color w:val="auto"/>
        </w:rPr>
        <w:t>.</w:t>
      </w:r>
    </w:p>
    <w:p>
      <w:pPr>
        <w:spacing w:after="0" w:line="225"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6"/>
          <w:szCs w:val="16"/>
          <w:u w:val="single" w:color="auto"/>
          <w:color w:val="auto"/>
        </w:rPr>
        <w:t>Overlapping Undruggable Target Identification and Hit Confirmation</w:t>
      </w:r>
      <w:r>
        <w:rPr>
          <w:rFonts w:ascii="Arial" w:cs="Arial" w:eastAsia="Arial" w:hAnsi="Arial"/>
          <w:sz w:val="16"/>
          <w:szCs w:val="16"/>
          <w:color w:val="auto"/>
        </w:rPr>
        <w:t>.</w:t>
      </w:r>
    </w:p>
    <w:p>
      <w:pPr>
        <w:spacing w:after="0" w:line="225" w:lineRule="exact"/>
        <w:rPr>
          <w:sz w:val="20"/>
          <w:szCs w:val="20"/>
          <w:color w:val="auto"/>
        </w:rPr>
      </w:pPr>
    </w:p>
    <w:p>
      <w:pPr>
        <w:ind w:left="120" w:right="200" w:firstLine="1428"/>
        <w:spacing w:after="0" w:line="293" w:lineRule="auto"/>
        <w:tabs>
          <w:tab w:leader="none" w:pos="1932" w:val="left"/>
        </w:tabs>
        <w:numPr>
          <w:ilvl w:val="0"/>
          <w:numId w:val="451"/>
        </w:numPr>
        <w:rPr>
          <w:rFonts w:ascii="Arial" w:cs="Arial" w:eastAsia="Arial" w:hAnsi="Arial"/>
          <w:sz w:val="16"/>
          <w:szCs w:val="16"/>
          <w:color w:val="auto"/>
        </w:rPr>
      </w:pPr>
      <w:r>
        <w:rPr>
          <w:rFonts w:ascii="Arial" w:cs="Arial" w:eastAsia="Arial" w:hAnsi="Arial"/>
          <w:sz w:val="16"/>
          <w:szCs w:val="16"/>
          <w:color w:val="auto"/>
        </w:rPr>
        <w:t>Each of the Parties hereby agrees that all Repare Potential Undruggable Targets and BMS Undruggable Targets that were provided to [***] under the Target Availability Determination Agreement shall be provided to the Third Party Gatekeeper within [***] after the Effective Date. Within [***] after the Third Party Gatekeeper receives such Repare Potential Undruggable Targets and BMS Undruggable Targets, the Third Party Gatekeeper shall prepare and deliver to Repare and BMS a tally of the number of Repare Potential Undruggable Targets that have been identified to the Third Party Gatekeeper that are also BMS Undruggable Targets that have been identified to the Third Party Gatekeeper (each such Target, an “</w:t>
      </w:r>
      <w:r>
        <w:rPr>
          <w:rFonts w:ascii="Arial" w:cs="Arial" w:eastAsia="Arial" w:hAnsi="Arial"/>
          <w:sz w:val="16"/>
          <w:szCs w:val="16"/>
          <w:u w:val="single" w:color="auto"/>
          <w:color w:val="auto"/>
        </w:rPr>
        <w:t>Overlapping Undruggable Target</w:t>
      </w:r>
      <w:r>
        <w:rPr>
          <w:rFonts w:ascii="Arial" w:cs="Arial" w:eastAsia="Arial" w:hAnsi="Arial"/>
          <w:sz w:val="16"/>
          <w:szCs w:val="16"/>
          <w:color w:val="auto"/>
        </w:rPr>
        <w:t>”), which shall not, in any case, disclose the identity of such Overlapping Undruggable Targets.</w:t>
      </w:r>
    </w:p>
    <w:p>
      <w:pPr>
        <w:spacing w:after="0" w:line="164" w:lineRule="exact"/>
        <w:rPr>
          <w:rFonts w:ascii="Arial" w:cs="Arial" w:eastAsia="Arial" w:hAnsi="Arial"/>
          <w:sz w:val="16"/>
          <w:szCs w:val="16"/>
          <w:color w:val="auto"/>
        </w:rPr>
      </w:pPr>
    </w:p>
    <w:p>
      <w:pPr>
        <w:ind w:left="120" w:right="240" w:firstLine="1428"/>
        <w:spacing w:after="0" w:line="296" w:lineRule="auto"/>
        <w:tabs>
          <w:tab w:leader="none" w:pos="1942" w:val="left"/>
        </w:tabs>
        <w:numPr>
          <w:ilvl w:val="0"/>
          <w:numId w:val="451"/>
        </w:numPr>
        <w:rPr>
          <w:rFonts w:ascii="Arial" w:cs="Arial" w:eastAsia="Arial" w:hAnsi="Arial"/>
          <w:sz w:val="16"/>
          <w:szCs w:val="16"/>
          <w:color w:val="auto"/>
        </w:rPr>
      </w:pPr>
      <w:r>
        <w:rPr>
          <w:rFonts w:ascii="Arial" w:cs="Arial" w:eastAsia="Arial" w:hAnsi="Arial"/>
          <w:sz w:val="16"/>
          <w:szCs w:val="16"/>
          <w:color w:val="auto"/>
        </w:rPr>
        <w:t>During the Collaboration Term, at times reasonably requested by BMS (not to exceed [***] every [***], except as otherwise agreed by the JSC pursuant to Section 5.2.2(k)), (i) Repare shall identify any additional Repare Potential Undruggable Targets to the Third Party Gatekeeper and (ii) BMS shall identify its then-existing BMS Undruggable Targets to the Third Party Gatekeeper. Pursuant to the foregoing, each additional Repare Potential Undruggable Target that has been identified to the Third Party Gatekeeper that is also a BMS Undruggable Target that has been identified to the Third Party Gatekeeper shall, at such time, automatically be deemed an Overlapping Undruggable Target.</w:t>
      </w:r>
    </w:p>
    <w:p>
      <w:pPr>
        <w:spacing w:after="0" w:line="161" w:lineRule="exact"/>
        <w:rPr>
          <w:rFonts w:ascii="Arial" w:cs="Arial" w:eastAsia="Arial" w:hAnsi="Arial"/>
          <w:sz w:val="16"/>
          <w:szCs w:val="16"/>
          <w:color w:val="auto"/>
        </w:rPr>
      </w:pPr>
    </w:p>
    <w:p>
      <w:pPr>
        <w:ind w:left="120" w:right="220" w:firstLine="1428"/>
        <w:spacing w:after="0" w:line="259" w:lineRule="auto"/>
        <w:tabs>
          <w:tab w:leader="none" w:pos="1932" w:val="left"/>
        </w:tabs>
        <w:numPr>
          <w:ilvl w:val="0"/>
          <w:numId w:val="451"/>
        </w:numPr>
        <w:rPr>
          <w:rFonts w:ascii="Arial" w:cs="Arial" w:eastAsia="Arial" w:hAnsi="Arial"/>
          <w:sz w:val="18"/>
          <w:szCs w:val="18"/>
          <w:color w:val="auto"/>
        </w:rPr>
      </w:pPr>
      <w:r>
        <w:rPr>
          <w:rFonts w:ascii="Arial" w:cs="Arial" w:eastAsia="Arial" w:hAnsi="Arial"/>
          <w:sz w:val="18"/>
          <w:szCs w:val="18"/>
          <w:color w:val="auto"/>
        </w:rPr>
        <w:t>Following receipt of any list of Repare Potential Undruggable Targets or BMS Undruggable Targets from a Party pursuant to Section 2.6.1(a) or 2.6.1(b), the Third Party Gatekeeper shall disclose all Overlapping Undruggable Targets to Repare and one (1) or more representatives of Repare shall meet with the Internal BMS Gatekeeper, the JSC or both, at BMS’s discretion, to present an anonymized report of the data and other information with respect to such Overlapping Undruggable Targets.</w:t>
      </w:r>
    </w:p>
    <w:p>
      <w:pPr>
        <w:spacing w:after="0" w:line="119" w:lineRule="exact"/>
        <w:rPr>
          <w:rFonts w:ascii="Arial" w:cs="Arial" w:eastAsia="Arial" w:hAnsi="Arial"/>
          <w:sz w:val="18"/>
          <w:szCs w:val="18"/>
          <w:color w:val="auto"/>
        </w:rPr>
      </w:pPr>
    </w:p>
    <w:p>
      <w:pPr>
        <w:ind w:left="5540" w:hanging="111"/>
        <w:spacing w:after="0"/>
        <w:tabs>
          <w:tab w:leader="none" w:pos="5540" w:val="left"/>
        </w:tabs>
        <w:numPr>
          <w:ilvl w:val="1"/>
          <w:numId w:val="451"/>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140"/>
          </w:cols>
          <w:pgMar w:left="320" w:top="460" w:right="439" w:bottom="1440" w:gutter="0" w:footer="0" w:header="0"/>
        </w:sectPr>
      </w:pPr>
    </w:p>
    <w:bookmarkStart w:id="708" w:name="page709"/>
    <w:bookmarkEnd w:id="7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firstLine="1428"/>
        <w:spacing w:after="0" w:line="259" w:lineRule="auto"/>
        <w:tabs>
          <w:tab w:leader="none" w:pos="1942" w:val="left"/>
        </w:tabs>
        <w:numPr>
          <w:ilvl w:val="0"/>
          <w:numId w:val="452"/>
        </w:numPr>
        <w:rPr>
          <w:rFonts w:ascii="Arial" w:cs="Arial" w:eastAsia="Arial" w:hAnsi="Arial"/>
          <w:sz w:val="18"/>
          <w:szCs w:val="18"/>
          <w:color w:val="auto"/>
        </w:rPr>
      </w:pPr>
      <w:r>
        <w:rPr>
          <w:rFonts w:ascii="Arial" w:cs="Arial" w:eastAsia="Arial" w:hAnsi="Arial"/>
          <w:sz w:val="18"/>
          <w:szCs w:val="18"/>
          <w:color w:val="auto"/>
        </w:rPr>
        <w:t>Following the Internal BMS Gatekeeper’s or the JSC’s (at BMS’s discretion) receipt and review of the blinded data and other information provided by Repare with respect to any Overlapping Undruggable Target pursuant to Section 2.6.1(c), BMS shall provide written notice to Repare of which, if any, of such Overlapping Undruggable Targets BMS selects to advance into Hit Confirmation by Repare (each, a “</w:t>
      </w:r>
      <w:r>
        <w:rPr>
          <w:rFonts w:ascii="Arial" w:cs="Arial" w:eastAsia="Arial" w:hAnsi="Arial"/>
          <w:sz w:val="18"/>
          <w:szCs w:val="18"/>
          <w:u w:val="single" w:color="auto"/>
          <w:color w:val="auto"/>
        </w:rPr>
        <w:t>Prioritized</w:t>
      </w:r>
      <w:r>
        <w:rPr>
          <w:rFonts w:ascii="Arial" w:cs="Arial" w:eastAsia="Arial" w:hAnsi="Arial"/>
          <w:sz w:val="18"/>
          <w:szCs w:val="18"/>
          <w:color w:val="auto"/>
        </w:rPr>
        <w:t xml:space="preserve"> </w:t>
      </w:r>
      <w:r>
        <w:rPr>
          <w:rFonts w:ascii="Arial" w:cs="Arial" w:eastAsia="Arial" w:hAnsi="Arial"/>
          <w:sz w:val="18"/>
          <w:szCs w:val="18"/>
          <w:u w:val="single" w:color="auto"/>
          <w:color w:val="auto"/>
        </w:rPr>
        <w:t>Overlapping Undruggable Target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20" w:right="740" w:firstLine="1428"/>
        <w:spacing w:after="0" w:line="277" w:lineRule="auto"/>
        <w:tabs>
          <w:tab w:leader="none" w:pos="1932" w:val="left"/>
        </w:tabs>
        <w:numPr>
          <w:ilvl w:val="0"/>
          <w:numId w:val="452"/>
        </w:numPr>
        <w:rPr>
          <w:rFonts w:ascii="Arial" w:cs="Arial" w:eastAsia="Arial" w:hAnsi="Arial"/>
          <w:sz w:val="18"/>
          <w:szCs w:val="18"/>
          <w:color w:val="auto"/>
        </w:rPr>
      </w:pPr>
      <w:r>
        <w:rPr>
          <w:rFonts w:ascii="Arial" w:cs="Arial" w:eastAsia="Arial" w:hAnsi="Arial"/>
          <w:sz w:val="18"/>
          <w:szCs w:val="18"/>
          <w:color w:val="auto"/>
        </w:rPr>
        <w:t>Repare shall conduct Hit Confirmation on each Prioritized Overlapping Undruggable Target, subject to the terms and conditions of this Agreement.</w:t>
      </w:r>
    </w:p>
    <w:p>
      <w:pPr>
        <w:spacing w:after="0" w:line="170" w:lineRule="exact"/>
        <w:rPr>
          <w:sz w:val="20"/>
          <w:szCs w:val="20"/>
          <w:color w:val="auto"/>
        </w:rPr>
      </w:pPr>
    </w:p>
    <w:p>
      <w:pPr>
        <w:ind w:left="120" w:firstLine="991"/>
        <w:spacing w:after="0" w:line="267" w:lineRule="auto"/>
        <w:rPr>
          <w:sz w:val="20"/>
          <w:szCs w:val="20"/>
          <w:color w:val="auto"/>
        </w:rPr>
      </w:pPr>
      <w:r>
        <w:rPr>
          <w:rFonts w:ascii="Arial" w:cs="Arial" w:eastAsia="Arial" w:hAnsi="Arial"/>
          <w:sz w:val="17"/>
          <w:szCs w:val="17"/>
          <w:color w:val="auto"/>
        </w:rPr>
        <w:t xml:space="preserve">2.6.2 </w:t>
      </w:r>
      <w:r>
        <w:rPr>
          <w:rFonts w:ascii="Arial" w:cs="Arial" w:eastAsia="Arial" w:hAnsi="Arial"/>
          <w:sz w:val="17"/>
          <w:szCs w:val="17"/>
          <w:u w:val="single" w:color="auto"/>
          <w:color w:val="auto"/>
        </w:rPr>
        <w:t>Undruggable Target Data Packages</w:t>
      </w:r>
      <w:r>
        <w:rPr>
          <w:rFonts w:ascii="Arial" w:cs="Arial" w:eastAsia="Arial" w:hAnsi="Arial"/>
          <w:sz w:val="17"/>
          <w:szCs w:val="17"/>
          <w:color w:val="auto"/>
        </w:rPr>
        <w:t>. Once Repare has completed Hit Confirmation on a given Prioritized Overlapping Undruggable Target pursuant to Section 2.6.1(e), Repare shall provide the Internal BMS Gatekeeper or the JSC (at BMS’s discretion) with an anonymized Undruggable Target Data Package with respect to such Prioritized Overlapping Undruggable Target, which shall include the data and other information set forth in the Research Plan (or as otherwise agreed upon by the JSC pursuant to Section 5.2.2(e)), but which Repare shall use reasonable efforts to draft in such a way that none of the Internal BMS Gatekeeper, BMS nor any BMS JSC member can directly or indirectly determine the identity of the Prioritized Overlapping Undruggable Target discussed in the Undruggable Target Data Package. “</w:t>
      </w:r>
      <w:r>
        <w:rPr>
          <w:rFonts w:ascii="Arial" w:cs="Arial" w:eastAsia="Arial" w:hAnsi="Arial"/>
          <w:sz w:val="17"/>
          <w:szCs w:val="17"/>
          <w:u w:val="single" w:color="auto"/>
          <w:color w:val="auto"/>
        </w:rPr>
        <w:t>Undruggable Target Data Package</w:t>
      </w:r>
      <w:r>
        <w:rPr>
          <w:rFonts w:ascii="Arial" w:cs="Arial" w:eastAsia="Arial" w:hAnsi="Arial"/>
          <w:sz w:val="17"/>
          <w:szCs w:val="17"/>
          <w:color w:val="auto"/>
        </w:rPr>
        <w:t>” means, with respect to a given Undruggable Target, a data package prepared for such Prioritized Overlapping Undruggable Target following completion of Hit Confirmation of such Prioritized Overlapping Undruggable Target that reflects the results of such Hit Confirmation and includes all the data and other information set forth in the Research Plan, unless the JSC agrees pursuant to Section 5.2.2(e) that certain data or other information set forth in the Research Plan is not needed in order for a given Undruggable Target Data Package to be complete. At BMS’s request, Repare shall provide to a scientist employed by BMS who is reasonably acceptable to Repare (the “</w:t>
      </w:r>
      <w:r>
        <w:rPr>
          <w:rFonts w:ascii="Arial" w:cs="Arial" w:eastAsia="Arial" w:hAnsi="Arial"/>
          <w:sz w:val="17"/>
          <w:szCs w:val="17"/>
          <w:u w:val="single" w:color="auto"/>
          <w:color w:val="auto"/>
        </w:rPr>
        <w:t>Firewalled Scientist</w:t>
      </w:r>
      <w:r>
        <w:rPr>
          <w:rFonts w:ascii="Arial" w:cs="Arial" w:eastAsia="Arial" w:hAnsi="Arial"/>
          <w:sz w:val="17"/>
          <w:szCs w:val="17"/>
          <w:color w:val="auto"/>
        </w:rPr>
        <w:t>”), and not to any BMS JSC member or any other employee or representative of BMS, a non-anonymized (</w:t>
      </w:r>
      <w:r>
        <w:rPr>
          <w:rFonts w:ascii="Arial" w:cs="Arial" w:eastAsia="Arial" w:hAnsi="Arial"/>
          <w:sz w:val="17"/>
          <w:szCs w:val="17"/>
          <w:i w:val="1"/>
          <w:iCs w:val="1"/>
          <w:color w:val="auto"/>
        </w:rPr>
        <w:t>i.e.</w:t>
      </w:r>
      <w:r>
        <w:rPr>
          <w:rFonts w:ascii="Arial" w:cs="Arial" w:eastAsia="Arial" w:hAnsi="Arial"/>
          <w:sz w:val="17"/>
          <w:szCs w:val="17"/>
          <w:color w:val="auto"/>
        </w:rPr>
        <w:t xml:space="preserve">, unblinded) Undruggable Target Data Package for such Prioritized Overlapping Undruggable Target that discloses the identity of such Prioritized Overlapping Undruggable Target. BMS shall ensure (including by putting in place appropriate firewalls, system access restrictions or other protections that, collectively, are designed to ensure compliance) that the Firewalled Scientist refrains from sharing the identity of any Undruggable Target identified by Repare to the Firewalled Scientist with BMS or any of BMS’s Affiliates or any other employee, agent or representative of BMS or any of BMS’s Affiliates, or any other Third Party;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 BMS shall ensure that the Firewalled Scientist does not retain any copies of any Confidential Information disclosed by Repare to the Firewalled Scientist regarding any Prioritized Overlapping Undruggable Target, except for evidentiary purposes as written records solely for the purpose of determining BMS’s continuing obligations under this Agreement;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any such Confidential Information may only be accessed by BMS’s personnel whose functions are primarily legal, audit, compliance or information technology-related, as is reasonably necessary for the performance of their duties in connection with such retention or determination.</w:t>
      </w:r>
    </w:p>
    <w:p>
      <w:pPr>
        <w:spacing w:after="0" w:line="185"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7"/>
          <w:szCs w:val="17"/>
          <w:u w:val="single" w:color="auto"/>
          <w:color w:val="auto"/>
        </w:rPr>
        <w:t>Unblinding to BMS</w:t>
      </w:r>
      <w:r>
        <w:rPr>
          <w:rFonts w:ascii="Arial" w:cs="Arial" w:eastAsia="Arial" w:hAnsi="Arial"/>
          <w:sz w:val="17"/>
          <w:szCs w:val="17"/>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60" w:right="479" w:bottom="1440" w:gutter="0" w:footer="0" w:header="0"/>
        </w:sectPr>
      </w:pPr>
    </w:p>
    <w:bookmarkStart w:id="709" w:name="page710"/>
    <w:bookmarkEnd w:id="7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1428"/>
        <w:spacing w:after="0" w:line="257" w:lineRule="auto"/>
        <w:tabs>
          <w:tab w:leader="none" w:pos="1928"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Within [***] after the Internal BMS Gatekeeper or the JSC (as applicable) has received the Undruggable Target Data Package for a given Prioritized Overlapping Undruggable Target pursuant to Section 2.6.2, BMS may provide written notice to Repare, which notice shall be deemed effective only upon delivery of a duly executed copy of the form letter attached hereto as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instructing Repare to identify to BMS such Undruggable Target (such written notice, an “</w:t>
      </w:r>
      <w:r>
        <w:rPr>
          <w:rFonts w:ascii="Arial" w:cs="Arial" w:eastAsia="Arial" w:hAnsi="Arial"/>
          <w:sz w:val="18"/>
          <w:szCs w:val="18"/>
          <w:u w:val="single" w:color="auto"/>
          <w:color w:val="auto"/>
        </w:rPr>
        <w:t>Undruggable Target Unblinding Notification</w:t>
      </w:r>
      <w:r>
        <w:rPr>
          <w:rFonts w:ascii="Arial" w:cs="Arial" w:eastAsia="Arial" w:hAnsi="Arial"/>
          <w:sz w:val="18"/>
          <w:szCs w:val="18"/>
          <w:color w:val="auto"/>
        </w:rPr>
        <w:t>” and such period, an “</w:t>
      </w:r>
      <w:r>
        <w:rPr>
          <w:rFonts w:ascii="Arial" w:cs="Arial" w:eastAsia="Arial" w:hAnsi="Arial"/>
          <w:sz w:val="18"/>
          <w:szCs w:val="18"/>
          <w:u w:val="single" w:color="auto"/>
          <w:color w:val="auto"/>
        </w:rPr>
        <w:t>Undruggable Target Unblinding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120" w:right="240" w:firstLine="1428"/>
        <w:spacing w:after="0" w:line="259" w:lineRule="auto"/>
        <w:tabs>
          <w:tab w:leader="none" w:pos="1942"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If BMS does not provide Repare with an Undruggable Target Unblinding Notification for any given Prioritized Overlapping Undruggable Target during the applicable Undruggable Target Unblinding Period pursuant to Section 2.6.3(a) or instructs Repare not to identify any given Undruggable Target to BMS, then such Undruggable Target shall be deemed an Excluded Target and Section 2.13 shall apply to such Excluded Target.</w:t>
      </w:r>
    </w:p>
    <w:p>
      <w:pPr>
        <w:spacing w:after="0" w:line="186" w:lineRule="exact"/>
        <w:rPr>
          <w:rFonts w:ascii="Arial" w:cs="Arial" w:eastAsia="Arial" w:hAnsi="Arial"/>
          <w:sz w:val="18"/>
          <w:szCs w:val="18"/>
          <w:color w:val="auto"/>
        </w:rPr>
      </w:pPr>
    </w:p>
    <w:p>
      <w:pPr>
        <w:ind w:left="120" w:firstLine="1428"/>
        <w:spacing w:after="0" w:line="275" w:lineRule="auto"/>
        <w:tabs>
          <w:tab w:leader="none" w:pos="1932" w:val="left"/>
        </w:tabs>
        <w:numPr>
          <w:ilvl w:val="0"/>
          <w:numId w:val="453"/>
        </w:numPr>
        <w:rPr>
          <w:rFonts w:ascii="Arial" w:cs="Arial" w:eastAsia="Arial" w:hAnsi="Arial"/>
          <w:sz w:val="17"/>
          <w:szCs w:val="17"/>
          <w:color w:val="auto"/>
        </w:rPr>
      </w:pPr>
      <w:r>
        <w:rPr>
          <w:rFonts w:ascii="Arial" w:cs="Arial" w:eastAsia="Arial" w:hAnsi="Arial"/>
          <w:sz w:val="17"/>
          <w:szCs w:val="17"/>
          <w:color w:val="auto"/>
        </w:rPr>
        <w:t>Following Repare’s receipt of a timely Undruggable Target Unblinding Notification for any given Prioritized Overlapping Undruggable Target, Repare shall provide BMS with a non-anonymized (</w:t>
      </w:r>
      <w:r>
        <w:rPr>
          <w:rFonts w:ascii="Arial" w:cs="Arial" w:eastAsia="Arial" w:hAnsi="Arial"/>
          <w:sz w:val="17"/>
          <w:szCs w:val="17"/>
          <w:i w:val="1"/>
          <w:iCs w:val="1"/>
          <w:color w:val="auto"/>
        </w:rPr>
        <w:t>i.e.</w:t>
      </w:r>
      <w:r>
        <w:rPr>
          <w:rFonts w:ascii="Arial" w:cs="Arial" w:eastAsia="Arial" w:hAnsi="Arial"/>
          <w:sz w:val="17"/>
          <w:szCs w:val="17"/>
          <w:color w:val="auto"/>
        </w:rPr>
        <w:t>, unblinded) Undruggable Target Data Package for such Prioritized Overlapping Undruggable Target that includes the identity of such Prioritized Overlapping Undruggable Target and, upon the receipt by BMS of such non-anonymized (</w:t>
      </w:r>
      <w:r>
        <w:rPr>
          <w:rFonts w:ascii="Arial" w:cs="Arial" w:eastAsia="Arial" w:hAnsi="Arial"/>
          <w:sz w:val="17"/>
          <w:szCs w:val="17"/>
          <w:i w:val="1"/>
          <w:iCs w:val="1"/>
          <w:color w:val="auto"/>
        </w:rPr>
        <w:t>i.e.</w:t>
      </w:r>
      <w:r>
        <w:rPr>
          <w:rFonts w:ascii="Arial" w:cs="Arial" w:eastAsia="Arial" w:hAnsi="Arial"/>
          <w:sz w:val="17"/>
          <w:szCs w:val="17"/>
          <w:color w:val="auto"/>
        </w:rPr>
        <w:t>, unblinded) Undruggable Target Data Package, (i) such Prioritized Overlapping Undruggable Target shall be deemed an Unblinded Undruggable Target and (ii) the Option Term for such Unblinded Undruggable Target shall be deemed to have commenced.</w:t>
      </w:r>
    </w:p>
    <w:p>
      <w:pPr>
        <w:spacing w:after="0" w:line="176"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u w:val="single" w:color="auto"/>
          <w:color w:val="auto"/>
        </w:rPr>
        <w:t>BMS Option</w:t>
      </w:r>
      <w:r>
        <w:rPr>
          <w:rFonts w:ascii="Arial" w:cs="Arial" w:eastAsia="Arial" w:hAnsi="Arial"/>
          <w:sz w:val="17"/>
          <w:szCs w:val="17"/>
          <w:color w:val="auto"/>
        </w:rPr>
        <w:t>.</w:t>
      </w:r>
    </w:p>
    <w:p>
      <w:pPr>
        <w:spacing w:after="0" w:line="225"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6"/>
          <w:szCs w:val="16"/>
          <w:u w:val="single" w:color="auto"/>
          <w:color w:val="auto"/>
        </w:rPr>
        <w:t>Option Grant</w:t>
      </w:r>
      <w:r>
        <w:rPr>
          <w:rFonts w:ascii="Arial" w:cs="Arial" w:eastAsia="Arial" w:hAnsi="Arial"/>
          <w:sz w:val="16"/>
          <w:szCs w:val="16"/>
          <w:color w:val="auto"/>
        </w:rPr>
        <w:t>. Subject to the terms and conditions of this Agreement:</w:t>
      </w:r>
    </w:p>
    <w:p>
      <w:pPr>
        <w:spacing w:after="0" w:line="117" w:lineRule="exact"/>
        <w:rPr>
          <w:sz w:val="20"/>
          <w:szCs w:val="20"/>
          <w:color w:val="auto"/>
        </w:rPr>
      </w:pPr>
    </w:p>
    <w:p>
      <w:pPr>
        <w:ind w:left="120" w:right="720" w:firstLine="1428"/>
        <w:spacing w:after="0" w:line="277" w:lineRule="auto"/>
        <w:tabs>
          <w:tab w:leader="none" w:pos="1932" w:val="left"/>
        </w:tabs>
        <w:numPr>
          <w:ilvl w:val="0"/>
          <w:numId w:val="454"/>
        </w:numPr>
        <w:rPr>
          <w:rFonts w:ascii="Arial" w:cs="Arial" w:eastAsia="Arial" w:hAnsi="Arial"/>
          <w:sz w:val="18"/>
          <w:szCs w:val="18"/>
          <w:color w:val="auto"/>
        </w:rPr>
      </w:pPr>
      <w:r>
        <w:rPr>
          <w:rFonts w:ascii="Arial" w:cs="Arial" w:eastAsia="Arial" w:hAnsi="Arial"/>
          <w:sz w:val="18"/>
          <w:szCs w:val="18"/>
          <w:color w:val="auto"/>
        </w:rPr>
        <w:t>with respect to each Primary Campaign, Repare hereby grants to BMS an exclusive option, exercisable in BMS’s sole discretion, to be granted the license in Section 6.1.2(c) with respect to such Primary Campaign; and</w:t>
      </w:r>
    </w:p>
    <w:p>
      <w:pPr>
        <w:spacing w:after="0" w:line="170" w:lineRule="exact"/>
        <w:rPr>
          <w:rFonts w:ascii="Arial" w:cs="Arial" w:eastAsia="Arial" w:hAnsi="Arial"/>
          <w:sz w:val="18"/>
          <w:szCs w:val="18"/>
          <w:color w:val="auto"/>
        </w:rPr>
      </w:pPr>
    </w:p>
    <w:p>
      <w:pPr>
        <w:ind w:left="120" w:right="160" w:firstLine="1428"/>
        <w:spacing w:after="0" w:line="263" w:lineRule="auto"/>
        <w:tabs>
          <w:tab w:leader="none" w:pos="1942" w:val="left"/>
        </w:tabs>
        <w:numPr>
          <w:ilvl w:val="0"/>
          <w:numId w:val="454"/>
        </w:numPr>
        <w:rPr>
          <w:rFonts w:ascii="Arial" w:cs="Arial" w:eastAsia="Arial" w:hAnsi="Arial"/>
          <w:sz w:val="18"/>
          <w:szCs w:val="18"/>
          <w:color w:val="auto"/>
        </w:rPr>
      </w:pPr>
      <w:r>
        <w:rPr>
          <w:rFonts w:ascii="Arial" w:cs="Arial" w:eastAsia="Arial" w:hAnsi="Arial"/>
          <w:sz w:val="18"/>
          <w:szCs w:val="18"/>
          <w:color w:val="auto"/>
        </w:rPr>
        <w:t>with respect to each Unblinded Undruggable Target, Repare hereby grants to BMS an exclusive option, exercisable in BMS’s sole discretion, to be granted the license in Section 6.1.2(d) with respect to such Unblinded Undruggable Target (each such option in the foregoing clause (a) or this clause (b), an “</w:t>
      </w:r>
      <w:r>
        <w:rPr>
          <w:rFonts w:ascii="Arial" w:cs="Arial" w:eastAsia="Arial" w:hAnsi="Arial"/>
          <w:sz w:val="18"/>
          <w:szCs w:val="18"/>
          <w:u w:val="single" w:color="auto"/>
          <w:color w:val="auto"/>
        </w:rPr>
        <w:t>Option</w:t>
      </w:r>
      <w:r>
        <w:rPr>
          <w:rFonts w:ascii="Arial" w:cs="Arial" w:eastAsia="Arial" w:hAnsi="Arial"/>
          <w:sz w:val="18"/>
          <w:szCs w:val="18"/>
          <w:color w:val="auto"/>
        </w:rPr>
        <w:t>”).</w:t>
      </w:r>
    </w:p>
    <w:p>
      <w:pPr>
        <w:spacing w:after="0" w:line="184"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6"/>
          <w:szCs w:val="16"/>
          <w:u w:val="single" w:color="auto"/>
          <w:color w:val="auto"/>
        </w:rPr>
        <w:t>Option Exercise</w:t>
      </w:r>
      <w:r>
        <w:rPr>
          <w:rFonts w:ascii="Arial" w:cs="Arial" w:eastAsia="Arial" w:hAnsi="Arial"/>
          <w:sz w:val="16"/>
          <w:szCs w:val="16"/>
          <w:color w:val="auto"/>
        </w:rPr>
        <w:t>.</w:t>
      </w:r>
    </w:p>
    <w:p>
      <w:pPr>
        <w:spacing w:after="0" w:line="225" w:lineRule="exact"/>
        <w:rPr>
          <w:sz w:val="20"/>
          <w:szCs w:val="20"/>
          <w:color w:val="auto"/>
        </w:rPr>
      </w:pPr>
    </w:p>
    <w:p>
      <w:pPr>
        <w:ind w:left="120" w:firstLine="1428"/>
        <w:spacing w:after="0" w:line="259" w:lineRule="auto"/>
        <w:tabs>
          <w:tab w:leader="none" w:pos="1932" w:val="left"/>
        </w:tabs>
        <w:numPr>
          <w:ilvl w:val="0"/>
          <w:numId w:val="455"/>
        </w:numPr>
        <w:rPr>
          <w:rFonts w:ascii="Arial" w:cs="Arial" w:eastAsia="Arial" w:hAnsi="Arial"/>
          <w:sz w:val="18"/>
          <w:szCs w:val="18"/>
          <w:color w:val="auto"/>
        </w:rPr>
      </w:pPr>
      <w:r>
        <w:rPr>
          <w:rFonts w:ascii="Arial" w:cs="Arial" w:eastAsia="Arial" w:hAnsi="Arial"/>
          <w:sz w:val="18"/>
          <w:szCs w:val="18"/>
          <w:color w:val="auto"/>
        </w:rPr>
        <w:t>On a Primary Campaign-by-Primary Campaign basis, BMS may exercise its Option with respect to such Primary Campaign by, at any time during the Option Term for such Primary Campaign, (i) providing Repare with written notice of such exercise and (ii) paying Repare an Option Exercise Fee for such Primary Campaign in accordance with Section 9.3. Upon such Option exercise (if any), such Primary Campaign shall be deemed a Collaboration Campaign.</w:t>
      </w:r>
    </w:p>
    <w:p>
      <w:pPr>
        <w:spacing w:after="0" w:line="186" w:lineRule="exact"/>
        <w:rPr>
          <w:rFonts w:ascii="Arial" w:cs="Arial" w:eastAsia="Arial" w:hAnsi="Arial"/>
          <w:sz w:val="18"/>
          <w:szCs w:val="18"/>
          <w:color w:val="auto"/>
        </w:rPr>
      </w:pPr>
    </w:p>
    <w:p>
      <w:pPr>
        <w:ind w:left="120" w:right="180" w:firstLine="1428"/>
        <w:spacing w:after="0" w:line="308" w:lineRule="auto"/>
        <w:tabs>
          <w:tab w:leader="none" w:pos="1942" w:val="left"/>
        </w:tabs>
        <w:numPr>
          <w:ilvl w:val="0"/>
          <w:numId w:val="455"/>
        </w:numPr>
        <w:rPr>
          <w:rFonts w:ascii="Arial" w:cs="Arial" w:eastAsia="Arial" w:hAnsi="Arial"/>
          <w:sz w:val="17"/>
          <w:szCs w:val="17"/>
          <w:color w:val="auto"/>
        </w:rPr>
      </w:pPr>
      <w:r>
        <w:rPr>
          <w:rFonts w:ascii="Arial" w:cs="Arial" w:eastAsia="Arial" w:hAnsi="Arial"/>
          <w:sz w:val="17"/>
          <w:szCs w:val="17"/>
          <w:color w:val="auto"/>
        </w:rPr>
        <w:t>On an Unblinded Undruggable Target-by-Unblinded Undruggable Target basis, BMS may exercise its Option with respect to such Unblinded Undruggable Target by, at any time during the Option Term for such Unblinded Undruggable Target, (i) providing</w:t>
      </w:r>
    </w:p>
    <w:p>
      <w:pPr>
        <w:spacing w:after="0" w:line="78" w:lineRule="exact"/>
        <w:rPr>
          <w:rFonts w:ascii="Arial" w:cs="Arial" w:eastAsia="Arial" w:hAnsi="Arial"/>
          <w:sz w:val="17"/>
          <w:szCs w:val="17"/>
          <w:color w:val="auto"/>
        </w:rPr>
      </w:pPr>
    </w:p>
    <w:p>
      <w:pPr>
        <w:ind w:left="5540" w:hanging="111"/>
        <w:spacing w:after="0"/>
        <w:tabs>
          <w:tab w:leader="none" w:pos="554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120"/>
          </w:cols>
          <w:pgMar w:left="320" w:top="460" w:right="459" w:bottom="1440" w:gutter="0" w:footer="0" w:header="0"/>
        </w:sectPr>
      </w:pPr>
    </w:p>
    <w:bookmarkStart w:id="710" w:name="page711"/>
    <w:bookmarkEnd w:id="7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Repare with written notice of such exercise and (ii) paying Repare an Option Exercise Fee for such Unblinded Undruggable Target in accordance with Section 9.3. Upon such Option exercise (if any), such Unblinded Undruggable Target shall be deemed a Collaboration Undruggable Target.</w:t>
      </w:r>
    </w:p>
    <w:p>
      <w:pPr>
        <w:spacing w:after="0" w:line="124" w:lineRule="exact"/>
        <w:rPr>
          <w:sz w:val="20"/>
          <w:szCs w:val="20"/>
          <w:color w:val="auto"/>
        </w:rPr>
      </w:pPr>
    </w:p>
    <w:p>
      <w:pPr>
        <w:ind w:left="1920" w:hanging="372"/>
        <w:spacing w:after="0"/>
        <w:tabs>
          <w:tab w:leader="none" w:pos="192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Term</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120" w:right="100" w:firstLine="1979"/>
        <w:spacing w:after="0" w:line="255" w:lineRule="auto"/>
        <w:tabs>
          <w:tab w:leader="none" w:pos="2453" w:val="left"/>
        </w:tabs>
        <w:numPr>
          <w:ilvl w:val="1"/>
          <w:numId w:val="456"/>
        </w:numPr>
        <w:rPr>
          <w:rFonts w:ascii="Arial" w:cs="Arial" w:eastAsia="Arial" w:hAnsi="Arial"/>
          <w:sz w:val="18"/>
          <w:szCs w:val="18"/>
          <w:color w:val="auto"/>
        </w:rPr>
      </w:pPr>
      <w:r>
        <w:rPr>
          <w:rFonts w:ascii="Arial" w:cs="Arial" w:eastAsia="Arial" w:hAnsi="Arial"/>
          <w:sz w:val="18"/>
          <w:szCs w:val="18"/>
          <w:color w:val="auto"/>
        </w:rPr>
        <w:t>with respect to a given Primary Campaign, the period commencing on BMS’s receipt of the non-anonymized (</w:t>
      </w:r>
      <w:r>
        <w:rPr>
          <w:rFonts w:ascii="Arial" w:cs="Arial" w:eastAsia="Arial" w:hAnsi="Arial"/>
          <w:sz w:val="18"/>
          <w:szCs w:val="18"/>
          <w:i w:val="1"/>
          <w:iCs w:val="1"/>
          <w:color w:val="auto"/>
        </w:rPr>
        <w:t>i.e.</w:t>
      </w:r>
      <w:r>
        <w:rPr>
          <w:rFonts w:ascii="Arial" w:cs="Arial" w:eastAsia="Arial" w:hAnsi="Arial"/>
          <w:sz w:val="18"/>
          <w:szCs w:val="18"/>
          <w:color w:val="auto"/>
        </w:rPr>
        <w:t>, unblinded) Final Data Package for such Primary Campaign that includes the identity of the Primary Target from such Primary Campaign pursuant to Section 2.5.8(c) (each such Primary Campaign, an “</w:t>
      </w:r>
      <w:r>
        <w:rPr>
          <w:rFonts w:ascii="Arial" w:cs="Arial" w:eastAsia="Arial" w:hAnsi="Arial"/>
          <w:sz w:val="18"/>
          <w:szCs w:val="18"/>
          <w:u w:val="single" w:color="auto"/>
          <w:color w:val="auto"/>
        </w:rPr>
        <w:t>Unblinded Primary Campaign</w:t>
      </w:r>
      <w:r>
        <w:rPr>
          <w:rFonts w:ascii="Arial" w:cs="Arial" w:eastAsia="Arial" w:hAnsi="Arial"/>
          <w:sz w:val="18"/>
          <w:szCs w:val="18"/>
          <w:color w:val="auto"/>
        </w:rPr>
        <w:t>”) and ending on the earliest of (A) [***] following BMS’s receipt of such non-anonymized (</w:t>
      </w:r>
      <w:r>
        <w:rPr>
          <w:rFonts w:ascii="Arial" w:cs="Arial" w:eastAsia="Arial" w:hAnsi="Arial"/>
          <w:sz w:val="18"/>
          <w:szCs w:val="18"/>
          <w:i w:val="1"/>
          <w:iCs w:val="1"/>
          <w:color w:val="auto"/>
        </w:rPr>
        <w:t>i.e.</w:t>
      </w:r>
      <w:r>
        <w:rPr>
          <w:rFonts w:ascii="Arial" w:cs="Arial" w:eastAsia="Arial" w:hAnsi="Arial"/>
          <w:sz w:val="18"/>
          <w:szCs w:val="18"/>
          <w:color w:val="auto"/>
        </w:rPr>
        <w:t>, unblinded) Final Data Package, (B) BMS’s exercise of the Option for such Primary Campaign (which shall thereafter be deemed a Collaboration Campaign in accordance with Section 2.7.2(a)) and (C) BMS’s notice to Repare that it is declining to exercise its Option for such Primary Campaign; and</w:t>
      </w:r>
    </w:p>
    <w:p>
      <w:pPr>
        <w:spacing w:after="0" w:line="192" w:lineRule="exact"/>
        <w:rPr>
          <w:rFonts w:ascii="Arial" w:cs="Arial" w:eastAsia="Arial" w:hAnsi="Arial"/>
          <w:sz w:val="18"/>
          <w:szCs w:val="18"/>
          <w:color w:val="auto"/>
        </w:rPr>
      </w:pPr>
    </w:p>
    <w:p>
      <w:pPr>
        <w:ind w:left="2500" w:hanging="401"/>
        <w:spacing w:after="0"/>
        <w:tabs>
          <w:tab w:leader="none" w:pos="250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with respect to a given Unblinded Undruggable Target, the period commencing on BMS’s receipt of the</w:t>
      </w:r>
    </w:p>
    <w:p>
      <w:pPr>
        <w:spacing w:after="0" w:line="23"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non-anonymized (</w:t>
      </w:r>
      <w:r>
        <w:rPr>
          <w:rFonts w:ascii="Arial" w:cs="Arial" w:eastAsia="Arial" w:hAnsi="Arial"/>
          <w:sz w:val="18"/>
          <w:szCs w:val="18"/>
          <w:i w:val="1"/>
          <w:iCs w:val="1"/>
          <w:color w:val="auto"/>
        </w:rPr>
        <w:t>i.e.</w:t>
      </w:r>
      <w:r>
        <w:rPr>
          <w:rFonts w:ascii="Arial" w:cs="Arial" w:eastAsia="Arial" w:hAnsi="Arial"/>
          <w:sz w:val="18"/>
          <w:szCs w:val="18"/>
          <w:color w:val="auto"/>
        </w:rPr>
        <w:t>, unblinded) Undruggable Target Data Package for such Unblinded Undruggable Target pursuant to Section 2.6.3(c) and ending on the earliest of (A) [***] following BMS’s receipt of such Undruggable Target Data Package, (B) BMS’s exercise of the Option for such Unblinded Undruggable Target (which shall thereafter be deemed a Collaboration Undruggable Target in accordance with Section 2.7.2(b)) and (C) BMS’s notice to Repare that it is declining to exercise its Option for such Unblinded Undruggable Target.</w:t>
      </w:r>
    </w:p>
    <w:p>
      <w:pPr>
        <w:spacing w:after="0" w:line="193"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 xml:space="preserve">2.7.3 </w:t>
      </w:r>
      <w:r>
        <w:rPr>
          <w:rFonts w:ascii="Arial" w:cs="Arial" w:eastAsia="Arial" w:hAnsi="Arial"/>
          <w:sz w:val="18"/>
          <w:szCs w:val="18"/>
          <w:u w:val="single" w:color="auto"/>
          <w:color w:val="auto"/>
        </w:rPr>
        <w:t>Additional Information</w:t>
      </w:r>
      <w:r>
        <w:rPr>
          <w:rFonts w:ascii="Arial" w:cs="Arial" w:eastAsia="Arial" w:hAnsi="Arial"/>
          <w:sz w:val="18"/>
          <w:szCs w:val="18"/>
          <w:color w:val="auto"/>
        </w:rPr>
        <w:t>. During the Option Term for a given Unblinded Primary Campaign or Unblinded Undruggable Target, Repare shall use Commercially Reasonable Efforts to respond to reasonable requests from BMS for additional information in Repare’s possession and Control, and clarifications, regarding content in the Final Data Package or Undruggable Target Data Package, as applicable, for such Unblinded Primary Campaign or Unblinded Undruggable Target, as applicable, but such requests shall not require Repare to perform any additional work (other than any work needed to generate a complete Final Data Package or Undruggable Target Data Package, as applicable) or extend, or delay the commencement of, the applicable Option Term. To the extent reasonably feasible, Repare will provide any such additional information requested by BMS within [***] after each such request.</w:t>
      </w:r>
    </w:p>
    <w:p>
      <w:pPr>
        <w:spacing w:after="0" w:line="195"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8"/>
          <w:szCs w:val="18"/>
          <w:color w:val="auto"/>
        </w:rPr>
        <w:t>2.7.4</w:t>
      </w:r>
      <w:r>
        <w:rPr>
          <w:sz w:val="20"/>
          <w:szCs w:val="20"/>
          <w:color w:val="auto"/>
        </w:rPr>
        <w:tab/>
      </w:r>
      <w:r>
        <w:rPr>
          <w:rFonts w:ascii="Arial" w:cs="Arial" w:eastAsia="Arial" w:hAnsi="Arial"/>
          <w:sz w:val="17"/>
          <w:szCs w:val="17"/>
          <w:u w:val="single" w:color="auto"/>
          <w:color w:val="auto"/>
        </w:rPr>
        <w:t>Expiration of Option</w:t>
      </w:r>
      <w:r>
        <w:rPr>
          <w:rFonts w:ascii="Arial" w:cs="Arial" w:eastAsia="Arial" w:hAnsi="Arial"/>
          <w:sz w:val="17"/>
          <w:szCs w:val="17"/>
          <w:color w:val="auto"/>
        </w:rPr>
        <w:t>.</w:t>
      </w:r>
    </w:p>
    <w:p>
      <w:pPr>
        <w:spacing w:after="0" w:line="225" w:lineRule="exact"/>
        <w:rPr>
          <w:sz w:val="20"/>
          <w:szCs w:val="20"/>
          <w:color w:val="auto"/>
        </w:rPr>
      </w:pPr>
    </w:p>
    <w:p>
      <w:pPr>
        <w:ind w:left="120" w:right="120" w:firstLine="1428"/>
        <w:spacing w:after="0" w:line="291" w:lineRule="auto"/>
        <w:tabs>
          <w:tab w:leader="none" w:pos="1932" w:val="left"/>
        </w:tabs>
        <w:numPr>
          <w:ilvl w:val="0"/>
          <w:numId w:val="457"/>
        </w:numPr>
        <w:rPr>
          <w:rFonts w:ascii="Arial" w:cs="Arial" w:eastAsia="Arial" w:hAnsi="Arial"/>
          <w:sz w:val="16"/>
          <w:szCs w:val="16"/>
          <w:color w:val="auto"/>
        </w:rPr>
      </w:pPr>
      <w:r>
        <w:rPr>
          <w:rFonts w:ascii="Arial" w:cs="Arial" w:eastAsia="Arial" w:hAnsi="Arial"/>
          <w:sz w:val="16"/>
          <w:szCs w:val="16"/>
          <w:color w:val="auto"/>
        </w:rPr>
        <w:t>If BMS does not exercise its Option with respect to a given Unblinded Primary Campaign during the applicable Option Term, then, effective as of the expiration of such Option Term, (i) such Unblinded Primary Campaign shall be deemed an Excluded Campaign and</w:t>
      </w:r>
    </w:p>
    <w:p>
      <w:pPr>
        <w:ind w:left="120" w:right="200"/>
        <w:spacing w:after="0" w:line="260" w:lineRule="auto"/>
        <w:rPr>
          <w:rFonts w:ascii="Arial" w:cs="Arial" w:eastAsia="Arial" w:hAnsi="Arial"/>
          <w:sz w:val="16"/>
          <w:szCs w:val="16"/>
          <w:color w:val="auto"/>
        </w:rPr>
      </w:pPr>
      <w:r>
        <w:rPr>
          <w:rFonts w:ascii="Arial" w:cs="Arial" w:eastAsia="Arial" w:hAnsi="Arial"/>
          <w:sz w:val="18"/>
          <w:szCs w:val="18"/>
          <w:color w:val="auto"/>
        </w:rPr>
        <w:t>Section 2.13 shall apply to such Excluded Campaign and (ii) any Druggable/LDD Target that was the subject of such Excluded Campaign and was an Unblinded Target shall be deemed a Reverted Non-Optioned Target.</w:t>
      </w:r>
    </w:p>
    <w:p>
      <w:pPr>
        <w:spacing w:after="0" w:line="185" w:lineRule="exact"/>
        <w:rPr>
          <w:rFonts w:ascii="Arial" w:cs="Arial" w:eastAsia="Arial" w:hAnsi="Arial"/>
          <w:sz w:val="16"/>
          <w:szCs w:val="16"/>
          <w:color w:val="auto"/>
        </w:rPr>
      </w:pPr>
    </w:p>
    <w:p>
      <w:pPr>
        <w:ind w:left="120" w:right="40" w:firstLine="1428"/>
        <w:spacing w:after="0" w:line="263" w:lineRule="auto"/>
        <w:tabs>
          <w:tab w:leader="none" w:pos="1942"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If BMS does not exercise its Option with respect to a given Unblinded Undruggable Target during the applicable Option Term, then, effective as of the expiration of such Option Term, such Unblinded Undruggable Target shall be deemed a Reverted Non-Optioned Target and Section 2.13 shall apply to such Reverted Non-Optioned Target.</w:t>
      </w:r>
    </w:p>
    <w:p>
      <w:pPr>
        <w:spacing w:after="0" w:line="116" w:lineRule="exact"/>
        <w:rPr>
          <w:rFonts w:ascii="Arial" w:cs="Arial" w:eastAsia="Arial" w:hAnsi="Arial"/>
          <w:sz w:val="18"/>
          <w:szCs w:val="18"/>
          <w:color w:val="auto"/>
        </w:rPr>
      </w:pPr>
    </w:p>
    <w:p>
      <w:pPr>
        <w:ind w:left="5540" w:hanging="111"/>
        <w:spacing w:after="0"/>
        <w:tabs>
          <w:tab w:leader="none" w:pos="554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100"/>
          </w:cols>
          <w:pgMar w:left="320" w:top="460" w:right="479" w:bottom="1440" w:gutter="0" w:footer="0" w:header="0"/>
        </w:sectPr>
      </w:pPr>
    </w:p>
    <w:bookmarkStart w:id="711" w:name="page712"/>
    <w:bookmarkEnd w:id="7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BMS Druggable/LDD Target Chemistry</w:t>
      </w:r>
      <w:r>
        <w:rPr>
          <w:rFonts w:ascii="Arial" w:cs="Arial" w:eastAsia="Arial" w:hAnsi="Arial"/>
          <w:sz w:val="16"/>
          <w:szCs w:val="16"/>
          <w:color w:val="auto"/>
        </w:rPr>
        <w:t>.</w:t>
      </w:r>
    </w:p>
    <w:p>
      <w:pPr>
        <w:spacing w:after="0" w:line="225"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6"/>
          <w:szCs w:val="16"/>
          <w:u w:val="single" w:color="auto"/>
          <w:color w:val="auto"/>
        </w:rPr>
        <w:t>Primary Target Chemistry</w:t>
      </w:r>
      <w:r>
        <w:rPr>
          <w:rFonts w:ascii="Arial" w:cs="Arial" w:eastAsia="Arial" w:hAnsi="Arial"/>
          <w:sz w:val="16"/>
          <w:szCs w:val="16"/>
          <w:color w:val="auto"/>
        </w:rPr>
        <w:t>. On a Collaboration Campaign-by- Collaboration Campaign basis:</w:t>
      </w:r>
    </w:p>
    <w:p>
      <w:pPr>
        <w:spacing w:after="0" w:line="117" w:lineRule="exact"/>
        <w:rPr>
          <w:sz w:val="20"/>
          <w:szCs w:val="20"/>
          <w:color w:val="auto"/>
        </w:rPr>
      </w:pPr>
    </w:p>
    <w:p>
      <w:pPr>
        <w:ind w:left="120" w:right="40" w:firstLine="1428"/>
        <w:spacing w:after="0" w:line="277" w:lineRule="auto"/>
        <w:tabs>
          <w:tab w:leader="none" w:pos="1932" w:val="left"/>
        </w:tabs>
        <w:numPr>
          <w:ilvl w:val="0"/>
          <w:numId w:val="458"/>
        </w:numPr>
        <w:rPr>
          <w:rFonts w:ascii="Arial" w:cs="Arial" w:eastAsia="Arial" w:hAnsi="Arial"/>
          <w:sz w:val="18"/>
          <w:szCs w:val="18"/>
          <w:color w:val="auto"/>
        </w:rPr>
      </w:pPr>
      <w:r>
        <w:rPr>
          <w:rFonts w:ascii="Arial" w:cs="Arial" w:eastAsia="Arial" w:hAnsi="Arial"/>
          <w:sz w:val="18"/>
          <w:szCs w:val="18"/>
          <w:color w:val="auto"/>
        </w:rPr>
        <w:t>During the Primary Target Period for such Collaboration Campaign, BMS may conduct Chemistry on the Primary Target from such Collaboration Campaign.</w:t>
      </w:r>
    </w:p>
    <w:p>
      <w:pPr>
        <w:spacing w:after="0" w:line="170" w:lineRule="exact"/>
        <w:rPr>
          <w:rFonts w:ascii="Arial" w:cs="Arial" w:eastAsia="Arial" w:hAnsi="Arial"/>
          <w:sz w:val="18"/>
          <w:szCs w:val="18"/>
          <w:color w:val="auto"/>
        </w:rPr>
      </w:pPr>
    </w:p>
    <w:p>
      <w:pPr>
        <w:ind w:left="120" w:right="280" w:firstLine="1428"/>
        <w:spacing w:after="0" w:line="259" w:lineRule="auto"/>
        <w:tabs>
          <w:tab w:leader="none" w:pos="1942"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If, on or before the end of the Primary Target Period for such Collaboration Campaign, BMS does not (i) make a Further Development Election for the Primary Target from such Collaboration Campaign and (ii) pay the [***] Milestone Payment for such Primary Target pursuant to Section 9.4, then, effective as of the expiration of such Primary Target Period, such Primary Target shall be deemed a Reverted Optioned Target and Section 2.13 shall apply to such Reverted Optioned Target.</w:t>
      </w:r>
    </w:p>
    <w:p>
      <w:pPr>
        <w:spacing w:after="0" w:line="187"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6"/>
          <w:szCs w:val="16"/>
          <w:u w:val="single" w:color="auto"/>
          <w:color w:val="auto"/>
        </w:rPr>
        <w:t>Additional Target Chemistry</w:t>
      </w:r>
      <w:r>
        <w:rPr>
          <w:rFonts w:ascii="Arial" w:cs="Arial" w:eastAsia="Arial" w:hAnsi="Arial"/>
          <w:sz w:val="16"/>
          <w:szCs w:val="16"/>
          <w:color w:val="auto"/>
        </w:rPr>
        <w:t>. On a Collaboration Campaign-by- Collaboration Campaign basis:</w:t>
      </w:r>
    </w:p>
    <w:p>
      <w:pPr>
        <w:spacing w:after="0" w:line="117" w:lineRule="exact"/>
        <w:rPr>
          <w:sz w:val="20"/>
          <w:szCs w:val="20"/>
          <w:color w:val="auto"/>
        </w:rPr>
      </w:pPr>
    </w:p>
    <w:p>
      <w:pPr>
        <w:ind w:left="120" w:firstLine="1428"/>
        <w:spacing w:after="0" w:line="269" w:lineRule="auto"/>
        <w:tabs>
          <w:tab w:leader="none" w:pos="1922" w:val="left"/>
        </w:tabs>
        <w:numPr>
          <w:ilvl w:val="0"/>
          <w:numId w:val="459"/>
        </w:numPr>
        <w:rPr>
          <w:rFonts w:ascii="Arial" w:cs="Arial" w:eastAsia="Arial" w:hAnsi="Arial"/>
          <w:sz w:val="17"/>
          <w:szCs w:val="17"/>
          <w:color w:val="auto"/>
        </w:rPr>
      </w:pPr>
      <w:r>
        <w:rPr>
          <w:rFonts w:ascii="Arial" w:cs="Arial" w:eastAsia="Arial" w:hAnsi="Arial"/>
          <w:sz w:val="17"/>
          <w:szCs w:val="17"/>
          <w:color w:val="auto"/>
        </w:rPr>
        <w:t xml:space="preserve">At any time during the Primary Target Period for such Collaboration Campaign, BMS may provide written notice to Repare, which notice shall be deemed effective only upon delivery of a duly executed copy of the form letter attached hereto as </w:t>
      </w:r>
      <w:r>
        <w:rPr>
          <w:rFonts w:ascii="Arial" w:cs="Arial" w:eastAsia="Arial" w:hAnsi="Arial"/>
          <w:sz w:val="17"/>
          <w:szCs w:val="17"/>
          <w:b w:val="1"/>
          <w:bCs w:val="1"/>
          <w:u w:val="single" w:color="auto"/>
          <w:color w:val="auto"/>
        </w:rPr>
        <w:t>Exhibit C</w:t>
      </w:r>
      <w:r>
        <w:rPr>
          <w:rFonts w:ascii="Arial" w:cs="Arial" w:eastAsia="Arial" w:hAnsi="Arial"/>
          <w:sz w:val="17"/>
          <w:szCs w:val="17"/>
          <w:color w:val="auto"/>
        </w:rPr>
        <w:t>, instructing Repare to identify (</w:t>
      </w:r>
      <w:r>
        <w:rPr>
          <w:rFonts w:ascii="Arial" w:cs="Arial" w:eastAsia="Arial" w:hAnsi="Arial"/>
          <w:sz w:val="17"/>
          <w:szCs w:val="17"/>
          <w:i w:val="1"/>
          <w:iCs w:val="1"/>
          <w:color w:val="auto"/>
        </w:rPr>
        <w:t>i.e.</w:t>
      </w:r>
      <w:r>
        <w:rPr>
          <w:rFonts w:ascii="Arial" w:cs="Arial" w:eastAsia="Arial" w:hAnsi="Arial"/>
          <w:sz w:val="17"/>
          <w:szCs w:val="17"/>
          <w:color w:val="auto"/>
        </w:rPr>
        <w:t>, unblind) any of the Additional Targets (which for, clarity, may be one or both Additional Targets, as applicable) from such Collaboration Campaign to BMS (such written notice, an “</w:t>
      </w:r>
      <w:r>
        <w:rPr>
          <w:rFonts w:ascii="Arial" w:cs="Arial" w:eastAsia="Arial" w:hAnsi="Arial"/>
          <w:sz w:val="17"/>
          <w:szCs w:val="17"/>
          <w:u w:val="single" w:color="auto"/>
          <w:color w:val="auto"/>
        </w:rPr>
        <w:t>Additional Target Unblinding Notification</w:t>
      </w:r>
      <w:r>
        <w:rPr>
          <w:rFonts w:ascii="Arial" w:cs="Arial" w:eastAsia="Arial" w:hAnsi="Arial"/>
          <w:sz w:val="17"/>
          <w:szCs w:val="17"/>
          <w:color w:val="auto"/>
        </w:rPr>
        <w:t>”). If BMS does not provide Repare with such an Additional Target Unblinding Notification for a given Additional Target from such Collaboration Campaign during the Primary Target Period for such Collaboration Campaign or instructs Repare not to identify such Additional Target from such Collaboration Campaign to BMS, then such Additional Target shall be deemed an Excluded Target and Section 2.13 shall apply to such Excluded Target. Following (i) Repare’s receipt of a timely Additional Target Unblinding Notification (if any) for the applicable Additional Target(s) from such Collaboration Campaign and (ii) a determination by Repare that Repare can provide BMS with all Deliverables for the applicable Additional Target(s) from such Collaboration Campaign, Repare shall provide BMS with a non-anonymized (</w:t>
      </w:r>
      <w:r>
        <w:rPr>
          <w:rFonts w:ascii="Arial" w:cs="Arial" w:eastAsia="Arial" w:hAnsi="Arial"/>
          <w:sz w:val="17"/>
          <w:szCs w:val="17"/>
          <w:i w:val="1"/>
          <w:iCs w:val="1"/>
          <w:color w:val="auto"/>
        </w:rPr>
        <w:t>i.e.</w:t>
      </w:r>
      <w:r>
        <w:rPr>
          <w:rFonts w:ascii="Arial" w:cs="Arial" w:eastAsia="Arial" w:hAnsi="Arial"/>
          <w:sz w:val="17"/>
          <w:szCs w:val="17"/>
          <w:color w:val="auto"/>
        </w:rPr>
        <w:t>, unblinded) Final Data Package for such Collaboration Campaign that includes the identity of the applicable Additional Target(s) from such Collaboration Campaign, and upon receipt by BMS of such Final Data Package, each such Additional Target unblinded therein shall be deemed an Unblinded Druggable/LDD Target.</w:t>
      </w:r>
    </w:p>
    <w:p>
      <w:pPr>
        <w:spacing w:after="0" w:line="178" w:lineRule="exact"/>
        <w:rPr>
          <w:rFonts w:ascii="Arial" w:cs="Arial" w:eastAsia="Arial" w:hAnsi="Arial"/>
          <w:sz w:val="17"/>
          <w:szCs w:val="17"/>
          <w:color w:val="auto"/>
        </w:rPr>
      </w:pPr>
    </w:p>
    <w:p>
      <w:pPr>
        <w:ind w:left="120" w:firstLine="1428"/>
        <w:spacing w:after="0" w:line="255" w:lineRule="auto"/>
        <w:tabs>
          <w:tab w:leader="none" w:pos="1942" w:val="left"/>
        </w:tabs>
        <w:numPr>
          <w:ilvl w:val="0"/>
          <w:numId w:val="459"/>
        </w:numPr>
        <w:rPr>
          <w:rFonts w:ascii="Arial" w:cs="Arial" w:eastAsia="Arial" w:hAnsi="Arial"/>
          <w:sz w:val="18"/>
          <w:szCs w:val="18"/>
          <w:color w:val="auto"/>
        </w:rPr>
      </w:pPr>
      <w:r>
        <w:rPr>
          <w:rFonts w:ascii="Arial" w:cs="Arial" w:eastAsia="Arial" w:hAnsi="Arial"/>
          <w:sz w:val="18"/>
          <w:szCs w:val="18"/>
          <w:color w:val="auto"/>
        </w:rPr>
        <w:t>During the Primary Target Period for such Collaboration Campaign, following receipt by BMS of a non-anonymized (</w:t>
      </w:r>
      <w:r>
        <w:rPr>
          <w:rFonts w:ascii="Arial" w:cs="Arial" w:eastAsia="Arial" w:hAnsi="Arial"/>
          <w:sz w:val="18"/>
          <w:szCs w:val="18"/>
          <w:i w:val="1"/>
          <w:iCs w:val="1"/>
          <w:color w:val="auto"/>
        </w:rPr>
        <w:t>i.e.</w:t>
      </w:r>
      <w:r>
        <w:rPr>
          <w:rFonts w:ascii="Arial" w:cs="Arial" w:eastAsia="Arial" w:hAnsi="Arial"/>
          <w:sz w:val="18"/>
          <w:szCs w:val="18"/>
          <w:color w:val="auto"/>
        </w:rPr>
        <w:t>, unblinded) Final Data Package for such Collaboration Campaign that includes the identity of a given Additional Target from such Collaboration Campaign pursuant to Section 2.8.2(a), BMS may notify Repare in writing that BMS is commencing Chemistry on such Additional Target (such written notice, an “</w:t>
      </w:r>
      <w:r>
        <w:rPr>
          <w:rFonts w:ascii="Arial" w:cs="Arial" w:eastAsia="Arial" w:hAnsi="Arial"/>
          <w:sz w:val="18"/>
          <w:szCs w:val="18"/>
          <w:u w:val="single" w:color="auto"/>
          <w:color w:val="auto"/>
        </w:rPr>
        <w:t>Additional Target Chemistry Notification</w:t>
      </w:r>
      <w:r>
        <w:rPr>
          <w:rFonts w:ascii="Arial" w:cs="Arial" w:eastAsia="Arial" w:hAnsi="Arial"/>
          <w:sz w:val="18"/>
          <w:szCs w:val="18"/>
          <w:color w:val="auto"/>
        </w:rPr>
        <w:t>”). Following receipt by Repare of an Additional Target Chemistry Notification for an Additional Target, subject to Section 2.8.2(c), BMS may conduct Chemistry on such Additional Target during the Additional Target Period for such Collaboration Campaign.</w:t>
      </w:r>
    </w:p>
    <w:p>
      <w:pPr>
        <w:spacing w:after="0" w:line="124" w:lineRule="exact"/>
        <w:rPr>
          <w:rFonts w:ascii="Arial" w:cs="Arial" w:eastAsia="Arial" w:hAnsi="Arial"/>
          <w:sz w:val="18"/>
          <w:szCs w:val="18"/>
          <w:color w:val="auto"/>
        </w:rPr>
      </w:pPr>
    </w:p>
    <w:p>
      <w:pPr>
        <w:ind w:left="5540" w:hanging="111"/>
        <w:spacing w:after="0"/>
        <w:tabs>
          <w:tab w:leader="none" w:pos="554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080"/>
          </w:cols>
          <w:pgMar w:left="320" w:top="460" w:right="499" w:bottom="1440" w:gutter="0" w:footer="0" w:header="0"/>
        </w:sectPr>
      </w:pPr>
    </w:p>
    <w:bookmarkStart w:id="712" w:name="page713"/>
    <w:bookmarkEnd w:id="7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920" w:hanging="372"/>
        <w:spacing w:after="0"/>
        <w:tabs>
          <w:tab w:leader="none" w:pos="1920" w:val="left"/>
        </w:tabs>
        <w:numPr>
          <w:ilvl w:val="1"/>
          <w:numId w:val="460"/>
        </w:numPr>
        <w:rPr>
          <w:rFonts w:ascii="Arial" w:cs="Arial" w:eastAsia="Arial" w:hAnsi="Arial"/>
          <w:sz w:val="18"/>
          <w:szCs w:val="18"/>
          <w:color w:val="auto"/>
        </w:rPr>
      </w:pPr>
      <w:r>
        <w:rPr>
          <w:rFonts w:ascii="Arial" w:cs="Arial" w:eastAsia="Arial" w:hAnsi="Arial"/>
          <w:sz w:val="18"/>
          <w:szCs w:val="18"/>
          <w:color w:val="auto"/>
        </w:rPr>
        <w:t>In the event that, on or before the expiration of the Primary Target Period for such Collaboration Campaign:</w:t>
      </w:r>
    </w:p>
    <w:p>
      <w:pPr>
        <w:spacing w:after="0" w:line="117" w:lineRule="exact"/>
        <w:rPr>
          <w:rFonts w:ascii="Arial" w:cs="Arial" w:eastAsia="Arial" w:hAnsi="Arial"/>
          <w:sz w:val="18"/>
          <w:szCs w:val="18"/>
          <w:color w:val="auto"/>
        </w:rPr>
      </w:pPr>
    </w:p>
    <w:p>
      <w:pPr>
        <w:ind w:left="120" w:right="60" w:firstLine="1979"/>
        <w:spacing w:after="0" w:line="285" w:lineRule="auto"/>
        <w:tabs>
          <w:tab w:leader="none" w:pos="2453" w:val="left"/>
        </w:tabs>
        <w:numPr>
          <w:ilvl w:val="2"/>
          <w:numId w:val="460"/>
        </w:numPr>
        <w:rPr>
          <w:rFonts w:ascii="Arial" w:cs="Arial" w:eastAsia="Arial" w:hAnsi="Arial"/>
          <w:sz w:val="16"/>
          <w:szCs w:val="16"/>
          <w:color w:val="auto"/>
        </w:rPr>
      </w:pPr>
      <w:r>
        <w:rPr>
          <w:rFonts w:ascii="Arial" w:cs="Arial" w:eastAsia="Arial" w:hAnsi="Arial"/>
          <w:sz w:val="16"/>
          <w:szCs w:val="16"/>
          <w:color w:val="auto"/>
        </w:rPr>
        <w:t>BMS makes a Further Development Election for the Primary Target from such Collaboration Campaign, then, for each Additional Target from such Collaboration Campaign, if, on or before the expiration of the Primary Target Period for such Collaboration Campaign, BMS does not (A) notify Repare in writing that BMS desires to unblind such Additional Target pursuant to Section 2.8.2(a) (to the extent it has not already done so) and start or continue (as applicable) conducting Chemistry on such Additional Target pursuant to Section 2.8.2(b) and (B) pay Repare an Additional Target Selection Fee for such Additional Target pursuant to Section 9.5, then, effective as of the expiration of such Primary Target Period,</w:t>
      </w:r>
    </w:p>
    <w:p>
      <w:pPr>
        <w:spacing w:after="0" w:line="1" w:lineRule="exact"/>
        <w:rPr>
          <w:rFonts w:ascii="Arial" w:cs="Arial" w:eastAsia="Arial" w:hAnsi="Arial"/>
          <w:sz w:val="16"/>
          <w:szCs w:val="16"/>
          <w:color w:val="auto"/>
        </w:rPr>
      </w:pPr>
    </w:p>
    <w:p>
      <w:pPr>
        <w:ind w:left="120" w:right="60" w:hanging="4"/>
        <w:spacing w:after="0" w:line="253" w:lineRule="auto"/>
        <w:tabs>
          <w:tab w:leader="none" w:pos="415" w:val="left"/>
        </w:tabs>
        <w:numPr>
          <w:ilvl w:val="0"/>
          <w:numId w:val="461"/>
        </w:numPr>
        <w:rPr>
          <w:rFonts w:ascii="Arial" w:cs="Arial" w:eastAsia="Arial" w:hAnsi="Arial"/>
          <w:sz w:val="18"/>
          <w:szCs w:val="18"/>
          <w:color w:val="auto"/>
        </w:rPr>
      </w:pPr>
      <w:r>
        <w:rPr>
          <w:rFonts w:ascii="Arial" w:cs="Arial" w:eastAsia="Arial" w:hAnsi="Arial"/>
          <w:sz w:val="18"/>
          <w:szCs w:val="18"/>
          <w:color w:val="auto"/>
        </w:rPr>
        <w:t>such Additional Target shall be deemed an Excluded Target and Section 2.13 shall apply to such Excluded Target and (Y) if such Excluded Target was an Unblinded Druggable/LDD Target pursuant to Section 2.8.2(a) (</w:t>
      </w:r>
      <w:r>
        <w:rPr>
          <w:rFonts w:ascii="Arial" w:cs="Arial" w:eastAsia="Arial" w:hAnsi="Arial"/>
          <w:sz w:val="18"/>
          <w:szCs w:val="18"/>
          <w:i w:val="1"/>
          <w:iCs w:val="1"/>
          <w:color w:val="auto"/>
        </w:rPr>
        <w:t>i.e.</w:t>
      </w:r>
      <w:r>
        <w:rPr>
          <w:rFonts w:ascii="Arial" w:cs="Arial" w:eastAsia="Arial" w:hAnsi="Arial"/>
          <w:sz w:val="18"/>
          <w:szCs w:val="18"/>
          <w:color w:val="auto"/>
        </w:rPr>
        <w:t>, BMS has been unblinded to such Additional Target referred to in the foregoing clause (A) but has not paid Repare the applicable Additional Target Selection Fee referred to in the foregoing clause (B)), then such Excluded Target shall be deemed a Reverted Optioned Target; or</w:t>
      </w:r>
    </w:p>
    <w:p>
      <w:pPr>
        <w:spacing w:after="0" w:line="192" w:lineRule="exact"/>
        <w:rPr>
          <w:rFonts w:ascii="Arial" w:cs="Arial" w:eastAsia="Arial" w:hAnsi="Arial"/>
          <w:sz w:val="18"/>
          <w:szCs w:val="18"/>
          <w:color w:val="auto"/>
        </w:rPr>
      </w:pPr>
    </w:p>
    <w:p>
      <w:pPr>
        <w:ind w:left="120" w:firstLine="1979"/>
        <w:spacing w:after="0" w:line="272" w:lineRule="auto"/>
        <w:tabs>
          <w:tab w:leader="none" w:pos="2503" w:val="left"/>
        </w:tabs>
        <w:numPr>
          <w:ilvl w:val="2"/>
          <w:numId w:val="461"/>
        </w:numPr>
        <w:rPr>
          <w:rFonts w:ascii="Arial" w:cs="Arial" w:eastAsia="Arial" w:hAnsi="Arial"/>
          <w:sz w:val="17"/>
          <w:szCs w:val="17"/>
          <w:color w:val="auto"/>
        </w:rPr>
      </w:pPr>
      <w:r>
        <w:rPr>
          <w:rFonts w:ascii="Arial" w:cs="Arial" w:eastAsia="Arial" w:hAnsi="Arial"/>
          <w:sz w:val="17"/>
          <w:szCs w:val="17"/>
          <w:color w:val="auto"/>
        </w:rPr>
        <w:t>BMS does not make a Further Development Election for the Primary Target from such Collaboration Campaign, then BMS may notify Repare in writing that BMS desires to unblind any Additional Target(s) from such Collaboration Campaign pursuant to Section 2.8.2(a) (to the extent it has not already done so) and start or continue (as applicable) conducting Chemistry on such Additional Target(s) and, following such notification, BMS may conduct Chemistry on such Additional Target(s) during the Additional Target Period for such Collaboration Campaign (and, for the avoidance of doubt, with respect to any unblinded Additional Target pursuant to this clause (ii), BMS shall not owe Repare an Additional Target Selection Fee pursuant to Section 2.8.2(c)(i), but shall owe an Additional Target Selection Fee pursuant to Section 2.8.2(d)(i) if BMS makes a Further Development Election for more than one Additional Target).</w:t>
      </w:r>
    </w:p>
    <w:p>
      <w:pPr>
        <w:spacing w:after="0" w:line="177" w:lineRule="exact"/>
        <w:rPr>
          <w:rFonts w:ascii="Arial" w:cs="Arial" w:eastAsia="Arial" w:hAnsi="Arial"/>
          <w:sz w:val="17"/>
          <w:szCs w:val="17"/>
          <w:color w:val="auto"/>
        </w:rPr>
      </w:pPr>
    </w:p>
    <w:p>
      <w:pPr>
        <w:jc w:val="both"/>
        <w:ind w:left="120" w:right="700" w:firstLine="1428"/>
        <w:spacing w:after="0" w:line="342" w:lineRule="auto"/>
        <w:tabs>
          <w:tab w:leader="none" w:pos="1939" w:val="left"/>
        </w:tabs>
        <w:numPr>
          <w:ilvl w:val="1"/>
          <w:numId w:val="461"/>
        </w:numPr>
        <w:rPr>
          <w:rFonts w:ascii="Arial" w:cs="Arial" w:eastAsia="Arial" w:hAnsi="Arial"/>
          <w:sz w:val="16"/>
          <w:szCs w:val="16"/>
          <w:color w:val="auto"/>
        </w:rPr>
      </w:pPr>
      <w:r>
        <w:rPr>
          <w:rFonts w:ascii="Arial" w:cs="Arial" w:eastAsia="Arial" w:hAnsi="Arial"/>
          <w:sz w:val="16"/>
          <w:szCs w:val="16"/>
          <w:color w:val="auto"/>
        </w:rPr>
        <w:t>With respect to each Additional Target from such Collaboration Campaign on which BMS is conducting Chemistry in accordance with Section 2.8.2(b) or Section 2.8.2(c), if, on or before the end of the Additional Target Period for such Collaboration Campaign:</w:t>
      </w:r>
    </w:p>
    <w:p>
      <w:pPr>
        <w:spacing w:after="0" w:line="15" w:lineRule="exact"/>
        <w:rPr>
          <w:rFonts w:ascii="Arial" w:cs="Arial" w:eastAsia="Arial" w:hAnsi="Arial"/>
          <w:sz w:val="16"/>
          <w:szCs w:val="16"/>
          <w:color w:val="auto"/>
        </w:rPr>
      </w:pPr>
    </w:p>
    <w:p>
      <w:pPr>
        <w:jc w:val="both"/>
        <w:ind w:left="120" w:right="20" w:firstLine="1979"/>
        <w:spacing w:after="0" w:line="259" w:lineRule="auto"/>
        <w:tabs>
          <w:tab w:leader="none" w:pos="2453" w:val="left"/>
        </w:tabs>
        <w:numPr>
          <w:ilvl w:val="2"/>
          <w:numId w:val="462"/>
        </w:numPr>
        <w:rPr>
          <w:rFonts w:ascii="Arial" w:cs="Arial" w:eastAsia="Arial" w:hAnsi="Arial"/>
          <w:sz w:val="18"/>
          <w:szCs w:val="18"/>
          <w:color w:val="auto"/>
        </w:rPr>
      </w:pPr>
      <w:r>
        <w:rPr>
          <w:rFonts w:ascii="Arial" w:cs="Arial" w:eastAsia="Arial" w:hAnsi="Arial"/>
          <w:sz w:val="18"/>
          <w:szCs w:val="18"/>
          <w:color w:val="auto"/>
        </w:rPr>
        <w:t>BMS makes a Further Development Election for such Additional Target and pays (A) the [***] Milestone Payment for such Additional Target pursuant to Section 9.4 and (B) if such Additional Target is the second Additional Target from such Collaboration Campaign for which BMS is making a Further Development Election, an Additional Target Selection Fee for such Additional Target pursuant to Section 9.5, then such Additional Target shall remain a Collaboration Target; or</w:t>
      </w:r>
    </w:p>
    <w:p>
      <w:pPr>
        <w:spacing w:after="0" w:line="186" w:lineRule="exact"/>
        <w:rPr>
          <w:rFonts w:ascii="Arial" w:cs="Arial" w:eastAsia="Arial" w:hAnsi="Arial"/>
          <w:sz w:val="18"/>
          <w:szCs w:val="18"/>
          <w:color w:val="auto"/>
        </w:rPr>
      </w:pPr>
    </w:p>
    <w:p>
      <w:pPr>
        <w:ind w:left="120" w:right="700" w:firstLine="1979"/>
        <w:spacing w:after="0" w:line="342" w:lineRule="auto"/>
        <w:tabs>
          <w:tab w:leader="none" w:pos="2548" w:val="left"/>
        </w:tabs>
        <w:numPr>
          <w:ilvl w:val="2"/>
          <w:numId w:val="462"/>
        </w:numPr>
        <w:rPr>
          <w:rFonts w:ascii="Arial" w:cs="Arial" w:eastAsia="Arial" w:hAnsi="Arial"/>
          <w:sz w:val="16"/>
          <w:szCs w:val="16"/>
          <w:color w:val="auto"/>
        </w:rPr>
      </w:pPr>
      <w:r>
        <w:rPr>
          <w:rFonts w:ascii="Arial" w:cs="Arial" w:eastAsia="Arial" w:hAnsi="Arial"/>
          <w:sz w:val="16"/>
          <w:szCs w:val="16"/>
          <w:color w:val="auto"/>
        </w:rPr>
        <w:t>BMS does not (A) make a Further Development Election for such Additional Target and (B) pay (I) the [***] Milestone Payment for such Additional Target pursuant to Section 9.4 and (II) if such Additional Target is the second Additional Target from</w:t>
      </w:r>
    </w:p>
    <w:p>
      <w:pPr>
        <w:spacing w:after="0" w:line="56" w:lineRule="exact"/>
        <w:rPr>
          <w:rFonts w:ascii="Arial" w:cs="Arial" w:eastAsia="Arial" w:hAnsi="Arial"/>
          <w:sz w:val="16"/>
          <w:szCs w:val="16"/>
          <w:color w:val="auto"/>
        </w:rPr>
      </w:pPr>
    </w:p>
    <w:p>
      <w:pPr>
        <w:ind w:left="5540" w:hanging="111"/>
        <w:spacing w:after="0"/>
        <w:tabs>
          <w:tab w:leader="none" w:pos="5540" w:val="left"/>
        </w:tabs>
        <w:numPr>
          <w:ilvl w:val="3"/>
          <w:numId w:val="462"/>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120"/>
          </w:cols>
          <w:pgMar w:left="320" w:top="460" w:right="459" w:bottom="1440" w:gutter="0" w:footer="0" w:header="0"/>
        </w:sectPr>
      </w:pPr>
    </w:p>
    <w:bookmarkStart w:id="713" w:name="page714"/>
    <w:bookmarkEnd w:id="7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such Collaboration Campaign for which BMS is making a Further Development Election, an Additional Target Selection Fee for such Additional Target pursuant to Section 9.5, then, effective as of the expiration of such Additional Target Period, such Additional Target shall be deemed a Reverted Optioned Target and Section 2.13 shall apply to such Reverted Optioned Target.</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u w:val="single" w:color="auto"/>
          <w:color w:val="auto"/>
        </w:rPr>
        <w:t>BMS Undruggable Target Chemistry</w:t>
      </w:r>
      <w:r>
        <w:rPr>
          <w:rFonts w:ascii="Arial" w:cs="Arial" w:eastAsia="Arial" w:hAnsi="Arial"/>
          <w:sz w:val="16"/>
          <w:szCs w:val="16"/>
          <w:color w:val="auto"/>
        </w:rPr>
        <w:t>.</w:t>
      </w:r>
    </w:p>
    <w:p>
      <w:pPr>
        <w:spacing w:after="0" w:line="225"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u w:val="single" w:color="auto"/>
          <w:color w:val="auto"/>
        </w:rPr>
        <w:t>Collaboration Undruggable Target Chemistry</w:t>
      </w:r>
      <w:r>
        <w:rPr>
          <w:rFonts w:ascii="Arial" w:cs="Arial" w:eastAsia="Arial" w:hAnsi="Arial"/>
          <w:sz w:val="16"/>
          <w:szCs w:val="16"/>
          <w:color w:val="auto"/>
        </w:rPr>
        <w:t>. On a Collaboration Undruggable Target-by-Collaboration Undruggable Target basis:</w:t>
      </w:r>
    </w:p>
    <w:p>
      <w:pPr>
        <w:spacing w:after="0" w:line="117" w:lineRule="exact"/>
        <w:rPr>
          <w:sz w:val="20"/>
          <w:szCs w:val="20"/>
          <w:color w:val="auto"/>
        </w:rPr>
      </w:pPr>
    </w:p>
    <w:p>
      <w:pPr>
        <w:ind w:left="120" w:right="340" w:firstLine="1428"/>
        <w:spacing w:after="0" w:line="311" w:lineRule="auto"/>
        <w:tabs>
          <w:tab w:leader="none" w:pos="1932" w:val="left"/>
        </w:tabs>
        <w:numPr>
          <w:ilvl w:val="1"/>
          <w:numId w:val="463"/>
        </w:numPr>
        <w:rPr>
          <w:rFonts w:ascii="Arial" w:cs="Arial" w:eastAsia="Arial" w:hAnsi="Arial"/>
          <w:sz w:val="16"/>
          <w:szCs w:val="16"/>
          <w:color w:val="auto"/>
        </w:rPr>
      </w:pPr>
      <w:r>
        <w:rPr>
          <w:rFonts w:ascii="Arial" w:cs="Arial" w:eastAsia="Arial" w:hAnsi="Arial"/>
          <w:sz w:val="16"/>
          <w:szCs w:val="16"/>
          <w:color w:val="auto"/>
        </w:rPr>
        <w:t>During the period beginning on the date on which BMS has exercised its Option with respect to such Collaboration Undruggable Target and ending [***] after such Option exercise (or at such later time as the JSC may agree upon pursuant to Section 5.2.2(l)) (each such period, a “</w:t>
      </w:r>
      <w:r>
        <w:rPr>
          <w:rFonts w:ascii="Arial" w:cs="Arial" w:eastAsia="Arial" w:hAnsi="Arial"/>
          <w:sz w:val="16"/>
          <w:szCs w:val="16"/>
          <w:u w:val="single" w:color="auto"/>
          <w:color w:val="auto"/>
        </w:rPr>
        <w:t>Collaboration Undruggable Target Chemistry Period</w:t>
      </w:r>
      <w:r>
        <w:rPr>
          <w:rFonts w:ascii="Arial" w:cs="Arial" w:eastAsia="Arial" w:hAnsi="Arial"/>
          <w:sz w:val="16"/>
          <w:szCs w:val="16"/>
          <w:color w:val="auto"/>
        </w:rPr>
        <w:t>”), BMS may conduct Chemistry on such Collaboration Undruggable Target.</w:t>
      </w:r>
    </w:p>
    <w:p>
      <w:pPr>
        <w:spacing w:after="0" w:line="148" w:lineRule="exact"/>
        <w:rPr>
          <w:rFonts w:ascii="Arial" w:cs="Arial" w:eastAsia="Arial" w:hAnsi="Arial"/>
          <w:sz w:val="16"/>
          <w:szCs w:val="16"/>
          <w:color w:val="auto"/>
        </w:rPr>
      </w:pPr>
    </w:p>
    <w:p>
      <w:pPr>
        <w:ind w:left="120" w:firstLine="1428"/>
        <w:spacing w:after="0" w:line="291" w:lineRule="auto"/>
        <w:tabs>
          <w:tab w:leader="none" w:pos="1942" w:val="left"/>
        </w:tabs>
        <w:numPr>
          <w:ilvl w:val="1"/>
          <w:numId w:val="463"/>
        </w:numPr>
        <w:rPr>
          <w:rFonts w:ascii="Arial" w:cs="Arial" w:eastAsia="Arial" w:hAnsi="Arial"/>
          <w:sz w:val="16"/>
          <w:szCs w:val="16"/>
          <w:color w:val="auto"/>
        </w:rPr>
      </w:pPr>
      <w:r>
        <w:rPr>
          <w:rFonts w:ascii="Arial" w:cs="Arial" w:eastAsia="Arial" w:hAnsi="Arial"/>
          <w:sz w:val="16"/>
          <w:szCs w:val="16"/>
          <w:color w:val="auto"/>
        </w:rPr>
        <w:t>If, on or before the end of the Collaboration Undruggable Target Chemistry Period with respect to such Collaboration Undruggable Target, BMS does not (i) make a Further Development Election with respect to such Collaboration Undruggable Target and (ii) pay (A) the</w:t>
      </w:r>
    </w:p>
    <w:p>
      <w:pPr>
        <w:ind w:left="120" w:right="220" w:hanging="4"/>
        <w:spacing w:after="0" w:line="253" w:lineRule="auto"/>
        <w:tabs>
          <w:tab w:leader="none" w:pos="555" w:val="left"/>
        </w:tabs>
        <w:numPr>
          <w:ilvl w:val="0"/>
          <w:numId w:val="463"/>
        </w:numPr>
        <w:rPr>
          <w:rFonts w:ascii="Arial" w:cs="Arial" w:eastAsia="Arial" w:hAnsi="Arial"/>
          <w:sz w:val="18"/>
          <w:szCs w:val="18"/>
          <w:color w:val="auto"/>
        </w:rPr>
      </w:pPr>
      <w:r>
        <w:rPr>
          <w:rFonts w:ascii="Arial" w:cs="Arial" w:eastAsia="Arial" w:hAnsi="Arial"/>
          <w:sz w:val="18"/>
          <w:szCs w:val="18"/>
          <w:color w:val="auto"/>
        </w:rPr>
        <w:t>Milestone Payment for such Collaboration Undruggable Target pursuant to Section 9.4 and (B) for the sixth and each subsequent Collaboration Undruggable Target for which BMS makes a Further Development Election or otherwise pays Repare pursuant to Section 9.6, the Additional Collaboration Undruggable Target Fee pursuant to Section 9.6, then, effective as of the expiration of the applicable Collaboration Undruggable Target Chemistry Period, such Collaboration Undruggable Target shall be deemed a Reverted Optioned Target and Section 2.13 shall apply to such Reverted Optioned Target.</w:t>
      </w:r>
    </w:p>
    <w:p>
      <w:pPr>
        <w:spacing w:after="0" w:line="190" w:lineRule="exact"/>
        <w:rPr>
          <w:rFonts w:ascii="Arial" w:cs="Arial" w:eastAsia="Arial" w:hAnsi="Arial"/>
          <w:sz w:val="18"/>
          <w:szCs w:val="18"/>
          <w:color w:val="auto"/>
        </w:rPr>
      </w:pPr>
    </w:p>
    <w:p>
      <w:pPr>
        <w:ind w:left="120" w:right="120" w:firstLine="1428"/>
        <w:spacing w:after="0" w:line="311" w:lineRule="auto"/>
        <w:tabs>
          <w:tab w:leader="none" w:pos="1932" w:val="left"/>
        </w:tabs>
        <w:numPr>
          <w:ilvl w:val="1"/>
          <w:numId w:val="464"/>
        </w:numPr>
        <w:rPr>
          <w:rFonts w:ascii="Arial" w:cs="Arial" w:eastAsia="Arial" w:hAnsi="Arial"/>
          <w:sz w:val="16"/>
          <w:szCs w:val="16"/>
          <w:color w:val="auto"/>
        </w:rPr>
      </w:pPr>
      <w:r>
        <w:rPr>
          <w:rFonts w:ascii="Arial" w:cs="Arial" w:eastAsia="Arial" w:hAnsi="Arial"/>
          <w:sz w:val="16"/>
          <w:szCs w:val="16"/>
          <w:color w:val="auto"/>
        </w:rPr>
        <w:t>For the avoidance of doubt, nothing set forth in this Section 2.9 or elsewhere in this Agreement shall prevent or otherwise restrict BMS or any of its Affiliates from conducting Chemistry on any Undruggable Target outside of this Agreement except for Unblinded Undruggable Targets during the Collaboration Term or Collaboration Undruggable Targets, which Chemistry shall be conducted under this Agreement.</w:t>
      </w:r>
    </w:p>
    <w:p>
      <w:pPr>
        <w:spacing w:after="0" w:line="14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Reports</w:t>
      </w:r>
      <w:r>
        <w:rPr>
          <w:rFonts w:ascii="Arial" w:cs="Arial" w:eastAsia="Arial" w:hAnsi="Arial"/>
          <w:sz w:val="16"/>
          <w:szCs w:val="16"/>
          <w:color w:val="auto"/>
        </w:rPr>
        <w:t>. On a Collaboration Target-by-Collaboration Target basis, during the period beginning on the date on which BMS makes a Further Development Election for such Collaboration Target and ending on the date on which [***] for such Collaboration Target, BMS shall provide to Repare a reasonably detailed progress report every [***] regarding the status of BMS’s and its Affiliates’ and Sublicensees’ Development activities with respect to such Collaboration Target, which include an overview of the research and other Development activities accomplished by BMS since the previous Development report with respect to such Collaboration Target. All such reports shall be the Confidential Information of BMS. If requested by Repare within [***] after receipt of such report, BMS personnel who prepared such report will meet with Repare (which may be by teleconference) to discuss any reasonable questions or comments that Repare might reasonably have on such report and BMS’s Development activities.</w:t>
      </w:r>
    </w:p>
    <w:p>
      <w:pPr>
        <w:spacing w:after="0" w:line="16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No Representation</w:t>
      </w:r>
      <w:r>
        <w:rPr>
          <w:rFonts w:ascii="Arial" w:cs="Arial" w:eastAsia="Arial" w:hAnsi="Arial"/>
          <w:sz w:val="18"/>
          <w:szCs w:val="18"/>
          <w:color w:val="auto"/>
        </w:rPr>
        <w:t>. Neither Party makes any representation, warranty, covenant or guarantee that the Collaboration will be successful, or that any other particular results will be achieved with respect to the Collaboration, any Campaign, any Druggable/LDD Target, any Undruggable Target, any Resulting Compound or any Product.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60" w:right="459" w:bottom="1440" w:gutter="0" w:footer="0" w:header="0"/>
        </w:sectPr>
      </w:pPr>
    </w:p>
    <w:bookmarkStart w:id="714" w:name="page715"/>
    <w:bookmarkEnd w:id="7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Material Transfer</w:t>
      </w:r>
      <w:r>
        <w:rPr>
          <w:rFonts w:ascii="Arial" w:cs="Arial" w:eastAsia="Arial" w:hAnsi="Arial"/>
          <w:sz w:val="16"/>
          <w:szCs w:val="16"/>
          <w:color w:val="auto"/>
        </w:rPr>
        <w:t>. During the Collaboration Term, either Party (the “</w:t>
      </w:r>
      <w:r>
        <w:rPr>
          <w:rFonts w:ascii="Arial" w:cs="Arial" w:eastAsia="Arial" w:hAnsi="Arial"/>
          <w:sz w:val="16"/>
          <w:szCs w:val="16"/>
          <w:u w:val="single" w:color="auto"/>
          <w:color w:val="auto"/>
        </w:rPr>
        <w:t>Material Receiving Party</w:t>
      </w:r>
      <w:r>
        <w:rPr>
          <w:rFonts w:ascii="Arial" w:cs="Arial" w:eastAsia="Arial" w:hAnsi="Arial"/>
          <w:sz w:val="16"/>
          <w:szCs w:val="16"/>
          <w:color w:val="auto"/>
        </w:rPr>
        <w:t>”) may request that the other Party (the “</w:t>
      </w:r>
      <w:r>
        <w:rPr>
          <w:rFonts w:ascii="Arial" w:cs="Arial" w:eastAsia="Arial" w:hAnsi="Arial"/>
          <w:sz w:val="16"/>
          <w:szCs w:val="16"/>
          <w:u w:val="single" w:color="auto"/>
          <w:color w:val="auto"/>
        </w:rPr>
        <w:t>Transferring Party</w:t>
      </w:r>
      <w:r>
        <w:rPr>
          <w:rFonts w:ascii="Arial" w:cs="Arial" w:eastAsia="Arial" w:hAnsi="Arial"/>
          <w:sz w:val="16"/>
          <w:szCs w:val="16"/>
          <w:color w:val="auto"/>
        </w:rPr>
        <w:t>”) transfer to such Material Receiving Party certain tangible materials, including compositions of matter, cells, cell lines, assays, animal models and any other physical, biological or chemical material, each to the extent related to the Collaboration (collectively, the “</w:t>
      </w:r>
      <w:r>
        <w:rPr>
          <w:rFonts w:ascii="Arial" w:cs="Arial" w:eastAsia="Arial" w:hAnsi="Arial"/>
          <w:sz w:val="16"/>
          <w:szCs w:val="16"/>
          <w:u w:val="single" w:color="auto"/>
          <w:color w:val="auto"/>
        </w:rPr>
        <w:t>Materials</w:t>
      </w:r>
      <w:r>
        <w:rPr>
          <w:rFonts w:ascii="Arial" w:cs="Arial" w:eastAsia="Arial" w:hAnsi="Arial"/>
          <w:sz w:val="16"/>
          <w:szCs w:val="16"/>
          <w:color w:val="auto"/>
        </w:rPr>
        <w:t>”) for use by the Material Receiving Party solely in furtherance of its rights and the conduct of its obligations with respect to Resulting Compounds and Products under the Collaboration. If the Transferring Party agrees in writing to make such transfer, then the Transferring Party shall make such transfer in accordance with reasonable terms mutually agreed by the Parties and set forth in an appropriate material transfer agreement. The Parties agree that the exchanged Materials shall be used in compliance with applicable Law and the terms and conditions of this Agreement and the applicable material transfer agreement, and shall not be reverse engineered or chemically analyzed, except as required for verification purposes (if needed). For clarity, this Section 2.12 shall not apply to any Deliverables, including any Materials therein, which the Parties acknowledge and agree shall be provided to BMS under and in accordance with this Agreement only and not under a separate material transfer agreement.</w:t>
      </w:r>
    </w:p>
    <w:p>
      <w:pPr>
        <w:spacing w:after="0" w:line="168"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Rights with Respect to Excluded Campaigns or Excluded Targets.</w:t>
      </w:r>
    </w:p>
    <w:p>
      <w:pPr>
        <w:spacing w:after="0" w:line="225" w:lineRule="exact"/>
        <w:rPr>
          <w:sz w:val="20"/>
          <w:szCs w:val="20"/>
          <w:color w:val="auto"/>
        </w:rPr>
      </w:pPr>
    </w:p>
    <w:p>
      <w:pPr>
        <w:ind w:left="120" w:right="60" w:firstLine="991"/>
        <w:spacing w:after="0" w:line="269" w:lineRule="auto"/>
        <w:rPr>
          <w:sz w:val="20"/>
          <w:szCs w:val="20"/>
          <w:color w:val="auto"/>
        </w:rPr>
      </w:pPr>
      <w:r>
        <w:rPr>
          <w:rFonts w:ascii="Arial" w:cs="Arial" w:eastAsia="Arial" w:hAnsi="Arial"/>
          <w:sz w:val="17"/>
          <w:szCs w:val="17"/>
          <w:color w:val="auto"/>
        </w:rPr>
        <w:t xml:space="preserve">2.13.1 </w:t>
      </w:r>
      <w:r>
        <w:rPr>
          <w:rFonts w:ascii="Arial" w:cs="Arial" w:eastAsia="Arial" w:hAnsi="Arial"/>
          <w:sz w:val="17"/>
          <w:szCs w:val="17"/>
          <w:u w:val="single" w:color="auto"/>
          <w:color w:val="auto"/>
        </w:rPr>
        <w:t>Excluded Campaigns</w:t>
      </w:r>
      <w:r>
        <w:rPr>
          <w:rFonts w:ascii="Arial" w:cs="Arial" w:eastAsia="Arial" w:hAnsi="Arial"/>
          <w:sz w:val="17"/>
          <w:szCs w:val="17"/>
          <w:color w:val="auto"/>
        </w:rPr>
        <w:t>. If Section 2.4.2, 2.5.3, 2.5.4, 2.5.8(b), 2.7.4(a), 2.13.2, 3.3 or 14.5 specifies that a Pre-Option Campaign or Collaboration Campaign shall be deemed an Excluded Campaign, then (a) all Druggable/LDD Targets that Repare has identified (</w:t>
      </w:r>
      <w:r>
        <w:rPr>
          <w:rFonts w:ascii="Arial" w:cs="Arial" w:eastAsia="Arial" w:hAnsi="Arial"/>
          <w:sz w:val="17"/>
          <w:szCs w:val="17"/>
          <w:i w:val="1"/>
          <w:iCs w:val="1"/>
          <w:color w:val="auto"/>
        </w:rPr>
        <w:t>i.e.</w:t>
      </w:r>
      <w:r>
        <w:rPr>
          <w:rFonts w:ascii="Arial" w:cs="Arial" w:eastAsia="Arial" w:hAnsi="Arial"/>
          <w:sz w:val="17"/>
          <w:szCs w:val="17"/>
          <w:color w:val="auto"/>
        </w:rPr>
        <w:t xml:space="preserve">, unblinded) to BMS as the subject of such Excluded Campaign, and that are not also the subject of any then-ongoing Pre-Option Campaign or Collaboration Campaign, shall be deemed Excluded Targets and Section 2.13.2 shall apply to such Excluded Targets, (b) such Excluded Campaign shall be excluded from the Collaboration, (c) all rights granted by Repare to BMS with respect to such Excluded Campaign shall revert to Repare, (d) BMS shall return to Repare or destroy, at Repare’s option, all Confidential Information (including all Materials) provided by Repare to BMS in relation to such Excluded Campaign in accordance with and subject to Section 11.6; </w:t>
      </w:r>
      <w:r>
        <w:rPr>
          <w:rFonts w:ascii="Arial" w:cs="Arial" w:eastAsia="Arial" w:hAnsi="Arial"/>
          <w:sz w:val="17"/>
          <w:szCs w:val="17"/>
          <w:u w:val="single" w:color="auto"/>
          <w:color w:val="auto"/>
        </w:rPr>
        <w:t>except that</w:t>
      </w:r>
      <w:r>
        <w:rPr>
          <w:rFonts w:ascii="Arial" w:cs="Arial" w:eastAsia="Arial" w:hAnsi="Arial"/>
          <w:sz w:val="17"/>
          <w:szCs w:val="17"/>
          <w:color w:val="auto"/>
        </w:rPr>
        <w:t xml:space="preserve"> BMS (including, for clarity, the Internal BMS Gatekeeper) may retain any Confidential Information (including any Materials) that also relate to any then-ongoing Pre-Option Campaign, Collaboration Campaign, Unblinded Target or Collaboration Target and (e) Repare shall no longer have any obligations under this Agreement (including under Section 8.1) with respect to such Excluded Campaign.</w:t>
      </w:r>
    </w:p>
    <w:p>
      <w:pPr>
        <w:spacing w:after="0" w:line="185" w:lineRule="exact"/>
        <w:rPr>
          <w:sz w:val="20"/>
          <w:szCs w:val="20"/>
          <w:color w:val="auto"/>
        </w:rPr>
      </w:pPr>
    </w:p>
    <w:p>
      <w:pPr>
        <w:ind w:left="120" w:right="20" w:firstLine="991"/>
        <w:spacing w:after="0" w:line="273" w:lineRule="auto"/>
        <w:rPr>
          <w:sz w:val="20"/>
          <w:szCs w:val="20"/>
          <w:color w:val="auto"/>
        </w:rPr>
      </w:pPr>
      <w:r>
        <w:rPr>
          <w:rFonts w:ascii="Arial" w:cs="Arial" w:eastAsia="Arial" w:hAnsi="Arial"/>
          <w:sz w:val="17"/>
          <w:szCs w:val="17"/>
          <w:color w:val="auto"/>
        </w:rPr>
        <w:t xml:space="preserve">2.13.2 </w:t>
      </w:r>
      <w:r>
        <w:rPr>
          <w:rFonts w:ascii="Arial" w:cs="Arial" w:eastAsia="Arial" w:hAnsi="Arial"/>
          <w:sz w:val="17"/>
          <w:szCs w:val="17"/>
          <w:u w:val="single" w:color="auto"/>
          <w:color w:val="auto"/>
        </w:rPr>
        <w:t>Excluded Targets</w:t>
      </w:r>
      <w:r>
        <w:rPr>
          <w:rFonts w:ascii="Arial" w:cs="Arial" w:eastAsia="Arial" w:hAnsi="Arial"/>
          <w:sz w:val="17"/>
          <w:szCs w:val="17"/>
          <w:color w:val="auto"/>
        </w:rPr>
        <w:t xml:space="preserve">. If Section 2.6.3(b), 2.7.4, 2.8.1(b), 2.8.2(a), 2.8.2(c)(i), 2.8.2(d)(ii), 2.9.1(b), 2.13.1, 3.3 or 14.5 specifies that a Target shall be deemed an Excluded Target, then (a) such Excluded Target shall be excluded from the Collaboration, (b) all rights granted by Repare to BMS with respect to such Excluded Target shall revert to Repare, (c) BMS shall return to Repare or destroy, at Repare’s option, all Confidential Information (including all Materials) provided by Repare to BMS in relation to such Excluded Target in accordance with and subject to Section 11.6; </w:t>
      </w:r>
      <w:r>
        <w:rPr>
          <w:rFonts w:ascii="Arial" w:cs="Arial" w:eastAsia="Arial" w:hAnsi="Arial"/>
          <w:sz w:val="17"/>
          <w:szCs w:val="17"/>
          <w:u w:val="single" w:color="auto"/>
          <w:color w:val="auto"/>
        </w:rPr>
        <w:t>except that</w:t>
      </w:r>
      <w:r>
        <w:rPr>
          <w:rFonts w:ascii="Arial" w:cs="Arial" w:eastAsia="Arial" w:hAnsi="Arial"/>
          <w:sz w:val="17"/>
          <w:szCs w:val="17"/>
          <w:color w:val="auto"/>
        </w:rPr>
        <w:t xml:space="preserve"> BMS (including, for clarity, the Internal BMS Gatekeeper) may retain any Confidential Information (including any Materials) that also relate to a then-ongoing Pre-Option Campaign or Collaboration Target, (d) Repare shall no longer have any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60" w:right="459" w:bottom="1440" w:gutter="0" w:footer="0" w:header="0"/>
        </w:sectPr>
      </w:pPr>
    </w:p>
    <w:bookmarkStart w:id="715" w:name="page716"/>
    <w:bookmarkEnd w:id="7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 xml:space="preserve">obligations under this Agreement (except as set forth in Section 8.1.2) with respect to such Excluded Target, (e) if (i) as a result of such Target becoming an Excluded Target, there are no longer any Primary Targets, Additional Targets, Unblinded Targets or Collaboration Targets from any given Pre-Option Campaign or Collaboration Campaign and (ii) as to Pre-Option Campaigns, Repare is not, at such time, conducting Initial Screening, Hit Confirmation, </w:t>
      </w:r>
      <w:r>
        <w:rPr>
          <w:rFonts w:ascii="Arial" w:cs="Arial" w:eastAsia="Arial" w:hAnsi="Arial"/>
          <w:sz w:val="18"/>
          <w:szCs w:val="18"/>
          <w:i w:val="1"/>
          <w:iCs w:val="1"/>
          <w:color w:val="auto"/>
        </w:rPr>
        <w:t xml:space="preserve">In Vitro </w:t>
      </w:r>
      <w:r>
        <w:rPr>
          <w:rFonts w:ascii="Arial" w:cs="Arial" w:eastAsia="Arial" w:hAnsi="Arial"/>
          <w:sz w:val="18"/>
          <w:szCs w:val="18"/>
          <w:color w:val="auto"/>
        </w:rPr>
        <w:t>Validation Activities or</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Validation Activities with respect to such Pre-Option Campaign, then such Pre-Option Campaign or</w:t>
      </w:r>
      <w:r>
        <w:rPr>
          <w:rFonts w:ascii="Arial" w:cs="Arial" w:eastAsia="Arial" w:hAnsi="Arial"/>
          <w:sz w:val="18"/>
          <w:szCs w:val="18"/>
          <w:i w:val="1"/>
          <w:iCs w:val="1"/>
          <w:color w:val="auto"/>
        </w:rPr>
        <w:t xml:space="preserve"> </w:t>
      </w:r>
      <w:r>
        <w:rPr>
          <w:rFonts w:ascii="Arial" w:cs="Arial" w:eastAsia="Arial" w:hAnsi="Arial"/>
          <w:sz w:val="18"/>
          <w:szCs w:val="18"/>
          <w:color w:val="auto"/>
        </w:rPr>
        <w:t>Collaboration Campaign (as applicable) shall be deemed an Excluded Campaign and Section 2.13.1 shall apply to such Excluded Campaign and (f) if such Excluded Target is a formerly Unblinded Target, then (i) if BMS did not exercise its Option with respect to such Excluded Target, such Excluded Target shall be deemed a Reverted Non-Optioned Target, (ii) if BMS exercised its Option with respect to such Excluded Target, such Excluded Target shall be deemed a Reverted Optioned Target and (iii) this Agreement shall be deemed to have been terminated pursuant to Section 14.2 with respect to such Excluded Target.</w:t>
      </w:r>
    </w:p>
    <w:p>
      <w:pPr>
        <w:spacing w:after="0" w:line="196"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2.13.3</w:t>
      </w:r>
      <w:r>
        <w:rPr>
          <w:sz w:val="20"/>
          <w:szCs w:val="20"/>
          <w:color w:val="auto"/>
        </w:rPr>
        <w:tab/>
      </w:r>
      <w:r>
        <w:rPr>
          <w:rFonts w:ascii="Arial" w:cs="Arial" w:eastAsia="Arial" w:hAnsi="Arial"/>
          <w:sz w:val="16"/>
          <w:szCs w:val="16"/>
          <w:u w:val="single" w:color="auto"/>
          <w:color w:val="auto"/>
        </w:rPr>
        <w:t>Reinstated Targets</w:t>
      </w:r>
      <w:r>
        <w:rPr>
          <w:rFonts w:ascii="Arial" w:cs="Arial" w:eastAsia="Arial" w:hAnsi="Arial"/>
          <w:sz w:val="16"/>
          <w:szCs w:val="16"/>
          <w:color w:val="auto"/>
        </w:rPr>
        <w:t>. On an Excluded Target-by-Excluded Target basis:</w:t>
      </w:r>
    </w:p>
    <w:p>
      <w:pPr>
        <w:spacing w:after="0" w:line="117" w:lineRule="exact"/>
        <w:rPr>
          <w:sz w:val="20"/>
          <w:szCs w:val="20"/>
          <w:color w:val="auto"/>
        </w:rPr>
      </w:pPr>
    </w:p>
    <w:p>
      <w:pPr>
        <w:ind w:left="120" w:right="120" w:firstLine="1428"/>
        <w:spacing w:after="0" w:line="291" w:lineRule="auto"/>
        <w:tabs>
          <w:tab w:leader="none" w:pos="1932" w:val="left"/>
        </w:tabs>
        <w:numPr>
          <w:ilvl w:val="1"/>
          <w:numId w:val="465"/>
        </w:numPr>
        <w:rPr>
          <w:rFonts w:ascii="Arial" w:cs="Arial" w:eastAsia="Arial" w:hAnsi="Arial"/>
          <w:sz w:val="16"/>
          <w:szCs w:val="16"/>
          <w:color w:val="auto"/>
        </w:rPr>
      </w:pPr>
      <w:r>
        <w:rPr>
          <w:rFonts w:ascii="Arial" w:cs="Arial" w:eastAsia="Arial" w:hAnsi="Arial"/>
          <w:sz w:val="16"/>
          <w:szCs w:val="16"/>
          <w:color w:val="auto"/>
        </w:rPr>
        <w:t>If, at any time during the Economics Bearing Term for such Excluded Target, (i) BMS desires to conduct any Development or Commercialization of any compound or product that is Directed to such Excluded Target and (ii) if such Excluded Target is a Druggable/LDD Target,</w:t>
      </w:r>
    </w:p>
    <w:p>
      <w:pPr>
        <w:ind w:left="120" w:right="120" w:hanging="4"/>
        <w:spacing w:after="0" w:line="253" w:lineRule="auto"/>
        <w:tabs>
          <w:tab w:leader="none" w:pos="415"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there are, at such time, [***] or fewer Collaboration Druggable/LDD Targets and (B) either (I) such Excluded Druggable/LDD Target is Synthetic Lethal against the Campaign Lesion(s) that are the subject of a then-existing Pre-Option Campaign or Collaboration Campaign or (II) there are, at such time, [***] or fewer Primary Campaigns and Collaboration Campaigns, in aggregate, then BMS shall notify Repare in writing that BMS desires to convert such Excluded Target into a Collaboration Target.</w:t>
      </w:r>
    </w:p>
    <w:p>
      <w:pPr>
        <w:spacing w:after="0" w:line="192" w:lineRule="exact"/>
        <w:rPr>
          <w:rFonts w:ascii="Arial" w:cs="Arial" w:eastAsia="Arial" w:hAnsi="Arial"/>
          <w:sz w:val="18"/>
          <w:szCs w:val="18"/>
          <w:color w:val="auto"/>
        </w:rPr>
      </w:pPr>
    </w:p>
    <w:p>
      <w:pPr>
        <w:ind w:left="120" w:right="60" w:firstLine="1428"/>
        <w:spacing w:after="0" w:line="255" w:lineRule="auto"/>
        <w:tabs>
          <w:tab w:leader="none" w:pos="1939" w:val="left"/>
        </w:tabs>
        <w:numPr>
          <w:ilvl w:val="1"/>
          <w:numId w:val="466"/>
        </w:numPr>
        <w:rPr>
          <w:rFonts w:ascii="Arial" w:cs="Arial" w:eastAsia="Arial" w:hAnsi="Arial"/>
          <w:sz w:val="18"/>
          <w:szCs w:val="18"/>
          <w:color w:val="auto"/>
        </w:rPr>
      </w:pPr>
      <w:r>
        <w:rPr>
          <w:rFonts w:ascii="Arial" w:cs="Arial" w:eastAsia="Arial" w:hAnsi="Arial"/>
          <w:sz w:val="18"/>
          <w:szCs w:val="18"/>
          <w:color w:val="auto"/>
        </w:rPr>
        <w:t xml:space="preserve">Within [***] after receiving any notice under Section 2.13.3(a) with respect to such Excluded Target, Repare shall notify BMS in writing whether, at such time, (i) Repare or any of its Affiliates has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ongoing and active Development program with respect to, or a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identified interest in, such Excluded Target, as evidenced by contemporaneous written records (which records, at the request of BMS,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to the Third Party Gatekeeper for verification purposes), or (ii) Repare or any of its Affiliates has partnered with any Third Party as a party to an out-license, co-development or co-commercialization agreement granting rights with respect to such Excluded Target, as evidenced by contemporaneous written records.</w:t>
      </w:r>
    </w:p>
    <w:p>
      <w:pPr>
        <w:spacing w:after="0" w:line="192" w:lineRule="exact"/>
        <w:rPr>
          <w:rFonts w:ascii="Arial" w:cs="Arial" w:eastAsia="Arial" w:hAnsi="Arial"/>
          <w:sz w:val="18"/>
          <w:szCs w:val="18"/>
          <w:color w:val="auto"/>
        </w:rPr>
      </w:pPr>
    </w:p>
    <w:p>
      <w:pPr>
        <w:ind w:left="120" w:right="80" w:firstLine="1428"/>
        <w:spacing w:after="0" w:line="263" w:lineRule="auto"/>
        <w:tabs>
          <w:tab w:leader="none" w:pos="1932" w:val="left"/>
        </w:tabs>
        <w:numPr>
          <w:ilvl w:val="1"/>
          <w:numId w:val="466"/>
        </w:numPr>
        <w:rPr>
          <w:rFonts w:ascii="Arial" w:cs="Arial" w:eastAsia="Arial" w:hAnsi="Arial"/>
          <w:sz w:val="18"/>
          <w:szCs w:val="18"/>
          <w:color w:val="auto"/>
        </w:rPr>
      </w:pPr>
      <w:r>
        <w:rPr>
          <w:rFonts w:ascii="Arial" w:cs="Arial" w:eastAsia="Arial" w:hAnsi="Arial"/>
          <w:sz w:val="18"/>
          <w:szCs w:val="18"/>
          <w:color w:val="auto"/>
        </w:rPr>
        <w:t xml:space="preserve">If Repare notifies BMS that neither Repare nor any of its Affiliates has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ongoing and active Development program for, or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identified interest in, and neither Repare nor any of its Affiliates has partnered with any Third Party (as set forth in Section 2.13.3(b)) with respect to, such Excluded Target, then:</w:t>
      </w:r>
    </w:p>
    <w:p>
      <w:pPr>
        <w:spacing w:after="0" w:line="75" w:lineRule="exact"/>
        <w:rPr>
          <w:rFonts w:ascii="Arial" w:cs="Arial" w:eastAsia="Arial" w:hAnsi="Arial"/>
          <w:sz w:val="18"/>
          <w:szCs w:val="18"/>
          <w:color w:val="auto"/>
        </w:rPr>
      </w:pPr>
    </w:p>
    <w:p>
      <w:pPr>
        <w:ind w:left="120" w:right="500" w:firstLine="1979"/>
        <w:spacing w:after="0" w:line="277" w:lineRule="auto"/>
        <w:tabs>
          <w:tab w:leader="none" w:pos="2453" w:val="left"/>
        </w:tabs>
        <w:numPr>
          <w:ilvl w:val="2"/>
          <w:numId w:val="466"/>
        </w:numPr>
        <w:rPr>
          <w:rFonts w:ascii="Arial" w:cs="Arial" w:eastAsia="Arial" w:hAnsi="Arial"/>
          <w:sz w:val="18"/>
          <w:szCs w:val="18"/>
          <w:color w:val="auto"/>
        </w:rPr>
      </w:pPr>
      <w:r>
        <w:rPr>
          <w:rFonts w:ascii="Arial" w:cs="Arial" w:eastAsia="Arial" w:hAnsi="Arial"/>
          <w:sz w:val="18"/>
          <w:szCs w:val="18"/>
          <w:color w:val="auto"/>
        </w:rPr>
        <w:t>effective as of BMS’s receipt of such notice, such Excluded Target shall automatically be deemed a Collaboration Druggable Target, Collaboration LDD Target or Collaboration Undruggable Target, as applicable;</w:t>
      </w:r>
    </w:p>
    <w:p>
      <w:pPr>
        <w:spacing w:after="0" w:line="170" w:lineRule="exact"/>
        <w:rPr>
          <w:rFonts w:ascii="Arial" w:cs="Arial" w:eastAsia="Arial" w:hAnsi="Arial"/>
          <w:sz w:val="18"/>
          <w:szCs w:val="18"/>
          <w:color w:val="auto"/>
        </w:rPr>
      </w:pPr>
    </w:p>
    <w:p>
      <w:pPr>
        <w:ind w:left="120" w:right="440" w:firstLine="1979"/>
        <w:spacing w:after="0" w:line="277" w:lineRule="auto"/>
        <w:tabs>
          <w:tab w:leader="none" w:pos="2503" w:val="left"/>
        </w:tabs>
        <w:numPr>
          <w:ilvl w:val="2"/>
          <w:numId w:val="466"/>
        </w:numPr>
        <w:rPr>
          <w:rFonts w:ascii="Arial" w:cs="Arial" w:eastAsia="Arial" w:hAnsi="Arial"/>
          <w:sz w:val="18"/>
          <w:szCs w:val="18"/>
          <w:color w:val="auto"/>
        </w:rPr>
      </w:pPr>
      <w:r>
        <w:rPr>
          <w:rFonts w:ascii="Arial" w:cs="Arial" w:eastAsia="Arial" w:hAnsi="Arial"/>
          <w:sz w:val="18"/>
          <w:szCs w:val="18"/>
          <w:color w:val="auto"/>
        </w:rPr>
        <w:t>if such Collaboration Target (A) is a Druggable/LDD Target, (B) is not Synthetic Lethal against the Collaboration Campaign Lesion(s) that are the subject of</w:t>
      </w:r>
    </w:p>
    <w:p>
      <w:pPr>
        <w:spacing w:after="0" w:line="102" w:lineRule="exact"/>
        <w:rPr>
          <w:rFonts w:ascii="Arial" w:cs="Arial" w:eastAsia="Arial" w:hAnsi="Arial"/>
          <w:sz w:val="18"/>
          <w:szCs w:val="18"/>
          <w:color w:val="auto"/>
        </w:rPr>
      </w:pPr>
    </w:p>
    <w:p>
      <w:pPr>
        <w:ind w:left="5540" w:hanging="111"/>
        <w:spacing w:after="0"/>
        <w:tabs>
          <w:tab w:leader="none" w:pos="5540" w:val="left"/>
        </w:tabs>
        <w:numPr>
          <w:ilvl w:val="3"/>
          <w:numId w:val="466"/>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120"/>
          </w:cols>
          <w:pgMar w:left="320" w:top="460" w:right="459" w:bottom="1440" w:gutter="0" w:footer="0" w:header="0"/>
        </w:sectPr>
      </w:pPr>
    </w:p>
    <w:bookmarkStart w:id="716" w:name="page717"/>
    <w:bookmarkEnd w:id="7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any Collaboration Campaign and (C) is Synthetic Lethal against the Campaign Lesion(s) that are the subject of an Excluded Campaign or Pre-Option Campaign, then, effective as of such notice, such Excluded Campaign or Pre-Option Campaign (as applicable) shall automatically be deemed a Collaboration Campaign; and</w:t>
      </w:r>
    </w:p>
    <w:p>
      <w:pPr>
        <w:spacing w:after="0" w:line="184" w:lineRule="exact"/>
        <w:rPr>
          <w:sz w:val="20"/>
          <w:szCs w:val="20"/>
          <w:color w:val="auto"/>
        </w:rPr>
      </w:pPr>
    </w:p>
    <w:p>
      <w:pPr>
        <w:ind w:left="120" w:right="60" w:firstLine="1979"/>
        <w:spacing w:after="0" w:line="263" w:lineRule="auto"/>
        <w:tabs>
          <w:tab w:leader="none" w:pos="2553" w:val="left"/>
        </w:tabs>
        <w:numPr>
          <w:ilvl w:val="0"/>
          <w:numId w:val="467"/>
        </w:numPr>
        <w:rPr>
          <w:rFonts w:ascii="Arial" w:cs="Arial" w:eastAsia="Arial" w:hAnsi="Arial"/>
          <w:sz w:val="18"/>
          <w:szCs w:val="18"/>
          <w:color w:val="auto"/>
        </w:rPr>
      </w:pPr>
      <w:r>
        <w:rPr>
          <w:rFonts w:ascii="Arial" w:cs="Arial" w:eastAsia="Arial" w:hAnsi="Arial"/>
          <w:sz w:val="18"/>
          <w:szCs w:val="18"/>
          <w:color w:val="auto"/>
        </w:rPr>
        <w:t>within [***] after BMS receives such notice, BMS shall pay to Repare the applicable Option Exercise Fee to the extent unpaid that would have been owed to Repare to date under this Agreement with respect to such Collaboration Target if such Collaboration Target had never been an Excluded Target, pursuant to Section 9.3.</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HSR/ANTITRUST FILINGS</w:t>
      </w:r>
    </w:p>
    <w:p>
      <w:pPr>
        <w:spacing w:after="0" w:line="21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Efforts</w:t>
      </w:r>
      <w:r>
        <w:rPr>
          <w:rFonts w:ascii="Arial" w:cs="Arial" w:eastAsia="Arial" w:hAnsi="Arial"/>
          <w:sz w:val="18"/>
          <w:szCs w:val="18"/>
          <w:color w:val="auto"/>
        </w:rPr>
        <w:t>. Each of Repare and BMS will use its commercially reasonable good faith efforts, to the extent applicable with respect to the transactions contemplated by any Option exercise under this Agreement, to obtain the expiration or termination of the applicable waiting period under the HSR Act, and to obtain the termination or expiration of any other applicable waiting periods or any necessary approvals or consents under any other applicable Antitrust Law, at the earliest possible date of filing. [***].</w:t>
      </w:r>
    </w:p>
    <w:p>
      <w:pPr>
        <w:spacing w:after="0" w:line="187"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HSR/Antitrust Filings</w:t>
      </w:r>
      <w:r>
        <w:rPr>
          <w:rFonts w:ascii="Arial" w:cs="Arial" w:eastAsia="Arial" w:hAnsi="Arial"/>
          <w:sz w:val="17"/>
          <w:szCs w:val="17"/>
          <w:color w:val="auto"/>
        </w:rPr>
        <w:t>. Concurrent with any notice by BMS of its intent to exercise any Option, BMS shall inform Repare in writing whether BMS has concluded that the fair market value of the licenses to be acquired pursuant to such Option exercise, determined in accordance with 16 C.F.R. § 801.10, crosses the applicable filing threshold of the HSR Act. Each of Repare and BMS will, within [***] after the notice of any intent to exercise any Option (or such later time as may be agreed to in writing by the Parties) file with the U.S. Federal Trade Commission (“</w:t>
      </w:r>
      <w:r>
        <w:rPr>
          <w:rFonts w:ascii="Arial" w:cs="Arial" w:eastAsia="Arial" w:hAnsi="Arial"/>
          <w:sz w:val="17"/>
          <w:szCs w:val="17"/>
          <w:u w:val="single" w:color="auto"/>
          <w:color w:val="auto"/>
        </w:rPr>
        <w:t>FTC</w:t>
      </w:r>
      <w:r>
        <w:rPr>
          <w:rFonts w:ascii="Arial" w:cs="Arial" w:eastAsia="Arial" w:hAnsi="Arial"/>
          <w:sz w:val="17"/>
          <w:szCs w:val="17"/>
          <w:color w:val="auto"/>
        </w:rPr>
        <w:t>”) and the Antitrust Division of the U.S. Department of Justice (“</w:t>
      </w:r>
      <w:r>
        <w:rPr>
          <w:rFonts w:ascii="Arial" w:cs="Arial" w:eastAsia="Arial" w:hAnsi="Arial"/>
          <w:sz w:val="17"/>
          <w:szCs w:val="17"/>
          <w:u w:val="single" w:color="auto"/>
          <w:color w:val="auto"/>
        </w:rPr>
        <w:t>DOJ</w:t>
      </w:r>
      <w:r>
        <w:rPr>
          <w:rFonts w:ascii="Arial" w:cs="Arial" w:eastAsia="Arial" w:hAnsi="Arial"/>
          <w:sz w:val="17"/>
          <w:szCs w:val="17"/>
          <w:color w:val="auto"/>
        </w:rPr>
        <w:t>”) any HSR/Antitrust Filing required of it under the HSR Act should the filing threshold be crossed and, as soon as practicable, file with the appropriate Governmental Authority any other HSR/Antitrust Filing required of it under any other Antitrust Law as determined in the reasonable opinion of either Party with respect to the transactions contemplated by such Option exercise. The Parties shall cooperate with one another to the extent necessary in the preparation of any such HSR/Antitrust Filing. [***] all fees (other than penalties that may be incurred as a result of actions or omissions on the part of a Party, which penalties shall be the sole financial responsibility of such Party), required to be paid to any Governmental Authority in connection with making any such HSR/Antitrust Filing. Each Party shall be responsible for all other costs, expenses and filing fees incurred by such Party in connection with any HSR/Antitrust Filing. In the event that the Parties make an HSR/Antitrust Filing under this ARTICLE III, the relevant Option exercise shall terminate (a) at the election of either Party, immediately upon notice to the other Party, in the event that the FTC, DOJ or other Governmental Authority obtains a preliminary injunction or final order under Antitrust Law enjoining the transactions contemplated by such Option exercise, or (b) at the election of either Party, immediately upon notice to the other Party, in the event that the Antitrust Clearance Date shall not have occurred on or prior to [***] after the effective date of the last HSR/Antitrust Filing submitted to a Governmental Authority in relation to such Option exercise (or such later time as may be agreed to in writing by the Parties. Notwithstanding anything to the contrary contained herein, except for the terms and conditions of this ARTICLE III, none of the terms and conditions resulting from any Option exercise shall be effective until the later of (i) the date of such Option</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60" w:right="459" w:bottom="1440" w:gutter="0" w:footer="0" w:header="0"/>
        </w:sectPr>
      </w:pPr>
    </w:p>
    <w:bookmarkStart w:id="717" w:name="page718"/>
    <w:bookmarkEnd w:id="7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exercise, (ii) if a determination is made pursuant to this ARTICLE III that an HSR/Antitrust Filing is not required to be made under any Antitrust Law for such Option exercise, the date of such determination, or (iii) if a determination is made pursuant to this ARTICLE III that an HSR/Antitrust Filing is required to be made under any Antitrust Law for such Option exercise, the applicable Antitrust Clearance Date. As used herein: (x) “</w:t>
      </w:r>
      <w:r>
        <w:rPr>
          <w:rFonts w:ascii="Arial" w:cs="Arial" w:eastAsia="Arial" w:hAnsi="Arial"/>
          <w:sz w:val="17"/>
          <w:szCs w:val="17"/>
          <w:u w:val="single" w:color="auto"/>
          <w:color w:val="auto"/>
        </w:rPr>
        <w:t>Antitrust Clearance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means the earliest date on which the Parties have actual knowledge that all applicable waiting periods under the HSR Act and any comparable waiting periods, approvals or clearances, as applicable, as required under any other Antitrust Law, in each case, with respect to the transactions contemplated by the relevant Option exercise, have expired, have been terminated or have been obtained, as applicable; and (y) “</w:t>
      </w:r>
      <w:r>
        <w:rPr>
          <w:rFonts w:ascii="Arial" w:cs="Arial" w:eastAsia="Arial" w:hAnsi="Arial"/>
          <w:sz w:val="17"/>
          <w:szCs w:val="17"/>
          <w:u w:val="single" w:color="auto"/>
          <w:color w:val="auto"/>
        </w:rPr>
        <w:t>HSR/Antitrust Filing</w:t>
      </w:r>
      <w:r>
        <w:rPr>
          <w:rFonts w:ascii="Arial" w:cs="Arial" w:eastAsia="Arial" w:hAnsi="Arial"/>
          <w:sz w:val="17"/>
          <w:szCs w:val="17"/>
          <w:color w:val="auto"/>
        </w:rPr>
        <w:t>” means (i) a filing by Repare and BMS with the FTC and the DOJ of a Notification and Report Form for Certain Mergers and Acquisitions, together with all required documentary attachments thereto or (ii) any comparable filing by Repare or BMS required under any other Antitrust Law, in each case ((i) and (ii)), with respect to the transactions contemplated by any applicable Option exercise.</w:t>
      </w:r>
    </w:p>
    <w:p>
      <w:pPr>
        <w:spacing w:after="0" w:line="181"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u w:val="single" w:color="auto"/>
          <w:color w:val="auto"/>
        </w:rPr>
        <w:t>Information Exchange</w:t>
      </w:r>
      <w:r>
        <w:rPr>
          <w:rFonts w:ascii="Arial" w:cs="Arial" w:eastAsia="Arial" w:hAnsi="Arial"/>
          <w:sz w:val="17"/>
          <w:szCs w:val="17"/>
          <w:color w:val="auto"/>
        </w:rPr>
        <w:t xml:space="preserve">. Each of Repare and BMS will, in connection with any HSR/Antitrust Filing, (a) reasonably cooperate with each other in connection with any communication, filing or submission and in connection with any investigation or other inquiry, including any proceeding initiated by a private party; (b) keep the other Party or its counsel informed of any substantive communication received by such Party from, or given by such Party to, the FTC, the DOJ or any other U.S. or other Governmental Authority and of any communication received or given in connection with any proceeding by a private party, in each case regarding the transactions contemplated by any Option exercise; (c) consult with each other in advance of any meeting or conference with the FTC, the DOJ or any other Governmental Authority or, in connection with any proceeding by a private party, with any other Person, and to the extent permitted by the FTC, the DOJ or such other Governmental Authority or other Person, give the Parties or their counsel the opportunity to attend and participate in such meetings and conferences; and (d) to the extent practicable, permit the other Party or its counsel to review in advance any submission, filing or communication (and documents submitted therewith) intended to be given by it to the FTC, the DOJ or any other Governmental Authority;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materials may be redacted to remove references concerning the valuation of the business of Repare or other sensitive information; </w:t>
      </w:r>
      <w:r>
        <w:rPr>
          <w:rFonts w:ascii="Arial" w:cs="Arial" w:eastAsia="Arial" w:hAnsi="Arial"/>
          <w:sz w:val="17"/>
          <w:szCs w:val="17"/>
          <w:u w:val="single" w:color="auto"/>
          <w:color w:val="auto"/>
        </w:rPr>
        <w:t>provided, further, however, that</w:t>
      </w:r>
      <w:r>
        <w:rPr>
          <w:rFonts w:ascii="Arial" w:cs="Arial" w:eastAsia="Arial" w:hAnsi="Arial"/>
          <w:sz w:val="17"/>
          <w:szCs w:val="17"/>
          <w:color w:val="auto"/>
        </w:rPr>
        <w:t xml:space="preserve"> any substantive oral or written communications to the FTC, the DOJ or any other Governmental Authority shall be approved in advance by the Parties. Repare and BMS, as each deems advisable and necessary, may reasonably designate any competitively sensitive material to be provided to the other under this ARTICLE III as “</w:t>
      </w:r>
      <w:r>
        <w:rPr>
          <w:rFonts w:ascii="Arial" w:cs="Arial" w:eastAsia="Arial" w:hAnsi="Arial"/>
          <w:sz w:val="17"/>
          <w:szCs w:val="17"/>
          <w:u w:val="single" w:color="auto"/>
          <w:color w:val="auto"/>
        </w:rPr>
        <w:t>Antitrust Counsel Only Material</w:t>
      </w:r>
      <w:r>
        <w:rPr>
          <w:rFonts w:ascii="Arial" w:cs="Arial" w:eastAsia="Arial" w:hAnsi="Arial"/>
          <w:sz w:val="17"/>
          <w:szCs w:val="17"/>
          <w:color w:val="auto"/>
        </w:rPr>
        <w:t>.” Such materials and the information contained therein shall be given only to the outside antitrust counsel of the recipient and will not be disclosed by such outside counsel to employees, officers or directors of the recipient unless express permission is obtained in advance from the source of the materials (Repare or BMS, as the case may be) or its legal counsel.</w:t>
      </w:r>
    </w:p>
    <w:p>
      <w:pPr>
        <w:spacing w:after="0" w:line="180" w:lineRule="exact"/>
        <w:rPr>
          <w:sz w:val="20"/>
          <w:szCs w:val="20"/>
          <w:color w:val="auto"/>
        </w:rPr>
      </w:pPr>
    </w:p>
    <w:p>
      <w:pPr>
        <w:jc w:val="center"/>
        <w:ind w:left="440"/>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 Further Obligations</w:t>
      </w:r>
      <w:r>
        <w:rPr>
          <w:rFonts w:ascii="Arial" w:cs="Arial" w:eastAsia="Arial" w:hAnsi="Arial"/>
          <w:sz w:val="16"/>
          <w:szCs w:val="16"/>
          <w:color w:val="auto"/>
        </w:rPr>
        <w:t>. If any Option exercise is terminated pursuant to this ARTICLE III, then, notwithstanding any provision in this Agreement to the contrary, (a) no Party shall have any further obligation to the other Party with respect to the subject matter of such Option exercise and</w:t>
      </w:r>
    </w:p>
    <w:p>
      <w:pPr>
        <w:ind w:left="380" w:hanging="264"/>
        <w:spacing w:after="0"/>
        <w:tabs>
          <w:tab w:leader="none" w:pos="38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rights to the applicable Target or Lesion shall be treated in accordance with Section 2.13.</w:t>
      </w:r>
    </w:p>
    <w:p>
      <w:pPr>
        <w:spacing w:after="0" w:line="143" w:lineRule="exact"/>
        <w:rPr>
          <w:rFonts w:ascii="Arial" w:cs="Arial" w:eastAsia="Arial" w:hAnsi="Arial"/>
          <w:sz w:val="18"/>
          <w:szCs w:val="18"/>
          <w:color w:val="auto"/>
        </w:rPr>
      </w:pPr>
    </w:p>
    <w:p>
      <w:pPr>
        <w:ind w:left="5540" w:hanging="111"/>
        <w:spacing w:after="0"/>
        <w:tabs>
          <w:tab w:leader="none" w:pos="554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100"/>
          </w:cols>
          <w:pgMar w:left="320" w:top="460" w:right="479" w:bottom="1440" w:gutter="0" w:footer="0" w:header="0"/>
        </w:sectPr>
      </w:pPr>
    </w:p>
    <w:bookmarkStart w:id="718" w:name="page719"/>
    <w:bookmarkEnd w:id="7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DEVELOPMENT, MANUFACTURING AND COMMERCIALIZATION</w:t>
      </w:r>
    </w:p>
    <w:p>
      <w:pPr>
        <w:spacing w:after="0" w:line="21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Responsibility and Ownership</w:t>
      </w:r>
      <w:r>
        <w:rPr>
          <w:rFonts w:ascii="Arial" w:cs="Arial" w:eastAsia="Arial" w:hAnsi="Arial"/>
          <w:sz w:val="17"/>
          <w:szCs w:val="17"/>
          <w:color w:val="auto"/>
        </w:rPr>
        <w:t>. Subject to the terms of this Agreement, on a Collaboration Target-by-Collaboration Target basis, from and after BMS</w:t>
      </w:r>
      <w:r>
        <w:rPr>
          <w:rFonts w:ascii="Arial" w:cs="Arial" w:eastAsia="Arial" w:hAnsi="Arial"/>
          <w:sz w:val="17"/>
          <w:szCs w:val="17"/>
          <w:u w:val="single" w:color="auto"/>
          <w:color w:val="auto"/>
        </w:rPr>
        <w:t>’</w:t>
      </w:r>
      <w:r>
        <w:rPr>
          <w:rFonts w:ascii="Arial" w:cs="Arial" w:eastAsia="Arial" w:hAnsi="Arial"/>
          <w:sz w:val="17"/>
          <w:szCs w:val="17"/>
          <w:color w:val="auto"/>
        </w:rPr>
        <w:t>s exercise of its Option with respect to such Collaboration Target, (a) BMS will be solely responsible, directly or through its Affiliates and Sublicensees, at BMS’s sole expense, for all Development, Regulatory Interactions, Manufacturing and Commercialization activities with respect to Resulting Compounds and Products that are Directed to such Collaboration Target, (b) except for certain decisions made by the JSC pursuant to Section 5.2 relating to Development activities undertaken pursuant to the Research Plan prior to the exercise of an Option, BMS will have sole decision-making authority with respect to the activities described in the foregoing clause (a), and (c) as between the Parties, BMS will own all clinical data, regulatory filings (including INDs) and Regulatory Approvals with respect to all Resulting Compounds and Products that are Directed to such Collaboration Target arising from the conduct of the activities described in the foregoing clause (a).</w:t>
      </w:r>
    </w:p>
    <w:p>
      <w:pPr>
        <w:spacing w:after="0" w:line="178"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Diligence.</w:t>
      </w:r>
      <w:r>
        <w:rPr>
          <w:rFonts w:ascii="Arial" w:cs="Arial" w:eastAsia="Arial" w:hAnsi="Arial"/>
          <w:sz w:val="16"/>
          <w:szCs w:val="16"/>
          <w:color w:val="auto"/>
        </w:rPr>
        <w:t xml:space="preserve"> BMS shall, itself or with or through its Affiliates and Sublicensees, use Commercially Reasonable Efforts to Develop ([***]), obtain and maintain Regulatory Approval for and Commercialize at least one (1) Product that is Directed to each Collaboration Target in [***].</w:t>
      </w:r>
    </w:p>
    <w:p>
      <w:pPr>
        <w:spacing w:after="0" w:line="3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GOVERNANCE; REPORTS</w:t>
      </w:r>
    </w:p>
    <w:p>
      <w:pPr>
        <w:spacing w:after="0" w:line="21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Alliance Managers</w:t>
      </w:r>
      <w:r>
        <w:rPr>
          <w:rFonts w:ascii="Arial" w:cs="Arial" w:eastAsia="Arial" w:hAnsi="Arial"/>
          <w:sz w:val="16"/>
          <w:szCs w:val="16"/>
          <w:color w:val="auto"/>
        </w:rPr>
        <w:t>. Each Party shall appoint one designated representative to serve as an alliance manager (“</w:t>
      </w:r>
      <w:r>
        <w:rPr>
          <w:rFonts w:ascii="Arial" w:cs="Arial" w:eastAsia="Arial" w:hAnsi="Arial"/>
          <w:sz w:val="16"/>
          <w:szCs w:val="16"/>
          <w:u w:val="single" w:color="auto"/>
          <w:color w:val="auto"/>
        </w:rPr>
        <w:t>Alliance Manager</w:t>
      </w:r>
      <w:r>
        <w:rPr>
          <w:rFonts w:ascii="Arial" w:cs="Arial" w:eastAsia="Arial" w:hAnsi="Arial"/>
          <w:sz w:val="16"/>
          <w:szCs w:val="16"/>
          <w:color w:val="auto"/>
        </w:rPr>
        <w:t>”) with responsibility for being the primary point of contact between the Parties with respect to the Collaboration to assure a successful relationship between the Parties. The Alliance Managers shall attend JSC meetings as non-voting observers and support the JSC in the discharge of its responsibilities. An Alliance Manager may bring any matter concerning a Party’s performance under this Agreement to the attention of the JSC if the Alliance Manager reasonably believes that such attention is warranted. Each Party may change its designated Alliance Manager from time to time upon written notice to the other Party. Any Alliance Manager may designate a substitute to temporarily perform the functions of such Alliance Manager upon written notice to the other Party’s Alliance Manager. Each Alliance Manager will be charged with creating and maintaining a collaborative work environment within the JSC. Each Alliance Manager also will (a) provide a single point of communication both internally within the Parties’ respective organizations and between the Parties regarding the Research Plan and the activities thereunder; (b) plan and coordinate any cooperative efforts under this Agreement, if any, any external communications; (c) take responsibility for ensuring that JSC activities, such as the conduct of required JSC meetings and drafting and securing approval of meeting minutes, occur as set forth in this Agreement and that relevant action items, if any, resulting from such meetings are appropriately carried out or otherwise addressed; and (d) be the point of first referral in all matters of dispute resolution in accordance with Section 15.1.</w:t>
      </w:r>
    </w:p>
    <w:p>
      <w:pPr>
        <w:spacing w:after="0" w:line="168"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Joint Steering Committee.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60" w:right="479" w:bottom="1440" w:gutter="0" w:footer="0" w:header="0"/>
        </w:sectPr>
      </w:pPr>
    </w:p>
    <w:bookmarkStart w:id="719" w:name="page720"/>
    <w:bookmarkEnd w:id="7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Establishment</w:t>
      </w:r>
      <w:r>
        <w:rPr>
          <w:rFonts w:ascii="Arial" w:cs="Arial" w:eastAsia="Arial" w:hAnsi="Arial"/>
          <w:sz w:val="18"/>
          <w:szCs w:val="18"/>
          <w:color w:val="auto"/>
        </w:rPr>
        <w:t>. Within [***] following the Effective Date, Repare and BMS shall establish a Joint Steering Committee (“</w:t>
      </w:r>
      <w:r>
        <w:rPr>
          <w:rFonts w:ascii="Arial" w:cs="Arial" w:eastAsia="Arial" w:hAnsi="Arial"/>
          <w:sz w:val="18"/>
          <w:szCs w:val="18"/>
          <w:u w:val="single" w:color="auto"/>
          <w:color w:val="auto"/>
        </w:rPr>
        <w:t>JSC</w:t>
      </w:r>
      <w:r>
        <w:rPr>
          <w:rFonts w:ascii="Arial" w:cs="Arial" w:eastAsia="Arial" w:hAnsi="Arial"/>
          <w:sz w:val="18"/>
          <w:szCs w:val="18"/>
          <w:color w:val="auto"/>
        </w:rPr>
        <w:t xml:space="preserve">”). From time to time, the JSC may establish subcommittees to oversee particular projects or activities, as the JSC deems necessary or advisable;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JSC may not grant any responsibilities to a subcommittee that are beyond the scope of the responsibilities of the JSC as set forth herein. Each subcommittee shall consist of such number of members as the JSC determines is appropriate from time to time. Such members shall be individuals with expertise and responsibilities in the relevant areas.</w:t>
      </w:r>
    </w:p>
    <w:p>
      <w:pPr>
        <w:spacing w:after="0" w:line="188"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u w:val="single" w:color="auto"/>
          <w:color w:val="auto"/>
        </w:rPr>
        <w:t>Duties</w:t>
      </w:r>
      <w:r>
        <w:rPr>
          <w:rFonts w:ascii="Arial" w:cs="Arial" w:eastAsia="Arial" w:hAnsi="Arial"/>
          <w:sz w:val="16"/>
          <w:szCs w:val="16"/>
          <w:color w:val="auto"/>
        </w:rPr>
        <w:t>. The JSC shall:</w:t>
      </w:r>
    </w:p>
    <w:p>
      <w:pPr>
        <w:spacing w:after="0" w:line="117" w:lineRule="exact"/>
        <w:rPr>
          <w:sz w:val="20"/>
          <w:szCs w:val="20"/>
          <w:color w:val="auto"/>
        </w:rPr>
      </w:pPr>
    </w:p>
    <w:p>
      <w:pPr>
        <w:ind w:left="1920" w:hanging="372"/>
        <w:spacing w:after="0"/>
        <w:tabs>
          <w:tab w:leader="none" w:pos="192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serve as a consultative body with respect to the Collaboration;</w:t>
      </w:r>
    </w:p>
    <w:p>
      <w:pPr>
        <w:spacing w:after="0" w:line="225" w:lineRule="exact"/>
        <w:rPr>
          <w:rFonts w:ascii="Arial" w:cs="Arial" w:eastAsia="Arial" w:hAnsi="Arial"/>
          <w:sz w:val="18"/>
          <w:szCs w:val="18"/>
          <w:color w:val="auto"/>
        </w:rPr>
      </w:pPr>
    </w:p>
    <w:p>
      <w:pPr>
        <w:ind w:left="120" w:right="80" w:firstLine="1428"/>
        <w:spacing w:after="0" w:line="277" w:lineRule="auto"/>
        <w:tabs>
          <w:tab w:leader="none" w:pos="1942" w:val="left"/>
        </w:tabs>
        <w:numPr>
          <w:ilvl w:val="0"/>
          <w:numId w:val="469"/>
        </w:numPr>
        <w:rPr>
          <w:rFonts w:ascii="Arial" w:cs="Arial" w:eastAsia="Arial" w:hAnsi="Arial"/>
          <w:sz w:val="18"/>
          <w:szCs w:val="18"/>
          <w:color w:val="auto"/>
        </w:rPr>
      </w:pPr>
      <w:r>
        <w:rPr>
          <w:rFonts w:ascii="Arial" w:cs="Arial" w:eastAsia="Arial" w:hAnsi="Arial"/>
          <w:sz w:val="18"/>
          <w:szCs w:val="18"/>
          <w:color w:val="auto"/>
        </w:rPr>
        <w:t>review and monitor progress of the Collaboration and serve as a forum for exchanging information and facilitating discussions regarding the conduct of the Collaboration, including the activities set forth in the Research Plan;</w:t>
      </w:r>
    </w:p>
    <w:p>
      <w:pPr>
        <w:spacing w:after="0" w:line="170" w:lineRule="exact"/>
        <w:rPr>
          <w:rFonts w:ascii="Arial" w:cs="Arial" w:eastAsia="Arial" w:hAnsi="Arial"/>
          <w:sz w:val="18"/>
          <w:szCs w:val="18"/>
          <w:color w:val="auto"/>
        </w:rPr>
      </w:pPr>
    </w:p>
    <w:p>
      <w:pPr>
        <w:ind w:left="1920" w:hanging="372"/>
        <w:spacing w:after="0"/>
        <w:tabs>
          <w:tab w:leader="none" w:pos="192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review and provide strategic guidance to the Parties with respect to the conduct of the Collaboration;</w:t>
      </w:r>
    </w:p>
    <w:p>
      <w:pPr>
        <w:spacing w:after="0" w:line="225" w:lineRule="exact"/>
        <w:rPr>
          <w:rFonts w:ascii="Arial" w:cs="Arial" w:eastAsia="Arial" w:hAnsi="Arial"/>
          <w:sz w:val="18"/>
          <w:szCs w:val="18"/>
          <w:color w:val="auto"/>
        </w:rPr>
      </w:pPr>
    </w:p>
    <w:p>
      <w:pPr>
        <w:ind w:left="120" w:firstLine="1428"/>
        <w:spacing w:after="0" w:line="277" w:lineRule="auto"/>
        <w:tabs>
          <w:tab w:leader="none" w:pos="1942" w:val="left"/>
        </w:tabs>
        <w:numPr>
          <w:ilvl w:val="0"/>
          <w:numId w:val="469"/>
        </w:numPr>
        <w:rPr>
          <w:rFonts w:ascii="Arial" w:cs="Arial" w:eastAsia="Arial" w:hAnsi="Arial"/>
          <w:sz w:val="18"/>
          <w:szCs w:val="18"/>
          <w:color w:val="auto"/>
        </w:rPr>
      </w:pPr>
      <w:r>
        <w:rPr>
          <w:rFonts w:ascii="Arial" w:cs="Arial" w:eastAsia="Arial" w:hAnsi="Arial"/>
          <w:sz w:val="18"/>
          <w:szCs w:val="18"/>
          <w:color w:val="auto"/>
        </w:rPr>
        <w:t>discuss and determine whether to permit BMS to designate [***] additional Existing Repare Campaigns as Primary Campaigns in accordance with Section 2.4.3;</w:t>
      </w:r>
    </w:p>
    <w:p>
      <w:pPr>
        <w:spacing w:after="0" w:line="170" w:lineRule="exact"/>
        <w:rPr>
          <w:rFonts w:ascii="Arial" w:cs="Arial" w:eastAsia="Arial" w:hAnsi="Arial"/>
          <w:sz w:val="18"/>
          <w:szCs w:val="18"/>
          <w:color w:val="auto"/>
        </w:rPr>
      </w:pPr>
    </w:p>
    <w:p>
      <w:pPr>
        <w:ind w:left="120" w:right="40" w:firstLine="1428"/>
        <w:spacing w:after="0" w:line="263" w:lineRule="auto"/>
        <w:tabs>
          <w:tab w:leader="none" w:pos="1932" w:val="left"/>
        </w:tabs>
        <w:numPr>
          <w:ilvl w:val="0"/>
          <w:numId w:val="469"/>
        </w:numPr>
        <w:rPr>
          <w:rFonts w:ascii="Arial" w:cs="Arial" w:eastAsia="Arial" w:hAnsi="Arial"/>
          <w:sz w:val="18"/>
          <w:szCs w:val="18"/>
          <w:color w:val="auto"/>
        </w:rPr>
      </w:pPr>
      <w:r>
        <w:rPr>
          <w:rFonts w:ascii="Arial" w:cs="Arial" w:eastAsia="Arial" w:hAnsi="Arial"/>
          <w:sz w:val="18"/>
          <w:szCs w:val="18"/>
          <w:color w:val="auto"/>
        </w:rPr>
        <w:t>discuss and determine the data and other information that Repare shall include in each report and data package to the Internal BMS Gatekeeper, to the extent not otherwise set forth in the Research Plan, and otherwise discuss and determine whether to recommend amendments to the information disclosure procedures set forth in ARTICLE II;</w:t>
      </w:r>
    </w:p>
    <w:p>
      <w:pPr>
        <w:spacing w:after="0" w:line="183" w:lineRule="exact"/>
        <w:rPr>
          <w:rFonts w:ascii="Arial" w:cs="Arial" w:eastAsia="Arial" w:hAnsi="Arial"/>
          <w:sz w:val="18"/>
          <w:szCs w:val="18"/>
          <w:color w:val="auto"/>
        </w:rPr>
      </w:pPr>
    </w:p>
    <w:p>
      <w:pPr>
        <w:ind w:left="120" w:right="200" w:firstLine="1428"/>
        <w:spacing w:after="0" w:line="286" w:lineRule="auto"/>
        <w:tabs>
          <w:tab w:leader="none" w:pos="1912" w:val="left"/>
        </w:tabs>
        <w:numPr>
          <w:ilvl w:val="0"/>
          <w:numId w:val="469"/>
        </w:numPr>
        <w:rPr>
          <w:rFonts w:ascii="Arial" w:cs="Arial" w:eastAsia="Arial" w:hAnsi="Arial"/>
          <w:sz w:val="17"/>
          <w:szCs w:val="17"/>
          <w:color w:val="auto"/>
        </w:rPr>
      </w:pPr>
      <w:r>
        <w:rPr>
          <w:rFonts w:ascii="Arial" w:cs="Arial" w:eastAsia="Arial" w:hAnsi="Arial"/>
          <w:sz w:val="17"/>
          <w:szCs w:val="17"/>
          <w:color w:val="auto"/>
        </w:rPr>
        <w:t xml:space="preserve">discuss whether it is desirable and feasible to conduct or continue conducting, as applicable, any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Validation Activities with respect to any Primary Campaign and determine whether to approve (such approval not to be unreasonably withheld, conditioned or delayed) or cease, as applicable, the conduct of any such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Validation Activities in accordance with Section 2.5.5;</w:t>
      </w:r>
    </w:p>
    <w:p>
      <w:pPr>
        <w:spacing w:after="0" w:line="165" w:lineRule="exact"/>
        <w:rPr>
          <w:rFonts w:ascii="Arial" w:cs="Arial" w:eastAsia="Arial" w:hAnsi="Arial"/>
          <w:sz w:val="17"/>
          <w:szCs w:val="17"/>
          <w:color w:val="auto"/>
        </w:rPr>
      </w:pPr>
    </w:p>
    <w:p>
      <w:pPr>
        <w:ind w:left="120" w:right="680" w:firstLine="1428"/>
        <w:spacing w:after="0" w:line="342" w:lineRule="auto"/>
        <w:tabs>
          <w:tab w:leader="none" w:pos="1942" w:val="left"/>
        </w:tabs>
        <w:numPr>
          <w:ilvl w:val="0"/>
          <w:numId w:val="469"/>
        </w:numPr>
        <w:rPr>
          <w:rFonts w:ascii="Arial" w:cs="Arial" w:eastAsia="Arial" w:hAnsi="Arial"/>
          <w:sz w:val="16"/>
          <w:szCs w:val="16"/>
          <w:color w:val="auto"/>
        </w:rPr>
      </w:pPr>
      <w:r>
        <w:rPr>
          <w:rFonts w:ascii="Arial" w:cs="Arial" w:eastAsia="Arial" w:hAnsi="Arial"/>
          <w:sz w:val="16"/>
          <w:szCs w:val="16"/>
          <w:color w:val="auto"/>
        </w:rPr>
        <w:t xml:space="preserve">discuss and determine whether given Druggable/LDD Targets have become Validated Targets, to the extent the Parties disagree; </w:t>
      </w:r>
      <w:r>
        <w:rPr>
          <w:rFonts w:ascii="Arial" w:cs="Arial" w:eastAsia="Arial" w:hAnsi="Arial"/>
          <w:sz w:val="16"/>
          <w:szCs w:val="16"/>
          <w:u w:val="single" w:color="auto"/>
          <w:color w:val="auto"/>
        </w:rPr>
        <w:t>provided that</w:t>
      </w:r>
      <w:r>
        <w:rPr>
          <w:rFonts w:ascii="Arial" w:cs="Arial" w:eastAsia="Arial" w:hAnsi="Arial"/>
          <w:sz w:val="16"/>
          <w:szCs w:val="16"/>
          <w:color w:val="auto"/>
        </w:rPr>
        <w:t>, in the event the JSC cannot resolve such disagreement, the provisions set forth in Section 5.2.6(c) shall apply;</w:t>
      </w:r>
    </w:p>
    <w:p>
      <w:pPr>
        <w:spacing w:after="0" w:line="123" w:lineRule="exact"/>
        <w:rPr>
          <w:rFonts w:ascii="Arial" w:cs="Arial" w:eastAsia="Arial" w:hAnsi="Arial"/>
          <w:sz w:val="16"/>
          <w:szCs w:val="16"/>
          <w:color w:val="auto"/>
        </w:rPr>
      </w:pPr>
    </w:p>
    <w:p>
      <w:pPr>
        <w:ind w:left="120" w:right="200" w:firstLine="1428"/>
        <w:spacing w:after="0" w:line="277" w:lineRule="auto"/>
        <w:tabs>
          <w:tab w:leader="none" w:pos="1942" w:val="left"/>
        </w:tabs>
        <w:numPr>
          <w:ilvl w:val="0"/>
          <w:numId w:val="469"/>
        </w:numPr>
        <w:rPr>
          <w:rFonts w:ascii="Arial" w:cs="Arial" w:eastAsia="Arial" w:hAnsi="Arial"/>
          <w:sz w:val="18"/>
          <w:szCs w:val="18"/>
          <w:color w:val="auto"/>
        </w:rPr>
      </w:pPr>
      <w:r>
        <w:rPr>
          <w:rFonts w:ascii="Arial" w:cs="Arial" w:eastAsia="Arial" w:hAnsi="Arial"/>
          <w:sz w:val="18"/>
          <w:szCs w:val="18"/>
          <w:color w:val="auto"/>
        </w:rPr>
        <w:t>discuss and determine any changes to the Deliverables specified in the Research Plan to be provided to BMS by Repare with respect to each Pre-Option Campaign in accordance with Section 2.5.2(c);</w:t>
      </w:r>
    </w:p>
    <w:p>
      <w:pPr>
        <w:spacing w:after="0" w:line="170" w:lineRule="exact"/>
        <w:rPr>
          <w:rFonts w:ascii="Arial" w:cs="Arial" w:eastAsia="Arial" w:hAnsi="Arial"/>
          <w:sz w:val="18"/>
          <w:szCs w:val="18"/>
          <w:color w:val="auto"/>
        </w:rPr>
      </w:pPr>
    </w:p>
    <w:p>
      <w:pPr>
        <w:ind w:left="120" w:firstLine="1428"/>
        <w:spacing w:after="0" w:line="286" w:lineRule="auto"/>
        <w:tabs>
          <w:tab w:leader="none" w:pos="1902" w:val="left"/>
        </w:tabs>
        <w:numPr>
          <w:ilvl w:val="0"/>
          <w:numId w:val="469"/>
        </w:numPr>
        <w:rPr>
          <w:rFonts w:ascii="Arial" w:cs="Arial" w:eastAsia="Arial" w:hAnsi="Arial"/>
          <w:sz w:val="17"/>
          <w:szCs w:val="17"/>
          <w:color w:val="auto"/>
        </w:rPr>
      </w:pPr>
      <w:r>
        <w:rPr>
          <w:rFonts w:ascii="Arial" w:cs="Arial" w:eastAsia="Arial" w:hAnsi="Arial"/>
          <w:sz w:val="17"/>
          <w:szCs w:val="17"/>
          <w:color w:val="auto"/>
        </w:rPr>
        <w:t>discuss and determine any changes to the timing specified in the Research Plan for the Deliverables to be provided to BMS by Repare with respect to each Pre-Option Campaign, which shall in no event exceed [***] from the date of the applicable Option exercise, and monitor the progress of the creation and compilation of such Deliverables through completion and provision to BMS, as applicable;</w:t>
      </w:r>
    </w:p>
    <w:p>
      <w:pPr>
        <w:spacing w:after="0" w:line="97" w:lineRule="exact"/>
        <w:rPr>
          <w:rFonts w:ascii="Arial" w:cs="Arial" w:eastAsia="Arial" w:hAnsi="Arial"/>
          <w:sz w:val="17"/>
          <w:szCs w:val="17"/>
          <w:color w:val="auto"/>
        </w:rPr>
      </w:pPr>
    </w:p>
    <w:p>
      <w:pPr>
        <w:ind w:left="5540" w:hanging="111"/>
        <w:spacing w:after="0"/>
        <w:tabs>
          <w:tab w:leader="none" w:pos="554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120"/>
          </w:cols>
          <w:pgMar w:left="320" w:top="460" w:right="459" w:bottom="1440" w:gutter="0" w:footer="0" w:header="0"/>
        </w:sectPr>
      </w:pPr>
    </w:p>
    <w:bookmarkStart w:id="720" w:name="page721"/>
    <w:bookmarkEnd w:id="7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1428"/>
        <w:spacing w:after="0" w:line="263" w:lineRule="auto"/>
        <w:tabs>
          <w:tab w:leader="none" w:pos="1902" w:val="left"/>
        </w:tabs>
        <w:numPr>
          <w:ilvl w:val="0"/>
          <w:numId w:val="470"/>
        </w:numPr>
        <w:rPr>
          <w:rFonts w:ascii="Arial" w:cs="Arial" w:eastAsia="Arial" w:hAnsi="Arial"/>
          <w:sz w:val="18"/>
          <w:szCs w:val="18"/>
          <w:color w:val="auto"/>
        </w:rPr>
      </w:pPr>
      <w:r>
        <w:rPr>
          <w:rFonts w:ascii="Arial" w:cs="Arial" w:eastAsia="Arial" w:hAnsi="Arial"/>
          <w:sz w:val="18"/>
          <w:szCs w:val="18"/>
          <w:color w:val="auto"/>
        </w:rPr>
        <w:t xml:space="preserve">discuss and determine whether to provide the Internal BMS Gatekeeper with any unblinded data or information that was provided pursuant to ARTICLE II, including any unblinded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Package in accordance with Section 2.5.2(b) or any unblinded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Data Package in accordance with Section 2.5.5(a);</w:t>
      </w:r>
    </w:p>
    <w:p>
      <w:pPr>
        <w:spacing w:after="0" w:line="183" w:lineRule="exact"/>
        <w:rPr>
          <w:rFonts w:ascii="Arial" w:cs="Arial" w:eastAsia="Arial" w:hAnsi="Arial"/>
          <w:sz w:val="18"/>
          <w:szCs w:val="18"/>
          <w:color w:val="auto"/>
        </w:rPr>
      </w:pPr>
    </w:p>
    <w:p>
      <w:pPr>
        <w:ind w:left="120" w:right="120" w:firstLine="1428"/>
        <w:spacing w:after="0" w:line="263" w:lineRule="auto"/>
        <w:tabs>
          <w:tab w:leader="none" w:pos="1942" w:val="left"/>
        </w:tabs>
        <w:numPr>
          <w:ilvl w:val="0"/>
          <w:numId w:val="470"/>
        </w:numPr>
        <w:rPr>
          <w:rFonts w:ascii="Arial" w:cs="Arial" w:eastAsia="Arial" w:hAnsi="Arial"/>
          <w:sz w:val="18"/>
          <w:szCs w:val="18"/>
          <w:color w:val="auto"/>
        </w:rPr>
      </w:pPr>
      <w:r>
        <w:rPr>
          <w:rFonts w:ascii="Arial" w:cs="Arial" w:eastAsia="Arial" w:hAnsi="Arial"/>
          <w:sz w:val="18"/>
          <w:szCs w:val="18"/>
          <w:color w:val="auto"/>
        </w:rPr>
        <w:t>discuss and determine whether to increase the frequency with which BMS can request that Repare provide additional Repare Potential Undruggable Targets to the Third Party Gatekeeper (to the extent that Repare has identified additional Repare Potential Undruggable Targets) in accordance with Section 2.6.1;</w:t>
      </w:r>
    </w:p>
    <w:p>
      <w:pPr>
        <w:spacing w:after="0" w:line="183" w:lineRule="exact"/>
        <w:rPr>
          <w:rFonts w:ascii="Arial" w:cs="Arial" w:eastAsia="Arial" w:hAnsi="Arial"/>
          <w:sz w:val="18"/>
          <w:szCs w:val="18"/>
          <w:color w:val="auto"/>
        </w:rPr>
      </w:pPr>
    </w:p>
    <w:p>
      <w:pPr>
        <w:ind w:left="120" w:right="260" w:firstLine="1428"/>
        <w:spacing w:after="0" w:line="277" w:lineRule="auto"/>
        <w:tabs>
          <w:tab w:leader="none" w:pos="1902" w:val="left"/>
        </w:tabs>
        <w:numPr>
          <w:ilvl w:val="0"/>
          <w:numId w:val="470"/>
        </w:numPr>
        <w:rPr>
          <w:rFonts w:ascii="Arial" w:cs="Arial" w:eastAsia="Arial" w:hAnsi="Arial"/>
          <w:sz w:val="18"/>
          <w:szCs w:val="18"/>
          <w:color w:val="auto"/>
        </w:rPr>
      </w:pPr>
      <w:r>
        <w:rPr>
          <w:rFonts w:ascii="Arial" w:cs="Arial" w:eastAsia="Arial" w:hAnsi="Arial"/>
          <w:sz w:val="18"/>
          <w:szCs w:val="18"/>
          <w:color w:val="auto"/>
        </w:rPr>
        <w:t>discuss and determine whether to extend any Primary Target Period, Additional Target Period or Collaboration Undruggable Target Chemistry Period;</w:t>
      </w:r>
    </w:p>
    <w:p>
      <w:pPr>
        <w:spacing w:after="0" w:line="170" w:lineRule="exact"/>
        <w:rPr>
          <w:rFonts w:ascii="Arial" w:cs="Arial" w:eastAsia="Arial" w:hAnsi="Arial"/>
          <w:sz w:val="18"/>
          <w:szCs w:val="18"/>
          <w:color w:val="auto"/>
        </w:rPr>
      </w:pPr>
    </w:p>
    <w:p>
      <w:pPr>
        <w:ind w:left="1980" w:hanging="432"/>
        <w:spacing w:after="0"/>
        <w:tabs>
          <w:tab w:leader="none" w:pos="198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propose, discuss and determine whether to approve revisions to the Research Plan;</w:t>
      </w:r>
    </w:p>
    <w:p>
      <w:pPr>
        <w:spacing w:after="0" w:line="225" w:lineRule="exact"/>
        <w:rPr>
          <w:rFonts w:ascii="Arial" w:cs="Arial" w:eastAsia="Arial" w:hAnsi="Arial"/>
          <w:sz w:val="18"/>
          <w:szCs w:val="18"/>
          <w:color w:val="auto"/>
        </w:rPr>
      </w:pPr>
    </w:p>
    <w:p>
      <w:pPr>
        <w:ind w:left="1940" w:hanging="392"/>
        <w:spacing w:after="0"/>
        <w:tabs>
          <w:tab w:leader="none" w:pos="194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establish guidelines and procedures for utilizing the Secure Information Exchange in accordance with Section 11.6.5;</w:t>
      </w:r>
    </w:p>
    <w:p>
      <w:pPr>
        <w:spacing w:after="0" w:line="236" w:lineRule="exact"/>
        <w:rPr>
          <w:rFonts w:ascii="Arial" w:cs="Arial" w:eastAsia="Arial" w:hAnsi="Arial"/>
          <w:sz w:val="17"/>
          <w:szCs w:val="17"/>
          <w:color w:val="auto"/>
        </w:rPr>
      </w:pPr>
    </w:p>
    <w:p>
      <w:pPr>
        <w:jc w:val="both"/>
        <w:ind w:left="120" w:right="220" w:firstLine="1428"/>
        <w:spacing w:after="0" w:line="301" w:lineRule="auto"/>
        <w:tabs>
          <w:tab w:leader="none" w:pos="1942" w:val="left"/>
        </w:tabs>
        <w:numPr>
          <w:ilvl w:val="0"/>
          <w:numId w:val="470"/>
        </w:numPr>
        <w:rPr>
          <w:rFonts w:ascii="Arial" w:cs="Arial" w:eastAsia="Arial" w:hAnsi="Arial"/>
          <w:sz w:val="16"/>
          <w:szCs w:val="16"/>
          <w:color w:val="auto"/>
        </w:rPr>
      </w:pPr>
      <w:r>
        <w:rPr>
          <w:rFonts w:ascii="Arial" w:cs="Arial" w:eastAsia="Arial" w:hAnsi="Arial"/>
          <w:sz w:val="16"/>
          <w:szCs w:val="16"/>
          <w:color w:val="auto"/>
        </w:rPr>
        <w:t xml:space="preserve">discuss and determine whether to provide the full JSC with (i) a non-anonymized report of the results of Hit Confirmation in accordance with Section 2.5.1(d), (ii) an unblinded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Package for a Primary Campaign that discloses the identity of one or more Validated Targets from such Primary Campaign in accordance with Section 2.5.2(b) or (iii) an unblinded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Data Package for a Primary Campaign that discloses the identity of one or more Validated Targets from such Primary Campaign in accordance with Section 2.5.5(a);</w:t>
      </w:r>
    </w:p>
    <w:p>
      <w:pPr>
        <w:spacing w:after="0" w:line="157" w:lineRule="exact"/>
        <w:rPr>
          <w:rFonts w:ascii="Arial" w:cs="Arial" w:eastAsia="Arial" w:hAnsi="Arial"/>
          <w:sz w:val="16"/>
          <w:szCs w:val="16"/>
          <w:color w:val="auto"/>
        </w:rPr>
      </w:pPr>
    </w:p>
    <w:p>
      <w:pPr>
        <w:ind w:left="1940" w:hanging="392"/>
        <w:spacing w:after="0"/>
        <w:tabs>
          <w:tab w:leader="none" w:pos="194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serve as a forum for dispute resolution in accordance with Section 5.2.6; and</w:t>
      </w:r>
    </w:p>
    <w:p>
      <w:pPr>
        <w:spacing w:after="0" w:line="225" w:lineRule="exact"/>
        <w:rPr>
          <w:rFonts w:ascii="Arial" w:cs="Arial" w:eastAsia="Arial" w:hAnsi="Arial"/>
          <w:sz w:val="18"/>
          <w:szCs w:val="18"/>
          <w:color w:val="auto"/>
        </w:rPr>
      </w:pPr>
    </w:p>
    <w:p>
      <w:pPr>
        <w:ind w:left="120" w:right="300" w:firstLine="1428"/>
        <w:spacing w:after="0" w:line="277" w:lineRule="auto"/>
        <w:tabs>
          <w:tab w:leader="none" w:pos="1942" w:val="left"/>
        </w:tabs>
        <w:numPr>
          <w:ilvl w:val="0"/>
          <w:numId w:val="470"/>
        </w:numPr>
        <w:rPr>
          <w:rFonts w:ascii="Arial" w:cs="Arial" w:eastAsia="Arial" w:hAnsi="Arial"/>
          <w:sz w:val="18"/>
          <w:szCs w:val="18"/>
          <w:color w:val="auto"/>
        </w:rPr>
      </w:pPr>
      <w:r>
        <w:rPr>
          <w:rFonts w:ascii="Arial" w:cs="Arial" w:eastAsia="Arial" w:hAnsi="Arial"/>
          <w:sz w:val="18"/>
          <w:szCs w:val="18"/>
          <w:color w:val="auto"/>
        </w:rPr>
        <w:t>perform such other duties as are specifically assigned to the JSC under this Agreement or as may be mutually agreed by the Parties from time to time.</w:t>
      </w:r>
    </w:p>
    <w:p>
      <w:pPr>
        <w:spacing w:after="0" w:line="170" w:lineRule="exact"/>
        <w:rPr>
          <w:sz w:val="20"/>
          <w:szCs w:val="20"/>
          <w:color w:val="auto"/>
        </w:rPr>
      </w:pPr>
    </w:p>
    <w:p>
      <w:pPr>
        <w:ind w:left="120" w:right="200" w:firstLine="991"/>
        <w:spacing w:after="0" w:line="296" w:lineRule="auto"/>
        <w:rPr>
          <w:sz w:val="20"/>
          <w:szCs w:val="20"/>
          <w:color w:val="auto"/>
        </w:rPr>
      </w:pPr>
      <w:r>
        <w:rPr>
          <w:rFonts w:ascii="Arial" w:cs="Arial" w:eastAsia="Arial" w:hAnsi="Arial"/>
          <w:sz w:val="16"/>
          <w:szCs w:val="16"/>
          <w:color w:val="auto"/>
        </w:rPr>
        <w:t xml:space="preserve">5.2.3 </w:t>
      </w:r>
      <w:r>
        <w:rPr>
          <w:rFonts w:ascii="Arial" w:cs="Arial" w:eastAsia="Arial" w:hAnsi="Arial"/>
          <w:sz w:val="16"/>
          <w:szCs w:val="16"/>
          <w:u w:val="single" w:color="auto"/>
          <w:color w:val="auto"/>
        </w:rPr>
        <w:t>JSC Membership</w:t>
      </w:r>
      <w:r>
        <w:rPr>
          <w:rFonts w:ascii="Arial" w:cs="Arial" w:eastAsia="Arial" w:hAnsi="Arial"/>
          <w:sz w:val="16"/>
          <w:szCs w:val="16"/>
          <w:color w:val="auto"/>
        </w:rPr>
        <w:t>. The JSC shall be composed of [***] representatives from each of BMS and Repare, each of which representatives shall be of the seniority and experience appropriate for service on the JSC in light of the functions, responsibilities and authority of the JSC. Each Party shall ensure that all of its JSC representatives are under obligations of confidentiality and non-use applicable to the Confidential Information of the other Party that are at least as stringent as those set forth in ARTICLE XI. Each Party may replace any of its representatives on the JSC at any time with prior written notice to the other Party, as long as such replacement meets the standards set forth in this Section 5.2.3.</w:t>
      </w:r>
    </w:p>
    <w:p>
      <w:pPr>
        <w:spacing w:after="0" w:line="161"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8"/>
          <w:szCs w:val="18"/>
          <w:color w:val="auto"/>
        </w:rPr>
        <w:t>5.2.4</w:t>
      </w:r>
      <w:r>
        <w:rPr>
          <w:sz w:val="20"/>
          <w:szCs w:val="20"/>
          <w:color w:val="auto"/>
        </w:rPr>
        <w:tab/>
      </w:r>
      <w:r>
        <w:rPr>
          <w:rFonts w:ascii="Arial" w:cs="Arial" w:eastAsia="Arial" w:hAnsi="Arial"/>
          <w:sz w:val="16"/>
          <w:szCs w:val="16"/>
          <w:u w:val="single" w:color="auto"/>
          <w:color w:val="auto"/>
        </w:rPr>
        <w:t>Committee Meetings</w:t>
      </w:r>
      <w:r>
        <w:rPr>
          <w:rFonts w:ascii="Arial" w:cs="Arial" w:eastAsia="Arial" w:hAnsi="Arial"/>
          <w:sz w:val="16"/>
          <w:szCs w:val="16"/>
          <w:color w:val="auto"/>
        </w:rPr>
        <w:t>.</w:t>
      </w:r>
    </w:p>
    <w:p>
      <w:pPr>
        <w:spacing w:after="0" w:line="225" w:lineRule="exact"/>
        <w:rPr>
          <w:sz w:val="20"/>
          <w:szCs w:val="20"/>
          <w:color w:val="auto"/>
        </w:rPr>
      </w:pPr>
    </w:p>
    <w:p>
      <w:pPr>
        <w:ind w:left="120" w:firstLine="1428"/>
        <w:spacing w:after="0" w:line="259" w:lineRule="auto"/>
        <w:tabs>
          <w:tab w:leader="none" w:pos="1928"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JSC shall hold an initial joint meeting within [***] after the Effective Date or as otherwise agreed by the Parties. Thereafter, the JSC shall meet at least once every Calendar Quarter, unless the JSC members otherwise agree. Unless otherwise agreed by the JSC, [***] JSC meetings each year shall be conducted in person, to the extent safe and permitted by applicable Law, and all other JSC meetings may be conducted by teleconference, videoconference or by other electronic means.</w:t>
      </w:r>
    </w:p>
    <w:p>
      <w:pPr>
        <w:spacing w:after="0" w:line="119" w:lineRule="exact"/>
        <w:rPr>
          <w:rFonts w:ascii="Arial" w:cs="Arial" w:eastAsia="Arial" w:hAnsi="Arial"/>
          <w:sz w:val="18"/>
          <w:szCs w:val="18"/>
          <w:color w:val="auto"/>
        </w:rPr>
      </w:pPr>
    </w:p>
    <w:p>
      <w:pPr>
        <w:ind w:left="5540" w:hanging="111"/>
        <w:spacing w:after="0"/>
        <w:tabs>
          <w:tab w:leader="none" w:pos="554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120"/>
          </w:cols>
          <w:pgMar w:left="320" w:top="460" w:right="459" w:bottom="1440" w:gutter="0" w:footer="0" w:header="0"/>
        </w:sectPr>
      </w:pPr>
    </w:p>
    <w:bookmarkStart w:id="721" w:name="page722"/>
    <w:bookmarkEnd w:id="7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1428"/>
        <w:spacing w:after="0" w:line="255" w:lineRule="auto"/>
        <w:tabs>
          <w:tab w:leader="none" w:pos="1942" w:val="left"/>
        </w:tabs>
        <w:numPr>
          <w:ilvl w:val="0"/>
          <w:numId w:val="472"/>
        </w:numPr>
        <w:rPr>
          <w:rFonts w:ascii="Arial" w:cs="Arial" w:eastAsia="Arial" w:hAnsi="Arial"/>
          <w:sz w:val="18"/>
          <w:szCs w:val="18"/>
          <w:color w:val="auto"/>
        </w:rPr>
      </w:pPr>
      <w:r>
        <w:rPr>
          <w:rFonts w:ascii="Arial" w:cs="Arial" w:eastAsia="Arial" w:hAnsi="Arial"/>
          <w:sz w:val="18"/>
          <w:szCs w:val="18"/>
          <w:color w:val="auto"/>
        </w:rPr>
        <w:t>Unless otherwise agreed by the Parties, all in-person meetings for the JSC shall be held on an alternating basis between Repare’s facilities and BMS’s facilities. A reasonable number of other representatives of a Party may attend any JSC meeting as non-voting observers, as long as (i) such additional representatives are under obligations of confidentiality and non-use applicable to the Confidential Information of the other Party that are at least as stringent as those set forth in ARTICLE XI and (ii) the Parties, reasonably in advance of the applicable JSC meeting, mutually approve the list of non-voting observers to attend such meeting. Each Party shall be responsible for all of its own personnel and travel costs and expenses relating to participation in JSC meetings.</w:t>
      </w:r>
    </w:p>
    <w:p>
      <w:pPr>
        <w:spacing w:after="0" w:line="192" w:lineRule="exact"/>
        <w:rPr>
          <w:sz w:val="20"/>
          <w:szCs w:val="20"/>
          <w:color w:val="auto"/>
        </w:rPr>
      </w:pPr>
    </w:p>
    <w:p>
      <w:pPr>
        <w:ind w:left="120" w:right="100" w:firstLine="991"/>
        <w:spacing w:after="0" w:line="284" w:lineRule="auto"/>
        <w:rPr>
          <w:sz w:val="20"/>
          <w:szCs w:val="20"/>
          <w:color w:val="auto"/>
        </w:rPr>
      </w:pPr>
      <w:r>
        <w:rPr>
          <w:rFonts w:ascii="Arial" w:cs="Arial" w:eastAsia="Arial" w:hAnsi="Arial"/>
          <w:sz w:val="16"/>
          <w:szCs w:val="16"/>
          <w:color w:val="auto"/>
        </w:rPr>
        <w:t xml:space="preserve">5.2.5 </w:t>
      </w:r>
      <w:r>
        <w:rPr>
          <w:rFonts w:ascii="Arial" w:cs="Arial" w:eastAsia="Arial" w:hAnsi="Arial"/>
          <w:sz w:val="16"/>
          <w:szCs w:val="16"/>
          <w:u w:val="single" w:color="auto"/>
          <w:color w:val="auto"/>
        </w:rPr>
        <w:t>Minutes</w:t>
      </w:r>
      <w:r>
        <w:rPr>
          <w:rFonts w:ascii="Arial" w:cs="Arial" w:eastAsia="Arial" w:hAnsi="Arial"/>
          <w:sz w:val="16"/>
          <w:szCs w:val="16"/>
          <w:color w:val="auto"/>
        </w:rPr>
        <w:t xml:space="preserve">. The Alliance Managers shall, on an alternating basis (beginning with Repare’s Alliance Manager), be responsible for preparing an agenda in advance and minutes after each meeting of the JSC,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an overview of the discussions at the meeting and a list of any actions, decisions or determinations approved by the JSC. Such minutes shall be effective only after approved by both Parties in writing. Definitive minutes of all JSC meetings shall be finalized no later than [***] after the meeting to which the minutes pertain. If, at any time during the preparation and finalization of the JSC minutes, the Parties do not agree on any issue with respect to the minutes, such issue shall be resolved by the decision-making process set forth in Section 5.2.6. The decision resulting from the decision-making process shall be recorded by the Alliance Manager responsible for recording the minutes of the applicable meeting, in amended finalized minutes for such meeting. Agendas shall be circulated at least</w:t>
      </w:r>
    </w:p>
    <w:p>
      <w:pPr>
        <w:spacing w:after="0" w:line="2" w:lineRule="exact"/>
        <w:rPr>
          <w:sz w:val="20"/>
          <w:szCs w:val="20"/>
          <w:color w:val="auto"/>
        </w:rPr>
      </w:pPr>
    </w:p>
    <w:p>
      <w:pPr>
        <w:ind w:left="560" w:hanging="444"/>
        <w:spacing w:after="0"/>
        <w:tabs>
          <w:tab w:leader="none" w:pos="56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prior to a duly called meeting of the JSC.</w:t>
      </w:r>
    </w:p>
    <w:p>
      <w:pPr>
        <w:spacing w:after="0" w:line="210"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 xml:space="preserve">5.2.6  </w:t>
      </w:r>
      <w:r>
        <w:rPr>
          <w:rFonts w:ascii="Arial" w:cs="Arial" w:eastAsia="Arial" w:hAnsi="Arial"/>
          <w:sz w:val="18"/>
          <w:szCs w:val="18"/>
          <w:u w:val="single" w:color="auto"/>
          <w:color w:val="auto"/>
        </w:rPr>
        <w:t>Decision-Making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20" w:hanging="372"/>
        <w:spacing w:after="0"/>
        <w:tabs>
          <w:tab w:leader="none" w:pos="1920" w:val="left"/>
        </w:tabs>
        <w:numPr>
          <w:ilvl w:val="1"/>
          <w:numId w:val="473"/>
        </w:numPr>
        <w:rPr>
          <w:rFonts w:ascii="Arial" w:cs="Arial" w:eastAsia="Arial" w:hAnsi="Arial"/>
          <w:sz w:val="16"/>
          <w:szCs w:val="16"/>
          <w:color w:val="auto"/>
        </w:rPr>
      </w:pPr>
      <w:r>
        <w:rPr>
          <w:rFonts w:ascii="Arial" w:cs="Arial" w:eastAsia="Arial" w:hAnsi="Arial"/>
          <w:sz w:val="16"/>
          <w:szCs w:val="16"/>
          <w:color w:val="auto"/>
        </w:rPr>
        <w:t>All decisions of the JSC shall be made by unanimous vote, with each Party’s representatives on the JSC collectively having one</w:t>
      </w:r>
    </w:p>
    <w:p>
      <w:pPr>
        <w:spacing w:after="0" w:line="46" w:lineRule="exact"/>
        <w:rPr>
          <w:rFonts w:ascii="Arial" w:cs="Arial" w:eastAsia="Arial" w:hAnsi="Arial"/>
          <w:sz w:val="16"/>
          <w:szCs w:val="16"/>
          <w:color w:val="auto"/>
        </w:rPr>
      </w:pPr>
    </w:p>
    <w:p>
      <w:pPr>
        <w:ind w:left="120" w:right="100"/>
        <w:spacing w:after="0" w:line="295" w:lineRule="auto"/>
        <w:rPr>
          <w:rFonts w:ascii="Arial" w:cs="Arial" w:eastAsia="Arial" w:hAnsi="Arial"/>
          <w:sz w:val="16"/>
          <w:szCs w:val="16"/>
          <w:color w:val="auto"/>
        </w:rPr>
      </w:pPr>
      <w:r>
        <w:rPr>
          <w:rFonts w:ascii="Arial" w:cs="Arial" w:eastAsia="Arial" w:hAnsi="Arial"/>
          <w:sz w:val="16"/>
          <w:szCs w:val="16"/>
          <w:color w:val="auto"/>
        </w:rPr>
        <w:t xml:space="preserve">(1) vote, and shall be set forth in minutes approved by mutual agreement of the JSC;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JSC shall not have the authority to resolve any dispute involving the breach or alleged breach of this Agreement. Except with respect to a JSC dispute arising pursuant to Section 5.2.2(g) (which shall be resolved pursuant to Section 5.2.6(c)), upon [***] prior written notice, either Party may convene a special meeting of the JSC for the purpose of attempting to resolve any failure to reach agreement on a matter within the scope of the authority and responsibility of the JSC.</w:t>
      </w:r>
    </w:p>
    <w:p>
      <w:pPr>
        <w:spacing w:after="0" w:line="161" w:lineRule="exact"/>
        <w:rPr>
          <w:rFonts w:ascii="Arial" w:cs="Arial" w:eastAsia="Arial" w:hAnsi="Arial"/>
          <w:sz w:val="16"/>
          <w:szCs w:val="16"/>
          <w:color w:val="auto"/>
        </w:rPr>
      </w:pPr>
    </w:p>
    <w:p>
      <w:pPr>
        <w:ind w:left="120" w:right="180" w:firstLine="1428"/>
        <w:spacing w:after="0" w:line="291" w:lineRule="auto"/>
        <w:tabs>
          <w:tab w:leader="none" w:pos="1942" w:val="left"/>
        </w:tabs>
        <w:numPr>
          <w:ilvl w:val="1"/>
          <w:numId w:val="473"/>
        </w:numPr>
        <w:rPr>
          <w:rFonts w:ascii="Arial" w:cs="Arial" w:eastAsia="Arial" w:hAnsi="Arial"/>
          <w:sz w:val="16"/>
          <w:szCs w:val="16"/>
          <w:color w:val="auto"/>
        </w:rPr>
      </w:pPr>
      <w:r>
        <w:rPr>
          <w:rFonts w:ascii="Arial" w:cs="Arial" w:eastAsia="Arial" w:hAnsi="Arial"/>
          <w:sz w:val="16"/>
          <w:szCs w:val="16"/>
          <w:color w:val="auto"/>
        </w:rPr>
        <w:t>In the event that, after such JSC special meeting, the JSC cannot reach a unanimous vote with respect to a decision within its purview, the JSC shall refer such dispute to the Parties’ Executive Officers for resolution. If such Executive Officers cannot agree on a matter within</w:t>
      </w:r>
    </w:p>
    <w:p>
      <w:pPr>
        <w:ind w:left="560" w:hanging="444"/>
        <w:spacing w:after="0"/>
        <w:tabs>
          <w:tab w:leader="none" w:pos="56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after their first discussion regarding such matter, then [***].</w:t>
      </w:r>
    </w:p>
    <w:p>
      <w:pPr>
        <w:spacing w:after="0" w:line="210" w:lineRule="exact"/>
        <w:rPr>
          <w:rFonts w:ascii="Arial" w:cs="Arial" w:eastAsia="Arial" w:hAnsi="Arial"/>
          <w:sz w:val="18"/>
          <w:szCs w:val="18"/>
          <w:color w:val="auto"/>
        </w:rPr>
      </w:pPr>
    </w:p>
    <w:p>
      <w:pPr>
        <w:ind w:left="120" w:right="140" w:firstLine="1428"/>
        <w:spacing w:after="0" w:line="259" w:lineRule="auto"/>
        <w:tabs>
          <w:tab w:leader="none" w:pos="1932" w:val="left"/>
        </w:tabs>
        <w:numPr>
          <w:ilvl w:val="1"/>
          <w:numId w:val="474"/>
        </w:numPr>
        <w:rPr>
          <w:rFonts w:ascii="Arial" w:cs="Arial" w:eastAsia="Arial" w:hAnsi="Arial"/>
          <w:sz w:val="18"/>
          <w:szCs w:val="18"/>
          <w:color w:val="auto"/>
        </w:rPr>
      </w:pPr>
      <w:r>
        <w:rPr>
          <w:rFonts w:ascii="Arial" w:cs="Arial" w:eastAsia="Arial" w:hAnsi="Arial"/>
          <w:sz w:val="18"/>
          <w:szCs w:val="18"/>
          <w:color w:val="auto"/>
        </w:rPr>
        <w:t>Notwithstanding the foregoing, solely with respect to disputes arising pursuant to Section 5.2.2(g), in the event that the JSC cannot reach a unanimous vote with respect to whether a given Druggable/LDD Target has become a Validated Target, the JSC shall refer such dispute to the Parties’ Executive Officers for resolution. If the Executive Officers cannot agree on whether a given Druggable/LDD Target has become a Validated Target within [***] after</w:t>
      </w:r>
    </w:p>
    <w:p>
      <w:pPr>
        <w:spacing w:after="0" w:line="119" w:lineRule="exact"/>
        <w:rPr>
          <w:rFonts w:ascii="Arial" w:cs="Arial" w:eastAsia="Arial" w:hAnsi="Arial"/>
          <w:sz w:val="18"/>
          <w:szCs w:val="18"/>
          <w:color w:val="auto"/>
        </w:rPr>
      </w:pPr>
    </w:p>
    <w:p>
      <w:pPr>
        <w:ind w:left="5540" w:hanging="111"/>
        <w:spacing w:after="0"/>
        <w:tabs>
          <w:tab w:leader="none" w:pos="5540" w:val="left"/>
        </w:tabs>
        <w:numPr>
          <w:ilvl w:val="2"/>
          <w:numId w:val="474"/>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1100"/>
          </w:cols>
          <w:pgMar w:left="320" w:top="460" w:right="479" w:bottom="1440" w:gutter="0" w:footer="0" w:header="0"/>
        </w:sectPr>
      </w:pPr>
    </w:p>
    <w:bookmarkStart w:id="722" w:name="page723"/>
    <w:bookmarkEnd w:id="7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 xml:space="preserve">their first discussion regarding such matter set forth in Section 5.2.2(g), then, in lieu of the dispute resolution provisions set forth in Section 15.2, the expert matter arbitration provisions set forth on </w:t>
      </w:r>
      <w:r>
        <w:rPr>
          <w:rFonts w:ascii="Arial" w:cs="Arial" w:eastAsia="Arial" w:hAnsi="Arial"/>
          <w:sz w:val="18"/>
          <w:szCs w:val="18"/>
          <w:u w:val="single" w:color="auto"/>
          <w:color w:val="auto"/>
        </w:rPr>
        <w:t>Schedule 5.2.6(c)</w:t>
      </w:r>
      <w:r>
        <w:rPr>
          <w:rFonts w:ascii="Arial" w:cs="Arial" w:eastAsia="Arial" w:hAnsi="Arial"/>
          <w:sz w:val="18"/>
          <w:szCs w:val="18"/>
          <w:color w:val="auto"/>
        </w:rPr>
        <w:t xml:space="preserve"> will apply to such dispute.</w:t>
      </w:r>
    </w:p>
    <w:p>
      <w:pPr>
        <w:spacing w:after="0" w:line="170" w:lineRule="exact"/>
        <w:rPr>
          <w:sz w:val="20"/>
          <w:szCs w:val="20"/>
          <w:color w:val="auto"/>
        </w:rPr>
      </w:pPr>
    </w:p>
    <w:p>
      <w:pPr>
        <w:ind w:left="120" w:right="40" w:firstLine="991"/>
        <w:spacing w:after="0" w:line="289" w:lineRule="auto"/>
        <w:rPr>
          <w:sz w:val="20"/>
          <w:szCs w:val="20"/>
          <w:color w:val="auto"/>
        </w:rPr>
      </w:pPr>
      <w:r>
        <w:rPr>
          <w:rFonts w:ascii="Arial" w:cs="Arial" w:eastAsia="Arial" w:hAnsi="Arial"/>
          <w:sz w:val="16"/>
          <w:szCs w:val="16"/>
          <w:color w:val="auto"/>
        </w:rPr>
        <w:t xml:space="preserve">5.2.7 </w:t>
      </w:r>
      <w:r>
        <w:rPr>
          <w:rFonts w:ascii="Arial" w:cs="Arial" w:eastAsia="Arial" w:hAnsi="Arial"/>
          <w:sz w:val="16"/>
          <w:szCs w:val="16"/>
          <w:u w:val="single" w:color="auto"/>
          <w:color w:val="auto"/>
        </w:rPr>
        <w:t>Scope of Governance</w:t>
      </w:r>
      <w:r>
        <w:rPr>
          <w:rFonts w:ascii="Arial" w:cs="Arial" w:eastAsia="Arial" w:hAnsi="Arial"/>
          <w:sz w:val="16"/>
          <w:szCs w:val="16"/>
          <w:color w:val="auto"/>
        </w:rPr>
        <w:t>. Notwithstanding the creation of the JSC, each Party shall retain the rights, powers and discretion granted to it under this Agreement, and the JSC shall not be delegated or vested with any rights, powers or discretion unless such delegation or vesting is expressly provided herein, or the Parties expressly so agree in writing. The Parties understand and agree that issues to be formally decided by the JSC are only those specific issues that are expressly provided in this Agreement to be decided by the JSC. The JSC shall not have any power to amend, modify or waive the terms of this Agreement or any other agreement between the Parties, or to alter, increase, expand or waive compliance by a Party with a Party’s obligations under this Agreement. For clarity, the JSC shall not have any authority beyond the specific matters set forth in this Section 5.2, including not having the authority to (a) obligate BMS to exercise any Option with respect to any Target or Campaign, (b) request unblinding of any Target to the Internal BMS Gatekeeper, the JSC or BMS hereunder, (c) make decisions or take any actions that are inconsistent with the terms of this Agreement or (d) approve any amendment to the Research Plan that is inconsistent with the terms of this Agreement.</w:t>
      </w:r>
    </w:p>
    <w:p>
      <w:pPr>
        <w:spacing w:after="0" w:line="166" w:lineRule="exact"/>
        <w:rPr>
          <w:sz w:val="20"/>
          <w:szCs w:val="20"/>
          <w:color w:val="auto"/>
        </w:rPr>
      </w:pPr>
    </w:p>
    <w:p>
      <w:pPr>
        <w:ind w:left="120" w:right="640" w:firstLine="991"/>
        <w:spacing w:after="0" w:line="277" w:lineRule="auto"/>
        <w:rPr>
          <w:sz w:val="20"/>
          <w:szCs w:val="20"/>
          <w:color w:val="auto"/>
        </w:rPr>
      </w:pPr>
      <w:r>
        <w:rPr>
          <w:rFonts w:ascii="Arial" w:cs="Arial" w:eastAsia="Arial" w:hAnsi="Arial"/>
          <w:sz w:val="18"/>
          <w:szCs w:val="18"/>
          <w:color w:val="auto"/>
        </w:rPr>
        <w:t xml:space="preserve">5.2.8 </w:t>
      </w:r>
      <w:r>
        <w:rPr>
          <w:rFonts w:ascii="Arial" w:cs="Arial" w:eastAsia="Arial" w:hAnsi="Arial"/>
          <w:sz w:val="18"/>
          <w:szCs w:val="18"/>
          <w:u w:val="single" w:color="auto"/>
          <w:color w:val="auto"/>
        </w:rPr>
        <w:t>Dissolution</w:t>
      </w:r>
      <w:r>
        <w:rPr>
          <w:rFonts w:ascii="Arial" w:cs="Arial" w:eastAsia="Arial" w:hAnsi="Arial"/>
          <w:sz w:val="18"/>
          <w:szCs w:val="18"/>
          <w:color w:val="auto"/>
        </w:rPr>
        <w:t xml:space="preserve">. The JSC shall be dissolved and its activities and authority terminated upon the end of the Collaboration Term; </w:t>
      </w:r>
      <w:r>
        <w:rPr>
          <w:rFonts w:ascii="Arial" w:cs="Arial" w:eastAsia="Arial" w:hAnsi="Arial"/>
          <w:sz w:val="18"/>
          <w:szCs w:val="18"/>
          <w:u w:val="single" w:color="auto"/>
          <w:color w:val="auto"/>
        </w:rPr>
        <w:t>provided, however, that</w:t>
      </w:r>
      <w:r>
        <w:rPr>
          <w:rFonts w:ascii="Arial" w:cs="Arial" w:eastAsia="Arial" w:hAnsi="Arial"/>
          <w:sz w:val="18"/>
          <w:szCs w:val="18"/>
          <w:color w:val="auto"/>
        </w:rPr>
        <w:t xml:space="preserve"> the JSC shall continue as a consultative committee for [***] thereafter.</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Progress Reports</w:t>
      </w:r>
      <w:r>
        <w:rPr>
          <w:rFonts w:ascii="Arial" w:cs="Arial" w:eastAsia="Arial" w:hAnsi="Arial"/>
          <w:sz w:val="17"/>
          <w:szCs w:val="17"/>
          <w:color w:val="auto"/>
        </w:rPr>
        <w:t>. Following the dissolution of the JSC, BMS shall provide to Repare a reasonably detailed progress report (a) every [***] during the Term on the status of BMS’s and its Affiliates’ and Sublicensees’ material pre-clinical Development activities with respect to the Collaboration Targets, Resulting Compounds and Products and (b) every [***] during the Term on the status of BMS’s and its Affiliates’ and Sublicensees’ material clinical Development activities with respect to the Collaboration Targets, Resulting Compounds and Products and Commercialization activities of Products after Regulatory Approval therefor. BMS shall include in each progress report an overview of the applicable activities accomplished by BMS since the previous report with respect to the Collaboration Targets, Resulting Compounds and Products and Commercialization activities of Products after Regulatory Approval therefor. All such reports shall be (x) on a Collaboration Target-by-Collaboration Target basis and (y) the Confidential Information of BMS. If requested by Repare within [***] after receipt of such report, BMS personnel who prepared such report will meet with Repare (which may be by teleconference) to discuss any reasonable questions or comments that Repare might reasonably have on such report and BMS’s material clinical Development activities with respect to the Collaboration Targets, Resulting Compounds and Products and Commercialization activities of Products after Regulatory Approval therefor.</w:t>
      </w: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LICENSES</w:t>
      </w:r>
    </w:p>
    <w:p>
      <w:pPr>
        <w:spacing w:after="0" w:line="211"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Licenses.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60" w:right="459" w:bottom="1440" w:gutter="0" w:footer="0" w:header="0"/>
        </w:sectPr>
      </w:pPr>
    </w:p>
    <w:bookmarkStart w:id="723" w:name="page724"/>
    <w:bookmarkEnd w:id="7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License to Repare</w:t>
      </w:r>
      <w:r>
        <w:rPr>
          <w:rFonts w:ascii="Arial" w:cs="Arial" w:eastAsia="Arial" w:hAnsi="Arial"/>
          <w:sz w:val="17"/>
          <w:szCs w:val="17"/>
          <w:color w:val="auto"/>
        </w:rPr>
        <w:t>. Commencing on the Effective Date and extending until expiration of the Collaboration Term, subject to the terms and conditions of this Agreement, BMS hereby grants Repare a non-exclusive, worldwide right and license under BMS’s rights in the BMS Intellectual Property and Collaboration Intellectual Property solely to permit Repare to perform its obligations under the Collaboration. Without limiting the foregoing, BMS and its Affiliates shall not assert any Patent (other than the BMS Patents) Controlled by BMS or any of its Affiliates against Repare for infringement thereof arising from Repare’s performance of its obligations under the Collaboration.</w:t>
      </w:r>
    </w:p>
    <w:p>
      <w:pPr>
        <w:spacing w:after="0" w:line="176"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u w:val="single" w:color="auto"/>
          <w:color w:val="auto"/>
        </w:rPr>
        <w:t>Licenses to BMS</w:t>
      </w:r>
      <w:r>
        <w:rPr>
          <w:rFonts w:ascii="Arial" w:cs="Arial" w:eastAsia="Arial" w:hAnsi="Arial"/>
          <w:sz w:val="16"/>
          <w:szCs w:val="16"/>
          <w:color w:val="auto"/>
        </w:rPr>
        <w:t>.</w:t>
      </w:r>
    </w:p>
    <w:p>
      <w:pPr>
        <w:spacing w:after="0" w:line="225" w:lineRule="exact"/>
        <w:rPr>
          <w:sz w:val="20"/>
          <w:szCs w:val="20"/>
          <w:color w:val="auto"/>
        </w:rPr>
      </w:pPr>
    </w:p>
    <w:p>
      <w:pPr>
        <w:ind w:left="120" w:firstLine="1428"/>
        <w:spacing w:after="0" w:line="301" w:lineRule="auto"/>
        <w:tabs>
          <w:tab w:leader="none" w:pos="1932" w:val="left"/>
        </w:tabs>
        <w:numPr>
          <w:ilvl w:val="0"/>
          <w:numId w:val="475"/>
        </w:numPr>
        <w:rPr>
          <w:rFonts w:ascii="Arial" w:cs="Arial" w:eastAsia="Arial" w:hAnsi="Arial"/>
          <w:sz w:val="16"/>
          <w:szCs w:val="16"/>
          <w:color w:val="auto"/>
        </w:rPr>
      </w:pPr>
      <w:r>
        <w:rPr>
          <w:rFonts w:ascii="Arial" w:cs="Arial" w:eastAsia="Arial" w:hAnsi="Arial"/>
          <w:sz w:val="16"/>
          <w:szCs w:val="16"/>
          <w:color w:val="auto"/>
        </w:rPr>
        <w:t>On a Primary Campaign-by-Primary Campaign basis, during the Option Term for such Primary Campaign, subject to the terms and conditions of this Agreement, Repare hereby grants BMS a non-exclusive, worldwide, right and license, with the right to grant sublicenses as set forth in Section 6.2, under Repare’s rights in the Repare Intellectual Property and Collaboration Intellectual Property solely to evaluate the Final Data Package for such Primary Campaign in order to determine whether to exercise BMS’s Option with respect to such Primary Campaign.</w:t>
      </w:r>
    </w:p>
    <w:p>
      <w:pPr>
        <w:spacing w:after="0" w:line="157" w:lineRule="exact"/>
        <w:rPr>
          <w:rFonts w:ascii="Arial" w:cs="Arial" w:eastAsia="Arial" w:hAnsi="Arial"/>
          <w:sz w:val="16"/>
          <w:szCs w:val="16"/>
          <w:color w:val="auto"/>
        </w:rPr>
      </w:pPr>
    </w:p>
    <w:p>
      <w:pPr>
        <w:ind w:left="120" w:right="180" w:firstLine="1428"/>
        <w:spacing w:after="0" w:line="275" w:lineRule="auto"/>
        <w:tabs>
          <w:tab w:leader="none" w:pos="1942" w:val="left"/>
        </w:tabs>
        <w:numPr>
          <w:ilvl w:val="0"/>
          <w:numId w:val="475"/>
        </w:numPr>
        <w:rPr>
          <w:rFonts w:ascii="Arial" w:cs="Arial" w:eastAsia="Arial" w:hAnsi="Arial"/>
          <w:sz w:val="17"/>
          <w:szCs w:val="17"/>
          <w:color w:val="auto"/>
        </w:rPr>
      </w:pPr>
      <w:r>
        <w:rPr>
          <w:rFonts w:ascii="Arial" w:cs="Arial" w:eastAsia="Arial" w:hAnsi="Arial"/>
          <w:sz w:val="17"/>
          <w:szCs w:val="17"/>
          <w:color w:val="auto"/>
        </w:rPr>
        <w:t>On an Unblinded Undruggable Target-by-Unblinded Undruggable Target basis, during the Option Term for such Unblinded Undruggable Target, subject to the terms and conditions of this Agreement, Repare hereby grants BMS a non-exclusive, worldwide, right and license, with the right to grant sublicenses as set forth in Section 6.2, under Repare’s rights in the Repare Intellectual Property and Collaboration Intellectual Property solely to evaluate the Undruggable Target Data Package for such Unblinded Undruggable Target in order to determine whether to exercise BMS’s Option with respect to such Unblinded Undruggable Target.</w:t>
      </w:r>
    </w:p>
    <w:p>
      <w:pPr>
        <w:spacing w:after="0" w:line="176" w:lineRule="exact"/>
        <w:rPr>
          <w:rFonts w:ascii="Arial" w:cs="Arial" w:eastAsia="Arial" w:hAnsi="Arial"/>
          <w:sz w:val="17"/>
          <w:szCs w:val="17"/>
          <w:color w:val="auto"/>
        </w:rPr>
      </w:pPr>
    </w:p>
    <w:p>
      <w:pPr>
        <w:ind w:left="120" w:firstLine="1428"/>
        <w:spacing w:after="0" w:line="257" w:lineRule="auto"/>
        <w:tabs>
          <w:tab w:leader="none" w:pos="1932" w:val="left"/>
        </w:tabs>
        <w:numPr>
          <w:ilvl w:val="0"/>
          <w:numId w:val="475"/>
        </w:numPr>
        <w:rPr>
          <w:rFonts w:ascii="Arial" w:cs="Arial" w:eastAsia="Arial" w:hAnsi="Arial"/>
          <w:sz w:val="18"/>
          <w:szCs w:val="18"/>
          <w:color w:val="auto"/>
        </w:rPr>
      </w:pPr>
      <w:r>
        <w:rPr>
          <w:rFonts w:ascii="Arial" w:cs="Arial" w:eastAsia="Arial" w:hAnsi="Arial"/>
          <w:sz w:val="18"/>
          <w:szCs w:val="18"/>
          <w:color w:val="auto"/>
        </w:rPr>
        <w:t>On a Collaboration Campaign-by-Collaboration Campaign basis, commencing on the date that BMS exercises its Option with respect to such Collaboration Campaign, subject to the terms and conditions of this Agreement, Repare hereby grants to BMS an exclusive (even as to Repare and its Affiliates) right and license in the Licensed Field in the Territory, with the right to grant sublicenses as set forth in Section 6.2, under Repare’s rights in the Repare Intellectual Property and Collaboration Intellectual Property (and, with respect to Section 6.1.2(c)(iii), the Subject Patents) to:</w:t>
      </w:r>
    </w:p>
    <w:p>
      <w:pPr>
        <w:spacing w:after="0" w:line="79" w:lineRule="exact"/>
        <w:rPr>
          <w:rFonts w:ascii="Arial" w:cs="Arial" w:eastAsia="Arial" w:hAnsi="Arial"/>
          <w:sz w:val="18"/>
          <w:szCs w:val="18"/>
          <w:color w:val="auto"/>
        </w:rPr>
      </w:pPr>
    </w:p>
    <w:p>
      <w:pPr>
        <w:ind w:left="120" w:right="200" w:firstLine="1979"/>
        <w:spacing w:after="0" w:line="277" w:lineRule="auto"/>
        <w:tabs>
          <w:tab w:leader="none" w:pos="2453" w:val="left"/>
        </w:tabs>
        <w:numPr>
          <w:ilvl w:val="1"/>
          <w:numId w:val="475"/>
        </w:numPr>
        <w:rPr>
          <w:rFonts w:ascii="Arial" w:cs="Arial" w:eastAsia="Arial" w:hAnsi="Arial"/>
          <w:sz w:val="18"/>
          <w:szCs w:val="18"/>
          <w:color w:val="auto"/>
        </w:rPr>
      </w:pPr>
      <w:r>
        <w:rPr>
          <w:rFonts w:ascii="Arial" w:cs="Arial" w:eastAsia="Arial" w:hAnsi="Arial"/>
          <w:sz w:val="18"/>
          <w:szCs w:val="18"/>
          <w:color w:val="auto"/>
        </w:rPr>
        <w:t>during the Primary Target Period for such Collaboration Campaign, conduct Chemistry with respect to the applicable Primary Target in accordance with Section 2.8;</w:t>
      </w:r>
    </w:p>
    <w:p>
      <w:pPr>
        <w:spacing w:after="0" w:line="170" w:lineRule="exact"/>
        <w:rPr>
          <w:rFonts w:ascii="Arial" w:cs="Arial" w:eastAsia="Arial" w:hAnsi="Arial"/>
          <w:sz w:val="18"/>
          <w:szCs w:val="18"/>
          <w:color w:val="auto"/>
        </w:rPr>
      </w:pPr>
    </w:p>
    <w:p>
      <w:pPr>
        <w:ind w:left="120" w:right="640" w:firstLine="1979"/>
        <w:spacing w:after="0" w:line="277" w:lineRule="auto"/>
        <w:tabs>
          <w:tab w:leader="none" w:pos="2503" w:val="left"/>
        </w:tabs>
        <w:numPr>
          <w:ilvl w:val="1"/>
          <w:numId w:val="475"/>
        </w:numPr>
        <w:rPr>
          <w:rFonts w:ascii="Arial" w:cs="Arial" w:eastAsia="Arial" w:hAnsi="Arial"/>
          <w:sz w:val="18"/>
          <w:szCs w:val="18"/>
          <w:color w:val="auto"/>
        </w:rPr>
      </w:pPr>
      <w:r>
        <w:rPr>
          <w:rFonts w:ascii="Arial" w:cs="Arial" w:eastAsia="Arial" w:hAnsi="Arial"/>
          <w:sz w:val="18"/>
          <w:szCs w:val="18"/>
          <w:color w:val="auto"/>
        </w:rPr>
        <w:t>during the Additional Target Period for such Collaboration Campaign, conduct Chemistry with respect to each applicable Additional Target in accordance with Section 2.8; and</w:t>
      </w:r>
    </w:p>
    <w:p>
      <w:pPr>
        <w:spacing w:after="0" w:line="170" w:lineRule="exact"/>
        <w:rPr>
          <w:rFonts w:ascii="Arial" w:cs="Arial" w:eastAsia="Arial" w:hAnsi="Arial"/>
          <w:sz w:val="18"/>
          <w:szCs w:val="18"/>
          <w:color w:val="auto"/>
        </w:rPr>
      </w:pPr>
    </w:p>
    <w:p>
      <w:pPr>
        <w:ind w:left="120" w:right="500" w:firstLine="1979"/>
        <w:spacing w:after="0" w:line="342" w:lineRule="auto"/>
        <w:tabs>
          <w:tab w:leader="none" w:pos="2553" w:val="left"/>
        </w:tabs>
        <w:numPr>
          <w:ilvl w:val="1"/>
          <w:numId w:val="475"/>
        </w:numPr>
        <w:rPr>
          <w:rFonts w:ascii="Arial" w:cs="Arial" w:eastAsia="Arial" w:hAnsi="Arial"/>
          <w:sz w:val="16"/>
          <w:szCs w:val="16"/>
          <w:color w:val="auto"/>
        </w:rPr>
      </w:pPr>
      <w:r>
        <w:rPr>
          <w:rFonts w:ascii="Arial" w:cs="Arial" w:eastAsia="Arial" w:hAnsi="Arial"/>
          <w:sz w:val="16"/>
          <w:szCs w:val="16"/>
          <w:color w:val="auto"/>
        </w:rPr>
        <w:t>Develop (including any Regulatory Interactions), Manufacture, Commercialize and otherwise exploit Resulting Compounds and Products that are Directed to the applicable Collaboration Targets in accordance with the terms of this Agreement.</w:t>
      </w:r>
    </w:p>
    <w:p>
      <w:pPr>
        <w:spacing w:after="0" w:line="56" w:lineRule="exact"/>
        <w:rPr>
          <w:rFonts w:ascii="Arial" w:cs="Arial" w:eastAsia="Arial" w:hAnsi="Arial"/>
          <w:sz w:val="16"/>
          <w:szCs w:val="16"/>
          <w:color w:val="auto"/>
        </w:rPr>
      </w:pPr>
    </w:p>
    <w:p>
      <w:pPr>
        <w:ind w:left="5540" w:hanging="111"/>
        <w:spacing w:after="0"/>
        <w:tabs>
          <w:tab w:leader="none" w:pos="5540" w:val="left"/>
        </w:tabs>
        <w:numPr>
          <w:ilvl w:val="2"/>
          <w:numId w:val="475"/>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080"/>
          </w:cols>
          <w:pgMar w:left="320" w:top="460" w:right="499" w:bottom="1440" w:gutter="0" w:footer="0" w:header="0"/>
        </w:sectPr>
      </w:pPr>
    </w:p>
    <w:bookmarkStart w:id="724" w:name="page725"/>
    <w:bookmarkEnd w:id="7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1428"/>
        <w:spacing w:after="0" w:line="257" w:lineRule="auto"/>
        <w:tabs>
          <w:tab w:leader="none" w:pos="1942" w:val="left"/>
        </w:tabs>
        <w:numPr>
          <w:ilvl w:val="0"/>
          <w:numId w:val="476"/>
        </w:numPr>
        <w:rPr>
          <w:rFonts w:ascii="Arial" w:cs="Arial" w:eastAsia="Arial" w:hAnsi="Arial"/>
          <w:sz w:val="18"/>
          <w:szCs w:val="18"/>
          <w:color w:val="auto"/>
        </w:rPr>
      </w:pPr>
      <w:r>
        <w:rPr>
          <w:rFonts w:ascii="Arial" w:cs="Arial" w:eastAsia="Arial" w:hAnsi="Arial"/>
          <w:sz w:val="18"/>
          <w:szCs w:val="18"/>
          <w:color w:val="auto"/>
        </w:rPr>
        <w:t>On a Collaboration Undruggable Target-by-Collaboration Undruggable Target basis, commencing on the date that BMS exercises its Option with respect to such Collaboration Undruggable Target, subject to the terms and conditions of this Agreement, Repare hereby grants to BMS an exclusive (even as to Repare and its Affiliates) right and license in the Licensed Field in the Territory, with the right to grant sublicenses as set forth in Section 6.2, under Repare’s rights in the Repare Intellectual Property and Collaboration Intellectual Property to (and, with respect to Section 6.1.2(d)(ii), the Subject Patents):</w:t>
      </w:r>
    </w:p>
    <w:p>
      <w:pPr>
        <w:spacing w:after="0" w:line="79" w:lineRule="exact"/>
        <w:rPr>
          <w:rFonts w:ascii="Arial" w:cs="Arial" w:eastAsia="Arial" w:hAnsi="Arial"/>
          <w:sz w:val="18"/>
          <w:szCs w:val="18"/>
          <w:color w:val="auto"/>
        </w:rPr>
      </w:pPr>
    </w:p>
    <w:p>
      <w:pPr>
        <w:ind w:left="120" w:right="260" w:firstLine="1979"/>
        <w:spacing w:after="0" w:line="277" w:lineRule="auto"/>
        <w:tabs>
          <w:tab w:leader="none" w:pos="2453" w:val="left"/>
        </w:tabs>
        <w:numPr>
          <w:ilvl w:val="1"/>
          <w:numId w:val="476"/>
        </w:numPr>
        <w:rPr>
          <w:rFonts w:ascii="Arial" w:cs="Arial" w:eastAsia="Arial" w:hAnsi="Arial"/>
          <w:sz w:val="18"/>
          <w:szCs w:val="18"/>
          <w:color w:val="auto"/>
        </w:rPr>
      </w:pPr>
      <w:r>
        <w:rPr>
          <w:rFonts w:ascii="Arial" w:cs="Arial" w:eastAsia="Arial" w:hAnsi="Arial"/>
          <w:sz w:val="18"/>
          <w:szCs w:val="18"/>
          <w:color w:val="auto"/>
        </w:rPr>
        <w:t>during the Collaboration Undruggable Target Chemistry Period for such Collaboration Undruggable Target, conduct Chemistry with respect to such Collaboration Undruggable Target in accordance with Section 2.9; and</w:t>
      </w:r>
    </w:p>
    <w:p>
      <w:pPr>
        <w:spacing w:after="0" w:line="170" w:lineRule="exact"/>
        <w:rPr>
          <w:rFonts w:ascii="Arial" w:cs="Arial" w:eastAsia="Arial" w:hAnsi="Arial"/>
          <w:sz w:val="18"/>
          <w:szCs w:val="18"/>
          <w:color w:val="auto"/>
        </w:rPr>
      </w:pPr>
    </w:p>
    <w:p>
      <w:pPr>
        <w:ind w:left="120" w:right="560" w:firstLine="1979"/>
        <w:spacing w:after="0" w:line="342" w:lineRule="auto"/>
        <w:tabs>
          <w:tab w:leader="none" w:pos="2503" w:val="left"/>
        </w:tabs>
        <w:numPr>
          <w:ilvl w:val="1"/>
          <w:numId w:val="476"/>
        </w:numPr>
        <w:rPr>
          <w:rFonts w:ascii="Arial" w:cs="Arial" w:eastAsia="Arial" w:hAnsi="Arial"/>
          <w:sz w:val="16"/>
          <w:szCs w:val="16"/>
          <w:color w:val="auto"/>
        </w:rPr>
      </w:pPr>
      <w:r>
        <w:rPr>
          <w:rFonts w:ascii="Arial" w:cs="Arial" w:eastAsia="Arial" w:hAnsi="Arial"/>
          <w:sz w:val="16"/>
          <w:szCs w:val="16"/>
          <w:color w:val="auto"/>
        </w:rPr>
        <w:t>Develop (including any Regulatory Interactions), Manufacture, Commercialize and otherwise exploit Resulting Compounds and Products that are Directed to such Collaboration Undruggable Target in accordance with the terms of this Agreement.</w:t>
      </w:r>
    </w:p>
    <w:p>
      <w:pPr>
        <w:spacing w:after="0" w:line="123" w:lineRule="exact"/>
        <w:rPr>
          <w:rFonts w:ascii="Arial" w:cs="Arial" w:eastAsia="Arial" w:hAnsi="Arial"/>
          <w:sz w:val="16"/>
          <w:szCs w:val="16"/>
          <w:color w:val="auto"/>
        </w:rPr>
      </w:pPr>
    </w:p>
    <w:p>
      <w:pPr>
        <w:ind w:left="120" w:right="100" w:firstLine="1428"/>
        <w:spacing w:after="0" w:line="263" w:lineRule="auto"/>
        <w:tabs>
          <w:tab w:leader="none" w:pos="1932" w:val="left"/>
        </w:tabs>
        <w:numPr>
          <w:ilvl w:val="0"/>
          <w:numId w:val="476"/>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Repare does not grant BMS any right or license with respect to any compound or product that is Directed to any Excluded Target, other than any Excluded Target that is deemed to be a Collaboration Target pursuant to Section 2.13.3.</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u w:val="single" w:color="auto"/>
          <w:color w:val="auto"/>
        </w:rPr>
        <w:t>Sublicenses.</w:t>
      </w:r>
    </w:p>
    <w:p>
      <w:pPr>
        <w:spacing w:after="0" w:line="225" w:lineRule="exact"/>
        <w:rPr>
          <w:sz w:val="20"/>
          <w:szCs w:val="20"/>
          <w:color w:val="auto"/>
        </w:rPr>
      </w:pPr>
    </w:p>
    <w:p>
      <w:pPr>
        <w:ind w:left="120" w:right="340" w:firstLine="991"/>
        <w:spacing w:after="0" w:line="277"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Repare</w:t>
      </w:r>
      <w:r>
        <w:rPr>
          <w:rFonts w:ascii="Arial" w:cs="Arial" w:eastAsia="Arial" w:hAnsi="Arial"/>
          <w:sz w:val="18"/>
          <w:szCs w:val="18"/>
          <w:color w:val="auto"/>
        </w:rPr>
        <w:t>. Repare will not grant sublicenses within the scope of the license granted to it under 6.1.1 except with the prior written consent of BMS.</w:t>
      </w:r>
    </w:p>
    <w:p>
      <w:pPr>
        <w:spacing w:after="0" w:line="170"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6"/>
          <w:szCs w:val="16"/>
          <w:u w:val="single" w:color="auto"/>
          <w:color w:val="auto"/>
        </w:rPr>
        <w:t>BMS</w:t>
      </w:r>
      <w:r>
        <w:rPr>
          <w:rFonts w:ascii="Arial" w:cs="Arial" w:eastAsia="Arial" w:hAnsi="Arial"/>
          <w:sz w:val="16"/>
          <w:szCs w:val="16"/>
          <w:color w:val="auto"/>
        </w:rPr>
        <w:t>. BMS shall have the right to grant sublicenses within the scope of the licenses granted to it under Section 6.1.2 to its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Affiliates and to Third Parties, but any sublicense granted by BMS or any of its Affiliates or Sublicensees shall be subject to the following:</w:t>
      </w:r>
    </w:p>
    <w:p>
      <w:pPr>
        <w:spacing w:after="0" w:line="103" w:lineRule="exact"/>
        <w:rPr>
          <w:sz w:val="20"/>
          <w:szCs w:val="20"/>
          <w:color w:val="auto"/>
        </w:rPr>
      </w:pPr>
    </w:p>
    <w:p>
      <w:pPr>
        <w:ind w:left="1540"/>
        <w:spacing w:after="0"/>
        <w:tabs>
          <w:tab w:leader="none" w:pos="19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each sublicense granted by BMS or any of its Affiliates or Sublicensees shall be consistent with the applicable requirements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Agreement;</w:t>
      </w:r>
    </w:p>
    <w:p>
      <w:pPr>
        <w:spacing w:after="0" w:line="211" w:lineRule="exact"/>
        <w:rPr>
          <w:sz w:val="20"/>
          <w:szCs w:val="20"/>
          <w:color w:val="auto"/>
        </w:rPr>
      </w:pPr>
    </w:p>
    <w:p>
      <w:pPr>
        <w:ind w:left="120" w:right="720" w:firstLine="1428"/>
        <w:spacing w:after="0" w:line="277" w:lineRule="auto"/>
        <w:tabs>
          <w:tab w:leader="none" w:pos="1942" w:val="left"/>
        </w:tabs>
        <w:numPr>
          <w:ilvl w:val="0"/>
          <w:numId w:val="477"/>
        </w:numPr>
        <w:rPr>
          <w:rFonts w:ascii="Arial" w:cs="Arial" w:eastAsia="Arial" w:hAnsi="Arial"/>
          <w:sz w:val="18"/>
          <w:szCs w:val="18"/>
          <w:color w:val="auto"/>
        </w:rPr>
      </w:pPr>
      <w:r>
        <w:rPr>
          <w:rFonts w:ascii="Arial" w:cs="Arial" w:eastAsia="Arial" w:hAnsi="Arial"/>
          <w:sz w:val="18"/>
          <w:szCs w:val="18"/>
          <w:color w:val="auto"/>
        </w:rPr>
        <w:t>BMS shall be primarily liable for any failure by its Affiliates or Sublicensees to comply with all relevant restrictions, limitations and obligations in this Agreement;</w:t>
      </w:r>
    </w:p>
    <w:p>
      <w:pPr>
        <w:spacing w:after="0" w:line="170" w:lineRule="exact"/>
        <w:rPr>
          <w:rFonts w:ascii="Arial" w:cs="Arial" w:eastAsia="Arial" w:hAnsi="Arial"/>
          <w:sz w:val="18"/>
          <w:szCs w:val="18"/>
          <w:color w:val="auto"/>
        </w:rPr>
      </w:pPr>
    </w:p>
    <w:p>
      <w:pPr>
        <w:ind w:left="120" w:right="240" w:firstLine="1428"/>
        <w:spacing w:after="0" w:line="342" w:lineRule="auto"/>
        <w:tabs>
          <w:tab w:leader="none" w:pos="1932" w:val="left"/>
        </w:tabs>
        <w:numPr>
          <w:ilvl w:val="0"/>
          <w:numId w:val="477"/>
        </w:numPr>
        <w:rPr>
          <w:rFonts w:ascii="Arial" w:cs="Arial" w:eastAsia="Arial" w:hAnsi="Arial"/>
          <w:sz w:val="16"/>
          <w:szCs w:val="16"/>
          <w:color w:val="auto"/>
        </w:rPr>
      </w:pPr>
      <w:r>
        <w:rPr>
          <w:rFonts w:ascii="Arial" w:cs="Arial" w:eastAsia="Arial" w:hAnsi="Arial"/>
          <w:sz w:val="16"/>
          <w:szCs w:val="16"/>
          <w:color w:val="auto"/>
        </w:rPr>
        <w:t>each sublicense granted by BMS to any Sublicensees must be granted pursuant to a written sublicense agreement, and BMS shall provide Repare with a written notice of each such sublicense identifying the Sublicensee within [***] after the execution thereof; and</w:t>
      </w:r>
    </w:p>
    <w:p>
      <w:pPr>
        <w:spacing w:after="0" w:line="123" w:lineRule="exact"/>
        <w:rPr>
          <w:rFonts w:ascii="Arial" w:cs="Arial" w:eastAsia="Arial" w:hAnsi="Arial"/>
          <w:sz w:val="16"/>
          <w:szCs w:val="16"/>
          <w:color w:val="auto"/>
        </w:rPr>
      </w:pPr>
    </w:p>
    <w:p>
      <w:pPr>
        <w:jc w:val="both"/>
        <w:ind w:left="120" w:right="40" w:firstLine="1428"/>
        <w:spacing w:after="0" w:line="257" w:lineRule="auto"/>
        <w:tabs>
          <w:tab w:leader="none" w:pos="1942" w:val="left"/>
        </w:tabs>
        <w:numPr>
          <w:ilvl w:val="0"/>
          <w:numId w:val="477"/>
        </w:numPr>
        <w:rPr>
          <w:rFonts w:ascii="Arial" w:cs="Arial" w:eastAsia="Arial" w:hAnsi="Arial"/>
          <w:sz w:val="18"/>
          <w:szCs w:val="18"/>
          <w:color w:val="auto"/>
        </w:rPr>
      </w:pPr>
      <w:r>
        <w:rPr>
          <w:rFonts w:ascii="Arial" w:cs="Arial" w:eastAsia="Arial" w:hAnsi="Arial"/>
          <w:sz w:val="18"/>
          <w:szCs w:val="18"/>
          <w:color w:val="auto"/>
        </w:rPr>
        <w:t>without limiting the foregoing or any provision of ARTICLE XI, unless otherwise agreed by the Parties in advance in writing, BMS shall require any Third Party to whom BMS discloses Repare’s Confidential Information to enter into an appropriate written agreement obligating such Third Party to be bound by obligations of confidentiality and restrictions on use of such Confidential Information that are no less restrictive than the obligations set forth in ARTICLE XI, including requiring such Third Party to agree in writing not to issue any Publications that would violate the terms of this Agreement.</w:t>
      </w:r>
    </w:p>
    <w:p>
      <w:pPr>
        <w:spacing w:after="0" w:line="120" w:lineRule="exact"/>
        <w:rPr>
          <w:rFonts w:ascii="Arial" w:cs="Arial" w:eastAsia="Arial" w:hAnsi="Arial"/>
          <w:sz w:val="18"/>
          <w:szCs w:val="18"/>
          <w:color w:val="auto"/>
        </w:rPr>
      </w:pPr>
    </w:p>
    <w:p>
      <w:pPr>
        <w:ind w:left="5540" w:hanging="111"/>
        <w:spacing w:after="0"/>
        <w:tabs>
          <w:tab w:leader="none" w:pos="5540" w:val="left"/>
        </w:tabs>
        <w:numPr>
          <w:ilvl w:val="1"/>
          <w:numId w:val="477"/>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1080"/>
          </w:cols>
          <w:pgMar w:left="320" w:top="460" w:right="499" w:bottom="1440" w:gutter="0" w:footer="0" w:header="0"/>
        </w:sectPr>
      </w:pPr>
    </w:p>
    <w:bookmarkStart w:id="725" w:name="page726"/>
    <w:bookmarkEnd w:id="7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Subcontracting</w:t>
      </w:r>
      <w:r>
        <w:rPr>
          <w:rFonts w:ascii="Arial" w:cs="Arial" w:eastAsia="Arial" w:hAnsi="Arial"/>
          <w:sz w:val="17"/>
          <w:szCs w:val="17"/>
          <w:color w:val="auto"/>
        </w:rPr>
        <w:t xml:space="preserve">. Subject to the terms of this Agreement, each Party shall have the right to engage Third Party subcontractors to perform its obligations under this Agreement;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with respect to Repare as the engaging Party, such Third Party subcontractor shall be as mutually agreed to by the Parties and as set forth in the Research Plan, including setting forth the particular activities to be performed by such contractor and the rights to Collaboration Intellectual Property to be generated by such contractor in the performance of such activities. Such Party shall ensure that any such subcontractor shall meet the qualifications typically required by such Party for the performance of work similar in scope and complexity to the subcontracted activity and shall perform such work consistent with the terms of this Agreement; </w:t>
      </w:r>
      <w:r>
        <w:rPr>
          <w:rFonts w:ascii="Arial" w:cs="Arial" w:eastAsia="Arial" w:hAnsi="Arial"/>
          <w:sz w:val="17"/>
          <w:szCs w:val="17"/>
          <w:u w:val="single" w:color="auto"/>
          <w:color w:val="auto"/>
        </w:rPr>
        <w:t>provided, however, that</w:t>
      </w:r>
      <w:r>
        <w:rPr>
          <w:rFonts w:ascii="Arial" w:cs="Arial" w:eastAsia="Arial" w:hAnsi="Arial"/>
          <w:sz w:val="17"/>
          <w:szCs w:val="17"/>
          <w:color w:val="auto"/>
        </w:rPr>
        <w:t xml:space="preserve"> any Party engaging a Third Party subcontractor hereunder shall remain fully responsible and obligated for such activities. The Party engaging a Third Party subcontractor shall ensure that such Third Party subcontractor complies with all applicable provisions of this Agreement, including ARTICLE XI. Each Party hereby expressly waives any requirement that the other Party exhaust any right, power or remedy, or proceed against any subcontractor for any obligation or performance hereunder, prior to proceeding directly against such Party with respect to any failure of such Party to perform its obligations under this Agreement through such subcontractor.</w:t>
      </w:r>
    </w:p>
    <w:p>
      <w:pPr>
        <w:spacing w:after="0" w:line="18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Rights Retained by the Parties</w:t>
      </w:r>
      <w:r>
        <w:rPr>
          <w:rFonts w:ascii="Arial" w:cs="Arial" w:eastAsia="Arial" w:hAnsi="Arial"/>
          <w:sz w:val="18"/>
          <w:szCs w:val="18"/>
          <w:color w:val="auto"/>
        </w:rPr>
        <w:t>. For purposes of clarity, each Party retains all rights under Know-How and Patents Controlled by such Party not expressly granted to the other Party pursuant to this Agreement.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Except as explicitly set forth in this Agreement, no Party shall be deemed by estoppel, implication or otherwise to have granted the other Party any license or other right to any intellectual property rights of such Party.</w:t>
      </w:r>
    </w:p>
    <w:p>
      <w:pPr>
        <w:spacing w:after="0" w:line="170"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Section 365(n) of the Bankruptcy Code</w:t>
      </w:r>
      <w:r>
        <w:rPr>
          <w:rFonts w:ascii="Arial" w:cs="Arial" w:eastAsia="Arial" w:hAnsi="Arial"/>
          <w:sz w:val="16"/>
          <w:szCs w:val="16"/>
          <w:color w:val="auto"/>
        </w:rPr>
        <w:t>. All licenses granted by Repare to BMS under this Agreement are deemed to be, for purposes of Section 365(n) of the U.S. Bankruptcy Code, licenses of rights to “intellectual property” as defined in Section 101 of the U.S. Bankruptcy Code. BMS, as licensee, may fully exercise all of its rights and elections under any applicable Bankruptcy Code. The Parties further agree that, if BMS elects to retain its rights as a licensee under any applicable Bankruptcy Code, BMS shall be entitled to complete access to any technology licensed to it hereunder and all embodiments of such technology. Such embodiments of the technology shall be delivered to BMS not later than: (a) the commencement of bankruptcy proceedings against Repare, upon written request, unless Repare elects to perform its obligations under this Agreement, or (b) if not delivered under clause (a), upon the rejection of this Agreement by or on behalf of Repare, upon written request. Any agreements supplemental hereto will be deemed to be “agreements supplementary to” this Agreement for purposes of Section 365(n) of the U.S. Bankruptcy Code. As used herein, “</w:t>
      </w:r>
      <w:r>
        <w:rPr>
          <w:rFonts w:ascii="Arial" w:cs="Arial" w:eastAsia="Arial" w:hAnsi="Arial"/>
          <w:sz w:val="16"/>
          <w:szCs w:val="16"/>
          <w:u w:val="single" w:color="auto"/>
          <w:color w:val="auto"/>
        </w:rPr>
        <w:t>Bankruptcy Code</w:t>
      </w:r>
      <w:r>
        <w:rPr>
          <w:rFonts w:ascii="Arial" w:cs="Arial" w:eastAsia="Arial" w:hAnsi="Arial"/>
          <w:sz w:val="16"/>
          <w:szCs w:val="16"/>
          <w:color w:val="auto"/>
        </w:rPr>
        <w:t>” means the U.S. Bankruptcy Code and any foreign equivalent thereto in any country having jurisdiction over a Party or its assets.</w:t>
      </w:r>
    </w:p>
    <w:p>
      <w:pPr>
        <w:spacing w:after="0" w:line="166"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u w:val="single" w:color="auto"/>
          <w:color w:val="auto"/>
        </w:rPr>
        <w:t>America Invents Act</w:t>
      </w:r>
      <w:r>
        <w:rPr>
          <w:rFonts w:ascii="Arial" w:cs="Arial" w:eastAsia="Arial" w:hAnsi="Arial"/>
          <w:sz w:val="16"/>
          <w:szCs w:val="16"/>
          <w:color w:val="auto"/>
        </w:rPr>
        <w:t>. Notwithstanding anything to the contrary in this ARTICLE VI, no Party will have the right to make an election under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35 U.S.C. § 102(b)(2)(C) or 35 U.S.C. § 102(c) when exercising its rights under this ARTICLE VI without the prior written consent of</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60" w:right="459" w:bottom="1440" w:gutter="0" w:footer="0" w:header="0"/>
        </w:sectPr>
      </w:pPr>
    </w:p>
    <w:bookmarkStart w:id="726" w:name="page727"/>
    <w:bookmarkEnd w:id="7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the other Party, which will not be unreasonably withheld, conditioned or delayed. With respect to any such permitted election, the Parties will use reasonable efforts to cooperate and coordinate their activities with respect to any submissions, filings or other activities in support thereof. The Parties acknowledge and agree that this Agreement is deemed a “joint research agreement” as defined in 35 U.S.C. § 100(h).</w:t>
      </w:r>
    </w:p>
    <w:p>
      <w:pPr>
        <w:spacing w:after="0" w:line="16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Recording</w:t>
      </w:r>
      <w:r>
        <w:rPr>
          <w:rFonts w:ascii="Arial" w:cs="Arial" w:eastAsia="Arial" w:hAnsi="Arial"/>
          <w:sz w:val="16"/>
          <w:szCs w:val="16"/>
          <w:color w:val="auto"/>
        </w:rPr>
        <w:t>. If BMS deems it necessary or desirable to register or record this Agreement or evidence of this Agreement with any patent office or other appropriate Governmental Authority in one or more jurisdictions in the Territory, Repare shall reasonably cooperate to execute and deliver to BMS any documents that the Parties have mutually agreed on accurately reflecting or evidencing this Agreement that are necessary or desirable, in BMS’s reasonable judgment, to complete such registration or recordation. BMS will reimburse Repare for all reasonable out-of-pocket costs, including attorneys’ fees, incurred by Repare in complying with the provisions of this Section 6.8 within [***] after receipt of any invoice therefor.</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RIGHT OF FIRST NEGOTIATION</w:t>
      </w:r>
    </w:p>
    <w:p>
      <w:pPr>
        <w:spacing w:after="0" w:line="21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Notification</w:t>
      </w:r>
      <w:r>
        <w:rPr>
          <w:rFonts w:ascii="Arial" w:cs="Arial" w:eastAsia="Arial" w:hAnsi="Arial"/>
          <w:sz w:val="17"/>
          <w:szCs w:val="17"/>
          <w:color w:val="auto"/>
        </w:rPr>
        <w:t xml:space="preserve">. During the period beginning on the Effective Date and ending on the earlier of (a) the end of the Collaboration Term or (b) any Change of Control of Repare (such period, the </w:t>
      </w:r>
      <w:r>
        <w:rPr>
          <w:rFonts w:ascii="Arial" w:cs="Arial" w:eastAsia="Arial" w:hAnsi="Arial"/>
          <w:sz w:val="17"/>
          <w:szCs w:val="17"/>
          <w:u w:val="single" w:color="auto"/>
          <w:color w:val="auto"/>
        </w:rPr>
        <w:t>“Collaboration Term ROFN Period</w:t>
      </w:r>
      <w:r>
        <w:rPr>
          <w:rFonts w:ascii="Arial" w:cs="Arial" w:eastAsia="Arial" w:hAnsi="Arial"/>
          <w:sz w:val="17"/>
          <w:szCs w:val="17"/>
          <w:color w:val="auto"/>
        </w:rPr>
        <w:t>”), and during the period beginning from and after the end of the Collaboration Term and ending on any Change of Control of Repare (such period, the “</w:t>
      </w:r>
      <w:r>
        <w:rPr>
          <w:rFonts w:ascii="Arial" w:cs="Arial" w:eastAsia="Arial" w:hAnsi="Arial"/>
          <w:sz w:val="17"/>
          <w:szCs w:val="17"/>
          <w:u w:val="single" w:color="auto"/>
          <w:color w:val="auto"/>
        </w:rPr>
        <w:t>Post-Collaboration Term ROFN Period</w:t>
      </w:r>
      <w:r>
        <w:rPr>
          <w:rFonts w:ascii="Arial" w:cs="Arial" w:eastAsia="Arial" w:hAnsi="Arial"/>
          <w:sz w:val="17"/>
          <w:szCs w:val="17"/>
          <w:color w:val="auto"/>
        </w:rPr>
        <w:t>”), (i) on a ROFN Compound-by-ROFN Compound and territory-by-territory basis, the first time (if any) that Repare determines that it wishes to divest, license or enter into any co-development or co-commercialization transaction or any similar transaction granting a Third Party control or economic rights with respect to such ROFN Compound in such territory, other than a Change of Control transaction (each such divestiture, license, co-development or co-commercialization transaction or any similar transaction granting a Third Party control or economic rights, a “</w:t>
      </w:r>
      <w:r>
        <w:rPr>
          <w:rFonts w:ascii="Arial" w:cs="Arial" w:eastAsia="Arial" w:hAnsi="Arial"/>
          <w:sz w:val="17"/>
          <w:szCs w:val="17"/>
          <w:u w:val="single" w:color="auto"/>
          <w:color w:val="auto"/>
        </w:rPr>
        <w:t>ROFN Transaction</w:t>
      </w:r>
      <w:r>
        <w:rPr>
          <w:rFonts w:ascii="Arial" w:cs="Arial" w:eastAsia="Arial" w:hAnsi="Arial"/>
          <w:sz w:val="17"/>
          <w:szCs w:val="17"/>
          <w:color w:val="auto"/>
        </w:rPr>
        <w:t xml:space="preserve">”) and (ii) on a ROFN Compound-by-ROFN Compound basis, the first time (if any) that Repare receives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unsolicited offer for a divestiture, license, co-development or co-commercialization transaction or any similar transaction granting a Third Party control or economic rights with respect to such ROFN Compound, other than a Change of Control Transaction, and wishes to consider entering into such transaction (each, an “</w:t>
      </w:r>
      <w:r>
        <w:rPr>
          <w:rFonts w:ascii="Arial" w:cs="Arial" w:eastAsia="Arial" w:hAnsi="Arial"/>
          <w:sz w:val="17"/>
          <w:szCs w:val="17"/>
          <w:u w:val="single" w:color="auto"/>
          <w:color w:val="auto"/>
        </w:rPr>
        <w:t>Unsolicited Offer</w:t>
      </w:r>
      <w:r>
        <w:rPr>
          <w:rFonts w:ascii="Arial" w:cs="Arial" w:eastAsia="Arial" w:hAnsi="Arial"/>
          <w:sz w:val="17"/>
          <w:szCs w:val="17"/>
          <w:color w:val="auto"/>
        </w:rPr>
        <w:t>”), Repare shall promptly notify BMS in writing of such proposed ROFN Transaction or Unsolicited Offer, as applicable. Such notice shall include the territory that the proposed ROFN Transaction or Unsolicited Offer, as applicable, would cover and such notice shall, subject to Sections 11.1(a), 11.1(b), 11.1(c) and 11.1(d), be deemed Confidential Information of Repare.</w:t>
      </w:r>
    </w:p>
    <w:p>
      <w:pPr>
        <w:spacing w:after="0" w:line="186"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u w:val="single" w:color="auto"/>
          <w:color w:val="auto"/>
        </w:rPr>
        <w:t>Right of First Negotiation.</w:t>
      </w:r>
    </w:p>
    <w:p>
      <w:pPr>
        <w:spacing w:after="0" w:line="225" w:lineRule="exact"/>
        <w:rPr>
          <w:sz w:val="20"/>
          <w:szCs w:val="20"/>
          <w:color w:val="auto"/>
        </w:rPr>
      </w:pPr>
    </w:p>
    <w:p>
      <w:pPr>
        <w:ind w:left="120" w:right="20" w:firstLine="991"/>
        <w:spacing w:after="0" w:line="279" w:lineRule="auto"/>
        <w:rPr>
          <w:sz w:val="20"/>
          <w:szCs w:val="20"/>
          <w:color w:val="auto"/>
        </w:rPr>
      </w:pPr>
      <w:r>
        <w:rPr>
          <w:rFonts w:ascii="Arial" w:cs="Arial" w:eastAsia="Arial" w:hAnsi="Arial"/>
          <w:sz w:val="17"/>
          <w:szCs w:val="17"/>
          <w:color w:val="auto"/>
        </w:rPr>
        <w:t xml:space="preserve">7.2.1 </w:t>
      </w:r>
      <w:r>
        <w:rPr>
          <w:rFonts w:ascii="Arial" w:cs="Arial" w:eastAsia="Arial" w:hAnsi="Arial"/>
          <w:sz w:val="17"/>
          <w:szCs w:val="17"/>
          <w:u w:val="single" w:color="auto"/>
          <w:color w:val="auto"/>
        </w:rPr>
        <w:t>Right</w:t>
      </w:r>
      <w:r>
        <w:rPr>
          <w:rFonts w:ascii="Arial" w:cs="Arial" w:eastAsia="Arial" w:hAnsi="Arial"/>
          <w:sz w:val="17"/>
          <w:szCs w:val="17"/>
          <w:color w:val="auto"/>
        </w:rPr>
        <w:t>. Following notification to BMS by Repare of a proposed ROFN Transaction, BMS shall have the exclusive right, but not the obligation, to negotiate for the right to enter into the ROFN Transaction with Repare to Develop and Commercialize the ROFN Compound that is the subject of such proposed ROFN Transaction in the territory covered by such proposed ROFN Transaction (the “</w:t>
      </w:r>
      <w:r>
        <w:rPr>
          <w:rFonts w:ascii="Arial" w:cs="Arial" w:eastAsia="Arial" w:hAnsi="Arial"/>
          <w:sz w:val="17"/>
          <w:szCs w:val="17"/>
          <w:u w:val="single" w:color="auto"/>
          <w:color w:val="auto"/>
        </w:rPr>
        <w:t>Right of First Negotiation</w:t>
      </w:r>
      <w:r>
        <w:rPr>
          <w:rFonts w:ascii="Arial" w:cs="Arial" w:eastAsia="Arial" w:hAnsi="Arial"/>
          <w:sz w:val="17"/>
          <w:szCs w:val="17"/>
          <w:color w:val="auto"/>
        </w:rPr>
        <w:t>”), for a period of [***] after such notification or for such other period as the Parties may agree (the “</w:t>
      </w:r>
      <w:r>
        <w:rPr>
          <w:rFonts w:ascii="Arial" w:cs="Arial" w:eastAsia="Arial" w:hAnsi="Arial"/>
          <w:sz w:val="17"/>
          <w:szCs w:val="17"/>
          <w:u w:val="single" w:color="auto"/>
          <w:color w:val="auto"/>
        </w:rPr>
        <w:t>Negotiation Period</w:t>
      </w:r>
      <w:r>
        <w:rPr>
          <w:rFonts w:ascii="Arial" w:cs="Arial" w:eastAsia="Arial" w:hAnsi="Arial"/>
          <w:sz w:val="17"/>
          <w:szCs w:val="17"/>
          <w:color w:val="auto"/>
        </w:rPr>
        <w:t>”). During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60" w:right="439" w:bottom="1440" w:gutter="0" w:footer="0" w:header="0"/>
        </w:sectPr>
      </w:pPr>
    </w:p>
    <w:bookmarkStart w:id="727" w:name="page728"/>
    <w:bookmarkEnd w:id="7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Negotiation Period for a given ROFN Transaction, at the reasonable request of BMS, Repare shall disclose to BMS information and data relating to the ROFN Compound that is the subject of such ROFN Transaction as promptly as practicable after such request or, as applicable, after such information and results become available. Any such information and results shall, subject to Sections 11.1(a), 11.1(b), 11.1(c) and 11.1(d), be deemed Confidential Information of Repare. Repare will be under no obligation to consummate any such transaction with BMS.</w:t>
      </w:r>
    </w:p>
    <w:p>
      <w:pPr>
        <w:spacing w:after="0" w:line="171"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7"/>
          <w:szCs w:val="17"/>
          <w:u w:val="single" w:color="auto"/>
          <w:color w:val="auto"/>
        </w:rPr>
        <w:t>Limitations</w:t>
      </w:r>
      <w:r>
        <w:rPr>
          <w:rFonts w:ascii="Arial" w:cs="Arial" w:eastAsia="Arial" w:hAnsi="Arial"/>
          <w:sz w:val="17"/>
          <w:szCs w:val="17"/>
          <w:color w:val="auto"/>
        </w:rPr>
        <w:t>.</w:t>
      </w:r>
    </w:p>
    <w:p>
      <w:pPr>
        <w:spacing w:after="0" w:line="225" w:lineRule="exact"/>
        <w:rPr>
          <w:sz w:val="20"/>
          <w:szCs w:val="20"/>
          <w:color w:val="auto"/>
        </w:rPr>
      </w:pPr>
    </w:p>
    <w:p>
      <w:pPr>
        <w:ind w:left="120" w:right="20" w:firstLine="1428"/>
        <w:spacing w:after="0" w:line="270" w:lineRule="auto"/>
        <w:tabs>
          <w:tab w:leader="none" w:pos="1932" w:val="left"/>
        </w:tabs>
        <w:numPr>
          <w:ilvl w:val="0"/>
          <w:numId w:val="478"/>
        </w:numPr>
        <w:rPr>
          <w:rFonts w:ascii="Arial" w:cs="Arial" w:eastAsia="Arial" w:hAnsi="Arial"/>
          <w:sz w:val="17"/>
          <w:szCs w:val="17"/>
          <w:color w:val="auto"/>
        </w:rPr>
      </w:pPr>
      <w:r>
        <w:rPr>
          <w:rFonts w:ascii="Arial" w:cs="Arial" w:eastAsia="Arial" w:hAnsi="Arial"/>
          <w:sz w:val="17"/>
          <w:szCs w:val="17"/>
          <w:color w:val="auto"/>
        </w:rPr>
        <w:t xml:space="preserve">During the Collaboration Term ROFN Period, once Repare has notified BMS of a proposed ROFN Transaction with respect to a given ROFN Compound in a given territory, if the Parties do not consummate a transaction based on such ROFN Transaction, Repare shall not be required to notify BMS of any subsequent developments with respect to such ROFN Transaction, and BMS shall no longer have any Right of First Negotiation with respect to such ROFN Transaction, while Repare is offering such ROFN Transaction to, or negotiating such ROFN Transaction with, any Third Party. However, (i) if, during the Collaboration Term ROFN Period, (A) Repare does not consummate such ROFN Transaction with any Third Party and terminates all discussions with Third Parties with respect to such ROFN Transaction and (B) Repare later determines that it once again wishes to enter into a ROFN Transaction with respect to the same ROFN Compound in the same territory, then Repare shall notify BMS of such proposed ROFN Transaction and BMS shall again have a Right of First Negotiation with respect to such ROFN Transaction pursuant to Section 7.2.1;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 that</w:t>
      </w:r>
      <w:r>
        <w:rPr>
          <w:rFonts w:ascii="Arial" w:cs="Arial" w:eastAsia="Arial" w:hAnsi="Arial"/>
          <w:sz w:val="17"/>
          <w:szCs w:val="17"/>
          <w:color w:val="auto"/>
        </w:rPr>
        <w:t>, [***].</w:t>
      </w:r>
    </w:p>
    <w:p>
      <w:pPr>
        <w:spacing w:after="0" w:line="180" w:lineRule="exact"/>
        <w:rPr>
          <w:rFonts w:ascii="Arial" w:cs="Arial" w:eastAsia="Arial" w:hAnsi="Arial"/>
          <w:sz w:val="17"/>
          <w:szCs w:val="17"/>
          <w:color w:val="auto"/>
        </w:rPr>
      </w:pPr>
    </w:p>
    <w:p>
      <w:pPr>
        <w:jc w:val="both"/>
        <w:ind w:left="120" w:right="140" w:firstLine="1428"/>
        <w:spacing w:after="0" w:line="286" w:lineRule="auto"/>
        <w:tabs>
          <w:tab w:leader="none" w:pos="1942" w:val="left"/>
        </w:tabs>
        <w:numPr>
          <w:ilvl w:val="0"/>
          <w:numId w:val="478"/>
        </w:numPr>
        <w:rPr>
          <w:rFonts w:ascii="Arial" w:cs="Arial" w:eastAsia="Arial" w:hAnsi="Arial"/>
          <w:sz w:val="17"/>
          <w:szCs w:val="17"/>
          <w:color w:val="auto"/>
        </w:rPr>
      </w:pPr>
      <w:r>
        <w:rPr>
          <w:rFonts w:ascii="Arial" w:cs="Arial" w:eastAsia="Arial" w:hAnsi="Arial"/>
          <w:sz w:val="17"/>
          <w:szCs w:val="17"/>
          <w:color w:val="auto"/>
        </w:rPr>
        <w:t xml:space="preserve">During the Post-Collaboration Term ROFN Period, once Repare has notified BMS (including during the Collaboration Term) of a proposed ROFN Transaction with respect to a given ROFN Compound in a given territory, (i) Repare shall no longer be required to notify BMS of any other ROFN Transaction with respect to such ROFN Compound in such territory; </w:t>
      </w:r>
      <w:r>
        <w:rPr>
          <w:rFonts w:ascii="Arial" w:cs="Arial" w:eastAsia="Arial" w:hAnsi="Arial"/>
          <w:sz w:val="17"/>
          <w:szCs w:val="17"/>
          <w:u w:val="single" w:color="auto"/>
          <w:color w:val="auto"/>
        </w:rPr>
        <w:t>provided, however, that</w:t>
      </w:r>
      <w:r>
        <w:rPr>
          <w:rFonts w:ascii="Arial" w:cs="Arial" w:eastAsia="Arial" w:hAnsi="Arial"/>
          <w:sz w:val="17"/>
          <w:szCs w:val="17"/>
          <w:color w:val="auto"/>
        </w:rPr>
        <w:t>, [***].</w:t>
      </w:r>
    </w:p>
    <w:p>
      <w:pPr>
        <w:spacing w:after="0" w:line="165" w:lineRule="exact"/>
        <w:rPr>
          <w:sz w:val="20"/>
          <w:szCs w:val="20"/>
          <w:color w:val="auto"/>
        </w:rPr>
      </w:pPr>
    </w:p>
    <w:p>
      <w:pPr>
        <w:ind w:left="120" w:right="60" w:firstLine="991"/>
        <w:spacing w:after="0" w:line="255" w:lineRule="auto"/>
        <w:rPr>
          <w:sz w:val="20"/>
          <w:szCs w:val="20"/>
          <w:color w:val="auto"/>
        </w:rPr>
      </w:pPr>
      <w:r>
        <w:rPr>
          <w:rFonts w:ascii="Arial" w:cs="Arial" w:eastAsia="Arial" w:hAnsi="Arial"/>
          <w:sz w:val="18"/>
          <w:szCs w:val="18"/>
          <w:color w:val="auto"/>
        </w:rPr>
        <w:t xml:space="preserve">7.2.3 </w:t>
      </w:r>
      <w:r>
        <w:rPr>
          <w:rFonts w:ascii="Arial" w:cs="Arial" w:eastAsia="Arial" w:hAnsi="Arial"/>
          <w:sz w:val="18"/>
          <w:szCs w:val="18"/>
          <w:u w:val="single" w:color="auto"/>
          <w:color w:val="auto"/>
        </w:rPr>
        <w:t>Restriction</w:t>
      </w:r>
      <w:r>
        <w:rPr>
          <w:rFonts w:ascii="Arial" w:cs="Arial" w:eastAsia="Arial" w:hAnsi="Arial"/>
          <w:sz w:val="18"/>
          <w:szCs w:val="18"/>
          <w:color w:val="auto"/>
        </w:rPr>
        <w:t>. Notwithstanding anything to the contrary in Section 7.2.2, if, once Repare has notified BMS of a proposed ROFN Transaction with respect to a given ROFN Compound in a given territory, the Parties do not consummate a transaction based on such ROFN Transaction, Repare may not thereafter enter into a ROFN Transaction with respect to such ROFN Compound in such territory with a Third Party that, taken as a whole, is materially less favorable to Repare than the ROFN Transaction with respect to such ROFN Compound in such territory that was last proposed to Repare by BMS, unless Repare first reoffers such ROFN Transaction to BMS (in which case BMS shall again have a Right of First Negotiation with respect to such ROFN Transaction pursuant to Section 7.2.1).</w:t>
      </w:r>
    </w:p>
    <w:p>
      <w:pPr>
        <w:spacing w:after="0" w:line="192"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Counteroffer Right.</w:t>
      </w:r>
    </w:p>
    <w:p>
      <w:pPr>
        <w:spacing w:after="0" w:line="225"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 xml:space="preserve">7.3.1 </w:t>
      </w:r>
      <w:r>
        <w:rPr>
          <w:rFonts w:ascii="Arial" w:cs="Arial" w:eastAsia="Arial" w:hAnsi="Arial"/>
          <w:sz w:val="18"/>
          <w:szCs w:val="18"/>
          <w:u w:val="single" w:color="auto"/>
          <w:color w:val="auto"/>
        </w:rPr>
        <w:t>Right</w:t>
      </w:r>
      <w:r>
        <w:rPr>
          <w:rFonts w:ascii="Arial" w:cs="Arial" w:eastAsia="Arial" w:hAnsi="Arial"/>
          <w:sz w:val="18"/>
          <w:szCs w:val="18"/>
          <w:color w:val="auto"/>
        </w:rPr>
        <w:t>. Following notification to BMS by Repare of an Unsolicited Offer, BMS shall have the right, but not the obligation, to make a counteroffer to Repare (the “</w:t>
      </w:r>
      <w:r>
        <w:rPr>
          <w:rFonts w:ascii="Arial" w:cs="Arial" w:eastAsia="Arial" w:hAnsi="Arial"/>
          <w:sz w:val="18"/>
          <w:szCs w:val="18"/>
          <w:u w:val="single" w:color="auto"/>
          <w:color w:val="auto"/>
        </w:rPr>
        <w:t>Counteroffer Right</w:t>
      </w:r>
      <w:r>
        <w:rPr>
          <w:rFonts w:ascii="Arial" w:cs="Arial" w:eastAsia="Arial" w:hAnsi="Arial"/>
          <w:sz w:val="18"/>
          <w:szCs w:val="18"/>
          <w:color w:val="auto"/>
        </w:rPr>
        <w:t>”) within the period beginning on the date of such notification and ending on the earlier of (a) [***] after such notification or (b) [***] prior to the date the Unsolicited Offer will expire by its terms.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60" w:right="439" w:bottom="1440" w:gutter="0" w:footer="0" w:header="0"/>
        </w:sectPr>
      </w:pPr>
    </w:p>
    <w:bookmarkStart w:id="728" w:name="page729"/>
    <w:bookmarkEnd w:id="7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8"/>
          <w:szCs w:val="18"/>
          <w:color w:val="auto"/>
        </w:rPr>
        <w:t>7.3.2</w:t>
      </w:r>
      <w:r>
        <w:rPr>
          <w:sz w:val="20"/>
          <w:szCs w:val="20"/>
          <w:color w:val="auto"/>
        </w:rPr>
        <w:tab/>
      </w:r>
      <w:r>
        <w:rPr>
          <w:rFonts w:ascii="Arial" w:cs="Arial" w:eastAsia="Arial" w:hAnsi="Arial"/>
          <w:sz w:val="17"/>
          <w:szCs w:val="17"/>
          <w:u w:val="single" w:color="auto"/>
          <w:color w:val="auto"/>
        </w:rPr>
        <w:t>Limitations</w:t>
      </w:r>
      <w:r>
        <w:rPr>
          <w:rFonts w:ascii="Arial" w:cs="Arial" w:eastAsia="Arial" w:hAnsi="Arial"/>
          <w:sz w:val="17"/>
          <w:szCs w:val="17"/>
          <w:color w:val="auto"/>
        </w:rPr>
        <w:t>.</w:t>
      </w:r>
    </w:p>
    <w:p>
      <w:pPr>
        <w:spacing w:after="0" w:line="225" w:lineRule="exact"/>
        <w:rPr>
          <w:sz w:val="20"/>
          <w:szCs w:val="20"/>
          <w:color w:val="auto"/>
        </w:rPr>
      </w:pPr>
    </w:p>
    <w:p>
      <w:pPr>
        <w:ind w:left="120" w:firstLine="1428"/>
        <w:spacing w:after="0" w:line="286" w:lineRule="auto"/>
        <w:tabs>
          <w:tab w:leader="none" w:pos="1932" w:val="left"/>
        </w:tabs>
        <w:numPr>
          <w:ilvl w:val="1"/>
          <w:numId w:val="479"/>
        </w:numPr>
        <w:rPr>
          <w:rFonts w:ascii="Arial" w:cs="Arial" w:eastAsia="Arial" w:hAnsi="Arial"/>
          <w:sz w:val="16"/>
          <w:szCs w:val="16"/>
          <w:color w:val="auto"/>
        </w:rPr>
      </w:pPr>
      <w:r>
        <w:rPr>
          <w:rFonts w:ascii="Arial" w:cs="Arial" w:eastAsia="Arial" w:hAnsi="Arial"/>
          <w:sz w:val="16"/>
          <w:szCs w:val="16"/>
          <w:color w:val="auto"/>
        </w:rPr>
        <w:t>During the Collaboration Term ROFN Period, once Repare has notified BMS of a an Unsolicited Offer with respect to a given ROFN Compound, if the Parties do not consummate a transaction based on such Unsolicited Offer, Repare shall not be required to notify BMS of any subsequent developments with respect to such Unsolicited Offer, and BMS shall no longer have any Counteroffer Right with respect to such Unsolicited Offer, while Repare is negotiating such Unsolicited Offer with any Third Party. However, (i) if, during the Collaboration Period ROFN Period,</w:t>
      </w:r>
    </w:p>
    <w:p>
      <w:pPr>
        <w:spacing w:after="0" w:line="1" w:lineRule="exact"/>
        <w:rPr>
          <w:rFonts w:ascii="Arial" w:cs="Arial" w:eastAsia="Arial" w:hAnsi="Arial"/>
          <w:sz w:val="16"/>
          <w:szCs w:val="16"/>
          <w:color w:val="auto"/>
        </w:rPr>
      </w:pPr>
    </w:p>
    <w:p>
      <w:pPr>
        <w:ind w:left="120" w:right="80" w:hanging="4"/>
        <w:spacing w:after="0" w:line="292" w:lineRule="auto"/>
        <w:tabs>
          <w:tab w:leader="none" w:pos="415" w:val="left"/>
        </w:tabs>
        <w:numPr>
          <w:ilvl w:val="0"/>
          <w:numId w:val="480"/>
        </w:numPr>
        <w:rPr>
          <w:rFonts w:ascii="Arial" w:cs="Arial" w:eastAsia="Arial" w:hAnsi="Arial"/>
          <w:sz w:val="16"/>
          <w:szCs w:val="16"/>
          <w:color w:val="auto"/>
        </w:rPr>
      </w:pPr>
      <w:r>
        <w:rPr>
          <w:rFonts w:ascii="Arial" w:cs="Arial" w:eastAsia="Arial" w:hAnsi="Arial"/>
          <w:sz w:val="16"/>
          <w:szCs w:val="16"/>
          <w:color w:val="auto"/>
        </w:rPr>
        <w:t>Repare does not consummate such Unsolicited Offer with any Third Party and terminates all discussions with Third Parties with respect to such Unsolicited Offer and (B) Repare later receives another Unsolicited Offer with respect to the same ROFN Compound, then Repare shall notify BMS of such proposed Unsolicited Offer and BMS shall again have a Counteroffer Right with respect to such Unsolicited Offer pursuant to Section 7.3.1, and (ii) the provision of notice by Repare to BMS of an Unsolicited Offer with respect to a given ROFN Compound shall not affect Repare’s obligation to notify BMS of, or BMS’s Counteroffer Right with respect to, any Unsolicited Offer with respect to any other ROFN Compound.</w:t>
      </w:r>
    </w:p>
    <w:p>
      <w:pPr>
        <w:spacing w:after="0" w:line="162" w:lineRule="exact"/>
        <w:rPr>
          <w:rFonts w:ascii="Arial" w:cs="Arial" w:eastAsia="Arial" w:hAnsi="Arial"/>
          <w:sz w:val="16"/>
          <w:szCs w:val="16"/>
          <w:color w:val="auto"/>
        </w:rPr>
      </w:pPr>
    </w:p>
    <w:p>
      <w:pPr>
        <w:ind w:left="120" w:right="160" w:firstLine="1428"/>
        <w:spacing w:after="0" w:line="257" w:lineRule="auto"/>
        <w:tabs>
          <w:tab w:leader="none" w:pos="1942" w:val="left"/>
        </w:tabs>
        <w:numPr>
          <w:ilvl w:val="1"/>
          <w:numId w:val="480"/>
        </w:numPr>
        <w:rPr>
          <w:rFonts w:ascii="Arial" w:cs="Arial" w:eastAsia="Arial" w:hAnsi="Arial"/>
          <w:sz w:val="18"/>
          <w:szCs w:val="18"/>
          <w:color w:val="auto"/>
        </w:rPr>
      </w:pPr>
      <w:r>
        <w:rPr>
          <w:rFonts w:ascii="Arial" w:cs="Arial" w:eastAsia="Arial" w:hAnsi="Arial"/>
          <w:sz w:val="18"/>
          <w:szCs w:val="18"/>
          <w:color w:val="auto"/>
        </w:rPr>
        <w:t>During the Post-Collaboration Term ROFN Period, once Repare has notified BMS of an Unsolicited Offer with respect to a given ROFN Compound (including during the Collaboration Term), Repare shall no longer be required to notify BMS of any other Unsolicited Offer with respect to such ROFN Compound, and BMS shall no longer have any Counteroffer Right with respect to such ROFN Compound. However, such notice shall not affect Repare’s obligation to notify BMS of, or BMS’s Counteroffer Right with respect to, any Unsolicited Offer with respect to any other ROFN Compound.</w:t>
      </w:r>
    </w:p>
    <w:p>
      <w:pPr>
        <w:spacing w:after="0" w:line="200" w:lineRule="exact"/>
        <w:rPr>
          <w:sz w:val="20"/>
          <w:szCs w:val="20"/>
          <w:color w:val="auto"/>
        </w:rPr>
      </w:pPr>
    </w:p>
    <w:p>
      <w:pPr>
        <w:spacing w:after="0" w:line="204"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u w:val="single" w:color="auto"/>
          <w:color w:val="auto"/>
        </w:rPr>
        <w:t>EXCLUSIVITY</w:t>
      </w:r>
    </w:p>
    <w:p>
      <w:pPr>
        <w:spacing w:after="0" w:line="211"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Repare Exclusivity Obligations.</w:t>
      </w:r>
    </w:p>
    <w:p>
      <w:pPr>
        <w:spacing w:after="0" w:line="225" w:lineRule="exact"/>
        <w:rPr>
          <w:sz w:val="20"/>
          <w:szCs w:val="20"/>
          <w:color w:val="auto"/>
        </w:rPr>
      </w:pPr>
    </w:p>
    <w:p>
      <w:pPr>
        <w:ind w:left="120" w:right="40" w:firstLine="991"/>
        <w:spacing w:after="0" w:line="255"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Collaboration Targets</w:t>
      </w:r>
      <w:r>
        <w:rPr>
          <w:rFonts w:ascii="Arial" w:cs="Arial" w:eastAsia="Arial" w:hAnsi="Arial"/>
          <w:sz w:val="18"/>
          <w:szCs w:val="18"/>
          <w:color w:val="auto"/>
        </w:rPr>
        <w:t>. On a Collaboration Target-by-Collaboration Target basis, during the period beginning on the Effective Date and ending on the earlier of (a) the expiration of the last-to-expire Royalty Term with respect to such Collaboration Target or (b) the date on which such Collaboration Target becomes an Excluded Target, Repare shall not, directly or indirectly, alone or with or through any Third Party, (x) Develop (including any Regulatory Interactions), Manufacture, Commercialize or otherwise exploit any compound or product that is Directed to such Collaboration Target or (y) license, authorize, appoint or otherwise wilfully or intentionally enable, whether directly or indirectly, a Third Party to conduct any of the activities described in the foregoing clause (x).</w:t>
      </w:r>
    </w:p>
    <w:p>
      <w:pPr>
        <w:spacing w:after="0" w:line="192"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Pre-Option Campaigns and Collaboration Campaigns</w:t>
      </w:r>
      <w:r>
        <w:rPr>
          <w:rFonts w:ascii="Arial" w:cs="Arial" w:eastAsia="Arial" w:hAnsi="Arial"/>
          <w:sz w:val="18"/>
          <w:szCs w:val="18"/>
          <w:color w:val="auto"/>
        </w:rPr>
        <w:t>. On a Pre-Option Campaign-by-Pre-Option Campaign and Collaboration Campaign-by-Collaboration Campaign basis, during the period beginning on the Effective Date and ending when such Pre-Option Campaign or Collaboration Campaign (as applicable) becomes an Excluded Campaign, Repare shall not, directly or indirectly, alone or with or through any Third Party, (a) Develop (including (including any Regulatory Interactions), Manufacture, Commercialize or otherwise exploit any compound or product that is Directed to any Target using the Campaign Lesion(s) that are the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60" w:right="499" w:bottom="1440" w:gutter="0" w:footer="0" w:header="0"/>
        </w:sectPr>
      </w:pPr>
    </w:p>
    <w:bookmarkStart w:id="729" w:name="page730"/>
    <w:bookmarkEnd w:id="7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subject of such Pre-Option Campaign or Collaboration Campaign (as applicable) to define the patient population for such compound or product or</w:t>
      </w:r>
    </w:p>
    <w:p>
      <w:pPr>
        <w:spacing w:after="0" w:line="35" w:lineRule="exact"/>
        <w:rPr>
          <w:sz w:val="20"/>
          <w:szCs w:val="20"/>
          <w:color w:val="auto"/>
        </w:rPr>
      </w:pPr>
    </w:p>
    <w:p>
      <w:pPr>
        <w:ind w:left="120" w:right="160" w:hanging="4"/>
        <w:spacing w:after="0" w:line="260" w:lineRule="auto"/>
        <w:tabs>
          <w:tab w:leader="none" w:pos="375" w:val="left"/>
        </w:tabs>
        <w:numPr>
          <w:ilvl w:val="0"/>
          <w:numId w:val="481"/>
        </w:numPr>
        <w:rPr>
          <w:rFonts w:ascii="Arial" w:cs="Arial" w:eastAsia="Arial" w:hAnsi="Arial"/>
          <w:sz w:val="18"/>
          <w:szCs w:val="18"/>
          <w:color w:val="auto"/>
        </w:rPr>
      </w:pPr>
      <w:r>
        <w:rPr>
          <w:rFonts w:ascii="Arial" w:cs="Arial" w:eastAsia="Arial" w:hAnsi="Arial"/>
          <w:sz w:val="18"/>
          <w:szCs w:val="18"/>
          <w:color w:val="auto"/>
        </w:rPr>
        <w:t>license, authorize, appoint or otherwise wilfully or intentionally enable, whether directly or indirectly, a Third Party to conduct any of the activities described in the foregoing clause (a).</w:t>
      </w:r>
    </w:p>
    <w:p>
      <w:pPr>
        <w:spacing w:after="0" w:line="18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Certain Exceptions to Exclusivity.</w:t>
      </w:r>
    </w:p>
    <w:p>
      <w:pPr>
        <w:spacing w:after="0" w:line="225" w:lineRule="exact"/>
        <w:rPr>
          <w:sz w:val="20"/>
          <w:szCs w:val="20"/>
          <w:color w:val="auto"/>
        </w:rPr>
      </w:pPr>
    </w:p>
    <w:p>
      <w:pPr>
        <w:ind w:left="120" w:right="560" w:firstLine="991"/>
        <w:spacing w:after="0" w:line="277" w:lineRule="auto"/>
        <w:rPr>
          <w:sz w:val="20"/>
          <w:szCs w:val="20"/>
          <w:color w:val="auto"/>
        </w:rPr>
      </w:pPr>
      <w:r>
        <w:rPr>
          <w:rFonts w:ascii="Arial" w:cs="Arial" w:eastAsia="Arial" w:hAnsi="Arial"/>
          <w:sz w:val="18"/>
          <w:szCs w:val="18"/>
          <w:color w:val="auto"/>
        </w:rPr>
        <w:t xml:space="preserve">8.2.1 </w:t>
      </w:r>
      <w:r>
        <w:rPr>
          <w:rFonts w:ascii="Arial" w:cs="Arial" w:eastAsia="Arial" w:hAnsi="Arial"/>
          <w:sz w:val="18"/>
          <w:szCs w:val="18"/>
          <w:u w:val="single" w:color="auto"/>
          <w:color w:val="auto"/>
        </w:rPr>
        <w:t>Activities under this Agreement</w:t>
      </w:r>
      <w:r>
        <w:rPr>
          <w:rFonts w:ascii="Arial" w:cs="Arial" w:eastAsia="Arial" w:hAnsi="Arial"/>
          <w:sz w:val="18"/>
          <w:szCs w:val="18"/>
          <w:color w:val="auto"/>
        </w:rPr>
        <w:t>. The restrictions set forth in Section 8.1 shall not be deemed to prevent Repare or any of its Affiliates from fulfilling its obligations or exercising its rights as expressly set forth in this Agreement.</w:t>
      </w:r>
    </w:p>
    <w:p>
      <w:pPr>
        <w:spacing w:after="0" w:line="170"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u w:val="single" w:color="auto"/>
          <w:color w:val="auto"/>
        </w:rPr>
        <w:t>Acquirer Activities</w:t>
      </w:r>
      <w:r>
        <w:rPr>
          <w:rFonts w:ascii="Arial" w:cs="Arial" w:eastAsia="Arial" w:hAnsi="Arial"/>
          <w:sz w:val="18"/>
          <w:szCs w:val="18"/>
          <w:color w:val="auto"/>
        </w:rPr>
        <w:t>. If a Change of Control occurs with respect to Repare with a Third Party, then Section 8.1 shall not apply to any activities conducted by such Third Party or any Affiliate of such Third Party (other than Repare or any Person that was an Affiliate of Repare immediately prior to such Change of Control) (such activities, “</w:t>
      </w:r>
      <w:r>
        <w:rPr>
          <w:rFonts w:ascii="Arial" w:cs="Arial" w:eastAsia="Arial" w:hAnsi="Arial"/>
          <w:sz w:val="18"/>
          <w:szCs w:val="18"/>
          <w:u w:val="single" w:color="auto"/>
          <w:color w:val="auto"/>
        </w:rPr>
        <w:t>Acquirer Activities</w:t>
      </w:r>
      <w:r>
        <w:rPr>
          <w:rFonts w:ascii="Arial" w:cs="Arial" w:eastAsia="Arial" w:hAnsi="Arial"/>
          <w:sz w:val="18"/>
          <w:szCs w:val="18"/>
          <w:color w:val="auto"/>
        </w:rPr>
        <w:t>”), as long as (a) none of the Repare Intellectual Property or Collaboration Intellectual Property is used in such Acquirer Activities, (b) none of the other Patents or Know-How licensed by either Party to the other Party pursuant to this Agreement is used in such Acquirer Activities, (c) no Confidential Information of BMS is used in any such Acquirer Activities and (d) Repare puts in place firewalls, system access restrictions or other protections that, collectively, are designed to ensure the foregoing clauses (a) through (c) are complied with.</w:t>
      </w: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FINANCIAL TERMS</w:t>
      </w:r>
    </w:p>
    <w:p>
      <w:pPr>
        <w:spacing w:after="0" w:line="21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Upfront Payment</w:t>
      </w:r>
      <w:r>
        <w:rPr>
          <w:rFonts w:ascii="Arial" w:cs="Arial" w:eastAsia="Arial" w:hAnsi="Arial"/>
          <w:sz w:val="18"/>
          <w:szCs w:val="18"/>
          <w:color w:val="auto"/>
        </w:rPr>
        <w:t>. In consideration for the rights granted to BMS under this Agreement, BMS will make a one-time, non-refundable, non-creditable upfront payment of fifty million Dollars ($50,000,000.00) to Repare within [***] after the Effective Date.</w:t>
      </w:r>
    </w:p>
    <w:p>
      <w:pPr>
        <w:spacing w:after="0" w:line="170"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Warrant Agreement</w:t>
      </w:r>
      <w:r>
        <w:rPr>
          <w:rFonts w:ascii="Arial" w:cs="Arial" w:eastAsia="Arial" w:hAnsi="Arial"/>
          <w:sz w:val="18"/>
          <w:szCs w:val="18"/>
          <w:color w:val="auto"/>
        </w:rPr>
        <w:t>. BMS will enter into a Warrant Agreement, dated as of the Effective Date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 providing for BMS to pay Repare fifteen million Dollars ($15,000,000.00) upon entry into the Warrant Agreement and for the issuance to BMS of capital stock of Repare for no additional consideration upon the occurrence of certain events, on the terms and subject to the conditions set forth in the Warrant Agreement.</w:t>
      </w:r>
    </w:p>
    <w:p>
      <w:pPr>
        <w:spacing w:after="0" w:line="187"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Option Exercise Fee.</w:t>
      </w:r>
    </w:p>
    <w:p>
      <w:pPr>
        <w:spacing w:after="0" w:line="225" w:lineRule="exact"/>
        <w:rPr>
          <w:sz w:val="20"/>
          <w:szCs w:val="20"/>
          <w:color w:val="auto"/>
        </w:rPr>
      </w:pPr>
    </w:p>
    <w:p>
      <w:pPr>
        <w:ind w:left="120" w:right="620" w:firstLine="991"/>
        <w:spacing w:after="0" w:line="263" w:lineRule="auto"/>
        <w:rPr>
          <w:sz w:val="20"/>
          <w:szCs w:val="20"/>
          <w:color w:val="auto"/>
        </w:rPr>
      </w:pPr>
      <w:r>
        <w:rPr>
          <w:rFonts w:ascii="Arial" w:cs="Arial" w:eastAsia="Arial" w:hAnsi="Arial"/>
          <w:sz w:val="18"/>
          <w:szCs w:val="18"/>
          <w:color w:val="auto"/>
        </w:rPr>
        <w:t xml:space="preserve">9.3.1 </w:t>
      </w:r>
      <w:r>
        <w:rPr>
          <w:rFonts w:ascii="Arial" w:cs="Arial" w:eastAsia="Arial" w:hAnsi="Arial"/>
          <w:sz w:val="18"/>
          <w:szCs w:val="18"/>
          <w:u w:val="single" w:color="auto"/>
          <w:color w:val="auto"/>
        </w:rPr>
        <w:t>Collaboration Campaign</w:t>
      </w:r>
      <w:r>
        <w:rPr>
          <w:rFonts w:ascii="Arial" w:cs="Arial" w:eastAsia="Arial" w:hAnsi="Arial"/>
          <w:sz w:val="18"/>
          <w:szCs w:val="18"/>
          <w:color w:val="auto"/>
        </w:rPr>
        <w:t>. Subject to Section 9.11, on a Collaboration Campaign-by-Collaboration Campaign basis, if BMS exercises its Option for such Collaboration Campaign, then BMS shall, within [***] after such Option exercise, pay to Repare a one-time, non-refundable, non-creditable payment of [***].</w:t>
      </w:r>
    </w:p>
    <w:p>
      <w:pPr>
        <w:spacing w:after="0" w:line="184"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 xml:space="preserve">9.3.2 </w:t>
      </w:r>
      <w:r>
        <w:rPr>
          <w:rFonts w:ascii="Arial" w:cs="Arial" w:eastAsia="Arial" w:hAnsi="Arial"/>
          <w:sz w:val="18"/>
          <w:szCs w:val="18"/>
          <w:u w:val="single" w:color="auto"/>
          <w:color w:val="auto"/>
        </w:rPr>
        <w:t>Collaboration Undruggable Targets</w:t>
      </w:r>
      <w:r>
        <w:rPr>
          <w:rFonts w:ascii="Arial" w:cs="Arial" w:eastAsia="Arial" w:hAnsi="Arial"/>
          <w:sz w:val="18"/>
          <w:szCs w:val="18"/>
          <w:color w:val="auto"/>
        </w:rPr>
        <w:t>. Subject to Section 9.11, on a Collaboration Undruggable Target-by-Collaboration Undruggable Target basis, if BMS exercises its Option for such Collaboration Undruggable Target, then BMS shall, within [***] after such Option exercise, pay to Repare a one-time, non-refundable, non-creditable payment of [***].</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60" w:right="459" w:bottom="1440" w:gutter="0" w:footer="0" w:header="0"/>
        </w:sectPr>
      </w:pPr>
    </w:p>
    <w:bookmarkStart w:id="730" w:name="page731"/>
    <w:bookmarkEnd w:id="7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9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 Milestone Payment</w:t>
      </w:r>
      <w:r>
        <w:rPr>
          <w:rFonts w:ascii="Arial" w:cs="Arial" w:eastAsia="Arial" w:hAnsi="Arial"/>
          <w:sz w:val="16"/>
          <w:szCs w:val="16"/>
          <w:color w:val="auto"/>
        </w:rPr>
        <w:t>. Subject to Section 9.11, on a Collaboration Target-by-Collaboration Target basis, BMS shall, within [***] days after providing a Further Development Election for such Collaboration Target, pay to Repare a one-time, non-refundable, non-creditable payment of</w:t>
      </w:r>
    </w:p>
    <w:p>
      <w:pPr>
        <w:ind w:left="560" w:hanging="444"/>
        <w:spacing w:after="0"/>
        <w:tabs>
          <w:tab w:leader="none" w:pos="5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(each, a “</w:t>
      </w:r>
      <w:r>
        <w:rPr>
          <w:rFonts w:ascii="Arial" w:cs="Arial" w:eastAsia="Arial" w:hAnsi="Arial"/>
          <w:sz w:val="18"/>
          <w:szCs w:val="18"/>
          <w:u w:val="single" w:color="auto"/>
          <w:color w:val="auto"/>
        </w:rPr>
        <w:t>[***] Milestone Payment”).</w:t>
      </w:r>
    </w:p>
    <w:p>
      <w:pPr>
        <w:spacing w:after="0" w:line="211"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Additional Target Selection Fee</w:t>
      </w:r>
      <w:r>
        <w:rPr>
          <w:rFonts w:ascii="Arial" w:cs="Arial" w:eastAsia="Arial" w:hAnsi="Arial"/>
          <w:sz w:val="16"/>
          <w:szCs w:val="16"/>
          <w:color w:val="auto"/>
        </w:rPr>
        <w:t xml:space="preserve">. Subject to Section 9.11, on an Additional Target-by-Additional Target basis, BMS shall, within [***] after providing the notice specified in Section 2.8.2(c)(i)(A) for such Additional Target or making an applicable Further Development Election pursuant to Section 2.8.2(d)(i), pay to Repare a one-time, non-refundable, non-creditable payment of [***] (each, an </w:t>
      </w:r>
      <w:r>
        <w:rPr>
          <w:rFonts w:ascii="Arial" w:cs="Arial" w:eastAsia="Arial" w:hAnsi="Arial"/>
          <w:sz w:val="16"/>
          <w:szCs w:val="16"/>
          <w:u w:val="single" w:color="auto"/>
          <w:color w:val="auto"/>
        </w:rPr>
        <w:t>“Additional Target Selection Fee”).</w:t>
      </w:r>
    </w:p>
    <w:p>
      <w:pPr>
        <w:spacing w:after="0" w:line="14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Additional Collaboration Undruggable Target Fee</w:t>
      </w:r>
      <w:r>
        <w:rPr>
          <w:rFonts w:ascii="Arial" w:cs="Arial" w:eastAsia="Arial" w:hAnsi="Arial"/>
          <w:sz w:val="17"/>
          <w:szCs w:val="17"/>
          <w:color w:val="auto"/>
        </w:rPr>
        <w:t xml:space="preserve">. Subject to Section 9.11, with respect to the [***] and each subsequent Collaboration Undruggable Target for which BMS makes a Further Development Election, on a Collaboration Undruggable Target-by-Collaboration Undruggable Target basis, BMS shall, within [***] after providing a Further Development Election for such Collaboration Undruggable Target, in addition to paying the [***] Milestone Payment for such Collaboration Undruggable Target pursuant to Section 9.4, pay to Repare the applicable one-time, non-refundable, non-creditable payment set forth below (each, an </w:t>
      </w:r>
      <w:r>
        <w:rPr>
          <w:rFonts w:ascii="Arial" w:cs="Arial" w:eastAsia="Arial" w:hAnsi="Arial"/>
          <w:sz w:val="17"/>
          <w:szCs w:val="17"/>
          <w:u w:val="single" w:color="auto"/>
          <w:color w:val="auto"/>
        </w:rPr>
        <w:t>“Additional Collaboration Undruggable Target Fee”):</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1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Collaboration Undruggable Target</w:t>
            </w:r>
          </w:p>
        </w:tc>
        <w:tc>
          <w:tcPr>
            <w:tcW w:w="7320" w:type="dxa"/>
            <w:vAlign w:val="bottom"/>
            <w:vMerge w:val="restart"/>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Additional Collaboration</w:t>
            </w:r>
          </w:p>
        </w:tc>
        <w:tc>
          <w:tcPr>
            <w:tcW w:w="0" w:type="dxa"/>
            <w:vAlign w:val="bottom"/>
          </w:tcPr>
          <w:p>
            <w:pPr>
              <w:spacing w:after="0"/>
              <w:rPr>
                <w:sz w:val="1"/>
                <w:szCs w:val="1"/>
                <w:color w:val="auto"/>
              </w:rPr>
            </w:pPr>
          </w:p>
        </w:tc>
      </w:tr>
      <w:tr>
        <w:trPr>
          <w:trHeight w:val="178"/>
        </w:trPr>
        <w:tc>
          <w:tcPr>
            <w:tcW w:w="2140" w:type="dxa"/>
            <w:vAlign w:val="bottom"/>
            <w:tcBorders>
              <w:bottom w:val="single" w:sz="8" w:color="auto"/>
            </w:tcBorders>
            <w:gridSpan w:val="2"/>
            <w:vMerge w:val="continue"/>
          </w:tcPr>
          <w:p>
            <w:pPr>
              <w:spacing w:after="0"/>
              <w:rPr>
                <w:sz w:val="15"/>
                <w:szCs w:val="15"/>
                <w:color w:val="auto"/>
              </w:rPr>
            </w:pPr>
          </w:p>
        </w:tc>
        <w:tc>
          <w:tcPr>
            <w:tcW w:w="7320" w:type="dxa"/>
            <w:vAlign w:val="bottom"/>
            <w:vMerge w:val="continue"/>
          </w:tcPr>
          <w:p>
            <w:pPr>
              <w:spacing w:after="0"/>
              <w:rPr>
                <w:sz w:val="15"/>
                <w:szCs w:val="15"/>
                <w:color w:val="auto"/>
              </w:rPr>
            </w:pPr>
          </w:p>
        </w:tc>
        <w:tc>
          <w:tcPr>
            <w:tcW w:w="1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Undruggable Target Fee</w:t>
            </w:r>
          </w:p>
        </w:tc>
        <w:tc>
          <w:tcPr>
            <w:tcW w:w="0" w:type="dxa"/>
            <w:vAlign w:val="bottom"/>
          </w:tcPr>
          <w:p>
            <w:pPr>
              <w:spacing w:after="0"/>
              <w:rPr>
                <w:sz w:val="1"/>
                <w:szCs w:val="1"/>
                <w:color w:val="auto"/>
              </w:rPr>
            </w:pPr>
          </w:p>
        </w:tc>
      </w:tr>
      <w:tr>
        <w:trPr>
          <w:trHeight w:val="203"/>
        </w:trPr>
        <w:tc>
          <w:tcPr>
            <w:tcW w:w="2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0"/>
              </w:rPr>
              <w:t>(1)</w:t>
            </w:r>
          </w:p>
        </w:tc>
        <w:tc>
          <w:tcPr>
            <w:tcW w:w="9240" w:type="dxa"/>
            <w:vAlign w:val="bottom"/>
            <w:tcBorders>
              <w:top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 Collaboration Undruggable Target for which BMS makes a Further Development Election</w:t>
            </w:r>
          </w:p>
        </w:tc>
        <w:tc>
          <w:tcPr>
            <w:tcW w:w="15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0"/>
              </w:rPr>
              <w:t>(2)</w:t>
            </w:r>
          </w:p>
        </w:tc>
        <w:tc>
          <w:tcPr>
            <w:tcW w:w="9240" w:type="dxa"/>
            <w:vAlign w:val="bottom"/>
            <w:gridSpan w:val="2"/>
          </w:tcPr>
          <w:p>
            <w:pPr>
              <w:ind w:left="40"/>
              <w:spacing w:after="0"/>
              <w:rPr>
                <w:sz w:val="20"/>
                <w:szCs w:val="20"/>
                <w:color w:val="auto"/>
              </w:rPr>
            </w:pPr>
            <w:r>
              <w:rPr>
                <w:rFonts w:ascii="Arial" w:cs="Arial" w:eastAsia="Arial" w:hAnsi="Arial"/>
                <w:sz w:val="18"/>
                <w:szCs w:val="18"/>
                <w:color w:val="auto"/>
              </w:rPr>
              <w:t>[***] Collaboration Undruggable Target for which BMS makes a Further Development Election</w:t>
            </w: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(3)</w:t>
            </w:r>
          </w:p>
        </w:tc>
        <w:tc>
          <w:tcPr>
            <w:tcW w:w="924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 or subsequent (</w:t>
            </w:r>
            <w:r>
              <w:rPr>
                <w:rFonts w:ascii="Arial" w:cs="Arial" w:eastAsia="Arial" w:hAnsi="Arial"/>
                <w:sz w:val="18"/>
                <w:szCs w:val="18"/>
                <w:i w:val="1"/>
                <w:iCs w:val="1"/>
                <w:color w:val="auto"/>
              </w:rPr>
              <w:t>e.g.</w:t>
            </w:r>
            <w:r>
              <w:rPr>
                <w:rFonts w:ascii="Arial" w:cs="Arial" w:eastAsia="Arial" w:hAnsi="Arial"/>
                <w:sz w:val="18"/>
                <w:szCs w:val="18"/>
                <w:color w:val="auto"/>
              </w:rPr>
              <w:t>, [***]) Collaboration Undruggable Target for which BMS makes a Further</w:t>
            </w: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Development Election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 Milestone Payment</w:t>
      </w:r>
      <w:r>
        <w:rPr>
          <w:rFonts w:ascii="Arial" w:cs="Arial" w:eastAsia="Arial" w:hAnsi="Arial"/>
          <w:sz w:val="18"/>
          <w:szCs w:val="18"/>
          <w:color w:val="auto"/>
        </w:rPr>
        <w:t>. Subject to Section 9.11, on a Collaboration Target-by-Collaboration Target basis, BMS shall, within [***] after the first time that BMS or any of its Affiliates or Sublicensees achieves [***] for a Resulting Compound that is Directed to such Collaboration Target, pay to Repare a one-time, non-refundable, non-creditable payment of [***] (each, a “</w:t>
      </w:r>
      <w:r>
        <w:rPr>
          <w:rFonts w:ascii="Arial" w:cs="Arial" w:eastAsia="Arial" w:hAnsi="Arial"/>
          <w:sz w:val="18"/>
          <w:szCs w:val="18"/>
          <w:u w:val="single" w:color="auto"/>
          <w:color w:val="auto"/>
        </w:rPr>
        <w:t>[***] Milestone Payment”).</w:t>
      </w:r>
    </w:p>
    <w:p>
      <w:pPr>
        <w:spacing w:after="0" w:line="184"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 Milestone Payment</w:t>
      </w:r>
      <w:r>
        <w:rPr>
          <w:rFonts w:ascii="Arial" w:cs="Arial" w:eastAsia="Arial" w:hAnsi="Arial"/>
          <w:sz w:val="18"/>
          <w:szCs w:val="18"/>
          <w:color w:val="auto"/>
        </w:rPr>
        <w:t xml:space="preserve">. Subject to Section 9.11, on a Collaboration Target-by-Collaboration Target basis, BMS shall, within [***] after the initiation of [***] for such Collaboration Target, pay to Repare a one-time, non-refundable, non-creditable payment equaling [***] (each, a </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Milestone Payment”).</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6"/>
          <w:szCs w:val="16"/>
          <w:u w:val="single" w:color="auto"/>
          <w:color w:val="auto"/>
        </w:rPr>
        <w:t>Milestone Payments.</w:t>
      </w:r>
    </w:p>
    <w:p>
      <w:pPr>
        <w:spacing w:after="0" w:line="225" w:lineRule="exact"/>
        <w:rPr>
          <w:sz w:val="20"/>
          <w:szCs w:val="20"/>
          <w:color w:val="auto"/>
        </w:rPr>
      </w:pPr>
    </w:p>
    <w:p>
      <w:pPr>
        <w:ind w:left="120" w:right="200" w:firstLine="991"/>
        <w:spacing w:after="0" w:line="259" w:lineRule="auto"/>
        <w:rPr>
          <w:sz w:val="20"/>
          <w:szCs w:val="20"/>
          <w:color w:val="auto"/>
        </w:rPr>
      </w:pPr>
      <w:r>
        <w:rPr>
          <w:rFonts w:ascii="Arial" w:cs="Arial" w:eastAsia="Arial" w:hAnsi="Arial"/>
          <w:sz w:val="18"/>
          <w:szCs w:val="18"/>
          <w:color w:val="auto"/>
        </w:rPr>
        <w:t xml:space="preserve">9.9.1 </w:t>
      </w:r>
      <w:r>
        <w:rPr>
          <w:rFonts w:ascii="Arial" w:cs="Arial" w:eastAsia="Arial" w:hAnsi="Arial"/>
          <w:sz w:val="18"/>
          <w:szCs w:val="18"/>
          <w:u w:val="single" w:color="auto"/>
          <w:color w:val="auto"/>
        </w:rPr>
        <w:t>Development and Regulatory Milestones</w:t>
      </w:r>
      <w:r>
        <w:rPr>
          <w:rFonts w:ascii="Arial" w:cs="Arial" w:eastAsia="Arial" w:hAnsi="Arial"/>
          <w:sz w:val="18"/>
          <w:szCs w:val="18"/>
          <w:color w:val="auto"/>
        </w:rPr>
        <w:t>. Subject to Section 9.11, on a Collaboration Target-by-Collaboration Target basis, BMS shall make each of the following non-refundable, non-creditable, one-time payments to Repare after the first achievement by or on behalf of BMS or any of its Affiliates or Sublicensees of the corresponding milestone event set forth below with respect to the first Product that is Directed to such Collaboration Target to achieve such milestone event.</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60" w:right="439" w:bottom="1440" w:gutter="0" w:footer="0" w:header="0"/>
        </w:sectPr>
      </w:pPr>
    </w:p>
    <w:bookmarkStart w:id="731" w:name="page732"/>
    <w:bookmarkEnd w:id="7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92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148"/>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88"/>
              </w:rPr>
              <w:t>Milestones</w:t>
            </w:r>
          </w:p>
        </w:tc>
        <w:tc>
          <w:tcPr>
            <w:tcW w:w="59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 US</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60" w:type="dxa"/>
            <w:vAlign w:val="bottom"/>
            <w:tcBorders>
              <w:bottom w:val="single" w:sz="8" w:color="auto"/>
            </w:tcBorders>
            <w:vMerge w:val="continue"/>
          </w:tcPr>
          <w:p>
            <w:pPr>
              <w:spacing w:after="0"/>
              <w:rPr>
                <w:sz w:val="15"/>
                <w:szCs w:val="15"/>
                <w:color w:val="auto"/>
              </w:rPr>
            </w:pPr>
          </w:p>
        </w:tc>
        <w:tc>
          <w:tcPr>
            <w:tcW w:w="5900" w:type="dxa"/>
            <w:vAlign w:val="bottom"/>
          </w:tcPr>
          <w:p>
            <w:pPr>
              <w:spacing w:after="0"/>
              <w:rPr>
                <w:sz w:val="15"/>
                <w:szCs w:val="15"/>
                <w:color w:val="auto"/>
              </w:rPr>
            </w:pPr>
          </w:p>
        </w:tc>
        <w:tc>
          <w:tcPr>
            <w:tcW w:w="920" w:type="dxa"/>
            <w:vAlign w:val="bottom"/>
            <w:gridSpan w:val="3"/>
          </w:tcPr>
          <w:p>
            <w:pPr>
              <w:jc w:val="center"/>
              <w:ind w:right="290"/>
              <w:spacing w:after="0" w:line="158" w:lineRule="exact"/>
              <w:rPr>
                <w:sz w:val="20"/>
                <w:szCs w:val="20"/>
                <w:color w:val="auto"/>
              </w:rPr>
            </w:pPr>
            <w:r>
              <w:rPr>
                <w:rFonts w:ascii="Arial" w:cs="Arial" w:eastAsia="Arial" w:hAnsi="Arial"/>
                <w:sz w:val="14"/>
                <w:szCs w:val="14"/>
                <w:b w:val="1"/>
                <w:bCs w:val="1"/>
                <w:color w:val="auto"/>
                <w:w w:val="95"/>
              </w:rPr>
              <w:t>Dollars)</w:t>
            </w:r>
          </w:p>
        </w:tc>
        <w:tc>
          <w:tcPr>
            <w:tcW w:w="0" w:type="dxa"/>
            <w:vAlign w:val="bottom"/>
          </w:tcPr>
          <w:p>
            <w:pPr>
              <w:spacing w:after="0"/>
              <w:rPr>
                <w:sz w:val="1"/>
                <w:szCs w:val="1"/>
                <w:color w:val="auto"/>
              </w:rPr>
            </w:pPr>
          </w:p>
        </w:tc>
      </w:tr>
      <w:tr>
        <w:trPr>
          <w:trHeight w:val="203"/>
        </w:trPr>
        <w:tc>
          <w:tcPr>
            <w:tcW w:w="6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9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638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3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638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3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638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00" w:firstLine="1428"/>
        <w:spacing w:after="0" w:line="277" w:lineRule="auto"/>
        <w:tabs>
          <w:tab w:leader="none" w:pos="193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Each milestone payment under this Section 9.9.1 shall be made within [***] after the achievement of the applicable milestone event by or on behalf of BMS or any of its Affiliates or Sublicensees.</w:t>
      </w:r>
    </w:p>
    <w:p>
      <w:pPr>
        <w:spacing w:after="0" w:line="170" w:lineRule="exact"/>
        <w:rPr>
          <w:rFonts w:ascii="Arial" w:cs="Arial" w:eastAsia="Arial" w:hAnsi="Arial"/>
          <w:sz w:val="18"/>
          <w:szCs w:val="18"/>
          <w:color w:val="auto"/>
        </w:rPr>
      </w:pPr>
    </w:p>
    <w:p>
      <w:pPr>
        <w:ind w:left="1940" w:hanging="392"/>
        <w:spacing w:after="0"/>
        <w:tabs>
          <w:tab w:leader="none" w:pos="1940" w:val="left"/>
        </w:tabs>
        <w:numPr>
          <w:ilvl w:val="0"/>
          <w:numId w:val="483"/>
        </w:numPr>
        <w:rPr>
          <w:rFonts w:ascii="Arial" w:cs="Arial" w:eastAsia="Arial" w:hAnsi="Arial"/>
          <w:sz w:val="16"/>
          <w:szCs w:val="16"/>
          <w:color w:val="auto"/>
        </w:rPr>
      </w:pPr>
      <w:r>
        <w:rPr>
          <w:rFonts w:ascii="Arial" w:cs="Arial" w:eastAsia="Arial" w:hAnsi="Arial"/>
          <w:sz w:val="16"/>
          <w:szCs w:val="16"/>
          <w:color w:val="auto"/>
        </w:rPr>
        <w:t>If BMS has not paid to Repare the milestone payment set forth in row (1) above, and a milestone event set forth in row (2), (3),</w:t>
      </w:r>
    </w:p>
    <w:p>
      <w:pPr>
        <w:spacing w:after="0" w:line="46" w:lineRule="exact"/>
        <w:rPr>
          <w:rFonts w:ascii="Arial" w:cs="Arial" w:eastAsia="Arial" w:hAnsi="Arial"/>
          <w:sz w:val="16"/>
          <w:szCs w:val="16"/>
          <w:color w:val="auto"/>
        </w:rPr>
      </w:pPr>
    </w:p>
    <w:p>
      <w:pPr>
        <w:ind w:left="120" w:right="80"/>
        <w:spacing w:after="0" w:line="252" w:lineRule="auto"/>
        <w:rPr>
          <w:rFonts w:ascii="Arial" w:cs="Arial" w:eastAsia="Arial" w:hAnsi="Arial"/>
          <w:sz w:val="16"/>
          <w:szCs w:val="16"/>
          <w:color w:val="auto"/>
        </w:rPr>
      </w:pPr>
      <w:r>
        <w:rPr>
          <w:rFonts w:ascii="Arial" w:cs="Arial" w:eastAsia="Arial" w:hAnsi="Arial"/>
          <w:sz w:val="18"/>
          <w:szCs w:val="18"/>
          <w:color w:val="auto"/>
        </w:rPr>
        <w:t>(4), (5) or (6) above occurs, then, upon the occurrence of such milestone event set forth in row (2), (3), (4), (5) or (6), BMS shall pay to Repare the milestone payment set forth in row (1). If BMS has not paid to Repare the milestone payment set forth in row (2) above, and a milestone event set forth in row (3), (4), (5) or (6) above occurs, then, upon the occurrence of such milestone event set forth in row (3), (4), (5) or (6), BMS shall pay to Repare the milestone payment set forth in row (2). If BMS has not paid to Repare the milestone payment set forth in row (3) above, and a milestone event set forth in row (4), (5) or (6) above occurs, then, upon the occurrence of such milestone event set forth in row (4), (5) or (6), BMS shall pay to Repare the milestone payment set forth in row (3).</w:t>
      </w:r>
    </w:p>
    <w:p>
      <w:pPr>
        <w:spacing w:after="0" w:line="193" w:lineRule="exact"/>
        <w:rPr>
          <w:rFonts w:ascii="Arial" w:cs="Arial" w:eastAsia="Arial" w:hAnsi="Arial"/>
          <w:sz w:val="16"/>
          <w:szCs w:val="16"/>
          <w:color w:val="auto"/>
        </w:rPr>
      </w:pPr>
    </w:p>
    <w:p>
      <w:pPr>
        <w:ind w:left="1920" w:hanging="372"/>
        <w:spacing w:after="0"/>
        <w:tabs>
          <w:tab w:leader="none" w:pos="192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60" w:firstLine="1428"/>
        <w:spacing w:after="0" w:line="279" w:lineRule="auto"/>
        <w:tabs>
          <w:tab w:leader="none" w:pos="1939" w:val="left"/>
        </w:tabs>
        <w:numPr>
          <w:ilvl w:val="0"/>
          <w:numId w:val="483"/>
        </w:numPr>
        <w:rPr>
          <w:rFonts w:ascii="Arial" w:cs="Arial" w:eastAsia="Arial" w:hAnsi="Arial"/>
          <w:sz w:val="17"/>
          <w:szCs w:val="17"/>
          <w:color w:val="auto"/>
        </w:rPr>
      </w:pPr>
      <w:r>
        <w:rPr>
          <w:rFonts w:ascii="Arial" w:cs="Arial" w:eastAsia="Arial" w:hAnsi="Arial"/>
          <w:sz w:val="17"/>
          <w:szCs w:val="17"/>
          <w:color w:val="auto"/>
        </w:rPr>
        <w:t>The milestone payments set forth in the table above in this Section 9.9.1 (to the extent payable) shall be paid only once per Collaboration Target, regardless of the number of Products (including different presentations, formulations, dosages or Combination Products, and whether or not an Existing Post-IND Product) that are Directed to such Collaboration Target to achieve the applicable milestone event and regardless of the number of indications for which the milestone event may be achieved with respect to such Collaboration Target.</w:t>
      </w:r>
    </w:p>
    <w:p>
      <w:pPr>
        <w:spacing w:after="0" w:line="171" w:lineRule="exact"/>
        <w:rPr>
          <w:sz w:val="20"/>
          <w:szCs w:val="20"/>
          <w:color w:val="auto"/>
        </w:rPr>
      </w:pPr>
    </w:p>
    <w:p>
      <w:pPr>
        <w:ind w:left="120" w:right="40" w:firstLine="991"/>
        <w:spacing w:after="0" w:line="286" w:lineRule="auto"/>
        <w:rPr>
          <w:sz w:val="20"/>
          <w:szCs w:val="20"/>
          <w:color w:val="auto"/>
        </w:rPr>
      </w:pPr>
      <w:r>
        <w:rPr>
          <w:rFonts w:ascii="Arial" w:cs="Arial" w:eastAsia="Arial" w:hAnsi="Arial"/>
          <w:sz w:val="17"/>
          <w:szCs w:val="17"/>
          <w:color w:val="auto"/>
        </w:rPr>
        <w:t xml:space="preserve">9.9.2 </w:t>
      </w:r>
      <w:r>
        <w:rPr>
          <w:rFonts w:ascii="Arial" w:cs="Arial" w:eastAsia="Arial" w:hAnsi="Arial"/>
          <w:sz w:val="17"/>
          <w:szCs w:val="17"/>
          <w:u w:val="single" w:color="auto"/>
          <w:color w:val="auto"/>
        </w:rPr>
        <w:t>Sales Milestones</w:t>
      </w:r>
      <w:r>
        <w:rPr>
          <w:rFonts w:ascii="Arial" w:cs="Arial" w:eastAsia="Arial" w:hAnsi="Arial"/>
          <w:sz w:val="17"/>
          <w:szCs w:val="17"/>
          <w:color w:val="auto"/>
        </w:rPr>
        <w:t>. Subject to Section 9.11, on a Collaboration Target-by-Collaboration Target basis, BMS shall make each of the following non-refundable, non-creditable, one-time payments to Repare after the first achievement of the corresponding milestone event set forth below with respect to each Product that is Directed to such Collaboration Target to achieve such milestone event.</w:t>
      </w:r>
    </w:p>
    <w:p>
      <w:pPr>
        <w:spacing w:after="0" w:line="17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92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149"/>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88"/>
              </w:rPr>
              <w:t>Milestones</w:t>
            </w:r>
          </w:p>
        </w:tc>
        <w:tc>
          <w:tcPr>
            <w:tcW w:w="59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 US</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60" w:type="dxa"/>
            <w:vAlign w:val="bottom"/>
            <w:tcBorders>
              <w:bottom w:val="single" w:sz="8" w:color="auto"/>
            </w:tcBorders>
            <w:vMerge w:val="continue"/>
          </w:tcPr>
          <w:p>
            <w:pPr>
              <w:spacing w:after="0"/>
              <w:rPr>
                <w:sz w:val="15"/>
                <w:szCs w:val="15"/>
                <w:color w:val="auto"/>
              </w:rPr>
            </w:pPr>
          </w:p>
        </w:tc>
        <w:tc>
          <w:tcPr>
            <w:tcW w:w="5900" w:type="dxa"/>
            <w:vAlign w:val="bottom"/>
          </w:tcPr>
          <w:p>
            <w:pPr>
              <w:spacing w:after="0"/>
              <w:rPr>
                <w:sz w:val="15"/>
                <w:szCs w:val="15"/>
                <w:color w:val="auto"/>
              </w:rPr>
            </w:pPr>
          </w:p>
        </w:tc>
        <w:tc>
          <w:tcPr>
            <w:tcW w:w="920" w:type="dxa"/>
            <w:vAlign w:val="bottom"/>
            <w:gridSpan w:val="2"/>
          </w:tcPr>
          <w:p>
            <w:pPr>
              <w:jc w:val="center"/>
              <w:ind w:right="290"/>
              <w:spacing w:after="0" w:line="158" w:lineRule="exact"/>
              <w:rPr>
                <w:sz w:val="20"/>
                <w:szCs w:val="20"/>
                <w:color w:val="auto"/>
              </w:rPr>
            </w:pPr>
            <w:r>
              <w:rPr>
                <w:rFonts w:ascii="Arial" w:cs="Arial" w:eastAsia="Arial" w:hAnsi="Arial"/>
                <w:sz w:val="14"/>
                <w:szCs w:val="14"/>
                <w:b w:val="1"/>
                <w:bCs w:val="1"/>
                <w:color w:val="auto"/>
                <w:w w:val="95"/>
              </w:rPr>
              <w:t>Dollars)</w:t>
            </w:r>
          </w:p>
        </w:tc>
        <w:tc>
          <w:tcPr>
            <w:tcW w:w="0" w:type="dxa"/>
            <w:vAlign w:val="bottom"/>
          </w:tcPr>
          <w:p>
            <w:pPr>
              <w:spacing w:after="0"/>
              <w:rPr>
                <w:sz w:val="1"/>
                <w:szCs w:val="1"/>
                <w:color w:val="auto"/>
              </w:rPr>
            </w:pPr>
          </w:p>
        </w:tc>
      </w:tr>
      <w:tr>
        <w:trPr>
          <w:trHeight w:val="203"/>
        </w:trPr>
        <w:tc>
          <w:tcPr>
            <w:tcW w:w="6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9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8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60" w:right="479" w:bottom="1440" w:gutter="0" w:footer="0" w:header="0"/>
        </w:sectPr>
      </w:pPr>
    </w:p>
    <w:bookmarkStart w:id="732" w:name="page733"/>
    <w:bookmarkEnd w:id="7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92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149"/>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88"/>
              </w:rPr>
              <w:t>Milestones</w:t>
            </w:r>
          </w:p>
        </w:tc>
        <w:tc>
          <w:tcPr>
            <w:tcW w:w="59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 US</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60" w:type="dxa"/>
            <w:vAlign w:val="bottom"/>
            <w:tcBorders>
              <w:bottom w:val="single" w:sz="8" w:color="auto"/>
            </w:tcBorders>
            <w:vMerge w:val="continue"/>
          </w:tcPr>
          <w:p>
            <w:pPr>
              <w:spacing w:after="0"/>
              <w:rPr>
                <w:sz w:val="15"/>
                <w:szCs w:val="15"/>
                <w:color w:val="auto"/>
              </w:rPr>
            </w:pPr>
          </w:p>
        </w:tc>
        <w:tc>
          <w:tcPr>
            <w:tcW w:w="5900" w:type="dxa"/>
            <w:vAlign w:val="bottom"/>
          </w:tcPr>
          <w:p>
            <w:pPr>
              <w:spacing w:after="0"/>
              <w:rPr>
                <w:sz w:val="15"/>
                <w:szCs w:val="15"/>
                <w:color w:val="auto"/>
              </w:rPr>
            </w:pPr>
          </w:p>
        </w:tc>
        <w:tc>
          <w:tcPr>
            <w:tcW w:w="920" w:type="dxa"/>
            <w:vAlign w:val="bottom"/>
            <w:gridSpan w:val="2"/>
          </w:tcPr>
          <w:p>
            <w:pPr>
              <w:jc w:val="center"/>
              <w:ind w:right="290"/>
              <w:spacing w:after="0" w:line="158" w:lineRule="exact"/>
              <w:rPr>
                <w:sz w:val="20"/>
                <w:szCs w:val="20"/>
                <w:color w:val="auto"/>
              </w:rPr>
            </w:pPr>
            <w:r>
              <w:rPr>
                <w:rFonts w:ascii="Arial" w:cs="Arial" w:eastAsia="Arial" w:hAnsi="Arial"/>
                <w:sz w:val="14"/>
                <w:szCs w:val="14"/>
                <w:b w:val="1"/>
                <w:bCs w:val="1"/>
                <w:color w:val="auto"/>
                <w:w w:val="95"/>
              </w:rPr>
              <w:t>Dollars)</w:t>
            </w:r>
          </w:p>
        </w:tc>
        <w:tc>
          <w:tcPr>
            <w:tcW w:w="0" w:type="dxa"/>
            <w:vAlign w:val="bottom"/>
          </w:tcPr>
          <w:p>
            <w:pPr>
              <w:spacing w:after="0"/>
              <w:rPr>
                <w:sz w:val="1"/>
                <w:szCs w:val="1"/>
                <w:color w:val="auto"/>
              </w:rPr>
            </w:pPr>
          </w:p>
        </w:tc>
      </w:tr>
      <w:tr>
        <w:trPr>
          <w:trHeight w:val="203"/>
        </w:trPr>
        <w:tc>
          <w:tcPr>
            <w:tcW w:w="6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9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8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40"/>
        <w:spacing w:after="0"/>
        <w:tabs>
          <w:tab w:leader="none" w:pos="19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Each milestone payment under this Section 9.9.2 shall be made within [***] after the achievement of the applicable milestone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event.</w:t>
      </w:r>
    </w:p>
    <w:p>
      <w:pPr>
        <w:spacing w:after="0" w:line="211" w:lineRule="exact"/>
        <w:rPr>
          <w:sz w:val="20"/>
          <w:szCs w:val="20"/>
          <w:color w:val="auto"/>
        </w:rPr>
      </w:pPr>
    </w:p>
    <w:p>
      <w:pPr>
        <w:ind w:left="120" w:right="60" w:firstLine="1428"/>
        <w:spacing w:after="0" w:line="279" w:lineRule="auto"/>
        <w:tabs>
          <w:tab w:leader="none" w:pos="1939" w:val="left"/>
        </w:tabs>
        <w:numPr>
          <w:ilvl w:val="0"/>
          <w:numId w:val="484"/>
        </w:numPr>
        <w:rPr>
          <w:rFonts w:ascii="Arial" w:cs="Arial" w:eastAsia="Arial" w:hAnsi="Arial"/>
          <w:sz w:val="17"/>
          <w:szCs w:val="17"/>
          <w:color w:val="auto"/>
        </w:rPr>
      </w:pPr>
      <w:r>
        <w:rPr>
          <w:rFonts w:ascii="Arial" w:cs="Arial" w:eastAsia="Arial" w:hAnsi="Arial"/>
          <w:sz w:val="17"/>
          <w:szCs w:val="17"/>
          <w:color w:val="auto"/>
        </w:rPr>
        <w:t>The milestone payments set forth in the table above in this Section 9.9.2 (to the extent payable) shall be paid only once per Collaboration Target, regardless of the number of Products (including different presentations, formulations, dosages or Combination Products, and whether or not an Existing Post-IND Product) that are Directed to such Collaboration Target to achieve the applicable milestone event and regardless of the number of indications for which the milestone event may be achieved with respect to such Collaboration Target.</w:t>
      </w:r>
    </w:p>
    <w:p>
      <w:pPr>
        <w:spacing w:after="0" w:line="171" w:lineRule="exact"/>
        <w:rPr>
          <w:rFonts w:ascii="Arial" w:cs="Arial" w:eastAsia="Arial" w:hAnsi="Arial"/>
          <w:sz w:val="17"/>
          <w:szCs w:val="17"/>
          <w:color w:val="auto"/>
        </w:rPr>
      </w:pPr>
    </w:p>
    <w:p>
      <w:pPr>
        <w:ind w:left="1920" w:hanging="372"/>
        <w:spacing w:after="0"/>
        <w:tabs>
          <w:tab w:leader="none" w:pos="192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9.10</w:t>
      </w:r>
      <w:r>
        <w:rPr>
          <w:sz w:val="20"/>
          <w:szCs w:val="20"/>
          <w:color w:val="auto"/>
        </w:rPr>
        <w:tab/>
      </w:r>
      <w:r>
        <w:rPr>
          <w:rFonts w:ascii="Arial" w:cs="Arial" w:eastAsia="Arial" w:hAnsi="Arial"/>
          <w:sz w:val="16"/>
          <w:szCs w:val="16"/>
          <w:u w:val="single" w:color="auto"/>
          <w:color w:val="auto"/>
        </w:rPr>
        <w:t>Royalty Payments.</w:t>
      </w:r>
    </w:p>
    <w:p>
      <w:pPr>
        <w:spacing w:after="0" w:line="225"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 xml:space="preserve">9.10.1 </w:t>
      </w:r>
      <w:r>
        <w:rPr>
          <w:rFonts w:ascii="Arial" w:cs="Arial" w:eastAsia="Arial" w:hAnsi="Arial"/>
          <w:sz w:val="18"/>
          <w:szCs w:val="18"/>
          <w:u w:val="single" w:color="auto"/>
          <w:color w:val="auto"/>
        </w:rPr>
        <w:t>Royalty Rate</w:t>
      </w:r>
      <w:r>
        <w:rPr>
          <w:rFonts w:ascii="Arial" w:cs="Arial" w:eastAsia="Arial" w:hAnsi="Arial"/>
          <w:sz w:val="18"/>
          <w:szCs w:val="18"/>
          <w:color w:val="auto"/>
        </w:rPr>
        <w:t>. Subject to Section 9.10.2, Section 9.10.3 and Section 9.11, BMS shall pay to Repare royalties on Annual Net Sales of Products in the Territory, on a Product-by-Product basis, as set forth below:</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1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Per Product Annual Net Sales</w:t>
            </w:r>
          </w:p>
        </w:tc>
        <w:tc>
          <w:tcPr>
            <w:tcW w:w="4460" w:type="dxa"/>
            <w:vAlign w:val="bottom"/>
          </w:tcPr>
          <w:p>
            <w:pPr>
              <w:spacing w:after="0"/>
              <w:rPr>
                <w:sz w:val="16"/>
                <w:szCs w:val="16"/>
                <w:color w:val="auto"/>
              </w:rPr>
            </w:pPr>
          </w:p>
        </w:tc>
        <w:tc>
          <w:tcPr>
            <w:tcW w:w="118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w w:val="91"/>
              </w:rPr>
              <w:t>Royalty Rate</w:t>
            </w:r>
          </w:p>
        </w:tc>
      </w:tr>
      <w:tr>
        <w:trPr>
          <w:trHeight w:val="203"/>
        </w:trPr>
        <w:tc>
          <w:tcPr>
            <w:tcW w:w="18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w:t>
            </w:r>
          </w:p>
        </w:tc>
        <w:tc>
          <w:tcPr>
            <w:tcW w:w="56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Each royalty rate set forth in the table above will apply only to that portion of the Annual Net Sales of a given Product during a given Calendar Year that falls within the indicated portion. For example, if Annual Net Sales of a given Product was $[***], then the royalties payable with respect to such Annual Net Sales would be:</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8"/>
          <w:szCs w:val="18"/>
          <w:color w:val="auto"/>
        </w:rPr>
        <w:t xml:space="preserve">9.10.2 </w:t>
      </w:r>
      <w:r>
        <w:rPr>
          <w:rFonts w:ascii="Arial" w:cs="Arial" w:eastAsia="Arial" w:hAnsi="Arial"/>
          <w:sz w:val="18"/>
          <w:szCs w:val="18"/>
          <w:u w:val="single" w:color="auto"/>
          <w:color w:val="auto"/>
        </w:rPr>
        <w:t>Royalty Term</w:t>
      </w:r>
      <w:r>
        <w:rPr>
          <w:rFonts w:ascii="Arial" w:cs="Arial" w:eastAsia="Arial" w:hAnsi="Arial"/>
          <w:sz w:val="18"/>
          <w:szCs w:val="18"/>
          <w:color w:val="auto"/>
        </w:rPr>
        <w:t>. Royalties payable under this Section 9.10 shall be paid by BMS on a Product-by-Product and country-by-country basis from the Effective Date until the latest of:</w:t>
      </w:r>
    </w:p>
    <w:p>
      <w:pPr>
        <w:spacing w:after="0" w:line="62" w:lineRule="exact"/>
        <w:rPr>
          <w:sz w:val="20"/>
          <w:szCs w:val="20"/>
          <w:color w:val="auto"/>
        </w:rPr>
      </w:pPr>
    </w:p>
    <w:p>
      <w:pPr>
        <w:ind w:left="1920" w:hanging="372"/>
        <w:spacing w:after="0"/>
        <w:tabs>
          <w:tab w:leader="none" w:pos="192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expiration of the last-to-expire Subject Patent with a Valid Claim Covering such Product in such country;</w:t>
      </w:r>
    </w:p>
    <w:p>
      <w:pPr>
        <w:spacing w:after="0" w:line="225" w:lineRule="exact"/>
        <w:rPr>
          <w:rFonts w:ascii="Arial" w:cs="Arial" w:eastAsia="Arial" w:hAnsi="Arial"/>
          <w:sz w:val="18"/>
          <w:szCs w:val="18"/>
          <w:color w:val="auto"/>
        </w:rPr>
      </w:pPr>
    </w:p>
    <w:p>
      <w:pPr>
        <w:ind w:left="1940" w:hanging="392"/>
        <w:spacing w:after="0"/>
        <w:tabs>
          <w:tab w:leader="none" w:pos="194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ten (10) years following the First Commercial Sale of such Product in such country; and</w:t>
      </w:r>
    </w:p>
    <w:p>
      <w:pPr>
        <w:spacing w:after="0" w:line="225" w:lineRule="exact"/>
        <w:rPr>
          <w:rFonts w:ascii="Arial" w:cs="Arial" w:eastAsia="Arial" w:hAnsi="Arial"/>
          <w:sz w:val="18"/>
          <w:szCs w:val="18"/>
          <w:color w:val="auto"/>
        </w:rPr>
      </w:pPr>
    </w:p>
    <w:p>
      <w:pPr>
        <w:ind w:left="1920" w:hanging="372"/>
        <w:spacing w:after="0"/>
        <w:tabs>
          <w:tab w:leader="none" w:pos="192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expiration of all Regulatory Exclusivity for such Product in such country;</w:t>
      </w:r>
    </w:p>
    <w:p>
      <w:pPr>
        <w:spacing w:after="0" w:line="157" w:lineRule="exact"/>
        <w:rPr>
          <w:rFonts w:ascii="Arial" w:cs="Arial" w:eastAsia="Arial" w:hAnsi="Arial"/>
          <w:sz w:val="18"/>
          <w:szCs w:val="18"/>
          <w:color w:val="auto"/>
        </w:rPr>
      </w:pPr>
    </w:p>
    <w:p>
      <w:pPr>
        <w:ind w:left="5540" w:hanging="111"/>
        <w:spacing w:after="0"/>
        <w:tabs>
          <w:tab w:leader="none" w:pos="554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1100"/>
          </w:cols>
          <w:pgMar w:left="320" w:top="460" w:right="479" w:bottom="1440" w:gutter="0" w:footer="0" w:header="0"/>
        </w:sectPr>
      </w:pPr>
    </w:p>
    <w:bookmarkStart w:id="733" w:name="page734"/>
    <w:bookmarkEnd w:id="7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such term with respect to a Product in a country, a “</w:t>
      </w:r>
      <w:r>
        <w:rPr>
          <w:rFonts w:ascii="Arial" w:cs="Arial" w:eastAsia="Arial" w:hAnsi="Arial"/>
          <w:sz w:val="18"/>
          <w:szCs w:val="18"/>
          <w:u w:val="single" w:color="auto"/>
          <w:color w:val="auto"/>
        </w:rPr>
        <w:t>Royalty Term</w:t>
      </w:r>
      <w:r>
        <w:rPr>
          <w:rFonts w:ascii="Arial" w:cs="Arial" w:eastAsia="Arial" w:hAnsi="Arial"/>
          <w:sz w:val="18"/>
          <w:szCs w:val="18"/>
          <w:color w:val="auto"/>
        </w:rPr>
        <w:t>”).</w:t>
      </w:r>
    </w:p>
    <w:p>
      <w:pPr>
        <w:spacing w:after="0" w:line="225"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9.10.3</w:t>
      </w:r>
      <w:r>
        <w:rPr>
          <w:sz w:val="20"/>
          <w:szCs w:val="20"/>
          <w:color w:val="auto"/>
        </w:rPr>
        <w:tab/>
      </w:r>
      <w:r>
        <w:rPr>
          <w:rFonts w:ascii="Arial" w:cs="Arial" w:eastAsia="Arial" w:hAnsi="Arial"/>
          <w:sz w:val="16"/>
          <w:szCs w:val="16"/>
          <w:u w:val="single" w:color="auto"/>
          <w:color w:val="auto"/>
        </w:rPr>
        <w:t>Royalty Reduction</w:t>
      </w:r>
      <w:r>
        <w:rPr>
          <w:rFonts w:ascii="Arial" w:cs="Arial" w:eastAsia="Arial" w:hAnsi="Arial"/>
          <w:sz w:val="16"/>
          <w:szCs w:val="16"/>
          <w:color w:val="auto"/>
        </w:rPr>
        <w:t>.</w:t>
      </w:r>
    </w:p>
    <w:p>
      <w:pPr>
        <w:spacing w:after="0" w:line="225" w:lineRule="exact"/>
        <w:rPr>
          <w:sz w:val="20"/>
          <w:szCs w:val="20"/>
          <w:color w:val="auto"/>
        </w:rPr>
      </w:pPr>
    </w:p>
    <w:p>
      <w:pPr>
        <w:ind w:left="120" w:right="260" w:firstLine="1428"/>
        <w:spacing w:after="0" w:line="263" w:lineRule="auto"/>
        <w:tabs>
          <w:tab w:leader="none" w:pos="1932" w:val="left"/>
        </w:tabs>
        <w:numPr>
          <w:ilvl w:val="0"/>
          <w:numId w:val="486"/>
        </w:numPr>
        <w:rPr>
          <w:rFonts w:ascii="Arial" w:cs="Arial" w:eastAsia="Arial" w:hAnsi="Arial"/>
          <w:sz w:val="18"/>
          <w:szCs w:val="18"/>
          <w:color w:val="auto"/>
        </w:rPr>
      </w:pPr>
      <w:r>
        <w:rPr>
          <w:rFonts w:ascii="Arial" w:cs="Arial" w:eastAsia="Arial" w:hAnsi="Arial"/>
          <w:sz w:val="18"/>
          <w:szCs w:val="18"/>
          <w:color w:val="auto"/>
        </w:rPr>
        <w:t>On a Product-by-Product and country-by-country basis, during any period of the Royalty Term for which a Product is not Covered by a Valid Claim in the applicable country, subject to Section 9.10.3(d), the royalty rate with respect to such Product in such country will be reduced to [***] of the applicable rate set forth in Section 9.10.1.</w:t>
      </w:r>
    </w:p>
    <w:p>
      <w:pPr>
        <w:spacing w:after="0" w:line="183" w:lineRule="exact"/>
        <w:rPr>
          <w:rFonts w:ascii="Arial" w:cs="Arial" w:eastAsia="Arial" w:hAnsi="Arial"/>
          <w:sz w:val="18"/>
          <w:szCs w:val="18"/>
          <w:color w:val="auto"/>
        </w:rPr>
      </w:pPr>
    </w:p>
    <w:p>
      <w:pPr>
        <w:ind w:left="120" w:right="80" w:firstLine="1428"/>
        <w:spacing w:after="0" w:line="272" w:lineRule="auto"/>
        <w:tabs>
          <w:tab w:leader="none" w:pos="1942" w:val="left"/>
        </w:tabs>
        <w:numPr>
          <w:ilvl w:val="0"/>
          <w:numId w:val="486"/>
        </w:numPr>
        <w:rPr>
          <w:rFonts w:ascii="Arial" w:cs="Arial" w:eastAsia="Arial" w:hAnsi="Arial"/>
          <w:sz w:val="17"/>
          <w:szCs w:val="17"/>
          <w:color w:val="auto"/>
        </w:rPr>
      </w:pPr>
      <w:r>
        <w:rPr>
          <w:rFonts w:ascii="Arial" w:cs="Arial" w:eastAsia="Arial" w:hAnsi="Arial"/>
          <w:sz w:val="17"/>
          <w:szCs w:val="17"/>
          <w:color w:val="auto"/>
        </w:rPr>
        <w:t>On a Product-by-Product and country-by-country basis, if (i) in BMS’s reasonable judgment, the Development (including Regulatory Interactions), Manufacture or Commercialization of Resulting Compound or Product by BMS, its Affiliates, or any of its or their Sublicensees would infringe one or more Patents (excluding any Upstream IP) that are controlled by a Third Party and in the absence of a license under such Patent(s) would be infringed by the Development (including Regulatory Interactions), Manufacture or Commercialization of such Resulting Compound or Product in such country, and (ii) BMS obtains a license to such Patent(s) (collectively, “</w:t>
      </w:r>
      <w:r>
        <w:rPr>
          <w:rFonts w:ascii="Arial" w:cs="Arial" w:eastAsia="Arial" w:hAnsi="Arial"/>
          <w:sz w:val="17"/>
          <w:szCs w:val="17"/>
          <w:u w:val="single" w:color="auto"/>
          <w:color w:val="auto"/>
        </w:rPr>
        <w:t>Third Party Required IP</w:t>
      </w:r>
      <w:r>
        <w:rPr>
          <w:rFonts w:ascii="Arial" w:cs="Arial" w:eastAsia="Arial" w:hAnsi="Arial"/>
          <w:sz w:val="17"/>
          <w:szCs w:val="17"/>
          <w:color w:val="auto"/>
        </w:rPr>
        <w:t>”), then, subject to Section 9.10.3(d), BMS may deduct from the royalties otherwise owed to Repare pursuant to Section 9.10.1 with respect to such Product in such country, [***] under such Third Party Required IP with respect to such Product in such country.</w:t>
      </w:r>
    </w:p>
    <w:p>
      <w:pPr>
        <w:spacing w:after="0" w:line="177" w:lineRule="exact"/>
        <w:rPr>
          <w:rFonts w:ascii="Arial" w:cs="Arial" w:eastAsia="Arial" w:hAnsi="Arial"/>
          <w:sz w:val="17"/>
          <w:szCs w:val="17"/>
          <w:color w:val="auto"/>
        </w:rPr>
      </w:pPr>
    </w:p>
    <w:p>
      <w:pPr>
        <w:ind w:left="120" w:firstLine="1428"/>
        <w:spacing w:after="0" w:line="311" w:lineRule="auto"/>
        <w:tabs>
          <w:tab w:leader="none" w:pos="1932" w:val="left"/>
        </w:tabs>
        <w:numPr>
          <w:ilvl w:val="0"/>
          <w:numId w:val="486"/>
        </w:numPr>
        <w:rPr>
          <w:rFonts w:ascii="Arial" w:cs="Arial" w:eastAsia="Arial" w:hAnsi="Arial"/>
          <w:sz w:val="16"/>
          <w:szCs w:val="16"/>
          <w:color w:val="auto"/>
        </w:rPr>
      </w:pPr>
      <w:r>
        <w:rPr>
          <w:rFonts w:ascii="Arial" w:cs="Arial" w:eastAsia="Arial" w:hAnsi="Arial"/>
          <w:sz w:val="16"/>
          <w:szCs w:val="16"/>
          <w:color w:val="auto"/>
        </w:rPr>
        <w:t>On a Product-by-Product and country-by-country basis, if during any Calendar Quarter during the Royalty Term for a Product there are one or more Generic Products or Biosimilar Products (as applicable) being sold in a country with respect to such Product, then the royalty rates payable under this Agreement with respect to such Product in such country for such Calendar Quarter shall be reduced as follows:</w:t>
      </w:r>
    </w:p>
    <w:p>
      <w:pPr>
        <w:spacing w:after="0" w:line="40" w:lineRule="exact"/>
        <w:rPr>
          <w:rFonts w:ascii="Arial" w:cs="Arial" w:eastAsia="Arial" w:hAnsi="Arial"/>
          <w:sz w:val="16"/>
          <w:szCs w:val="16"/>
          <w:color w:val="auto"/>
        </w:rPr>
      </w:pPr>
    </w:p>
    <w:p>
      <w:pPr>
        <w:ind w:left="2440" w:hanging="341"/>
        <w:spacing w:after="0"/>
        <w:tabs>
          <w:tab w:leader="none" w:pos="2440" w:val="left"/>
        </w:tabs>
        <w:numPr>
          <w:ilvl w:val="1"/>
          <w:numId w:val="486"/>
        </w:numPr>
        <w:rPr>
          <w:rFonts w:ascii="Arial" w:cs="Arial" w:eastAsia="Arial" w:hAnsi="Arial"/>
          <w:sz w:val="17"/>
          <w:szCs w:val="17"/>
          <w:color w:val="auto"/>
        </w:rPr>
      </w:pPr>
      <w:r>
        <w:rPr>
          <w:rFonts w:ascii="Arial" w:cs="Arial" w:eastAsia="Arial" w:hAnsi="Arial"/>
          <w:sz w:val="17"/>
          <w:szCs w:val="17"/>
          <w:color w:val="auto"/>
        </w:rPr>
        <w:t>by [***], in the event that in any Calendar Quarter such Generic Product(s) or Biosimilar Product(s) (as applicable),</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left="2500" w:hanging="401"/>
        <w:spacing w:after="0"/>
        <w:tabs>
          <w:tab w:leader="none" w:pos="2500" w:val="left"/>
        </w:tabs>
        <w:numPr>
          <w:ilvl w:val="1"/>
          <w:numId w:val="486"/>
        </w:numPr>
        <w:rPr>
          <w:rFonts w:ascii="Arial" w:cs="Arial" w:eastAsia="Arial" w:hAnsi="Arial"/>
          <w:sz w:val="17"/>
          <w:szCs w:val="17"/>
          <w:color w:val="auto"/>
        </w:rPr>
      </w:pPr>
      <w:r>
        <w:rPr>
          <w:rFonts w:ascii="Arial" w:cs="Arial" w:eastAsia="Arial" w:hAnsi="Arial"/>
          <w:sz w:val="17"/>
          <w:szCs w:val="17"/>
          <w:color w:val="auto"/>
        </w:rPr>
        <w:t>by [***], in the event that in any Calendar Quarter such Generic Product(s) or Biosimilar Product(s) (as applicable),</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 or</w:t>
      </w:r>
    </w:p>
    <w:p>
      <w:pPr>
        <w:spacing w:after="0" w:line="210" w:lineRule="exact"/>
        <w:rPr>
          <w:rFonts w:ascii="Arial" w:cs="Arial" w:eastAsia="Arial" w:hAnsi="Arial"/>
          <w:sz w:val="17"/>
          <w:szCs w:val="17"/>
          <w:color w:val="auto"/>
        </w:rPr>
      </w:pPr>
    </w:p>
    <w:p>
      <w:pPr>
        <w:ind w:left="2540" w:hanging="441"/>
        <w:spacing w:after="0"/>
        <w:tabs>
          <w:tab w:leader="none" w:pos="2540" w:val="left"/>
        </w:tabs>
        <w:numPr>
          <w:ilvl w:val="1"/>
          <w:numId w:val="486"/>
        </w:numPr>
        <w:rPr>
          <w:rFonts w:ascii="Arial" w:cs="Arial" w:eastAsia="Arial" w:hAnsi="Arial"/>
          <w:sz w:val="16"/>
          <w:szCs w:val="16"/>
          <w:color w:val="auto"/>
        </w:rPr>
      </w:pPr>
      <w:r>
        <w:rPr>
          <w:rFonts w:ascii="Arial" w:cs="Arial" w:eastAsia="Arial" w:hAnsi="Arial"/>
          <w:sz w:val="16"/>
          <w:szCs w:val="16"/>
          <w:color w:val="auto"/>
        </w:rPr>
        <w:t>by [***], in the event that in any Calendar Quarter such Generic Product(s) or Biosimilar Product(s) (as applicable),</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1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 For purposes of this Section 9.10.3(c), (A) “</w:t>
      </w:r>
      <w:r>
        <w:rPr>
          <w:rFonts w:ascii="Arial" w:cs="Arial" w:eastAsia="Arial" w:hAnsi="Arial"/>
          <w:sz w:val="16"/>
          <w:szCs w:val="16"/>
          <w:u w:val="single" w:color="auto"/>
          <w:color w:val="auto"/>
        </w:rPr>
        <w:t>Generic Product</w:t>
      </w:r>
      <w:r>
        <w:rPr>
          <w:rFonts w:ascii="Arial" w:cs="Arial" w:eastAsia="Arial" w:hAnsi="Arial"/>
          <w:sz w:val="16"/>
          <w:szCs w:val="16"/>
          <w:color w:val="auto"/>
        </w:rPr>
        <w:t>” means, in a particular country with respect to a Product any pharmaceutical product that: (1) contains a compound that has the same active ingredient as the Resulting Compound in such Product; (2) has received all necessary approvals by the applicable Regulatory Authorities authorizing the marketing and sale of such product as a pharmaceutical product; (3) is marketed or sold by a Third Party that has not obtained the rights to market or sell such product as a licensee, sublicensee or distributor of BMS or any of its Affiliates, licensees or sublicensees with respect to such product; and (4) is approved for use in such country pursuant to an abbreviated regulatory approval process governing approval of generic drug products based on the then-current standards for regulatory approval in such country (</w:t>
      </w:r>
      <w:r>
        <w:rPr>
          <w:rFonts w:ascii="Arial" w:cs="Arial" w:eastAsia="Arial" w:hAnsi="Arial"/>
          <w:sz w:val="16"/>
          <w:szCs w:val="16"/>
          <w:i w:val="1"/>
          <w:iCs w:val="1"/>
          <w:color w:val="auto"/>
        </w:rPr>
        <w:t>e.g.</w:t>
      </w:r>
      <w:r>
        <w:rPr>
          <w:rFonts w:ascii="Arial" w:cs="Arial" w:eastAsia="Arial" w:hAnsi="Arial"/>
          <w:sz w:val="16"/>
          <w:szCs w:val="16"/>
          <w:color w:val="auto"/>
        </w:rPr>
        <w:t>, an abbreviated new drug application, or a relevant equivalent under foreign law) and where such regulatory approval was based in significant part upon clinical data generated by BMS (or its Affiliate or Sublicensee) with respect to such Product, and (B) “</w:t>
      </w:r>
      <w:r>
        <w:rPr>
          <w:rFonts w:ascii="Arial" w:cs="Arial" w:eastAsia="Arial" w:hAnsi="Arial"/>
          <w:sz w:val="16"/>
          <w:szCs w:val="16"/>
          <w:u w:val="single" w:color="auto"/>
          <w:color w:val="auto"/>
        </w:rPr>
        <w:t>Biosimilar Product</w:t>
      </w:r>
      <w:r>
        <w:rPr>
          <w:rFonts w:ascii="Arial" w:cs="Arial" w:eastAsia="Arial" w:hAnsi="Arial"/>
          <w:sz w:val="16"/>
          <w:szCs w:val="16"/>
          <w:color w:val="auto"/>
        </w:rPr>
        <w:t>” means in a</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60" w:right="479" w:bottom="1440" w:gutter="0" w:footer="0" w:header="0"/>
        </w:sectPr>
      </w:pPr>
    </w:p>
    <w:bookmarkStart w:id="734" w:name="page735"/>
    <w:bookmarkEnd w:id="7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particular country with respect to a Product that contains a Resulting Compound, any pharmaceutical product that: (1) has received all necessary approvals by the applicable Regulatory Authorities in such country to market and sell such product as a pharmaceutical product; (2) is marketed or sold by a Third Party that has not obtained the rights to market or sell such product as a licensee, sublicensee or distributor of BMS or any of its Affiliates, licensees or sublicensees with respect to such product; and (3) is approved as a (I) “biosimilar” (in the U.S.) of such Product, (II) as a “similar biological medicinal product” (in the European Union) with respect to which such Product is the “reference medicinal product” or (III) if not the U.S. or European Union, as the foreign equivalent of a “biosimilar” or “similar biological medicinal product” of such Product; in each case ((1)-(3)), for use in such country pursuant to an abbreviated regulatory approval process governing approval of biosimilars based on the then-current standards for regulatory approval in such country (</w:t>
      </w:r>
      <w:r>
        <w:rPr>
          <w:rFonts w:ascii="Arial" w:cs="Arial" w:eastAsia="Arial" w:hAnsi="Arial"/>
          <w:sz w:val="16"/>
          <w:szCs w:val="16"/>
          <w:i w:val="1"/>
          <w:iCs w:val="1"/>
          <w:color w:val="auto"/>
        </w:rPr>
        <w:t>e.g.</w:t>
      </w:r>
      <w:r>
        <w:rPr>
          <w:rFonts w:ascii="Arial" w:cs="Arial" w:eastAsia="Arial" w:hAnsi="Arial"/>
          <w:sz w:val="16"/>
          <w:szCs w:val="16"/>
          <w:color w:val="auto"/>
        </w:rPr>
        <w:t>, the Biologics Price Competition and Innovation Act of 2009 or an equivalent under foreign law) and where such regulatory approval was based in significant part upon clinical data generated by BMS (or its Affiliate or sublicensee) with respect to such Product.</w:t>
      </w:r>
    </w:p>
    <w:p>
      <w:pPr>
        <w:spacing w:after="0" w:line="166" w:lineRule="exact"/>
        <w:rPr>
          <w:sz w:val="20"/>
          <w:szCs w:val="20"/>
          <w:color w:val="auto"/>
        </w:rPr>
      </w:pPr>
    </w:p>
    <w:p>
      <w:pPr>
        <w:ind w:left="120" w:firstLine="1428"/>
        <w:spacing w:after="0" w:line="263" w:lineRule="auto"/>
        <w:tabs>
          <w:tab w:leader="none" w:pos="1942" w:val="left"/>
        </w:tabs>
        <w:numPr>
          <w:ilvl w:val="0"/>
          <w:numId w:val="487"/>
        </w:numPr>
        <w:rPr>
          <w:rFonts w:ascii="Arial" w:cs="Arial" w:eastAsia="Arial" w:hAnsi="Arial"/>
          <w:sz w:val="18"/>
          <w:szCs w:val="18"/>
          <w:color w:val="auto"/>
        </w:rPr>
      </w:pPr>
      <w:r>
        <w:rPr>
          <w:rFonts w:ascii="Arial" w:cs="Arial" w:eastAsia="Arial" w:hAnsi="Arial"/>
          <w:sz w:val="18"/>
          <w:szCs w:val="18"/>
          <w:color w:val="auto"/>
        </w:rPr>
        <w:t>In no event shall the royalty reductions described in this Section 9.10.3, alone or together, reduce the royalties payable by BMS for a Product in a country in any given Calendar Quarter to less than [***] of the amounts otherwise payable by BMS for such Product in such country in such Calendar Quarter. [***].</w:t>
      </w:r>
    </w:p>
    <w:p>
      <w:pPr>
        <w:spacing w:after="0" w:line="184" w:lineRule="exact"/>
        <w:rPr>
          <w:sz w:val="20"/>
          <w:szCs w:val="20"/>
          <w:color w:val="auto"/>
        </w:rPr>
      </w:pPr>
    </w:p>
    <w:p>
      <w:pPr>
        <w:ind w:left="120" w:right="60" w:firstLine="991"/>
        <w:spacing w:after="0" w:line="293" w:lineRule="auto"/>
        <w:rPr>
          <w:sz w:val="20"/>
          <w:szCs w:val="20"/>
          <w:color w:val="auto"/>
        </w:rPr>
      </w:pPr>
      <w:r>
        <w:rPr>
          <w:rFonts w:ascii="Arial" w:cs="Arial" w:eastAsia="Arial" w:hAnsi="Arial"/>
          <w:sz w:val="16"/>
          <w:szCs w:val="16"/>
          <w:color w:val="auto"/>
        </w:rPr>
        <w:t xml:space="preserve">9.10.4 </w:t>
      </w:r>
      <w:r>
        <w:rPr>
          <w:rFonts w:ascii="Arial" w:cs="Arial" w:eastAsia="Arial" w:hAnsi="Arial"/>
          <w:sz w:val="16"/>
          <w:szCs w:val="16"/>
          <w:u w:val="single" w:color="auto"/>
          <w:color w:val="auto"/>
        </w:rPr>
        <w:t>Expiration of Royalty Term</w:t>
      </w:r>
      <w:r>
        <w:rPr>
          <w:rFonts w:ascii="Arial" w:cs="Arial" w:eastAsia="Arial" w:hAnsi="Arial"/>
          <w:sz w:val="16"/>
          <w:szCs w:val="16"/>
          <w:color w:val="auto"/>
        </w:rPr>
        <w:t>. Upon the expiration of the Royalty Term with respect to a Product in a country, the license granted by Repare to BMS pursuant to Section 6.1.2(c) or 6.1.2(d) (as applicable) with respect to such Product in such country shall be deemed to be fully paid-up, irrevocable and perpetual, but BMS shall assume and be solely responsible for any amounts payable to BMS’s Third Party licensors and BMS shall be responsible for complying with the terms of any license agreements with such Third Party licensors, in each case, with respect to BMS’s exercise of such rights as to such Product in such country following the expiration of such Royalty Term. For clarity, no royalties to Repare shall be due or payable on any future sales of such Product in such country held in inventory as of the date of expiration of such Royalty Term.</w:t>
      </w:r>
    </w:p>
    <w:p>
      <w:pPr>
        <w:spacing w:after="0" w:line="164" w:lineRule="exact"/>
        <w:rPr>
          <w:sz w:val="20"/>
          <w:szCs w:val="20"/>
          <w:color w:val="auto"/>
        </w:rPr>
      </w:pPr>
    </w:p>
    <w:p>
      <w:pPr>
        <w:ind w:left="120" w:right="80" w:firstLine="991"/>
        <w:spacing w:after="0" w:line="273" w:lineRule="auto"/>
        <w:rPr>
          <w:sz w:val="20"/>
          <w:szCs w:val="20"/>
          <w:color w:val="auto"/>
        </w:rPr>
      </w:pPr>
      <w:r>
        <w:rPr>
          <w:rFonts w:ascii="Arial" w:cs="Arial" w:eastAsia="Arial" w:hAnsi="Arial"/>
          <w:sz w:val="17"/>
          <w:szCs w:val="17"/>
          <w:color w:val="auto"/>
        </w:rPr>
        <w:t xml:space="preserve">9.10.5 </w:t>
      </w:r>
      <w:r>
        <w:rPr>
          <w:rFonts w:ascii="Arial" w:cs="Arial" w:eastAsia="Arial" w:hAnsi="Arial"/>
          <w:sz w:val="17"/>
          <w:szCs w:val="17"/>
          <w:u w:val="single" w:color="auto"/>
          <w:color w:val="auto"/>
        </w:rPr>
        <w:t>Royalty Reports; Payments</w:t>
      </w:r>
      <w:r>
        <w:rPr>
          <w:rFonts w:ascii="Arial" w:cs="Arial" w:eastAsia="Arial" w:hAnsi="Arial"/>
          <w:sz w:val="17"/>
          <w:szCs w:val="17"/>
          <w:color w:val="auto"/>
        </w:rPr>
        <w:t>. BMS shall: (a) within [***] following the end of each Calendar Quarter in which a royalty payment accrues, provide to Repare a report for each country in the Territory in which sales of any Product occurred in the Calendar Quarter covered by such statement, specifying for such Calendar Quarter: the type and number of Products sold; the applicable royalty rates under this Agreement; the royalties payable in each country’s currency; the applicable exchange rate to convert from each country’s currency to Dollars under Section 9.16; and the royalty calculation and royalties payable in Dollars, and (b) make the royalty payments owed to Repare hereunder in accordance with such royalty report in arrears, within [***] from the end of each Calendar Quarter in which such payment accrues.</w:t>
      </w:r>
    </w:p>
    <w:p>
      <w:pPr>
        <w:spacing w:after="0" w:line="178"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u w:val="single" w:color="auto"/>
          <w:color w:val="auto"/>
        </w:rPr>
        <w:t>Third Party Compound Payments.</w:t>
      </w:r>
    </w:p>
    <w:p>
      <w:pPr>
        <w:spacing w:after="0" w:line="225"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9.11.1</w:t>
      </w:r>
      <w:r>
        <w:rPr>
          <w:sz w:val="20"/>
          <w:szCs w:val="20"/>
          <w:color w:val="auto"/>
        </w:rPr>
        <w:tab/>
      </w:r>
      <w:r>
        <w:rPr>
          <w:rFonts w:ascii="Arial" w:cs="Arial" w:eastAsia="Arial" w:hAnsi="Arial"/>
          <w:sz w:val="16"/>
          <w:szCs w:val="16"/>
          <w:u w:val="single" w:color="auto"/>
          <w:color w:val="auto"/>
        </w:rPr>
        <w:t>Generally</w:t>
      </w:r>
      <w:r>
        <w:rPr>
          <w:rFonts w:ascii="Arial" w:cs="Arial" w:eastAsia="Arial" w:hAnsi="Arial"/>
          <w:sz w:val="16"/>
          <w:szCs w:val="16"/>
          <w:color w:val="auto"/>
        </w:rPr>
        <w:t>.</w:t>
      </w:r>
    </w:p>
    <w:p>
      <w:pPr>
        <w:spacing w:after="0" w:line="225" w:lineRule="exact"/>
        <w:rPr>
          <w:sz w:val="20"/>
          <w:szCs w:val="20"/>
          <w:color w:val="auto"/>
        </w:rPr>
      </w:pPr>
    </w:p>
    <w:p>
      <w:pPr>
        <w:ind w:left="120" w:right="80" w:firstLine="1428"/>
        <w:spacing w:after="0" w:line="308" w:lineRule="auto"/>
        <w:tabs>
          <w:tab w:leader="none" w:pos="1932" w:val="left"/>
        </w:tabs>
        <w:numPr>
          <w:ilvl w:val="0"/>
          <w:numId w:val="488"/>
        </w:numPr>
        <w:rPr>
          <w:rFonts w:ascii="Arial" w:cs="Arial" w:eastAsia="Arial" w:hAnsi="Arial"/>
          <w:sz w:val="17"/>
          <w:szCs w:val="17"/>
          <w:color w:val="auto"/>
        </w:rPr>
      </w:pPr>
      <w:r>
        <w:rPr>
          <w:rFonts w:ascii="Arial" w:cs="Arial" w:eastAsia="Arial" w:hAnsi="Arial"/>
          <w:sz w:val="17"/>
          <w:szCs w:val="17"/>
          <w:color w:val="auto"/>
        </w:rPr>
        <w:t>Subject to Sections 9.11.3 through 9.11.6 (and, for clarity, the Parties’ determination as to what payments and amounts thereof (if any) shall be due under this Section 9.11.1(a) with respect to Post-IND Third Party Compounds shall be governed by Section</w:t>
      </w:r>
    </w:p>
    <w:p>
      <w:pPr>
        <w:spacing w:after="0" w:line="78" w:lineRule="exact"/>
        <w:rPr>
          <w:rFonts w:ascii="Arial" w:cs="Arial" w:eastAsia="Arial" w:hAnsi="Arial"/>
          <w:sz w:val="17"/>
          <w:szCs w:val="17"/>
          <w:color w:val="auto"/>
        </w:rPr>
      </w:pPr>
    </w:p>
    <w:p>
      <w:pPr>
        <w:ind w:left="5540" w:hanging="111"/>
        <w:spacing w:after="0"/>
        <w:tabs>
          <w:tab w:leader="none" w:pos="554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1100"/>
          </w:cols>
          <w:pgMar w:left="320" w:top="460" w:right="479" w:bottom="1440" w:gutter="0" w:footer="0" w:header="0"/>
        </w:sectPr>
      </w:pPr>
    </w:p>
    <w:bookmarkStart w:id="735" w:name="page736"/>
    <w:bookmarkEnd w:id="7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9.11.6) within [***] after BMS in-licenses or otherwise acquires any Independently Validated Third Party Compound, Non-Independently Validated Third Party Compound or Reverted Optioned Target Third Party Compound, BMS shall pay to Repare all unpaid amounts that would have been owed to Repare to date under this Agreement with respect to such Resulting Compound, Products containing such Resulting Compound and the Collaboration Target(s) or Reverted Target(s) (as applicable) to which such Resulting Compound is Directed if such Resulting Compound, Products and Target(s) had always been a Resulting Compound, Products and Collaboration Target(s) under this Agreement, including, as applicable, all Option Exercise Fees,</w:t>
      </w:r>
    </w:p>
    <w:p>
      <w:pPr>
        <w:spacing w:after="0" w:line="2" w:lineRule="exact"/>
        <w:rPr>
          <w:sz w:val="20"/>
          <w:szCs w:val="20"/>
          <w:color w:val="auto"/>
        </w:rPr>
      </w:pPr>
    </w:p>
    <w:p>
      <w:pPr>
        <w:ind w:left="120" w:right="180" w:hanging="4"/>
        <w:spacing w:after="0" w:line="260" w:lineRule="auto"/>
        <w:tabs>
          <w:tab w:leader="none" w:pos="555" w:val="left"/>
        </w:tabs>
        <w:numPr>
          <w:ilvl w:val="0"/>
          <w:numId w:val="489"/>
        </w:numPr>
        <w:rPr>
          <w:rFonts w:ascii="Arial" w:cs="Arial" w:eastAsia="Arial" w:hAnsi="Arial"/>
          <w:sz w:val="18"/>
          <w:szCs w:val="18"/>
          <w:color w:val="auto"/>
        </w:rPr>
      </w:pPr>
      <w:r>
        <w:rPr>
          <w:rFonts w:ascii="Arial" w:cs="Arial" w:eastAsia="Arial" w:hAnsi="Arial"/>
          <w:sz w:val="18"/>
          <w:szCs w:val="18"/>
          <w:color w:val="auto"/>
        </w:rPr>
        <w:t>Milestone Payments, Additional Target Selection Fees, Additional Collaboration Undruggable Target Fees, [***] Milestone Payments and [***] Milestone Payments and all payments under Sections 9.9 and 9.10.</w:t>
      </w:r>
    </w:p>
    <w:p>
      <w:pPr>
        <w:spacing w:after="0" w:line="185" w:lineRule="exact"/>
        <w:rPr>
          <w:rFonts w:ascii="Arial" w:cs="Arial" w:eastAsia="Arial" w:hAnsi="Arial"/>
          <w:sz w:val="18"/>
          <w:szCs w:val="18"/>
          <w:color w:val="auto"/>
        </w:rPr>
      </w:pPr>
    </w:p>
    <w:p>
      <w:pPr>
        <w:jc w:val="both"/>
        <w:ind w:left="120" w:right="460" w:firstLine="1428"/>
        <w:spacing w:after="0" w:line="301" w:lineRule="auto"/>
        <w:tabs>
          <w:tab w:leader="none" w:pos="1942" w:val="left"/>
        </w:tabs>
        <w:numPr>
          <w:ilvl w:val="1"/>
          <w:numId w:val="489"/>
        </w:numPr>
        <w:rPr>
          <w:rFonts w:ascii="Arial" w:cs="Arial" w:eastAsia="Arial" w:hAnsi="Arial"/>
          <w:sz w:val="16"/>
          <w:szCs w:val="16"/>
          <w:color w:val="auto"/>
        </w:rPr>
      </w:pPr>
      <w:r>
        <w:rPr>
          <w:rFonts w:ascii="Arial" w:cs="Arial" w:eastAsia="Arial" w:hAnsi="Arial"/>
          <w:sz w:val="16"/>
          <w:szCs w:val="16"/>
          <w:color w:val="auto"/>
        </w:rPr>
        <w:t>Subject to Sections 9.11.3 through 9.11.6, from and after the date on which BMS in-licenses or otherwise acquires any Independently Validated Third Party Compound, Non-Independently Validated Third Party Compound or Reverted Optioned Target Third Party Compound, BMS shall be obligated to pay to Repare all amounts set forth in Sections 9.3 through 9.8 with respect to all Collaboration Targets and Reverted Targets to which such Resulting Compound is Directed as though all such Targets were Collaboration Targets.</w:t>
      </w:r>
    </w:p>
    <w:p>
      <w:pPr>
        <w:spacing w:after="0" w:line="157" w:lineRule="exact"/>
        <w:rPr>
          <w:rFonts w:ascii="Arial" w:cs="Arial" w:eastAsia="Arial" w:hAnsi="Arial"/>
          <w:sz w:val="16"/>
          <w:szCs w:val="16"/>
          <w:color w:val="auto"/>
        </w:rPr>
      </w:pPr>
    </w:p>
    <w:p>
      <w:pPr>
        <w:ind w:left="120" w:right="120" w:firstLine="1428"/>
        <w:spacing w:after="0" w:line="296" w:lineRule="auto"/>
        <w:tabs>
          <w:tab w:leader="none" w:pos="1932" w:val="left"/>
        </w:tabs>
        <w:numPr>
          <w:ilvl w:val="1"/>
          <w:numId w:val="489"/>
        </w:numPr>
        <w:rPr>
          <w:rFonts w:ascii="Arial" w:cs="Arial" w:eastAsia="Arial" w:hAnsi="Arial"/>
          <w:sz w:val="16"/>
          <w:szCs w:val="16"/>
          <w:color w:val="auto"/>
        </w:rPr>
      </w:pPr>
      <w:r>
        <w:rPr>
          <w:rFonts w:ascii="Arial" w:cs="Arial" w:eastAsia="Arial" w:hAnsi="Arial"/>
          <w:sz w:val="16"/>
          <w:szCs w:val="16"/>
          <w:color w:val="auto"/>
        </w:rPr>
        <w:t>For purposes of this Section 9.11.1, the determination of whether BMS owes an Additional Target Selection Fee or Additional Collaboration Undruggable Target Fee for a given Druggable/LDD Target or Collaboration Undruggable Target, as applicable, shall be made as though all Excluded Targets that have, at such time, been deemed to be Collaboration Targets pursuant to Section 2.13.3, and all Collaboration Targets and Excluded Targets to which any then-existing Independently Validated Third Party Compound, Non-Independently Validated Third Party Compound or Reverted Optioned Third Party Compound is Directed, had always been Collaboration Targets under this Agreement.</w:t>
      </w:r>
    </w:p>
    <w:p>
      <w:pPr>
        <w:spacing w:after="0" w:line="161" w:lineRule="exact"/>
        <w:rPr>
          <w:rFonts w:ascii="Arial" w:cs="Arial" w:eastAsia="Arial" w:hAnsi="Arial"/>
          <w:sz w:val="16"/>
          <w:szCs w:val="16"/>
          <w:color w:val="auto"/>
        </w:rPr>
      </w:pPr>
    </w:p>
    <w:p>
      <w:pPr>
        <w:ind w:left="120" w:right="40" w:firstLine="1428"/>
        <w:spacing w:after="0" w:line="272" w:lineRule="auto"/>
        <w:tabs>
          <w:tab w:leader="none" w:pos="1942" w:val="left"/>
        </w:tabs>
        <w:numPr>
          <w:ilvl w:val="1"/>
          <w:numId w:val="489"/>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with respect to a given Collaboration Campaign and any Collaboration Target from such Collaboration Campaign, but subject to Section 15.5, if (i) Repare fails to provide the applicable Deliverables to BMS within [***] after, as applicable, (A) the applicable Option exercise or (B) Repare’s receipt of an Additional Target Unblinding Notification with respect to such Collaboration Target and (ii) such Collaboration Campaign subsequently becomes an Excluded Campaign, or such Collaboration Target subsequently becomes an Excluded Target, without such Deliverables having been provided to BMS, then the provisions of this Section 9.11 shall not apply with respect to such Collaboration Target, including that BMS shall not owe or otherwise have any financial obligations to Repare with respect to any Third Party Compounds that are Directed to such Collaboration Target.</w:t>
      </w:r>
    </w:p>
    <w:p>
      <w:pPr>
        <w:spacing w:after="0" w:line="177"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9.11.2</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w:t>
      </w:r>
    </w:p>
    <w:p>
      <w:pPr>
        <w:spacing w:after="0" w:line="225" w:lineRule="exact"/>
        <w:rPr>
          <w:sz w:val="20"/>
          <w:szCs w:val="20"/>
          <w:color w:val="auto"/>
        </w:rPr>
      </w:pPr>
    </w:p>
    <w:p>
      <w:pPr>
        <w:ind w:left="120" w:firstLine="1428"/>
        <w:spacing w:after="0" w:line="259" w:lineRule="auto"/>
        <w:tabs>
          <w:tab w:leader="none" w:pos="1932" w:val="left"/>
        </w:tabs>
        <w:numPr>
          <w:ilvl w:val="0"/>
          <w:numId w:val="4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Third Party Druggable/LDD Target Development Program</w:t>
      </w:r>
      <w:r>
        <w:rPr>
          <w:rFonts w:ascii="Arial" w:cs="Arial" w:eastAsia="Arial" w:hAnsi="Arial"/>
          <w:sz w:val="18"/>
          <w:szCs w:val="18"/>
          <w:color w:val="auto"/>
        </w:rPr>
        <w:t>” means, with respect to a given Collaboration Druggable/LDD Target or a given Reverted Target that is a Druggable/LDD Target, any drug Development program that (i) was or is initiated by a Third Party (other than any Sublicensee) prior to or during the Term, (ii) has, as one of its ultimate goals, the Development of one (1) or more compounds or products that are Directed to</w:t>
      </w:r>
    </w:p>
    <w:p>
      <w:pPr>
        <w:spacing w:after="0" w:line="119" w:lineRule="exact"/>
        <w:rPr>
          <w:rFonts w:ascii="Arial" w:cs="Arial" w:eastAsia="Arial" w:hAnsi="Arial"/>
          <w:sz w:val="18"/>
          <w:szCs w:val="18"/>
          <w:color w:val="auto"/>
        </w:rPr>
      </w:pPr>
    </w:p>
    <w:p>
      <w:pPr>
        <w:ind w:left="5540" w:hanging="111"/>
        <w:spacing w:after="0"/>
        <w:tabs>
          <w:tab w:leader="none" w:pos="554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56 -</w:t>
      </w:r>
    </w:p>
    <w:p>
      <w:pPr>
        <w:sectPr>
          <w:pgSz w:w="11900" w:h="16838" w:orient="portrait"/>
          <w:cols w:equalWidth="0" w:num="1">
            <w:col w:w="11120"/>
          </w:cols>
          <w:pgMar w:left="320" w:top="460" w:right="459" w:bottom="1440" w:gutter="0" w:footer="0" w:header="0"/>
        </w:sectPr>
      </w:pPr>
    </w:p>
    <w:bookmarkStart w:id="736" w:name="page737"/>
    <w:bookmarkEnd w:id="7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 xml:space="preserve">such Druggable/LDD Target using any Pre-Option Campaign Lesion(s), Collaboration Campaign Lesion(s) or Excluded Campaign Lesion(s) to define the patient population for such compound or product and (iii) is in-licensed or otherwise acquired by BMS or any of its Affiliates during any of the applicable periods set forth in the definition of “Independently Validated Third Party Compound,” “Non-Independently Validated Third Party Compound” or “Reverted Optioned Target Third Party Compound”; </w:t>
      </w:r>
      <w:r>
        <w:rPr>
          <w:rFonts w:ascii="Arial" w:cs="Arial" w:eastAsia="Arial" w:hAnsi="Arial"/>
          <w:sz w:val="16"/>
          <w:szCs w:val="16"/>
          <w:u w:val="single" w:color="auto"/>
          <w:color w:val="auto"/>
        </w:rPr>
        <w:t>but excluding</w:t>
      </w:r>
      <w:r>
        <w:rPr>
          <w:rFonts w:ascii="Arial" w:cs="Arial" w:eastAsia="Arial" w:hAnsi="Arial"/>
          <w:sz w:val="16"/>
          <w:szCs w:val="16"/>
          <w:color w:val="auto"/>
        </w:rPr>
        <w:t xml:space="preserve"> any Pre-Existing Druggable/LDD Target Third Party Program.</w:t>
      </w:r>
    </w:p>
    <w:p>
      <w:pPr>
        <w:spacing w:after="0" w:line="157" w:lineRule="exact"/>
        <w:rPr>
          <w:sz w:val="20"/>
          <w:szCs w:val="20"/>
          <w:color w:val="auto"/>
        </w:rPr>
      </w:pPr>
    </w:p>
    <w:p>
      <w:pPr>
        <w:ind w:left="120" w:right="20" w:firstLine="1428"/>
        <w:spacing w:after="0" w:line="253" w:lineRule="auto"/>
        <w:tabs>
          <w:tab w:leader="none" w:pos="1942" w:val="left"/>
        </w:tabs>
        <w:numPr>
          <w:ilvl w:val="1"/>
          <w:numId w:val="4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Third Party Undruggable Target Development Program</w:t>
      </w:r>
      <w:r>
        <w:rPr>
          <w:rFonts w:ascii="Arial" w:cs="Arial" w:eastAsia="Arial" w:hAnsi="Arial"/>
          <w:sz w:val="18"/>
          <w:szCs w:val="18"/>
          <w:color w:val="auto"/>
        </w:rPr>
        <w:t xml:space="preserve">” means, with respect to a given Collaboration Undruggable Target or a given Reverted Target that is an Undruggable Target, any drug Development program that (i) was or is initiated by a Third Party (other than any Sublicensee) prior to or during the Term, (ii) has, as one of its ultimate goals, the Development of one (1) or more compounds or products that are Directed to (A) such Undruggable Target using any Undruggable Campaign Lesion(s) or (B) if such Undruggable Target is a Reverted Target, the Excluded Campaign Lesion(s) that Repare identified to BMS as having a Synthetic Lethal Relationship with such Undruggable Target under this Agreement, in each case ((A) or (B)), to define the patient population for such compound or product and (iii) is in-licensed or otherwise acquired by BMS or any of its Affiliates during any of the applicable periods set forth in the definition of “Independently Validated Third Party Compound,” “Non-Independently Validated Third Party Compound” or “Reverted Optioned Target Third Party Compound”; </w:t>
      </w:r>
      <w:r>
        <w:rPr>
          <w:rFonts w:ascii="Arial" w:cs="Arial" w:eastAsia="Arial" w:hAnsi="Arial"/>
          <w:sz w:val="18"/>
          <w:szCs w:val="18"/>
          <w:u w:val="single" w:color="auto"/>
          <w:color w:val="auto"/>
        </w:rPr>
        <w:t>but excluding</w:t>
      </w:r>
      <w:r>
        <w:rPr>
          <w:rFonts w:ascii="Arial" w:cs="Arial" w:eastAsia="Arial" w:hAnsi="Arial"/>
          <w:sz w:val="18"/>
          <w:szCs w:val="18"/>
          <w:color w:val="auto"/>
        </w:rPr>
        <w:t xml:space="preserve"> any Pre-Existing Undruggable Target Third Party Program.</w:t>
      </w:r>
    </w:p>
    <w:p>
      <w:pPr>
        <w:spacing w:after="0" w:line="196" w:lineRule="exact"/>
        <w:rPr>
          <w:rFonts w:ascii="Arial" w:cs="Arial" w:eastAsia="Arial" w:hAnsi="Arial"/>
          <w:sz w:val="18"/>
          <w:szCs w:val="18"/>
          <w:color w:val="auto"/>
        </w:rPr>
      </w:pPr>
    </w:p>
    <w:p>
      <w:pPr>
        <w:ind w:left="120" w:right="40" w:firstLine="1428"/>
        <w:spacing w:after="0" w:line="277" w:lineRule="auto"/>
        <w:tabs>
          <w:tab w:leader="none" w:pos="1932" w:val="left"/>
        </w:tabs>
        <w:numPr>
          <w:ilvl w:val="1"/>
          <w:numId w:val="4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Third Party Development Program</w:t>
      </w:r>
      <w:r>
        <w:rPr>
          <w:rFonts w:ascii="Arial" w:cs="Arial" w:eastAsia="Arial" w:hAnsi="Arial"/>
          <w:sz w:val="18"/>
          <w:szCs w:val="18"/>
          <w:color w:val="auto"/>
        </w:rPr>
        <w:t>” means an Acquired Third Party Druggable/LDD Target Development Program or an Acquired Third Party Undruggable Target Development Program.</w:t>
      </w:r>
    </w:p>
    <w:p>
      <w:pPr>
        <w:spacing w:after="0" w:line="170" w:lineRule="exact"/>
        <w:rPr>
          <w:rFonts w:ascii="Arial" w:cs="Arial" w:eastAsia="Arial" w:hAnsi="Arial"/>
          <w:sz w:val="18"/>
          <w:szCs w:val="18"/>
          <w:color w:val="auto"/>
        </w:rPr>
      </w:pPr>
    </w:p>
    <w:p>
      <w:pPr>
        <w:ind w:left="1940" w:hanging="392"/>
        <w:spacing w:after="0"/>
        <w:tabs>
          <w:tab w:leader="none" w:pos="194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Independently Validated Third Party Compound</w:t>
      </w:r>
      <w:r>
        <w:rPr>
          <w:rFonts w:ascii="Arial" w:cs="Arial" w:eastAsia="Arial" w:hAnsi="Arial"/>
          <w:sz w:val="18"/>
          <w:szCs w:val="18"/>
          <w:color w:val="auto"/>
        </w:rPr>
        <w:t>” means:</w:t>
      </w:r>
    </w:p>
    <w:p>
      <w:pPr>
        <w:spacing w:after="0" w:line="117" w:lineRule="exact"/>
        <w:rPr>
          <w:rFonts w:ascii="Arial" w:cs="Arial" w:eastAsia="Arial" w:hAnsi="Arial"/>
          <w:sz w:val="18"/>
          <w:szCs w:val="18"/>
          <w:color w:val="auto"/>
        </w:rPr>
      </w:pPr>
    </w:p>
    <w:p>
      <w:pPr>
        <w:ind w:left="120" w:right="240" w:firstLine="1979"/>
        <w:spacing w:after="0" w:line="296" w:lineRule="auto"/>
        <w:tabs>
          <w:tab w:leader="none" w:pos="2453" w:val="left"/>
        </w:tabs>
        <w:numPr>
          <w:ilvl w:val="2"/>
          <w:numId w:val="491"/>
        </w:numPr>
        <w:rPr>
          <w:rFonts w:ascii="Arial" w:cs="Arial" w:eastAsia="Arial" w:hAnsi="Arial"/>
          <w:sz w:val="16"/>
          <w:szCs w:val="16"/>
          <w:color w:val="auto"/>
        </w:rPr>
      </w:pPr>
      <w:r>
        <w:rPr>
          <w:rFonts w:ascii="Arial" w:cs="Arial" w:eastAsia="Arial" w:hAnsi="Arial"/>
          <w:sz w:val="16"/>
          <w:szCs w:val="16"/>
          <w:color w:val="auto"/>
        </w:rPr>
        <w:t>with respect to a given Collaboration Target, any Third Party Compound that (A) is Directed to such Collaboration Target and (B) arose or arises out of any Acquired Third Party Development Program that is in-licensed or otherwise acquired by BMS or any of its Affiliates prior to the date that is [***] after the date on which BMS exercised its Option with respect to (x) such Collaboration Target or (y) with respect to a Collaboration Druggable/LDD Target, the Primary Campaign under which Repare has identified a Synthetic Lethal relationship between such Collaboration Druggable/LDD Target and the Campaign Lesion(s) that are the subject of such Primary Campaign (as applicable); or</w:t>
      </w:r>
    </w:p>
    <w:p>
      <w:pPr>
        <w:spacing w:after="0" w:line="161" w:lineRule="exact"/>
        <w:rPr>
          <w:rFonts w:ascii="Arial" w:cs="Arial" w:eastAsia="Arial" w:hAnsi="Arial"/>
          <w:sz w:val="16"/>
          <w:szCs w:val="16"/>
          <w:color w:val="auto"/>
        </w:rPr>
      </w:pPr>
    </w:p>
    <w:p>
      <w:pPr>
        <w:ind w:left="120" w:right="100" w:firstLine="1979"/>
        <w:spacing w:after="0" w:line="287" w:lineRule="auto"/>
        <w:tabs>
          <w:tab w:leader="none" w:pos="2503" w:val="left"/>
        </w:tabs>
        <w:numPr>
          <w:ilvl w:val="2"/>
          <w:numId w:val="491"/>
        </w:numPr>
        <w:rPr>
          <w:rFonts w:ascii="Arial" w:cs="Arial" w:eastAsia="Arial" w:hAnsi="Arial"/>
          <w:sz w:val="16"/>
          <w:szCs w:val="16"/>
          <w:color w:val="auto"/>
        </w:rPr>
      </w:pPr>
      <w:r>
        <w:rPr>
          <w:rFonts w:ascii="Arial" w:cs="Arial" w:eastAsia="Arial" w:hAnsi="Arial"/>
          <w:sz w:val="16"/>
          <w:szCs w:val="16"/>
          <w:color w:val="auto"/>
        </w:rPr>
        <w:t>with respect to a given Reverted Non-Optioned Target, any Third Party Compound that (A) is Directed to such Reverted Non-Optioned Target and (B) arose or arises out of any Acquired Third Party Development Program that is in-licensed or otherwise acquired by BMS or any of its Affiliates prior to the date that is [***] after the date on which BMS’s Option expired or terminated unexercised with respect to</w:t>
      </w:r>
    </w:p>
    <w:p>
      <w:pPr>
        <w:spacing w:after="0" w:line="2" w:lineRule="exact"/>
        <w:rPr>
          <w:rFonts w:ascii="Arial" w:cs="Arial" w:eastAsia="Arial" w:hAnsi="Arial"/>
          <w:sz w:val="16"/>
          <w:szCs w:val="16"/>
          <w:color w:val="auto"/>
        </w:rPr>
      </w:pPr>
    </w:p>
    <w:p>
      <w:pPr>
        <w:ind w:left="120" w:hanging="4"/>
        <w:spacing w:after="0" w:line="255" w:lineRule="auto"/>
        <w:tabs>
          <w:tab w:leader="none" w:pos="375" w:val="left"/>
        </w:tabs>
        <w:numPr>
          <w:ilvl w:val="0"/>
          <w:numId w:val="492"/>
        </w:numPr>
        <w:rPr>
          <w:rFonts w:ascii="Arial" w:cs="Arial" w:eastAsia="Arial" w:hAnsi="Arial"/>
          <w:sz w:val="18"/>
          <w:szCs w:val="18"/>
          <w:color w:val="auto"/>
        </w:rPr>
      </w:pPr>
      <w:r>
        <w:rPr>
          <w:rFonts w:ascii="Arial" w:cs="Arial" w:eastAsia="Arial" w:hAnsi="Arial"/>
          <w:sz w:val="18"/>
          <w:szCs w:val="18"/>
          <w:color w:val="auto"/>
        </w:rPr>
        <w:t>such Reverted Non-Optioned Target or (y) with respect to a Reverted Non-Optioned Target that is a Druggable/LDD Target, the Primary Campaign under which Repare has identified a Synthetic Lethal relationship between such Reverted Non-Optioned Target and the Campaign Lesion(s) that are the subject of such Primary Campaign (as applicable);</w:t>
      </w:r>
    </w:p>
    <w:p>
      <w:pPr>
        <w:spacing w:after="0" w:line="122" w:lineRule="exact"/>
        <w:rPr>
          <w:rFonts w:ascii="Arial" w:cs="Arial" w:eastAsia="Arial" w:hAnsi="Arial"/>
          <w:sz w:val="18"/>
          <w:szCs w:val="18"/>
          <w:color w:val="auto"/>
        </w:rPr>
      </w:pPr>
    </w:p>
    <w:p>
      <w:pPr>
        <w:ind w:left="5540" w:hanging="111"/>
        <w:spacing w:after="0"/>
        <w:tabs>
          <w:tab w:leader="none" w:pos="5540" w:val="left"/>
        </w:tabs>
        <w:numPr>
          <w:ilvl w:val="3"/>
          <w:numId w:val="492"/>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1060"/>
          </w:cols>
          <w:pgMar w:left="320" w:top="460" w:right="519" w:bottom="1440" w:gutter="0" w:footer="0" w:header="0"/>
        </w:sectPr>
      </w:pPr>
    </w:p>
    <w:bookmarkStart w:id="737" w:name="page738"/>
    <w:bookmarkEnd w:id="7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in each case ((i) and (ii)) where, prior to the date on which BMS or its applicable Affiliate in-licensed or otherwise acquired such Acquired Third Party Development Program, the Third Party from whom BMS or such Affiliate in-licensed or otherwise acquired such Acquired Third Party Development Program Independently Validated that such Collaboration Target or Reverted Non-Optioned Target, as applicable, has a Synthetic Lethal relationship with all Campaign Lesion(s) that Repare Validated as having a Synthetic Lethal relationship with such Collaboration Target or Reverted Non-Optioned Target, as applicable, under this Agreement.</w:t>
      </w:r>
    </w:p>
    <w:p>
      <w:pPr>
        <w:spacing w:after="0" w:line="188" w:lineRule="exact"/>
        <w:rPr>
          <w:sz w:val="20"/>
          <w:szCs w:val="20"/>
          <w:color w:val="auto"/>
        </w:rPr>
      </w:pPr>
    </w:p>
    <w:p>
      <w:pPr>
        <w:ind w:left="1920" w:hanging="372"/>
        <w:spacing w:after="0"/>
        <w:tabs>
          <w:tab w:leader="none" w:pos="192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Non-Independently Validated Third Party Compound</w:t>
      </w:r>
      <w:r>
        <w:rPr>
          <w:rFonts w:ascii="Arial" w:cs="Arial" w:eastAsia="Arial" w:hAnsi="Arial"/>
          <w:sz w:val="18"/>
          <w:szCs w:val="18"/>
          <w:color w:val="auto"/>
        </w:rPr>
        <w:t>” means:</w:t>
      </w:r>
    </w:p>
    <w:p>
      <w:pPr>
        <w:spacing w:after="0" w:line="117" w:lineRule="exact"/>
        <w:rPr>
          <w:rFonts w:ascii="Arial" w:cs="Arial" w:eastAsia="Arial" w:hAnsi="Arial"/>
          <w:sz w:val="18"/>
          <w:szCs w:val="18"/>
          <w:color w:val="auto"/>
        </w:rPr>
      </w:pPr>
    </w:p>
    <w:p>
      <w:pPr>
        <w:ind w:left="120" w:right="160" w:firstLine="1979"/>
        <w:spacing w:after="0" w:line="263" w:lineRule="auto"/>
        <w:tabs>
          <w:tab w:leader="none" w:pos="2453" w:val="left"/>
        </w:tabs>
        <w:numPr>
          <w:ilvl w:val="2"/>
          <w:numId w:val="493"/>
        </w:numPr>
        <w:rPr>
          <w:rFonts w:ascii="Arial" w:cs="Arial" w:eastAsia="Arial" w:hAnsi="Arial"/>
          <w:sz w:val="18"/>
          <w:szCs w:val="18"/>
          <w:color w:val="auto"/>
        </w:rPr>
      </w:pPr>
      <w:r>
        <w:rPr>
          <w:rFonts w:ascii="Arial" w:cs="Arial" w:eastAsia="Arial" w:hAnsi="Arial"/>
          <w:sz w:val="18"/>
          <w:szCs w:val="18"/>
          <w:color w:val="auto"/>
        </w:rPr>
        <w:t>with respect to a given Collaboration Target, any Third Party Compound that is Directed to such Collaboration Target and arose or arises out of any Acquired Third Party Development Program that is in-licensed or otherwise acquired by BMS or any of its Affiliates during the Economics Bearing Term for such Collaboration Target; or</w:t>
      </w:r>
    </w:p>
    <w:p>
      <w:pPr>
        <w:spacing w:after="0" w:line="183" w:lineRule="exact"/>
        <w:rPr>
          <w:rFonts w:ascii="Arial" w:cs="Arial" w:eastAsia="Arial" w:hAnsi="Arial"/>
          <w:sz w:val="18"/>
          <w:szCs w:val="18"/>
          <w:color w:val="auto"/>
        </w:rPr>
      </w:pPr>
    </w:p>
    <w:p>
      <w:pPr>
        <w:ind w:left="120" w:right="100" w:firstLine="1979"/>
        <w:spacing w:after="0" w:line="287" w:lineRule="auto"/>
        <w:tabs>
          <w:tab w:leader="none" w:pos="2503" w:val="left"/>
        </w:tabs>
        <w:numPr>
          <w:ilvl w:val="2"/>
          <w:numId w:val="493"/>
        </w:numPr>
        <w:rPr>
          <w:rFonts w:ascii="Arial" w:cs="Arial" w:eastAsia="Arial" w:hAnsi="Arial"/>
          <w:sz w:val="16"/>
          <w:szCs w:val="16"/>
          <w:color w:val="auto"/>
        </w:rPr>
      </w:pPr>
      <w:r>
        <w:rPr>
          <w:rFonts w:ascii="Arial" w:cs="Arial" w:eastAsia="Arial" w:hAnsi="Arial"/>
          <w:sz w:val="16"/>
          <w:szCs w:val="16"/>
          <w:color w:val="auto"/>
        </w:rPr>
        <w:t>with respect to a given Reverted Non-Optioned Target, any Third Party Compound that (A) is Directed to such Reverted Non-Optioned Target and (B) arose or arises out of any Acquired Third Party Development Program that is in-licensed or otherwise acquired by BMS or any of its Affiliates prior to the date that is [***] after the date on which BMS’s Option expired or terminated unexercised with respect to</w:t>
      </w:r>
    </w:p>
    <w:p>
      <w:pPr>
        <w:spacing w:after="0" w:line="2" w:lineRule="exact"/>
        <w:rPr>
          <w:rFonts w:ascii="Arial" w:cs="Arial" w:eastAsia="Arial" w:hAnsi="Arial"/>
          <w:sz w:val="16"/>
          <w:szCs w:val="16"/>
          <w:color w:val="auto"/>
        </w:rPr>
      </w:pPr>
    </w:p>
    <w:p>
      <w:pPr>
        <w:ind w:left="120" w:hanging="4"/>
        <w:spacing w:after="0" w:line="255" w:lineRule="auto"/>
        <w:tabs>
          <w:tab w:leader="none" w:pos="375" w:val="left"/>
        </w:tabs>
        <w:numPr>
          <w:ilvl w:val="0"/>
          <w:numId w:val="494"/>
        </w:numPr>
        <w:rPr>
          <w:rFonts w:ascii="Arial" w:cs="Arial" w:eastAsia="Arial" w:hAnsi="Arial"/>
          <w:sz w:val="18"/>
          <w:szCs w:val="18"/>
          <w:color w:val="auto"/>
        </w:rPr>
      </w:pPr>
      <w:r>
        <w:rPr>
          <w:rFonts w:ascii="Arial" w:cs="Arial" w:eastAsia="Arial" w:hAnsi="Arial"/>
          <w:sz w:val="18"/>
          <w:szCs w:val="18"/>
          <w:color w:val="auto"/>
        </w:rPr>
        <w:t>such Reverted Non-Optioned Target (</w:t>
      </w:r>
      <w:r>
        <w:rPr>
          <w:rFonts w:ascii="Arial" w:cs="Arial" w:eastAsia="Arial" w:hAnsi="Arial"/>
          <w:sz w:val="18"/>
          <w:szCs w:val="18"/>
          <w:i w:val="1"/>
          <w:iCs w:val="1"/>
          <w:color w:val="auto"/>
        </w:rPr>
        <w:t>i.e.</w:t>
      </w:r>
      <w:r>
        <w:rPr>
          <w:rFonts w:ascii="Arial" w:cs="Arial" w:eastAsia="Arial" w:hAnsi="Arial"/>
          <w:sz w:val="18"/>
          <w:szCs w:val="18"/>
          <w:color w:val="auto"/>
        </w:rPr>
        <w:t>, the end of the applicable Option Term) or (y) with respect to a Reverted Non-Optioned Target that is a Druggable/LDD Target, the Primary Campaign under which Repare has identified a Synthetic Lethal relationship between such Reverted Non-Optioned Target and the Campaign Lesion(s) that are the subject of such Primary Campaign (as applicable);</w:t>
      </w:r>
    </w:p>
    <w:p>
      <w:pPr>
        <w:spacing w:after="0" w:line="190" w:lineRule="exact"/>
        <w:rPr>
          <w:sz w:val="20"/>
          <w:szCs w:val="20"/>
          <w:color w:val="auto"/>
        </w:rPr>
      </w:pPr>
    </w:p>
    <w:p>
      <w:pPr>
        <w:ind w:left="120" w:right="300"/>
        <w:spacing w:after="0" w:line="257" w:lineRule="auto"/>
        <w:rPr>
          <w:sz w:val="20"/>
          <w:szCs w:val="20"/>
          <w:color w:val="auto"/>
        </w:rPr>
      </w:pPr>
      <w:r>
        <w:rPr>
          <w:rFonts w:ascii="Arial" w:cs="Arial" w:eastAsia="Arial" w:hAnsi="Arial"/>
          <w:sz w:val="18"/>
          <w:szCs w:val="18"/>
          <w:color w:val="auto"/>
        </w:rPr>
        <w:t>in each case ((i) and (ii)), where the Third Party from whom BMS or its applicable Affiliate in-licensed or otherwise acquired such Third Party Compound did not Independently Validate, prior to the date on which BMS or such Affiliate in-licensed or otherwise acquired such rights, that such Collaboration Target or Reverted Non-Optioned Target, as applicable, has a Synthetic Lethal relationship with all Campaign Lesion(s) that Repare Validated as having a Synthetic Lethal relationship with such Collaboration Target or Reverted Non-Optioned Target, as applicable, under this Agreement.</w:t>
      </w:r>
    </w:p>
    <w:p>
      <w:pPr>
        <w:spacing w:after="0" w:line="188" w:lineRule="exact"/>
        <w:rPr>
          <w:sz w:val="20"/>
          <w:szCs w:val="20"/>
          <w:color w:val="auto"/>
        </w:rPr>
      </w:pPr>
    </w:p>
    <w:p>
      <w:pPr>
        <w:ind w:left="120" w:right="60" w:firstLine="1428"/>
        <w:spacing w:after="0" w:line="259" w:lineRule="auto"/>
        <w:tabs>
          <w:tab w:leader="none" w:pos="1912" w:val="left"/>
        </w:tabs>
        <w:numPr>
          <w:ilvl w:val="0"/>
          <w:numId w:val="4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Reverted Optioned Target Third Party Compound</w:t>
      </w:r>
      <w:r>
        <w:rPr>
          <w:rFonts w:ascii="Arial" w:cs="Arial" w:eastAsia="Arial" w:hAnsi="Arial"/>
          <w:sz w:val="18"/>
          <w:szCs w:val="18"/>
          <w:color w:val="auto"/>
        </w:rPr>
        <w:t>” means, with respect to a given Reverted Optioned Target, any Third Party Compound that (i) is Directed to such Reverted Optioned Target and (ii) arose or arises out of any Acquired Third Party Development Program that is in-licensed or otherwise acquired by BMS or any of its Affiliates prior to the date that is [***] after the date on which such Reverted Optioned Target became a Reverted Optioned Target.</w:t>
      </w:r>
    </w:p>
    <w:p>
      <w:pPr>
        <w:spacing w:after="0" w:line="186" w:lineRule="exact"/>
        <w:rPr>
          <w:rFonts w:ascii="Arial" w:cs="Arial" w:eastAsia="Arial" w:hAnsi="Arial"/>
          <w:sz w:val="18"/>
          <w:szCs w:val="18"/>
          <w:color w:val="auto"/>
        </w:rPr>
      </w:pPr>
    </w:p>
    <w:p>
      <w:pPr>
        <w:ind w:left="120" w:right="200" w:firstLine="1428"/>
        <w:spacing w:after="0" w:line="275" w:lineRule="auto"/>
        <w:tabs>
          <w:tab w:leader="none" w:pos="1942" w:val="left"/>
        </w:tabs>
        <w:numPr>
          <w:ilvl w:val="0"/>
          <w:numId w:val="4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Post-IND Third Party Compound</w:t>
      </w:r>
      <w:r>
        <w:rPr>
          <w:rFonts w:ascii="Arial" w:cs="Arial" w:eastAsia="Arial" w:hAnsi="Arial"/>
          <w:sz w:val="17"/>
          <w:szCs w:val="17"/>
          <w:color w:val="auto"/>
        </w:rPr>
        <w:t>” means, with respect to a given Collaboration Target or Reverted Target, any Third Party Compound (i) that is Directed to such Target and (ii) at the time of in-licensing or acquisition by BMS, the Third Party from which BMS or any of its Affiliates in-licenses or otherwise acquires such Third Party Compound (A) has filed an IND for such Third Party Compound for one (1) or more Indications, (B) is or has been conducting a clinical trial involving such Third Party Compound for one (1) or more Indications or (C) is Commercializing any products containing such Third Party Compound for one (1) or more Indications.</w:t>
      </w:r>
    </w:p>
    <w:p>
      <w:pPr>
        <w:spacing w:after="0" w:line="108" w:lineRule="exact"/>
        <w:rPr>
          <w:rFonts w:ascii="Arial" w:cs="Arial" w:eastAsia="Arial" w:hAnsi="Arial"/>
          <w:sz w:val="17"/>
          <w:szCs w:val="17"/>
          <w:color w:val="auto"/>
        </w:rPr>
      </w:pPr>
    </w:p>
    <w:p>
      <w:pPr>
        <w:ind w:left="5540" w:hanging="111"/>
        <w:spacing w:after="0"/>
        <w:tabs>
          <w:tab w:leader="none" w:pos="5540" w:val="left"/>
        </w:tabs>
        <w:numPr>
          <w:ilvl w:val="1"/>
          <w:numId w:val="495"/>
        </w:numPr>
        <w:rPr>
          <w:rFonts w:ascii="Arial" w:cs="Arial" w:eastAsia="Arial" w:hAnsi="Arial"/>
          <w:sz w:val="18"/>
          <w:szCs w:val="18"/>
          <w:color w:val="auto"/>
        </w:rPr>
      </w:pPr>
      <w:r>
        <w:rPr>
          <w:rFonts w:ascii="Arial" w:cs="Arial" w:eastAsia="Arial" w:hAnsi="Arial"/>
          <w:sz w:val="18"/>
          <w:szCs w:val="18"/>
          <w:color w:val="auto"/>
        </w:rPr>
        <w:t>58 -</w:t>
      </w:r>
    </w:p>
    <w:p>
      <w:pPr>
        <w:sectPr>
          <w:pgSz w:w="11900" w:h="16838" w:orient="portrait"/>
          <w:cols w:equalWidth="0" w:num="1">
            <w:col w:w="11060"/>
          </w:cols>
          <w:pgMar w:left="320" w:top="460" w:right="519" w:bottom="1440" w:gutter="0" w:footer="0" w:header="0"/>
        </w:sectPr>
      </w:pPr>
    </w:p>
    <w:bookmarkStart w:id="738" w:name="page739"/>
    <w:bookmarkEnd w:id="7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9.11.3</w:t>
      </w:r>
      <w:r>
        <w:rPr>
          <w:sz w:val="20"/>
          <w:szCs w:val="20"/>
          <w:color w:val="auto"/>
        </w:rPr>
        <w:tab/>
      </w:r>
      <w:r>
        <w:rPr>
          <w:rFonts w:ascii="Arial" w:cs="Arial" w:eastAsia="Arial" w:hAnsi="Arial"/>
          <w:sz w:val="16"/>
          <w:szCs w:val="16"/>
          <w:u w:val="single" w:color="auto"/>
          <w:color w:val="auto"/>
        </w:rPr>
        <w:t>Independently Validated Third Party Compounds</w:t>
      </w:r>
      <w:r>
        <w:rPr>
          <w:rFonts w:ascii="Arial" w:cs="Arial" w:eastAsia="Arial" w:hAnsi="Arial"/>
          <w:sz w:val="16"/>
          <w:szCs w:val="16"/>
          <w:color w:val="auto"/>
        </w:rPr>
        <w:t>.</w:t>
      </w:r>
    </w:p>
    <w:p>
      <w:pPr>
        <w:spacing w:after="0" w:line="225" w:lineRule="exact"/>
        <w:rPr>
          <w:sz w:val="20"/>
          <w:szCs w:val="20"/>
          <w:color w:val="auto"/>
        </w:rPr>
      </w:pPr>
    </w:p>
    <w:p>
      <w:pPr>
        <w:ind w:left="120" w:right="20" w:firstLine="1428"/>
        <w:spacing w:after="0" w:line="273" w:lineRule="auto"/>
        <w:tabs>
          <w:tab w:leader="none" w:pos="1932" w:val="left"/>
        </w:tabs>
        <w:numPr>
          <w:ilvl w:val="0"/>
          <w:numId w:val="496"/>
        </w:numPr>
        <w:rPr>
          <w:rFonts w:ascii="Arial" w:cs="Arial" w:eastAsia="Arial" w:hAnsi="Arial"/>
          <w:sz w:val="17"/>
          <w:szCs w:val="17"/>
          <w:color w:val="auto"/>
        </w:rPr>
      </w:pPr>
      <w:r>
        <w:rPr>
          <w:rFonts w:ascii="Arial" w:cs="Arial" w:eastAsia="Arial" w:hAnsi="Arial"/>
          <w:sz w:val="17"/>
          <w:szCs w:val="17"/>
          <w:color w:val="auto"/>
        </w:rPr>
        <w:t>On a Collaboration Target-by-Collaboration Target basis, if BMS or any of its Affiliates in-licenses or otherwise acquires an Independently Validated Third Party Compound that is Directed to such Collaboration Target, then the payments owed by BMS to Repare under Sections 9.4 through 9.10 with respect to Products containing such Independently Validated Third Party Compound shall be multiplied by the applicable percentage set forth in the table below, determined based on the time elapsed between the date on which BMS exercised its Option with respect to such Collaboration Target and the date on which BMS or any of its Affiliates first in-licensed or otherwise acquired the Acquired Third Party Development Program from which such Independently Validated Third Party Compound arose:</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Date BMS or any of its Affiliates First Acquired the Acquired Third Party</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85"/>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Development Program</w:t>
            </w:r>
          </w:p>
        </w:tc>
        <w:tc>
          <w:tcPr>
            <w:tcW w:w="106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w w:val="87"/>
              </w:rPr>
              <w:t>Percentage</w:t>
            </w:r>
          </w:p>
        </w:tc>
      </w:tr>
      <w:tr>
        <w:trPr>
          <w:trHeight w:val="210"/>
        </w:trPr>
        <w:tc>
          <w:tcPr>
            <w:tcW w:w="5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For the avoidance of doubt, if BMS or any of its Affiliates in-licenses or otherwise acquires an Independently Validated Third Party Compound that is Directed to the applicable Collaboration Target more than [***] after BMS exercised its Option for such Collaboration Target, then [***].</w:t>
      </w:r>
    </w:p>
    <w:p>
      <w:pPr>
        <w:spacing w:after="0" w:line="146" w:lineRule="exact"/>
        <w:rPr>
          <w:sz w:val="20"/>
          <w:szCs w:val="20"/>
          <w:color w:val="auto"/>
        </w:rPr>
      </w:pPr>
    </w:p>
    <w:p>
      <w:pPr>
        <w:ind w:left="120" w:firstLine="1428"/>
        <w:spacing w:after="0" w:line="270" w:lineRule="auto"/>
        <w:tabs>
          <w:tab w:leader="none" w:pos="1939" w:val="left"/>
        </w:tabs>
        <w:numPr>
          <w:ilvl w:val="0"/>
          <w:numId w:val="497"/>
        </w:numPr>
        <w:rPr>
          <w:rFonts w:ascii="Arial" w:cs="Arial" w:eastAsia="Arial" w:hAnsi="Arial"/>
          <w:sz w:val="17"/>
          <w:szCs w:val="17"/>
          <w:color w:val="auto"/>
        </w:rPr>
      </w:pPr>
      <w:r>
        <w:rPr>
          <w:rFonts w:ascii="Arial" w:cs="Arial" w:eastAsia="Arial" w:hAnsi="Arial"/>
          <w:sz w:val="17"/>
          <w:szCs w:val="17"/>
          <w:color w:val="auto"/>
        </w:rPr>
        <w:t>With respect to each Reverted Non-Optioned Target, on a Reverted Non-Optioned Target-by-Reverted Non-Optioned Target basis, if BMS or any of its Affiliates in-licenses or otherwise acquires an Independently Validated Third Party Compound that is Directed to such Reverted Non-Optioned Target, then (i) BMS shall not owe Repare any payments under Section 9.9.2 or Section 9.10 for Products that contain such Independently Validated Third Party Compound and (ii) the payments owed by BMS to Repare under Sections 9.4 through 9.8 and Section 9.9.1 with respect to such Reverted Non-Optioned Target and Products that contain such Independently Validated Third Party Compound shall be multiplied by the applicable percentage set forth in the table below, determined based on the time elapsed between the date on which BMS’s Option expired or terminated unexercised with respect to such Reverted Non-Optioned Target (</w:t>
      </w:r>
      <w:r>
        <w:rPr>
          <w:rFonts w:ascii="Arial" w:cs="Arial" w:eastAsia="Arial" w:hAnsi="Arial"/>
          <w:sz w:val="17"/>
          <w:szCs w:val="17"/>
          <w:i w:val="1"/>
          <w:iCs w:val="1"/>
          <w:color w:val="auto"/>
        </w:rPr>
        <w:t>i.e.</w:t>
      </w:r>
      <w:r>
        <w:rPr>
          <w:rFonts w:ascii="Arial" w:cs="Arial" w:eastAsia="Arial" w:hAnsi="Arial"/>
          <w:sz w:val="17"/>
          <w:szCs w:val="17"/>
          <w:color w:val="auto"/>
        </w:rPr>
        <w:t>, the end of the applicable Option Term) and the date on which BMS or any of its Affiliates first in-licensed or otherwise acquired the Acquired Third Party Development Program from which such Independently Validated Third Party Compound arose:</w:t>
      </w:r>
    </w:p>
    <w:p>
      <w:pPr>
        <w:spacing w:after="0" w:line="18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Date BMS or any of its Affiliates First Acquired the Acquired Third Party</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85"/>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Development Program</w:t>
            </w:r>
          </w:p>
        </w:tc>
        <w:tc>
          <w:tcPr>
            <w:tcW w:w="106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w w:val="87"/>
              </w:rPr>
              <w:t>Percentage</w:t>
            </w:r>
          </w:p>
        </w:tc>
      </w:tr>
      <w:tr>
        <w:trPr>
          <w:trHeight w:val="210"/>
        </w:trPr>
        <w:tc>
          <w:tcPr>
            <w:tcW w:w="5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For the avoidance of doubt, if BMS or any of its Affiliates in-licenses or otherwise acquires an Independently Validated Third Party Compound that is Directed to the applicable Reverted Non-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60" w:right="479" w:bottom="1440" w:gutter="0" w:footer="0" w:header="0"/>
        </w:sectPr>
      </w:pPr>
    </w:p>
    <w:bookmarkStart w:id="739" w:name="page740"/>
    <w:bookmarkEnd w:id="7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Optioned Target more than [***] after the date on which BMS’s Option expired or terminated unexercised with respect to such Reverted Non-Optioned Target (</w:t>
      </w:r>
      <w:r>
        <w:rPr>
          <w:rFonts w:ascii="Arial" w:cs="Arial" w:eastAsia="Arial" w:hAnsi="Arial"/>
          <w:sz w:val="18"/>
          <w:szCs w:val="18"/>
          <w:i w:val="1"/>
          <w:iCs w:val="1"/>
          <w:color w:val="auto"/>
        </w:rPr>
        <w:t>i.e.</w:t>
      </w:r>
      <w:r>
        <w:rPr>
          <w:rFonts w:ascii="Arial" w:cs="Arial" w:eastAsia="Arial" w:hAnsi="Arial"/>
          <w:sz w:val="18"/>
          <w:szCs w:val="18"/>
          <w:color w:val="auto"/>
        </w:rPr>
        <w:t>, the end of the applicable Option Term), then [***].</w:t>
      </w:r>
    </w:p>
    <w:p>
      <w:pPr>
        <w:spacing w:after="0" w:line="170"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 xml:space="preserve">9.11.4 </w:t>
      </w:r>
      <w:r>
        <w:rPr>
          <w:rFonts w:ascii="Arial" w:cs="Arial" w:eastAsia="Arial" w:hAnsi="Arial"/>
          <w:sz w:val="17"/>
          <w:szCs w:val="17"/>
          <w:u w:val="single" w:color="auto"/>
          <w:color w:val="auto"/>
        </w:rPr>
        <w:t>Non-Independently Validated Third Party Compounds</w:t>
      </w:r>
      <w:r>
        <w:rPr>
          <w:rFonts w:ascii="Arial" w:cs="Arial" w:eastAsia="Arial" w:hAnsi="Arial"/>
          <w:sz w:val="17"/>
          <w:szCs w:val="17"/>
          <w:color w:val="auto"/>
        </w:rPr>
        <w:t>. With respect to each Reverted Non-Optioned Target, on a Reverted Non-Optioned Target-by-Reverted Non-Optioned Target basis, if BMS or any of its Affiliates in-licenses or otherwise acquires a Non-Independently Validated Third Party Compound that is Directed to such Reverted Non-Optioned Target, then the payments owed by BMS to Repare under Sections 9.4 through 9.10 with respect to such Reverted Non-Optioned Target and Products containing such Non-Independently Validated Third Party Compound shall be multiplied by the applicable percentage set forth in the table below, determined based on the time elapsed between the date on which BMS’s Option expired or terminated unexercised with respect to such Reverted Non-Optioned Target (</w:t>
      </w:r>
      <w:r>
        <w:rPr>
          <w:rFonts w:ascii="Arial" w:cs="Arial" w:eastAsia="Arial" w:hAnsi="Arial"/>
          <w:sz w:val="17"/>
          <w:szCs w:val="17"/>
          <w:i w:val="1"/>
          <w:iCs w:val="1"/>
          <w:color w:val="auto"/>
        </w:rPr>
        <w:t>i.e.</w:t>
      </w:r>
      <w:r>
        <w:rPr>
          <w:rFonts w:ascii="Arial" w:cs="Arial" w:eastAsia="Arial" w:hAnsi="Arial"/>
          <w:sz w:val="17"/>
          <w:szCs w:val="17"/>
          <w:color w:val="auto"/>
        </w:rPr>
        <w:t>, the end of the applicable Option Term) and the date on which BMS or any of its Affiliates first in-licensed or otherwise acquired the Acquired Third Party Development Program from which such Non-Independently Validated Third Party Compound arose:</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Date BMS or any of its Affiliates First Acquired the Acquired Third Party</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85"/>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Development Program</w:t>
            </w:r>
          </w:p>
        </w:tc>
        <w:tc>
          <w:tcPr>
            <w:tcW w:w="106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w w:val="87"/>
              </w:rPr>
              <w:t>Percentage</w:t>
            </w:r>
          </w:p>
        </w:tc>
      </w:tr>
      <w:tr>
        <w:trPr>
          <w:trHeight w:val="210"/>
        </w:trPr>
        <w:tc>
          <w:tcPr>
            <w:tcW w:w="5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For the avoidance of doubt, (i) if BMS or any of its Affiliates in-licenses or otherwise acquires a Non-Independently Validated Third Party Compound that is Directed to the applicable Reverted Non-Optioned Target more than [***] after the date on which BMS’s Option expired or terminated unexercised with respect to such Reverted Non-Optioned Target (</w:t>
      </w:r>
      <w:r>
        <w:rPr>
          <w:rFonts w:ascii="Arial" w:cs="Arial" w:eastAsia="Arial" w:hAnsi="Arial"/>
          <w:sz w:val="17"/>
          <w:szCs w:val="17"/>
          <w:i w:val="1"/>
          <w:iCs w:val="1"/>
          <w:color w:val="auto"/>
        </w:rPr>
        <w:t>i.e.</w:t>
      </w:r>
      <w:r>
        <w:rPr>
          <w:rFonts w:ascii="Arial" w:cs="Arial" w:eastAsia="Arial" w:hAnsi="Arial"/>
          <w:sz w:val="17"/>
          <w:szCs w:val="17"/>
          <w:color w:val="auto"/>
        </w:rPr>
        <w:t>, the end of the applicable Option Term), then [***].</w:t>
      </w:r>
    </w:p>
    <w:p>
      <w:pPr>
        <w:spacing w:after="0" w:line="165" w:lineRule="exact"/>
        <w:rPr>
          <w:sz w:val="20"/>
          <w:szCs w:val="20"/>
          <w:color w:val="auto"/>
        </w:rPr>
      </w:pPr>
    </w:p>
    <w:p>
      <w:pPr>
        <w:ind w:left="120" w:right="260" w:firstLine="991"/>
        <w:spacing w:after="0" w:line="272" w:lineRule="auto"/>
        <w:rPr>
          <w:sz w:val="20"/>
          <w:szCs w:val="20"/>
          <w:color w:val="auto"/>
        </w:rPr>
      </w:pPr>
      <w:r>
        <w:rPr>
          <w:rFonts w:ascii="Arial" w:cs="Arial" w:eastAsia="Arial" w:hAnsi="Arial"/>
          <w:sz w:val="17"/>
          <w:szCs w:val="17"/>
          <w:color w:val="auto"/>
        </w:rPr>
        <w:t xml:space="preserve">9.11.5 </w:t>
      </w:r>
      <w:r>
        <w:rPr>
          <w:rFonts w:ascii="Arial" w:cs="Arial" w:eastAsia="Arial" w:hAnsi="Arial"/>
          <w:sz w:val="17"/>
          <w:szCs w:val="17"/>
          <w:u w:val="single" w:color="auto"/>
          <w:color w:val="auto"/>
        </w:rPr>
        <w:t>Reverted Optioned Target Third Party Compounds</w:t>
      </w:r>
      <w:r>
        <w:rPr>
          <w:rFonts w:ascii="Arial" w:cs="Arial" w:eastAsia="Arial" w:hAnsi="Arial"/>
          <w:sz w:val="17"/>
          <w:szCs w:val="17"/>
          <w:color w:val="auto"/>
        </w:rPr>
        <w:t>. With respect to each Reverted Optioned Target, on a Reverted Optioned Target-by-Reverted Optioned Target basis, if BMS or any of its Affiliates in-licenses or otherwise acquires a Reverted Optioned Target Third Party Compound that is Directed to such Reverted Optioned Target, the payments owed by BMS to Repare under Sections 9.4 through 9.10 with respect to such Reverted Optioned Target and Products containing such Reverted Optioned Target Third Party Compound shall be multiplied by the applicable percentage set forth in the table below, determined based on the time elapsed between the date on which such Reverted Optioned Target became a Reverted Optioned Target and the date on which BMS or any of its Affiliates first in-licensed or otherwise acquired the Acquired Third Party Development Program from which such Reverted Optioned Target Third Party Compound arose:</w:t>
      </w:r>
    </w:p>
    <w:p>
      <w:pPr>
        <w:spacing w:after="0" w:line="18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Date BMS or any of its Affiliates First Acquired the Acquired Third Party</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85"/>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Development Program</w:t>
            </w:r>
          </w:p>
        </w:tc>
        <w:tc>
          <w:tcPr>
            <w:tcW w:w="106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w w:val="87"/>
              </w:rPr>
              <w:t>Percentage</w:t>
            </w:r>
          </w:p>
        </w:tc>
      </w:tr>
      <w:tr>
        <w:trPr>
          <w:trHeight w:val="209"/>
        </w:trPr>
        <w:tc>
          <w:tcPr>
            <w:tcW w:w="5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350"/>
        </w:trPr>
        <w:tc>
          <w:tcPr>
            <w:tcW w:w="5800" w:type="dxa"/>
            <w:vAlign w:val="bottom"/>
          </w:tcPr>
          <w:p>
            <w:pPr>
              <w:ind w:left="3540"/>
              <w:spacing w:after="0"/>
              <w:rPr>
                <w:sz w:val="20"/>
                <w:szCs w:val="20"/>
                <w:color w:val="auto"/>
              </w:rPr>
            </w:pPr>
            <w:r>
              <w:rPr>
                <w:rFonts w:ascii="Arial" w:cs="Arial" w:eastAsia="Arial" w:hAnsi="Arial"/>
                <w:sz w:val="18"/>
                <w:szCs w:val="18"/>
                <w:color w:val="auto"/>
              </w:rPr>
              <w:t>-60-</w:t>
            </w: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100"/>
          </w:cols>
          <w:pgMar w:left="320" w:top="460" w:right="479" w:bottom="1440" w:gutter="0" w:footer="0" w:header="0"/>
        </w:sectPr>
      </w:pPr>
    </w:p>
    <w:bookmarkStart w:id="740" w:name="page741"/>
    <w:bookmarkEnd w:id="7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For the avoidance of doubt, if BMS or any of its Affiliates in-licenses or otherwise acquires a Reverted Optioned Target Third Party Compound that is Directed to the applicable Reverted Optioned Target more than [***] after the date such Reverted Optioned Target became a Reverted Optioned Target, then [***].</w:t>
      </w:r>
    </w:p>
    <w:p>
      <w:pPr>
        <w:spacing w:after="0" w:line="184"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9.11.6</w:t>
      </w:r>
      <w:r>
        <w:rPr>
          <w:sz w:val="20"/>
          <w:szCs w:val="20"/>
          <w:color w:val="auto"/>
        </w:rPr>
        <w:tab/>
      </w:r>
      <w:r>
        <w:rPr>
          <w:rFonts w:ascii="Arial" w:cs="Arial" w:eastAsia="Arial" w:hAnsi="Arial"/>
          <w:sz w:val="17"/>
          <w:szCs w:val="17"/>
          <w:u w:val="single" w:color="auto"/>
          <w:color w:val="auto"/>
        </w:rPr>
        <w:t>Post-IND Third Party Compounds</w:t>
      </w:r>
      <w:r>
        <w:rPr>
          <w:rFonts w:ascii="Arial" w:cs="Arial" w:eastAsia="Arial" w:hAnsi="Arial"/>
          <w:sz w:val="17"/>
          <w:szCs w:val="17"/>
          <w:color w:val="auto"/>
        </w:rPr>
        <w:t>. [***].</w:t>
      </w:r>
    </w:p>
    <w:p>
      <w:pPr>
        <w:spacing w:after="0" w:line="225"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Third Party Payments</w:t>
      </w:r>
      <w:r>
        <w:rPr>
          <w:rFonts w:ascii="Arial" w:cs="Arial" w:eastAsia="Arial" w:hAnsi="Arial"/>
          <w:sz w:val="18"/>
          <w:szCs w:val="18"/>
          <w:color w:val="auto"/>
        </w:rPr>
        <w:t>. Each Party acknowledges and agrees that, as between the Parties, Repare is solely responsible for all amounts payable with respect to the Development, Manufacture or Commercialization of any Resulting Compound or Product in consideration for a license under intellectual property (a) that is licensed to Repare or any of its Affiliates as of the Effective Date or (b) that Covers a Collaboration Target and with respect to which Repare has received written notice, before the Effective Date, of potential infringement from a Third Party (such intellectual property, “</w:t>
      </w:r>
      <w:r>
        <w:rPr>
          <w:rFonts w:ascii="Arial" w:cs="Arial" w:eastAsia="Arial" w:hAnsi="Arial"/>
          <w:sz w:val="18"/>
          <w:szCs w:val="18"/>
          <w:u w:val="single" w:color="auto"/>
          <w:color w:val="auto"/>
        </w:rPr>
        <w:t>Upstream IP</w:t>
      </w:r>
      <w:r>
        <w:rPr>
          <w:rFonts w:ascii="Arial" w:cs="Arial" w:eastAsia="Arial" w:hAnsi="Arial"/>
          <w:sz w:val="18"/>
          <w:szCs w:val="18"/>
          <w:color w:val="auto"/>
        </w:rPr>
        <w:t>”).</w:t>
      </w:r>
    </w:p>
    <w:p>
      <w:pPr>
        <w:spacing w:after="0" w:line="18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9.13 </w:t>
      </w:r>
      <w:r>
        <w:rPr>
          <w:rFonts w:ascii="Arial" w:cs="Arial" w:eastAsia="Arial" w:hAnsi="Arial"/>
          <w:sz w:val="16"/>
          <w:szCs w:val="16"/>
          <w:u w:val="single" w:color="auto"/>
          <w:color w:val="auto"/>
        </w:rPr>
        <w:t>Financial Records</w:t>
      </w:r>
      <w:r>
        <w:rPr>
          <w:rFonts w:ascii="Arial" w:cs="Arial" w:eastAsia="Arial" w:hAnsi="Arial"/>
          <w:sz w:val="16"/>
          <w:szCs w:val="16"/>
          <w:color w:val="auto"/>
        </w:rPr>
        <w:t>. BMS shall keep, and shall require its Affiliates and Sublicensees to keep, complete and accurate books and records with respect to Annual Net Sales in accordance with applicable Accounting Standards. Such books and records shall contain sufficient detail to support calculations of royalties and other payments due to Repare under this Agreement. BMS shall keep, and shall require its Affiliates and Sublicensees to keep, such books and records for at least [***] following the end of the Calendar Year to which they pertain. Such books and records shall be kept at the principal place of business of the financial personnel with responsibility for preparing and maintaining such books and records.</w:t>
      </w:r>
    </w:p>
    <w:p>
      <w:pPr>
        <w:spacing w:after="0" w:line="161"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7"/>
          <w:szCs w:val="17"/>
          <w:u w:val="single" w:color="auto"/>
          <w:color w:val="auto"/>
        </w:rPr>
        <w:t>Audits.</w:t>
      </w:r>
    </w:p>
    <w:p>
      <w:pPr>
        <w:spacing w:after="0" w:line="225" w:lineRule="exact"/>
        <w:rPr>
          <w:sz w:val="20"/>
          <w:szCs w:val="20"/>
          <w:color w:val="auto"/>
        </w:rPr>
      </w:pPr>
    </w:p>
    <w:p>
      <w:pPr>
        <w:ind w:left="120" w:right="20" w:firstLine="991"/>
        <w:spacing w:after="0" w:line="293" w:lineRule="auto"/>
        <w:rPr>
          <w:sz w:val="20"/>
          <w:szCs w:val="20"/>
          <w:color w:val="auto"/>
        </w:rPr>
      </w:pPr>
      <w:r>
        <w:rPr>
          <w:rFonts w:ascii="Arial" w:cs="Arial" w:eastAsia="Arial" w:hAnsi="Arial"/>
          <w:sz w:val="16"/>
          <w:szCs w:val="16"/>
          <w:color w:val="auto"/>
        </w:rPr>
        <w:t xml:space="preserve">9.14.1 </w:t>
      </w:r>
      <w:r>
        <w:rPr>
          <w:rFonts w:ascii="Arial" w:cs="Arial" w:eastAsia="Arial" w:hAnsi="Arial"/>
          <w:sz w:val="16"/>
          <w:szCs w:val="16"/>
          <w:u w:val="single" w:color="auto"/>
          <w:color w:val="auto"/>
        </w:rPr>
        <w:t>Audit Team</w:t>
      </w:r>
      <w:r>
        <w:rPr>
          <w:rFonts w:ascii="Arial" w:cs="Arial" w:eastAsia="Arial" w:hAnsi="Arial"/>
          <w:sz w:val="16"/>
          <w:szCs w:val="16"/>
          <w:color w:val="auto"/>
        </w:rPr>
        <w:t>. Repare may, upon Repare’s request and at Repare’s expense (except as provided for herein), cause an internationally recognized independent accounting firm selected by Repare (except one to whom BMS has a reasonable objection) (the “</w:t>
      </w:r>
      <w:r>
        <w:rPr>
          <w:rFonts w:ascii="Arial" w:cs="Arial" w:eastAsia="Arial" w:hAnsi="Arial"/>
          <w:sz w:val="16"/>
          <w:szCs w:val="16"/>
          <w:u w:val="single" w:color="auto"/>
          <w:color w:val="auto"/>
        </w:rPr>
        <w:t>Audit Team</w:t>
      </w:r>
      <w:r>
        <w:rPr>
          <w:rFonts w:ascii="Arial" w:cs="Arial" w:eastAsia="Arial" w:hAnsi="Arial"/>
          <w:sz w:val="16"/>
          <w:szCs w:val="16"/>
          <w:color w:val="auto"/>
        </w:rPr>
        <w:t>”) to audit, during ordinary business hours, the books and records of BMS and its Affiliates and the correctness of any payment made or required to be made, and any report underlying any such payment (or lack thereof), pursuant to the terms of this Agreement. Prior to commencing its work pursuant to this Agreement, the Audit Team will enter into an appropriate confidentiality agreement with BMS obligating the Audit Team to be bound by obligations of confidentiality and restrictions on use of BMS’s Confidential Information that are no less restrictive than the obligations set forth in ARTICLE XI.</w:t>
      </w:r>
    </w:p>
    <w:p>
      <w:pPr>
        <w:spacing w:after="0" w:line="164" w:lineRule="exact"/>
        <w:rPr>
          <w:sz w:val="20"/>
          <w:szCs w:val="20"/>
          <w:color w:val="auto"/>
        </w:rPr>
      </w:pPr>
    </w:p>
    <w:p>
      <w:pPr>
        <w:ind w:left="120" w:right="260" w:firstLine="991"/>
        <w:spacing w:after="0" w:line="279" w:lineRule="auto"/>
        <w:rPr>
          <w:sz w:val="20"/>
          <w:szCs w:val="20"/>
          <w:color w:val="auto"/>
        </w:rPr>
      </w:pPr>
      <w:r>
        <w:rPr>
          <w:rFonts w:ascii="Arial" w:cs="Arial" w:eastAsia="Arial" w:hAnsi="Arial"/>
          <w:sz w:val="17"/>
          <w:szCs w:val="17"/>
          <w:color w:val="auto"/>
        </w:rPr>
        <w:t xml:space="preserve">9.14.2 </w:t>
      </w:r>
      <w:r>
        <w:rPr>
          <w:rFonts w:ascii="Arial" w:cs="Arial" w:eastAsia="Arial" w:hAnsi="Arial"/>
          <w:sz w:val="17"/>
          <w:szCs w:val="17"/>
          <w:u w:val="single" w:color="auto"/>
          <w:color w:val="auto"/>
        </w:rPr>
        <w:t>Limitations</w:t>
      </w:r>
      <w:r>
        <w:rPr>
          <w:rFonts w:ascii="Arial" w:cs="Arial" w:eastAsia="Arial" w:hAnsi="Arial"/>
          <w:sz w:val="17"/>
          <w:szCs w:val="17"/>
          <w:color w:val="auto"/>
        </w:rPr>
        <w:t>. In respect of each audit of BMS’s and its Affiliates’ books and records: (a) BMS and each of its Affiliates may be audited only [***] per Calendar Year, (b) no books and records for any given Calendar Year may be audited more than [***], but BMS’s and its Affiliates’ books and records shall still be made available if such records impact another Calendar Year being audited, and (c) Repare shall only be entitled to audit books and records of BMS from the [***] prior to the Calendar Year in which the audit request is made.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60" w:right="499" w:bottom="1440" w:gutter="0" w:footer="0" w:header="0"/>
        </w:sectPr>
      </w:pPr>
    </w:p>
    <w:bookmarkStart w:id="741" w:name="page742"/>
    <w:bookmarkEnd w:id="7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79" w:lineRule="auto"/>
        <w:rPr>
          <w:sz w:val="20"/>
          <w:szCs w:val="20"/>
          <w:color w:val="auto"/>
        </w:rPr>
      </w:pPr>
      <w:r>
        <w:rPr>
          <w:rFonts w:ascii="Arial" w:cs="Arial" w:eastAsia="Arial" w:hAnsi="Arial"/>
          <w:sz w:val="17"/>
          <w:szCs w:val="17"/>
          <w:color w:val="auto"/>
        </w:rPr>
        <w:t xml:space="preserve">9.14.3 </w:t>
      </w:r>
      <w:r>
        <w:rPr>
          <w:rFonts w:ascii="Arial" w:cs="Arial" w:eastAsia="Arial" w:hAnsi="Arial"/>
          <w:sz w:val="17"/>
          <w:szCs w:val="17"/>
          <w:u w:val="single" w:color="auto"/>
          <w:color w:val="auto"/>
        </w:rPr>
        <w:t>Audit Notice</w:t>
      </w:r>
      <w:r>
        <w:rPr>
          <w:rFonts w:ascii="Arial" w:cs="Arial" w:eastAsia="Arial" w:hAnsi="Arial"/>
          <w:sz w:val="17"/>
          <w:szCs w:val="17"/>
          <w:color w:val="auto"/>
        </w:rPr>
        <w:t>. In order to initiate an audit for a particular Calendar Year, Repare must provide written notice of such audit to BMS. Repare shall provide BMS with notice of one (1) or more proposed dates of the audit not less than [***] prior to the first proposed date. BMS shall, and shall ensure that its Affiliates, reasonably accommodate the scheduling of such audit. BMS shall, and shall ensure that its Affiliates, provide the Audit Team(s) with full access to the applicable books and records and otherwise reasonably cooperate with such audit.</w:t>
      </w:r>
    </w:p>
    <w:p>
      <w:pPr>
        <w:spacing w:after="0" w:line="171" w:lineRule="exact"/>
        <w:rPr>
          <w:sz w:val="20"/>
          <w:szCs w:val="20"/>
          <w:color w:val="auto"/>
        </w:rPr>
      </w:pPr>
    </w:p>
    <w:p>
      <w:pPr>
        <w:ind w:left="120" w:firstLine="991"/>
        <w:spacing w:after="0" w:line="286" w:lineRule="auto"/>
        <w:rPr>
          <w:sz w:val="20"/>
          <w:szCs w:val="20"/>
          <w:color w:val="auto"/>
        </w:rPr>
      </w:pPr>
      <w:r>
        <w:rPr>
          <w:rFonts w:ascii="Arial" w:cs="Arial" w:eastAsia="Arial" w:hAnsi="Arial"/>
          <w:sz w:val="16"/>
          <w:szCs w:val="16"/>
          <w:color w:val="auto"/>
        </w:rPr>
        <w:t xml:space="preserve">9.14.4 </w:t>
      </w:r>
      <w:r>
        <w:rPr>
          <w:rFonts w:ascii="Arial" w:cs="Arial" w:eastAsia="Arial" w:hAnsi="Arial"/>
          <w:sz w:val="16"/>
          <w:szCs w:val="16"/>
          <w:u w:val="single" w:color="auto"/>
          <w:color w:val="auto"/>
        </w:rPr>
        <w:t>Payments</w:t>
      </w:r>
      <w:r>
        <w:rPr>
          <w:rFonts w:ascii="Arial" w:cs="Arial" w:eastAsia="Arial" w:hAnsi="Arial"/>
          <w:sz w:val="16"/>
          <w:szCs w:val="16"/>
          <w:color w:val="auto"/>
        </w:rPr>
        <w:t>. If the audit shows any under-reporting or underpayment, or overpayment by BMS, that under-reporting, underpayment or overpayment shall be reported to Repare, and (a) BMS shall remit any underpayment (together with interest at the rate set forth in Section 9.17) to Repare within [***] after receiving the audit report and (b) BMS may credit any overpayment to BMS against future payments owed by BMS to Repare under this Agreement. Further, if the audit for any Calendar Year shows an under-reporting or underpayment by BMS for that Calendar Year in excess of</w:t>
      </w:r>
    </w:p>
    <w:p>
      <w:pPr>
        <w:spacing w:after="0" w:line="1" w:lineRule="exact"/>
        <w:rPr>
          <w:sz w:val="20"/>
          <w:szCs w:val="20"/>
          <w:color w:val="auto"/>
        </w:rPr>
      </w:pPr>
    </w:p>
    <w:p>
      <w:pPr>
        <w:ind w:left="120" w:right="420" w:hanging="4"/>
        <w:spacing w:after="0" w:line="290" w:lineRule="auto"/>
        <w:tabs>
          <w:tab w:leader="none" w:pos="555" w:val="left"/>
        </w:tabs>
        <w:numPr>
          <w:ilvl w:val="0"/>
          <w:numId w:val="498"/>
        </w:numPr>
        <w:rPr>
          <w:rFonts w:ascii="Arial" w:cs="Arial" w:eastAsia="Arial" w:hAnsi="Arial"/>
          <w:sz w:val="17"/>
          <w:szCs w:val="17"/>
          <w:color w:val="auto"/>
        </w:rPr>
      </w:pPr>
      <w:r>
        <w:rPr>
          <w:rFonts w:ascii="Arial" w:cs="Arial" w:eastAsia="Arial" w:hAnsi="Arial"/>
          <w:sz w:val="17"/>
          <w:szCs w:val="17"/>
          <w:color w:val="auto"/>
        </w:rPr>
        <w:t>of the amounts properly determined, BMS shall reimburse Repare for its reasonable out-of-pocket costs in connection with such audit, which reimbursement shall be made within [***] after receiving appropriate invoices and other support for such audit-related costs.</w:t>
      </w:r>
    </w:p>
    <w:p>
      <w:pPr>
        <w:spacing w:after="0" w:line="161"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9.15</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25"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 xml:space="preserve">9.15.1 </w:t>
      </w:r>
      <w:r>
        <w:rPr>
          <w:rFonts w:ascii="Arial" w:cs="Arial" w:eastAsia="Arial" w:hAnsi="Arial"/>
          <w:sz w:val="18"/>
          <w:szCs w:val="18"/>
          <w:u w:val="single" w:color="auto"/>
          <w:color w:val="auto"/>
        </w:rPr>
        <w:t>Withholding Taxes</w:t>
      </w:r>
      <w:r>
        <w:rPr>
          <w:rFonts w:ascii="Arial" w:cs="Arial" w:eastAsia="Arial" w:hAnsi="Arial"/>
          <w:sz w:val="18"/>
          <w:szCs w:val="18"/>
          <w:color w:val="auto"/>
        </w:rPr>
        <w:t>. Repare will pay any and all taxes levied on account of all payments it receives under this Agreement. BMS shall be entitled to deduct and withhold from any amounts payable under this Agreement such taxes as are required to be deducted or withheld therefrom under any provision of applicable Law. BMS shall: (a) deduct those taxes from such payment, (b) timely remit the taxes to the proper taxing authority, and (c) send evidence of the obligation, together with proof of tax payment, to Repare on a timely basis following that tax payment. BMS agrees to cooperate with Repare in claiming refunds or exemptions from, or reductions in, such deductions or withholdings under any applicable Law or treaty to ensure that any amounts required to be withheld pursuant to this Section 9.15.1 are reduced to the fullest extent permitted by applicable Law. In addition, the Parties shall cooperate to minimize indirect taxes (such as value added tax, sales tax, consumption tax and other similar taxes) in connection with this Agreement, as applicable.</w:t>
      </w:r>
    </w:p>
    <w:p>
      <w:pPr>
        <w:spacing w:after="0" w:line="192" w:lineRule="exact"/>
        <w:rPr>
          <w:sz w:val="20"/>
          <w:szCs w:val="20"/>
          <w:color w:val="auto"/>
        </w:rPr>
      </w:pPr>
    </w:p>
    <w:p>
      <w:pPr>
        <w:ind w:left="120" w:right="60" w:firstLine="991"/>
        <w:spacing w:after="0" w:line="275" w:lineRule="auto"/>
        <w:rPr>
          <w:sz w:val="20"/>
          <w:szCs w:val="20"/>
          <w:color w:val="auto"/>
        </w:rPr>
      </w:pPr>
      <w:r>
        <w:rPr>
          <w:rFonts w:ascii="Arial" w:cs="Arial" w:eastAsia="Arial" w:hAnsi="Arial"/>
          <w:sz w:val="17"/>
          <w:szCs w:val="17"/>
          <w:color w:val="auto"/>
        </w:rPr>
        <w:t xml:space="preserve">9.15.2 </w:t>
      </w:r>
      <w:r>
        <w:rPr>
          <w:rFonts w:ascii="Arial" w:cs="Arial" w:eastAsia="Arial" w:hAnsi="Arial"/>
          <w:sz w:val="17"/>
          <w:szCs w:val="17"/>
          <w:u w:val="single" w:color="auto"/>
          <w:color w:val="auto"/>
        </w:rPr>
        <w:t>Tax Documentation</w:t>
      </w:r>
      <w:r>
        <w:rPr>
          <w:rFonts w:ascii="Arial" w:cs="Arial" w:eastAsia="Arial" w:hAnsi="Arial"/>
          <w:sz w:val="17"/>
          <w:szCs w:val="17"/>
          <w:color w:val="auto"/>
        </w:rPr>
        <w:t>. Each Party has provided a properly completed and duly executed IRS Form W-9 or applicable Form W-8 to the other Party. Each Party shall provide to the other Party, at the time or times reasonably requested by such other Party, or as required by applicable Law, such properly completed and duly executed documentation (for example, IRS Forms W-8 or W-9) as will permit payments made under this Agreement to be made without, or at a reduced rate of, withholding for taxes, and the applicable payment shall be made without (or at a reduced rate of) withholding to the extent permitted by such documentation, as reasonably determined by BMS.</w:t>
      </w:r>
    </w:p>
    <w:p>
      <w:pPr>
        <w:spacing w:after="0" w:line="17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 xml:space="preserve">9.16 </w:t>
      </w:r>
      <w:r>
        <w:rPr>
          <w:rFonts w:ascii="Arial" w:cs="Arial" w:eastAsia="Arial" w:hAnsi="Arial"/>
          <w:sz w:val="18"/>
          <w:szCs w:val="18"/>
          <w:u w:val="single" w:color="auto"/>
          <w:color w:val="auto"/>
        </w:rPr>
        <w:t>Currency Exchange</w:t>
      </w:r>
      <w:r>
        <w:rPr>
          <w:rFonts w:ascii="Arial" w:cs="Arial" w:eastAsia="Arial" w:hAnsi="Arial"/>
          <w:sz w:val="18"/>
          <w:szCs w:val="18"/>
          <w:color w:val="auto"/>
        </w:rPr>
        <w:t>. Unless otherwise expressly stated in this Agreement, all amounts specified in, and all payments made under, this Agreement shall be in United States Dollars by electronic funds transfer in immediate available funds to an account designated by Repare. If any currency conversion shall be required in connection with the calculation of amounts payable under this Agreement, such conversion shall be performed in a manner consistent with [***].</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60" w:right="459" w:bottom="1440" w:gutter="0" w:footer="0" w:header="0"/>
        </w:sectPr>
      </w:pPr>
    </w:p>
    <w:bookmarkStart w:id="742" w:name="page743"/>
    <w:bookmarkEnd w:id="7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9.17 </w:t>
      </w:r>
      <w:r>
        <w:rPr>
          <w:rFonts w:ascii="Arial" w:cs="Arial" w:eastAsia="Arial" w:hAnsi="Arial"/>
          <w:sz w:val="17"/>
          <w:szCs w:val="17"/>
          <w:u w:val="single" w:color="auto"/>
          <w:color w:val="auto"/>
        </w:rPr>
        <w:t>Late Payments</w:t>
      </w:r>
      <w:r>
        <w:rPr>
          <w:rFonts w:ascii="Arial" w:cs="Arial" w:eastAsia="Arial" w:hAnsi="Arial"/>
          <w:sz w:val="17"/>
          <w:szCs w:val="17"/>
          <w:color w:val="auto"/>
        </w:rPr>
        <w:t>. Any payments that are not paid on or before the date such payments are due under this Agreement shall bear interest at an annual rate equal to the lesser of (a) [***], plus [***], or (b) the highest rate permitted by applicable Law, in each case calculated on the number of days such payment is delinquent, [***]; except that, with respect to any disputed payments, no interest payment will be due on the disputed amount until such dispute is resolved and the interest that will be payable thereon will be based on the finally-resolved amount of such payment, calculated from the original date on which the disputed payment was due through the date on which payment is actually made.</w:t>
      </w:r>
    </w:p>
    <w:p>
      <w:pPr>
        <w:spacing w:after="0" w:line="176"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 xml:space="preserve">9.18 </w:t>
      </w:r>
      <w:r>
        <w:rPr>
          <w:rFonts w:ascii="Arial" w:cs="Arial" w:eastAsia="Arial" w:hAnsi="Arial"/>
          <w:sz w:val="18"/>
          <w:szCs w:val="18"/>
          <w:u w:val="single" w:color="auto"/>
          <w:color w:val="auto"/>
        </w:rPr>
        <w:t>Blocked Payments</w:t>
      </w:r>
      <w:r>
        <w:rPr>
          <w:rFonts w:ascii="Arial" w:cs="Arial" w:eastAsia="Arial" w:hAnsi="Arial"/>
          <w:sz w:val="18"/>
          <w:szCs w:val="18"/>
          <w:color w:val="auto"/>
        </w:rPr>
        <w:t>. In the event that, by reason of applicable Law in any country, it becomes impossible or illegal for BMS to transfer, or have transferred on its behalf, payments owed to Repare hereunder, BMS will promptly notify Repare of the conditions preventing such transfer and such payments will be deposited in local currency in the relevant country to the credit of Repare in a recognized banking institution designated by Repare or, if none is designated by Repare within a period of [***] after Repare receives such notice, in a recognized banking institution selected by BMS and identified in a written notice given to Repare.</w:t>
      </w:r>
    </w:p>
    <w:p>
      <w:pPr>
        <w:spacing w:after="0" w:line="188"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 xml:space="preserve">9.19 </w:t>
      </w:r>
      <w:r>
        <w:rPr>
          <w:rFonts w:ascii="Arial" w:cs="Arial" w:eastAsia="Arial" w:hAnsi="Arial"/>
          <w:sz w:val="18"/>
          <w:szCs w:val="18"/>
          <w:u w:val="single" w:color="auto"/>
          <w:color w:val="auto"/>
        </w:rPr>
        <w:t>Prohibitions on Payments</w:t>
      </w:r>
      <w:r>
        <w:rPr>
          <w:rFonts w:ascii="Arial" w:cs="Arial" w:eastAsia="Arial" w:hAnsi="Arial"/>
          <w:sz w:val="18"/>
          <w:szCs w:val="18"/>
          <w:color w:val="auto"/>
        </w:rPr>
        <w:t>. When, in any country in the Territory, applicable Law prohibits both the transmittal and the deposit of royalties on sales in such country, royalty payments due on Net Sales shall be suspended for as long as such prohibition is in effect and, as soon as such prohibition ceases to be in effect, all royalties that BMS would have been under an obligation to transmit or deposit but for the prohibition shall forthwith be deposited or transmitted, to the extent allowable. The Parties shall cooperate in good faith to overcome, to the extent reasonably possible, any prohibition described in this Section 9.19 within a reasonable period of time.</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INTELLECTUAL PROPERTY</w:t>
      </w:r>
    </w:p>
    <w:p>
      <w:pPr>
        <w:spacing w:after="0" w:line="21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Background IP</w:t>
      </w:r>
      <w:r>
        <w:rPr>
          <w:rFonts w:ascii="Arial" w:cs="Arial" w:eastAsia="Arial" w:hAnsi="Arial"/>
          <w:sz w:val="18"/>
          <w:szCs w:val="18"/>
          <w:color w:val="auto"/>
        </w:rPr>
        <w:t>. As between the Parties, each Party will retain all right, title and interest in and to all Patents and Know-How owned or Controlled by such Party that are not Collaboration Intellectual Property, except, in each case, to the extent that any such rights are expressly licensed by one Party to the other Party under this Agreement.</w:t>
      </w:r>
    </w:p>
    <w:p>
      <w:pPr>
        <w:spacing w:after="0" w:line="184"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Ownership of Collaboration Intellectual Property.</w:t>
      </w:r>
    </w:p>
    <w:p>
      <w:pPr>
        <w:spacing w:after="0" w:line="225" w:lineRule="exact"/>
        <w:rPr>
          <w:sz w:val="20"/>
          <w:szCs w:val="20"/>
          <w:color w:val="auto"/>
        </w:rPr>
      </w:pPr>
    </w:p>
    <w:p>
      <w:pPr>
        <w:ind w:left="120" w:right="100" w:firstLine="991"/>
        <w:spacing w:after="0" w:line="301" w:lineRule="auto"/>
        <w:rPr>
          <w:sz w:val="20"/>
          <w:szCs w:val="20"/>
          <w:color w:val="auto"/>
        </w:rPr>
      </w:pPr>
      <w:r>
        <w:rPr>
          <w:rFonts w:ascii="Arial" w:cs="Arial" w:eastAsia="Arial" w:hAnsi="Arial"/>
          <w:sz w:val="16"/>
          <w:szCs w:val="16"/>
          <w:color w:val="auto"/>
        </w:rPr>
        <w:t xml:space="preserve">10.2.1 </w:t>
      </w:r>
      <w:r>
        <w:rPr>
          <w:rFonts w:ascii="Arial" w:cs="Arial" w:eastAsia="Arial" w:hAnsi="Arial"/>
          <w:sz w:val="16"/>
          <w:szCs w:val="16"/>
          <w:u w:val="single" w:color="auto"/>
          <w:color w:val="auto"/>
        </w:rPr>
        <w:t>Inventions</w:t>
      </w:r>
      <w:r>
        <w:rPr>
          <w:rFonts w:ascii="Arial" w:cs="Arial" w:eastAsia="Arial" w:hAnsi="Arial"/>
          <w:sz w:val="16"/>
          <w:szCs w:val="16"/>
          <w:color w:val="auto"/>
        </w:rPr>
        <w:t>. For purposes of determining inventorship of Collaboration Intellectual Property under this Section 10.2, inventorship of Patents and Know-How will be determined in accordance with United States patent laws (regardless of where the applicable activities occurred). In the case of unpatentable Know-How, inventorship will be determined under such U.S. patent law principles by treating such Know-How as if it were patentable. Except as provided for in Section 10.2.2, 10.2.3 or 10.2.4, ownership of Know-How and Patents shall be determined by inventorship.</w:t>
      </w:r>
    </w:p>
    <w:p>
      <w:pPr>
        <w:spacing w:after="0" w:line="157"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 xml:space="preserve">10.2.2 </w:t>
      </w:r>
      <w:r>
        <w:rPr>
          <w:rFonts w:ascii="Arial" w:cs="Arial" w:eastAsia="Arial" w:hAnsi="Arial"/>
          <w:sz w:val="18"/>
          <w:szCs w:val="18"/>
          <w:u w:val="single" w:color="auto"/>
          <w:color w:val="auto"/>
        </w:rPr>
        <w:t>Repare Collaboration Intellectual Property</w:t>
      </w:r>
      <w:r>
        <w:rPr>
          <w:rFonts w:ascii="Arial" w:cs="Arial" w:eastAsia="Arial" w:hAnsi="Arial"/>
          <w:sz w:val="18"/>
          <w:szCs w:val="18"/>
          <w:color w:val="auto"/>
        </w:rPr>
        <w:t>. Repare will solely and exclusively own any Collaboration Intellectual Property to the extent that it solely comprises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60" w:right="459" w:bottom="1440" w:gutter="0" w:footer="0" w:header="0"/>
        </w:sectPr>
      </w:pPr>
    </w:p>
    <w:bookmarkStart w:id="743" w:name="page744"/>
    <w:bookmarkEnd w:id="7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modification, adaptation or improvement to Repare’s proprietary, high-throughput, genomic and chemo-genomic synthetic lethal screening platform, including the SNIPRx</w:t>
      </w:r>
      <w:r>
        <w:rPr>
          <w:rFonts w:ascii="Arial" w:cs="Arial" w:eastAsia="Arial" w:hAnsi="Arial"/>
          <w:sz w:val="14"/>
          <w:szCs w:val="14"/>
          <w:color w:val="auto"/>
        </w:rPr>
        <w:t>®</w:t>
      </w:r>
      <w:r>
        <w:rPr>
          <w:rFonts w:ascii="Arial" w:cs="Arial" w:eastAsia="Arial" w:hAnsi="Arial"/>
          <w:sz w:val="17"/>
          <w:szCs w:val="17"/>
          <w:color w:val="auto"/>
        </w:rPr>
        <w:t xml:space="preserve"> SL platform (such Collaboration Intellectual Property, “</w:t>
      </w:r>
      <w:r>
        <w:rPr>
          <w:rFonts w:ascii="Arial" w:cs="Arial" w:eastAsia="Arial" w:hAnsi="Arial"/>
          <w:sz w:val="17"/>
          <w:szCs w:val="17"/>
          <w:u w:val="single" w:color="auto"/>
          <w:color w:val="auto"/>
        </w:rPr>
        <w:t>Repare Collaboration Intellectual Property</w:t>
      </w:r>
      <w:r>
        <w:rPr>
          <w:rFonts w:ascii="Arial" w:cs="Arial" w:eastAsia="Arial" w:hAnsi="Arial"/>
          <w:sz w:val="17"/>
          <w:szCs w:val="17"/>
          <w:color w:val="auto"/>
        </w:rPr>
        <w:t>”).</w:t>
      </w:r>
    </w:p>
    <w:p>
      <w:pPr>
        <w:spacing w:after="0" w:line="146" w:lineRule="exact"/>
        <w:rPr>
          <w:sz w:val="20"/>
          <w:szCs w:val="20"/>
          <w:color w:val="auto"/>
        </w:rPr>
      </w:pPr>
    </w:p>
    <w:p>
      <w:pPr>
        <w:ind w:left="120" w:right="160" w:firstLine="991"/>
        <w:spacing w:after="0" w:line="257" w:lineRule="auto"/>
        <w:rPr>
          <w:sz w:val="20"/>
          <w:szCs w:val="20"/>
          <w:color w:val="auto"/>
        </w:rPr>
      </w:pPr>
      <w:r>
        <w:rPr>
          <w:rFonts w:ascii="Arial" w:cs="Arial" w:eastAsia="Arial" w:hAnsi="Arial"/>
          <w:sz w:val="18"/>
          <w:szCs w:val="18"/>
          <w:color w:val="auto"/>
        </w:rPr>
        <w:t xml:space="preserve">10.2.3 </w:t>
      </w:r>
      <w:r>
        <w:rPr>
          <w:rFonts w:ascii="Arial" w:cs="Arial" w:eastAsia="Arial" w:hAnsi="Arial"/>
          <w:sz w:val="18"/>
          <w:szCs w:val="18"/>
          <w:u w:val="single" w:color="auto"/>
          <w:color w:val="auto"/>
        </w:rPr>
        <w:t>Resulting Compound/Product IP</w:t>
      </w:r>
      <w:r>
        <w:rPr>
          <w:rFonts w:ascii="Arial" w:cs="Arial" w:eastAsia="Arial" w:hAnsi="Arial"/>
          <w:sz w:val="18"/>
          <w:szCs w:val="18"/>
          <w:color w:val="auto"/>
        </w:rPr>
        <w:t>. Except for Repare Intellectual Property and Repare Collaboration Intellectual Property (which shall be solely and exclusively owned by Repare), BMS will solely and exclusively own any Patents and Know-How (including any Collaboration Intellectual Property) Covering any Collaboration Druggable/LDD Target Resulting Compounds or Collaboration Undruggable Target Resulting Compounds, or Products containing any such Resulting Compounds (such Collaboration Intellectual Property, “</w:t>
      </w:r>
      <w:r>
        <w:rPr>
          <w:rFonts w:ascii="Arial" w:cs="Arial" w:eastAsia="Arial" w:hAnsi="Arial"/>
          <w:sz w:val="18"/>
          <w:szCs w:val="18"/>
          <w:u w:val="single" w:color="auto"/>
          <w:color w:val="auto"/>
        </w:rPr>
        <w:t>Resulting Compound/Product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Collaboration IP</w:t>
      </w:r>
      <w:r>
        <w:rPr>
          <w:rFonts w:ascii="Arial" w:cs="Arial" w:eastAsia="Arial" w:hAnsi="Arial"/>
          <w:sz w:val="18"/>
          <w:szCs w:val="18"/>
          <w:color w:val="auto"/>
        </w:rPr>
        <w:t>”).</w:t>
      </w:r>
    </w:p>
    <w:p>
      <w:pPr>
        <w:spacing w:after="0" w:line="188"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 xml:space="preserve">10.2.4 </w:t>
      </w:r>
      <w:r>
        <w:rPr>
          <w:rFonts w:ascii="Arial" w:cs="Arial" w:eastAsia="Arial" w:hAnsi="Arial"/>
          <w:sz w:val="17"/>
          <w:szCs w:val="17"/>
          <w:u w:val="single" w:color="auto"/>
          <w:color w:val="auto"/>
        </w:rPr>
        <w:t>Joint Collaboration IP</w:t>
      </w:r>
      <w:r>
        <w:rPr>
          <w:rFonts w:ascii="Arial" w:cs="Arial" w:eastAsia="Arial" w:hAnsi="Arial"/>
          <w:sz w:val="17"/>
          <w:szCs w:val="17"/>
          <w:color w:val="auto"/>
        </w:rPr>
        <w:t>. Subject to Sections 10.2.2 and 10.2.3, both Parties shall jointly own all Joint Collaboration IP, such that each Party has an undivided one-half (1/2) interest in such Joint Collaboration IP, and, subject to any licenses granted by one Party to the other under this Agreement, with no duty of accounting to the other Party and no requirement to obtain consent from the other Party in connection with any licenses granted by either Party to Third Parties with respect to such Joint Collaboration IP. Prosecution, Defense and enforcement of, and applications for patent term extension or supplementary protection certificates for, such Joint Collaboration IP shall be controlled by Section 10.3 or as otherwise agreed by the Parties in writing. To the extent necessary in any jurisdiction to effect the foregoing, each Party hereby grants to the other Party a non-exclusive, royalty-free, fully-paid, worldwide license, with the right to grant sublicenses, to practice such Joint Collaboration IP for any and all purposes, subject to any licenses granted by one Party to the other under this Agreement.</w:t>
      </w:r>
    </w:p>
    <w:p>
      <w:pPr>
        <w:spacing w:after="0" w:line="178"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 xml:space="preserve">10.2.5 </w:t>
      </w:r>
      <w:r>
        <w:rPr>
          <w:rFonts w:ascii="Arial" w:cs="Arial" w:eastAsia="Arial" w:hAnsi="Arial"/>
          <w:sz w:val="18"/>
          <w:szCs w:val="18"/>
          <w:u w:val="single" w:color="auto"/>
          <w:color w:val="auto"/>
        </w:rPr>
        <w:t>Other Collaboration Intellectual Property</w:t>
      </w:r>
      <w:r>
        <w:rPr>
          <w:rFonts w:ascii="Arial" w:cs="Arial" w:eastAsia="Arial" w:hAnsi="Arial"/>
          <w:sz w:val="18"/>
          <w:szCs w:val="18"/>
          <w:color w:val="auto"/>
        </w:rPr>
        <w:t>. Except as set forth in Sections 10.2.2 and 10.2.3, as between the Parties, each Party will solely own all Collaboration Intellectual Property made, invented, created, designed, conceived, produced, reduced to practice, or otherwise developed by or on behalf of such Party or any of its Affiliates or sublicensees, solely or jointly with any Third Party (such Collaboration Intellectual Property, “</w:t>
      </w:r>
      <w:r>
        <w:rPr>
          <w:rFonts w:ascii="Arial" w:cs="Arial" w:eastAsia="Arial" w:hAnsi="Arial"/>
          <w:sz w:val="18"/>
          <w:szCs w:val="18"/>
          <w:u w:val="single" w:color="auto"/>
          <w:color w:val="auto"/>
        </w:rPr>
        <w:t>Sole Collaboration Intellectual Property</w:t>
      </w:r>
      <w:r>
        <w:rPr>
          <w:rFonts w:ascii="Arial" w:cs="Arial" w:eastAsia="Arial" w:hAnsi="Arial"/>
          <w:sz w:val="18"/>
          <w:szCs w:val="18"/>
          <w:color w:val="auto"/>
        </w:rPr>
        <w:t>”).</w:t>
      </w:r>
    </w:p>
    <w:p>
      <w:pPr>
        <w:spacing w:after="0" w:line="187"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 xml:space="preserve">10.2.6 </w:t>
      </w:r>
      <w:r>
        <w:rPr>
          <w:rFonts w:ascii="Arial" w:cs="Arial" w:eastAsia="Arial" w:hAnsi="Arial"/>
          <w:sz w:val="18"/>
          <w:szCs w:val="18"/>
          <w:u w:val="single" w:color="auto"/>
          <w:color w:val="auto"/>
        </w:rPr>
        <w:t>Cooperation</w:t>
      </w:r>
      <w:r>
        <w:rPr>
          <w:rFonts w:ascii="Arial" w:cs="Arial" w:eastAsia="Arial" w:hAnsi="Arial"/>
          <w:sz w:val="18"/>
          <w:szCs w:val="18"/>
          <w:color w:val="auto"/>
        </w:rPr>
        <w:t>. Each Party will, and hereby does, assign, and will cause its Affiliates and sublicensees to, and use good faith efforts to cause its and its Affiliates and sublicensees’ officers, directors, employees, consultants, contractors and agents to, so assign, to the other Party, without additional compensation, such rights, title and interests in and to any Know-How or Patents as are necessary to fully effect, as applicable, the allocation of ownership set forth in this Section 10.2.</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Prosecution, Defense and Enforcement of Subject Patents</w:t>
      </w:r>
      <w:r>
        <w:rPr>
          <w:rFonts w:ascii="Arial" w:cs="Arial" w:eastAsia="Arial" w:hAnsi="Arial"/>
          <w:sz w:val="18"/>
          <w:szCs w:val="18"/>
          <w:color w:val="auto"/>
        </w:rPr>
        <w:t>. As between the Parties, except with respect to Patents that Cover Repare Know-How or Repare Collaboration Intellectual Property and do not Cover BMS Know-How, Joint Collaboration Intellectual Property, Resulting Compound/Product Collaboration IP or Sole Collaboration Intellectual Property owned by BMS (which Repare shall have the sole right, but not the obligation, at its sole cost and expense, to Prosecute, Defend and enforce, and with respect to which Repare shall have the sole right, but not the obligation, at its sole cost and expense, to apply for patent term extensions and supplementary protection certificates), BMS shall have the sole right, but not the obligation, at its sole cost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60" w:right="459" w:bottom="1440" w:gutter="0" w:footer="0" w:header="0"/>
        </w:sectPr>
      </w:pPr>
    </w:p>
    <w:bookmarkStart w:id="744" w:name="page745"/>
    <w:bookmarkEnd w:id="7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expense, to Prosecute, Defend and enforce, and apply for patent term extensions and supplementary protection certificates for, all Subject Patents. All recoveries compensating net lost profits obtained by BMS or any of its Affiliates or Sublicensees as a result of any enforcement proceeding with respect to any Subject Patent shall be treated as Net Sales and included in the calculation of Annual Net Sales for purposes of calculating milestones and royalties owed under Sections 9.9.2 and 9.10.</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Defense of Claims Brought by Third Parties</w:t>
      </w:r>
      <w:r>
        <w:rPr>
          <w:rFonts w:ascii="Arial" w:cs="Arial" w:eastAsia="Arial" w:hAnsi="Arial"/>
          <w:sz w:val="18"/>
          <w:szCs w:val="18"/>
          <w:color w:val="auto"/>
        </w:rPr>
        <w:t>. BMS shall have the sole right, but not the obligation, to defend against any claim that the Development, Manufacture or Commercialization of any Resulting Compound or Product infringes or misappropriates the intellectual property rights of any Third Party.</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CONFIDENTIALITY</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Each Party agrees that a Party (the “Receiving Party”) or any of its Affiliates receiving Confidential Information of the other Party (the “</w:t>
      </w:r>
      <w:r>
        <w:rPr>
          <w:rFonts w:ascii="Arial" w:cs="Arial" w:eastAsia="Arial" w:hAnsi="Arial"/>
          <w:sz w:val="18"/>
          <w:szCs w:val="18"/>
          <w:u w:val="single" w:color="auto"/>
          <w:color w:val="auto"/>
        </w:rPr>
        <w:t>Disclosing Party</w:t>
      </w:r>
      <w:r>
        <w:rPr>
          <w:rFonts w:ascii="Arial" w:cs="Arial" w:eastAsia="Arial" w:hAnsi="Arial"/>
          <w:sz w:val="18"/>
          <w:szCs w:val="18"/>
          <w:color w:val="auto"/>
        </w:rPr>
        <w:t xml:space="preserve">”) or any of its Affiliates shall (x) maintain in confidence such Confidential Information using not less than the efforts such Receiving Party uses to maintain in confidence its own proprietary or confidential information of similar kind and value, but in no event less than a reasonable degree of effort, (y) not disclose such Confidential Information to any Third Party without the prior written consent of the Disclosing Party, except for disclosures expressly permitted below, and (z) not use such Confidential Information for any purpose except in performing the Receiving Party’s obligations or exercising rights explicitly granted to the Receiving Party under this Agreement;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 “Confidential Information” shall exclude any information that:</w:t>
      </w:r>
    </w:p>
    <w:p>
      <w:pPr>
        <w:spacing w:after="0" w:line="87" w:lineRule="exact"/>
        <w:rPr>
          <w:sz w:val="20"/>
          <w:szCs w:val="20"/>
          <w:color w:val="auto"/>
        </w:rPr>
      </w:pPr>
    </w:p>
    <w:p>
      <w:pPr>
        <w:ind w:left="120" w:right="180" w:firstLine="1428"/>
        <w:spacing w:after="0" w:line="277" w:lineRule="auto"/>
        <w:tabs>
          <w:tab w:leader="none" w:pos="1932"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the Receiving Party can prove by contemporaneous written records was known by the Receiving Party or any of its Affiliates prior to its date of disclosure to the Receiving Party by or on behalf of the Disclosing Party or any of its Affiliates; or</w:t>
      </w:r>
    </w:p>
    <w:p>
      <w:pPr>
        <w:spacing w:after="0" w:line="170" w:lineRule="exact"/>
        <w:rPr>
          <w:rFonts w:ascii="Arial" w:cs="Arial" w:eastAsia="Arial" w:hAnsi="Arial"/>
          <w:sz w:val="18"/>
          <w:szCs w:val="18"/>
          <w:color w:val="auto"/>
        </w:rPr>
      </w:pPr>
    </w:p>
    <w:p>
      <w:pPr>
        <w:ind w:left="120" w:right="380" w:firstLine="1428"/>
        <w:spacing w:after="0" w:line="277" w:lineRule="auto"/>
        <w:tabs>
          <w:tab w:leader="none" w:pos="1942" w:val="left"/>
        </w:tabs>
        <w:numPr>
          <w:ilvl w:val="0"/>
          <w:numId w:val="499"/>
        </w:numPr>
        <w:rPr>
          <w:rFonts w:ascii="Arial" w:cs="Arial" w:eastAsia="Arial" w:hAnsi="Arial"/>
          <w:sz w:val="18"/>
          <w:szCs w:val="18"/>
          <w:color w:val="auto"/>
        </w:rPr>
      </w:pPr>
      <w:r>
        <w:rPr>
          <w:rFonts w:ascii="Arial" w:cs="Arial" w:eastAsia="Arial" w:hAnsi="Arial"/>
          <w:sz w:val="18"/>
          <w:szCs w:val="18"/>
          <w:color w:val="auto"/>
        </w:rPr>
        <w:t>is lawfully disclosed to the Receiving Party or any of its Affiliates by a source other than the Disclosing Party or any of its Affiliates rightfully in possession of the Confidential Information; or</w:t>
      </w:r>
    </w:p>
    <w:p>
      <w:pPr>
        <w:spacing w:after="0" w:line="170" w:lineRule="exact"/>
        <w:rPr>
          <w:rFonts w:ascii="Arial" w:cs="Arial" w:eastAsia="Arial" w:hAnsi="Arial"/>
          <w:sz w:val="18"/>
          <w:szCs w:val="18"/>
          <w:color w:val="auto"/>
        </w:rPr>
      </w:pPr>
    </w:p>
    <w:p>
      <w:pPr>
        <w:ind w:left="120" w:firstLine="1428"/>
        <w:spacing w:after="0" w:line="308" w:lineRule="auto"/>
        <w:tabs>
          <w:tab w:leader="none" w:pos="1932" w:val="left"/>
        </w:tabs>
        <w:numPr>
          <w:ilvl w:val="0"/>
          <w:numId w:val="499"/>
        </w:numPr>
        <w:rPr>
          <w:rFonts w:ascii="Arial" w:cs="Arial" w:eastAsia="Arial" w:hAnsi="Arial"/>
          <w:sz w:val="17"/>
          <w:szCs w:val="17"/>
          <w:color w:val="auto"/>
        </w:rPr>
      </w:pPr>
      <w:r>
        <w:rPr>
          <w:rFonts w:ascii="Arial" w:cs="Arial" w:eastAsia="Arial" w:hAnsi="Arial"/>
          <w:sz w:val="17"/>
          <w:szCs w:val="17"/>
          <w:color w:val="auto"/>
        </w:rPr>
        <w:t>is or becomes published or generally known to the public through no fault or omission on the part of the Receiving Party or any of its Affiliates or any Third Party that received such information, directly or indirectly, from the Receiving Party or any of its Affiliates; or</w:t>
      </w:r>
    </w:p>
    <w:p>
      <w:pPr>
        <w:spacing w:after="0" w:line="146" w:lineRule="exact"/>
        <w:rPr>
          <w:rFonts w:ascii="Arial" w:cs="Arial" w:eastAsia="Arial" w:hAnsi="Arial"/>
          <w:sz w:val="17"/>
          <w:szCs w:val="17"/>
          <w:color w:val="auto"/>
        </w:rPr>
      </w:pPr>
    </w:p>
    <w:p>
      <w:pPr>
        <w:ind w:left="120" w:firstLine="1428"/>
        <w:spacing w:after="0" w:line="263" w:lineRule="auto"/>
        <w:tabs>
          <w:tab w:leader="none" w:pos="1942"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the Receiving Party can prove by contemporaneous written records is independently developed by or for the Receiving Party or any of its Affiliates without reference to or reliance upon any of the Disclosing Party’s, or any of the Disclosing Party’s Affiliates’, Confidential Information (as defined without reference to this exception);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except that</w:t>
      </w:r>
      <w:r>
        <w:rPr>
          <w:rFonts w:ascii="Arial" w:cs="Arial" w:eastAsia="Arial" w:hAnsi="Arial"/>
          <w:sz w:val="18"/>
          <w:szCs w:val="18"/>
          <w:color w:val="auto"/>
        </w:rPr>
        <w:t>:</w:t>
      </w:r>
    </w:p>
    <w:p>
      <w:pPr>
        <w:spacing w:after="0" w:line="225" w:lineRule="exact"/>
        <w:rPr>
          <w:sz w:val="20"/>
          <w:szCs w:val="20"/>
          <w:color w:val="auto"/>
        </w:rPr>
      </w:pPr>
    </w:p>
    <w:p>
      <w:pPr>
        <w:ind w:left="1540"/>
        <w:spacing w:after="0"/>
        <w:tabs>
          <w:tab w:leader="none" w:pos="1900" w:val="left"/>
        </w:tabs>
        <w:rPr>
          <w:sz w:val="20"/>
          <w:szCs w:val="20"/>
          <w:color w:val="auto"/>
        </w:rPr>
      </w:pPr>
      <w:r>
        <w:rPr>
          <w:rFonts w:ascii="Arial" w:cs="Arial" w:eastAsia="Arial" w:hAnsi="Arial"/>
          <w:sz w:val="18"/>
          <w:szCs w:val="18"/>
          <w:color w:val="auto"/>
        </w:rPr>
        <w:t>(e)</w:t>
        <w:tab/>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60" w:right="459" w:bottom="1440" w:gutter="0" w:footer="0" w:header="0"/>
        </w:sectPr>
      </w:pPr>
    </w:p>
    <w:bookmarkStart w:id="745" w:name="page746"/>
    <w:bookmarkEnd w:id="7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900" w:hanging="352"/>
        <w:spacing w:after="0"/>
        <w:tabs>
          <w:tab w:leader="none" w:pos="190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940" w:hanging="392"/>
        <w:spacing w:after="0"/>
        <w:tabs>
          <w:tab w:leader="none" w:pos="194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Permitted Disclosures</w:t>
      </w:r>
      <w:r>
        <w:rPr>
          <w:rFonts w:ascii="Arial" w:cs="Arial" w:eastAsia="Arial" w:hAnsi="Arial"/>
          <w:sz w:val="18"/>
          <w:szCs w:val="18"/>
          <w:color w:val="auto"/>
        </w:rPr>
        <w:t>. The Receiving Party may provide the Disclosing Party’s, or any of the Disclosing Party’s Affiliates’, Confidential Information:</w:t>
      </w:r>
    </w:p>
    <w:p>
      <w:pPr>
        <w:spacing w:after="0" w:line="62" w:lineRule="exact"/>
        <w:rPr>
          <w:sz w:val="20"/>
          <w:szCs w:val="20"/>
          <w:color w:val="auto"/>
        </w:rPr>
      </w:pPr>
    </w:p>
    <w:p>
      <w:pPr>
        <w:ind w:left="120" w:right="80" w:firstLine="1428"/>
        <w:spacing w:after="0" w:line="275" w:lineRule="auto"/>
        <w:tabs>
          <w:tab w:leader="none" w:pos="1932" w:val="left"/>
        </w:tabs>
        <w:numPr>
          <w:ilvl w:val="0"/>
          <w:numId w:val="501"/>
        </w:numPr>
        <w:rPr>
          <w:rFonts w:ascii="Arial" w:cs="Arial" w:eastAsia="Arial" w:hAnsi="Arial"/>
          <w:sz w:val="17"/>
          <w:szCs w:val="17"/>
          <w:color w:val="auto"/>
        </w:rPr>
      </w:pPr>
      <w:r>
        <w:rPr>
          <w:rFonts w:ascii="Arial" w:cs="Arial" w:eastAsia="Arial" w:hAnsi="Arial"/>
          <w:sz w:val="17"/>
          <w:szCs w:val="17"/>
          <w:color w:val="auto"/>
        </w:rPr>
        <w:t>to the Receiving Party’s employees, directors, contractors, consultants and advisors (including attorneys and accountants), and to the employees, consultants and advisors of the Receiving Party’s Affiliates and to potential and actual Sublicensees, who have a need to know such information for the purpose of performing obligations or exercising rights expressly granted under this Agreement or advisable for the exploitation of Resulting Compounds or Products and have an obligation to treat such Confidential Information as confidential under obligations of confidentiality and non-use no less stringent than those set forth in this ARTICLE XI;</w:t>
      </w:r>
    </w:p>
    <w:p>
      <w:pPr>
        <w:spacing w:after="0" w:line="176" w:lineRule="exact"/>
        <w:rPr>
          <w:rFonts w:ascii="Arial" w:cs="Arial" w:eastAsia="Arial" w:hAnsi="Arial"/>
          <w:sz w:val="17"/>
          <w:szCs w:val="17"/>
          <w:color w:val="auto"/>
        </w:rPr>
      </w:pPr>
    </w:p>
    <w:p>
      <w:pPr>
        <w:jc w:val="both"/>
        <w:ind w:left="120" w:right="120" w:firstLine="1428"/>
        <w:spacing w:after="0" w:line="259" w:lineRule="auto"/>
        <w:tabs>
          <w:tab w:leader="none" w:pos="1942"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to patent offices in order to seek or obtain Patents, or to Regulatory Authorities in order to seek or obtain approval to conduct clinical trials or to gain Regulatory Approval with respect to any Resulting Compound or Product, in each case as contemplated by this Agreement, but such disclosure may be made only following reasonable notice to the Disclosing Party and to the extent reasonably necessary to seek or obtain such Patents or approvals; and</w:t>
      </w:r>
    </w:p>
    <w:p>
      <w:pPr>
        <w:spacing w:after="0" w:line="186" w:lineRule="exact"/>
        <w:rPr>
          <w:rFonts w:ascii="Arial" w:cs="Arial" w:eastAsia="Arial" w:hAnsi="Arial"/>
          <w:sz w:val="18"/>
          <w:szCs w:val="18"/>
          <w:color w:val="auto"/>
        </w:rPr>
      </w:pPr>
    </w:p>
    <w:p>
      <w:pPr>
        <w:ind w:left="120" w:firstLine="1428"/>
        <w:spacing w:after="0" w:line="279" w:lineRule="auto"/>
        <w:tabs>
          <w:tab w:leader="none" w:pos="1932" w:val="left"/>
        </w:tabs>
        <w:numPr>
          <w:ilvl w:val="0"/>
          <w:numId w:val="501"/>
        </w:numPr>
        <w:rPr>
          <w:rFonts w:ascii="Arial" w:cs="Arial" w:eastAsia="Arial" w:hAnsi="Arial"/>
          <w:sz w:val="17"/>
          <w:szCs w:val="17"/>
          <w:color w:val="auto"/>
        </w:rPr>
      </w:pPr>
      <w:r>
        <w:rPr>
          <w:rFonts w:ascii="Arial" w:cs="Arial" w:eastAsia="Arial" w:hAnsi="Arial"/>
          <w:sz w:val="17"/>
          <w:szCs w:val="17"/>
          <w:color w:val="auto"/>
        </w:rPr>
        <w:t>if such disclosure is required by judicial order or applicable Law, or to defend or prosecute litigation or arbitration, as long as, prior to such disclosure, to the extent permitted by applicable Law, the Receiving Party promptly notifies the Disclosing Party of such requirement, cooperates with the Disclosing Party to take whatever action the Disclosing Party may deem appropriate to protect the confidentiality of the Confidential Information and furnishes only that portion of the Confidential Information that the Receiving Party is legally required to furnish.</w:t>
      </w:r>
    </w:p>
    <w:p>
      <w:pPr>
        <w:spacing w:after="0" w:line="171"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8"/>
          <w:szCs w:val="18"/>
          <w:color w:val="auto"/>
        </w:rPr>
        <w:t>The Receiving Party shall be responsible for any failure by any Person who receives Confidential Information from such Receiving Party pursuant to Section 11.2(a) or 11.2(b) to treat such Confidential Information as required under this ARTICLE XI.</w:t>
      </w:r>
    </w:p>
    <w:p>
      <w:pPr>
        <w:spacing w:after="0" w:line="170"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Publicity; Terms of this Agreement; Non-Use of Names</w:t>
      </w:r>
      <w:r>
        <w:rPr>
          <w:rFonts w:ascii="Arial" w:cs="Arial" w:eastAsia="Arial" w:hAnsi="Arial"/>
          <w:sz w:val="16"/>
          <w:szCs w:val="16"/>
          <w:color w:val="auto"/>
        </w:rPr>
        <w:t>. Except as required by judicial order or applicable Law (in which case,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11.3.2 must be complied with) or as explicitly permitted by this ARTICLE XI, no Party shall make any public announcement concerning this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 or disclose the existence or terms of this Agreement to any Third Party, without the prior written consent of the other Party, which consent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shall not be unreasonably withheld, conditioned or delayed. No Party shall use the name, trademark, trade name or logo of the other Party or any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Party’s employees in any publicity or news release relating to this Agreement or its subject matter, without the prior express written permission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other Party.</w:t>
      </w:r>
    </w:p>
    <w:p>
      <w:pPr>
        <w:spacing w:after="0" w:line="211" w:lineRule="exact"/>
        <w:rPr>
          <w:sz w:val="20"/>
          <w:szCs w:val="20"/>
          <w:color w:val="auto"/>
        </w:rPr>
      </w:pPr>
    </w:p>
    <w:p>
      <w:pPr>
        <w:ind w:left="120" w:right="480" w:firstLine="991"/>
        <w:spacing w:after="0" w:line="342" w:lineRule="auto"/>
        <w:rPr>
          <w:sz w:val="20"/>
          <w:szCs w:val="20"/>
          <w:color w:val="auto"/>
        </w:rPr>
      </w:pPr>
      <w:r>
        <w:rPr>
          <w:rFonts w:ascii="Arial" w:cs="Arial" w:eastAsia="Arial" w:hAnsi="Arial"/>
          <w:sz w:val="16"/>
          <w:szCs w:val="16"/>
          <w:color w:val="auto"/>
        </w:rPr>
        <w:t xml:space="preserve">11.3.1 </w:t>
      </w:r>
      <w:r>
        <w:rPr>
          <w:rFonts w:ascii="Arial" w:cs="Arial" w:eastAsia="Arial" w:hAnsi="Arial"/>
          <w:sz w:val="16"/>
          <w:szCs w:val="16"/>
          <w:u w:val="single" w:color="auto"/>
          <w:color w:val="auto"/>
        </w:rPr>
        <w:t>Public Announcement</w:t>
      </w:r>
      <w:r>
        <w:rPr>
          <w:rFonts w:ascii="Arial" w:cs="Arial" w:eastAsia="Arial" w:hAnsi="Arial"/>
          <w:sz w:val="16"/>
          <w:szCs w:val="16"/>
          <w:color w:val="auto"/>
        </w:rPr>
        <w:t>. The Party preparing any public announcement of the existence or any terms of this Agreement shall provide the other Party with a draft thereof at least [***] prior to the date on which such Party would like to make the public announcement (or, in</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60" w:right="459" w:bottom="1440" w:gutter="0" w:footer="0" w:header="0"/>
        </w:sectPr>
      </w:pPr>
    </w:p>
    <w:bookmarkStart w:id="746" w:name="page747"/>
    <w:bookmarkEnd w:id="7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extraordinary circumstances, such shorter period as required to comply with applicable Law). Notwithstanding the foregoing, the Parties agree that Repare may issue the press release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within [***] after the Effective Date. Either Party may issue a press release or public announcement, or make such other disclosure, relating to this Agreement if the content of such press release, public announcement or disclosure (a) (i) does not consist of financial information and has previously been made public other than through a breach of this Agreement by the issuing Party or any of its Affiliates, (ii) is contained in the issuing Party’s financial statements prepared in accordance the Accounting Standards, or (iii) if applicable, as provided in Section 11.3.2, is contained in the Redacted Version of this Agreement, and (b) is material to the event or purpose for which the new press release or public announcement is made.</w:t>
      </w:r>
    </w:p>
    <w:p>
      <w:pPr>
        <w:spacing w:after="0" w:line="195" w:lineRule="exact"/>
        <w:rPr>
          <w:sz w:val="20"/>
          <w:szCs w:val="20"/>
          <w:color w:val="auto"/>
        </w:rPr>
      </w:pPr>
    </w:p>
    <w:p>
      <w:pPr>
        <w:ind w:left="120" w:firstLine="991"/>
        <w:spacing w:after="0" w:line="289" w:lineRule="auto"/>
        <w:rPr>
          <w:sz w:val="20"/>
          <w:szCs w:val="20"/>
          <w:color w:val="auto"/>
        </w:rPr>
      </w:pPr>
      <w:r>
        <w:rPr>
          <w:rFonts w:ascii="Arial" w:cs="Arial" w:eastAsia="Arial" w:hAnsi="Arial"/>
          <w:sz w:val="16"/>
          <w:szCs w:val="16"/>
          <w:color w:val="auto"/>
        </w:rPr>
        <w:t xml:space="preserve">11.3.2 </w:t>
      </w:r>
      <w:r>
        <w:rPr>
          <w:rFonts w:ascii="Arial" w:cs="Arial" w:eastAsia="Arial" w:hAnsi="Arial"/>
          <w:sz w:val="16"/>
          <w:szCs w:val="16"/>
          <w:u w:val="single" w:color="auto"/>
          <w:color w:val="auto"/>
        </w:rPr>
        <w:t>Disclosure Required by Law</w:t>
      </w:r>
      <w:r>
        <w:rPr>
          <w:rFonts w:ascii="Arial" w:cs="Arial" w:eastAsia="Arial" w:hAnsi="Arial"/>
          <w:sz w:val="16"/>
          <w:szCs w:val="16"/>
          <w:color w:val="auto"/>
        </w:rPr>
        <w:t>. Notwithstanding anything to the contrary in this ARTICLE XI, either Party shall be permitted to disclose the existence and terms of this Agreement to the extent required, in the reasonable written opinion of such Party’s legal counsel, to comply with applicable Laws, including the rules and regulations promulgated by the Securities and Exchange Commission or any other Governmental Authority. Notwithstanding the immediately preceding sentence, before disclosing this Agreement or any of the terms hereof pursuant to this Section 11.3.2, the Parties will coordinate in advance with each other in connection with the redaction of certain provisions of this Agreement (together with all exhibits and schedules) with respect to any filings with the U.S. Securities and Exchange Commission (“</w:t>
      </w:r>
      <w:r>
        <w:rPr>
          <w:rFonts w:ascii="Arial" w:cs="Arial" w:eastAsia="Arial" w:hAnsi="Arial"/>
          <w:sz w:val="16"/>
          <w:szCs w:val="16"/>
          <w:u w:val="single" w:color="auto"/>
          <w:color w:val="auto"/>
        </w:rPr>
        <w:t>SEC</w:t>
      </w:r>
      <w:r>
        <w:rPr>
          <w:rFonts w:ascii="Arial" w:cs="Arial" w:eastAsia="Arial" w:hAnsi="Arial"/>
          <w:sz w:val="16"/>
          <w:szCs w:val="16"/>
          <w:color w:val="auto"/>
        </w:rPr>
        <w:t>”), London Stock Exchange, NYSE, the NASDAQ Stock Market or any other stock exchange on which securities issued by a Party or a Party’s Affiliate are traded (the “</w:t>
      </w:r>
      <w:r>
        <w:rPr>
          <w:rFonts w:ascii="Arial" w:cs="Arial" w:eastAsia="Arial" w:hAnsi="Arial"/>
          <w:sz w:val="16"/>
          <w:szCs w:val="16"/>
          <w:u w:val="single" w:color="auto"/>
          <w:color w:val="auto"/>
        </w:rPr>
        <w:t>Redacted Version</w:t>
      </w:r>
      <w:r>
        <w:rPr>
          <w:rFonts w:ascii="Arial" w:cs="Arial" w:eastAsia="Arial" w:hAnsi="Arial"/>
          <w:sz w:val="16"/>
          <w:szCs w:val="16"/>
          <w:color w:val="auto"/>
        </w:rPr>
        <w:t>”), and each Party will use commercially reasonable efforts to seek confidential treatment for such terms as may be reasonably requested by the other Party, and the Parties will use commercially reasonable efforts to file redacted versions with any governing bodies that are consistent with the Redacted Version.</w:t>
      </w:r>
    </w:p>
    <w:p>
      <w:pPr>
        <w:spacing w:after="0" w:line="166" w:lineRule="exact"/>
        <w:rPr>
          <w:sz w:val="20"/>
          <w:szCs w:val="20"/>
          <w:color w:val="auto"/>
        </w:rPr>
      </w:pPr>
    </w:p>
    <w:p>
      <w:pPr>
        <w:ind w:left="120" w:right="60" w:firstLine="991"/>
        <w:spacing w:after="0" w:line="288" w:lineRule="auto"/>
        <w:rPr>
          <w:sz w:val="20"/>
          <w:szCs w:val="20"/>
          <w:color w:val="auto"/>
        </w:rPr>
      </w:pPr>
      <w:r>
        <w:rPr>
          <w:rFonts w:ascii="Arial" w:cs="Arial" w:eastAsia="Arial" w:hAnsi="Arial"/>
          <w:sz w:val="16"/>
          <w:szCs w:val="16"/>
          <w:color w:val="auto"/>
        </w:rPr>
        <w:t xml:space="preserve">11.3.3 </w:t>
      </w:r>
      <w:r>
        <w:rPr>
          <w:rFonts w:ascii="Arial" w:cs="Arial" w:eastAsia="Arial" w:hAnsi="Arial"/>
          <w:sz w:val="16"/>
          <w:szCs w:val="16"/>
          <w:u w:val="single" w:color="auto"/>
          <w:color w:val="auto"/>
        </w:rPr>
        <w:t>Other Disclosures of This Agreement</w:t>
      </w:r>
      <w:r>
        <w:rPr>
          <w:rFonts w:ascii="Arial" w:cs="Arial" w:eastAsia="Arial" w:hAnsi="Arial"/>
          <w:sz w:val="16"/>
          <w:szCs w:val="16"/>
          <w:color w:val="auto"/>
        </w:rPr>
        <w:t xml:space="preserve">. A Party may disclose the Redacted Version of this Agreement to any actual or potential </w:t>
      </w:r>
      <w:r>
        <w:rPr>
          <w:rFonts w:ascii="Arial" w:cs="Arial" w:eastAsia="Arial" w:hAnsi="Arial"/>
          <w:sz w:val="16"/>
          <w:szCs w:val="16"/>
          <w:i w:val="1"/>
          <w:iCs w:val="1"/>
          <w:color w:val="auto"/>
        </w:rPr>
        <w:t xml:space="preserve">bona fide </w:t>
      </w:r>
      <w:r>
        <w:rPr>
          <w:rFonts w:ascii="Arial" w:cs="Arial" w:eastAsia="Arial" w:hAnsi="Arial"/>
          <w:sz w:val="16"/>
          <w:szCs w:val="16"/>
          <w:color w:val="auto"/>
        </w:rPr>
        <w:t>acquirer, assignee, licensee, licensor, investment banker, institutional investor, lender or other financial partner. If a Redacted Version has not</w:t>
      </w:r>
      <w:r>
        <w:rPr>
          <w:rFonts w:ascii="Arial" w:cs="Arial" w:eastAsia="Arial" w:hAnsi="Arial"/>
          <w:sz w:val="16"/>
          <w:szCs w:val="16"/>
          <w:i w:val="1"/>
          <w:iCs w:val="1"/>
          <w:color w:val="auto"/>
        </w:rPr>
        <w:t xml:space="preserve"> </w:t>
      </w:r>
      <w:r>
        <w:rPr>
          <w:rFonts w:ascii="Arial" w:cs="Arial" w:eastAsia="Arial" w:hAnsi="Arial"/>
          <w:sz w:val="16"/>
          <w:szCs w:val="16"/>
          <w:color w:val="auto"/>
        </w:rPr>
        <w:t>been prepared in accordance with Section 11.3.2, then the Parties hereby agree to prepare a Redacted Version promptly in good faith that redacts information as contemplated by this Agreement. In connection with a proposed Change of Control with respect to a Party, such Party may disclose an unredacted version of this Agreement to the proposed Third Party acquirer, but only after negotiations with such proposed Third Party acquirer have progressed so that such Party reasonably and in good faith believes it is in the final stage of negotiations with such Third Party regarding execution of a definitive agreement with such Third Party with respect to the proposed transaction. A Party may disclose an unredacted version of this Agreement to Third Party attorneys, professional accountants and auditors who are engaged by such Party’s licensors and lenders, and who are under obligations of confidentiality not to disclose the unredacted terms of this Agreement to such licensors or lenders, for the purpose of confirming such Party’s compliance with the terms of its applicable license and loan agreements with such licensors and lenders.</w:t>
      </w:r>
    </w:p>
    <w:p>
      <w:pPr>
        <w:spacing w:after="0" w:line="168"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Publications.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60" w:right="499" w:bottom="1440" w:gutter="0" w:footer="0" w:header="0"/>
        </w:sectPr>
      </w:pPr>
    </w:p>
    <w:bookmarkStart w:id="747" w:name="page748"/>
    <w:bookmarkEnd w:id="7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11.4.1</w:t>
      </w:r>
      <w:r>
        <w:rPr>
          <w:sz w:val="20"/>
          <w:szCs w:val="20"/>
          <w:color w:val="auto"/>
        </w:rPr>
        <w:tab/>
      </w:r>
      <w:r>
        <w:rPr>
          <w:rFonts w:ascii="Arial" w:cs="Arial" w:eastAsia="Arial" w:hAnsi="Arial"/>
          <w:sz w:val="16"/>
          <w:szCs w:val="16"/>
          <w:u w:val="single" w:color="auto"/>
          <w:color w:val="auto"/>
        </w:rPr>
        <w:t>Repare</w:t>
      </w:r>
      <w:r>
        <w:rPr>
          <w:rFonts w:ascii="Arial" w:cs="Arial" w:eastAsia="Arial" w:hAnsi="Arial"/>
          <w:sz w:val="16"/>
          <w:szCs w:val="16"/>
          <w:color w:val="auto"/>
        </w:rPr>
        <w:t>. Without the prior written consent of BMS, Repare shall have no right to make any Publication with respect to:</w:t>
      </w:r>
    </w:p>
    <w:p>
      <w:pPr>
        <w:spacing w:after="0" w:line="117" w:lineRule="exact"/>
        <w:rPr>
          <w:sz w:val="20"/>
          <w:szCs w:val="20"/>
          <w:color w:val="auto"/>
        </w:rPr>
      </w:pPr>
    </w:p>
    <w:p>
      <w:pPr>
        <w:ind w:left="120" w:right="380" w:firstLine="1428"/>
        <w:spacing w:after="0" w:line="277" w:lineRule="auto"/>
        <w:tabs>
          <w:tab w:leader="none" w:pos="1932" w:val="left"/>
        </w:tabs>
        <w:numPr>
          <w:ilvl w:val="1"/>
          <w:numId w:val="502"/>
        </w:numPr>
        <w:rPr>
          <w:rFonts w:ascii="Arial" w:cs="Arial" w:eastAsia="Arial" w:hAnsi="Arial"/>
          <w:sz w:val="18"/>
          <w:szCs w:val="18"/>
          <w:color w:val="auto"/>
        </w:rPr>
      </w:pPr>
      <w:r>
        <w:rPr>
          <w:rFonts w:ascii="Arial" w:cs="Arial" w:eastAsia="Arial" w:hAnsi="Arial"/>
          <w:sz w:val="18"/>
          <w:szCs w:val="18"/>
          <w:color w:val="auto"/>
        </w:rPr>
        <w:t>any (i) Pre-Option Campaign or Collaboration Campaign, (ii) Overlapping Undruggable Target or Prioritized Overlapping Undruggable Target, or (iii) Selected Target, Validated Target, Unblinded Target or Collaboration Target;</w:t>
      </w:r>
    </w:p>
    <w:p>
      <w:pPr>
        <w:spacing w:after="0" w:line="170" w:lineRule="exact"/>
        <w:rPr>
          <w:rFonts w:ascii="Arial" w:cs="Arial" w:eastAsia="Arial" w:hAnsi="Arial"/>
          <w:sz w:val="18"/>
          <w:szCs w:val="18"/>
          <w:color w:val="auto"/>
        </w:rPr>
      </w:pPr>
    </w:p>
    <w:p>
      <w:pPr>
        <w:ind w:left="1940" w:hanging="392"/>
        <w:spacing w:after="0"/>
        <w:tabs>
          <w:tab w:leader="none" w:pos="1940" w:val="left"/>
        </w:tabs>
        <w:numPr>
          <w:ilvl w:val="1"/>
          <w:numId w:val="502"/>
        </w:numPr>
        <w:rPr>
          <w:rFonts w:ascii="Arial" w:cs="Arial" w:eastAsia="Arial" w:hAnsi="Arial"/>
          <w:sz w:val="16"/>
          <w:szCs w:val="16"/>
          <w:color w:val="auto"/>
        </w:rPr>
      </w:pPr>
      <w:r>
        <w:rPr>
          <w:rFonts w:ascii="Arial" w:cs="Arial" w:eastAsia="Arial" w:hAnsi="Arial"/>
          <w:sz w:val="16"/>
          <w:szCs w:val="16"/>
          <w:color w:val="auto"/>
        </w:rPr>
        <w:t>any Synthetic Lethal relationship between any Pre-Option Campaign Lesion(s) or Collaboration Campaign Lesion(s) and any</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Druggable/LDD Target;</w:t>
      </w:r>
    </w:p>
    <w:p>
      <w:pPr>
        <w:spacing w:after="0" w:line="210" w:lineRule="exact"/>
        <w:rPr>
          <w:rFonts w:ascii="Arial" w:cs="Arial" w:eastAsia="Arial" w:hAnsi="Arial"/>
          <w:sz w:val="16"/>
          <w:szCs w:val="16"/>
          <w:color w:val="auto"/>
        </w:rPr>
      </w:pPr>
    </w:p>
    <w:p>
      <w:pPr>
        <w:ind w:left="1980" w:hanging="432"/>
        <w:spacing w:after="0"/>
        <w:tabs>
          <w:tab w:leader="none" w:pos="1980" w:val="left"/>
        </w:tabs>
        <w:numPr>
          <w:ilvl w:val="1"/>
          <w:numId w:val="502"/>
        </w:numPr>
        <w:rPr>
          <w:rFonts w:ascii="Arial" w:cs="Arial" w:eastAsia="Arial" w:hAnsi="Arial"/>
          <w:sz w:val="16"/>
          <w:szCs w:val="16"/>
          <w:color w:val="auto"/>
        </w:rPr>
      </w:pPr>
      <w:r>
        <w:rPr>
          <w:rFonts w:ascii="Arial" w:cs="Arial" w:eastAsia="Arial" w:hAnsi="Arial"/>
          <w:sz w:val="16"/>
          <w:szCs w:val="16"/>
          <w:color w:val="auto"/>
        </w:rPr>
        <w:t>any Synthetic Lethal relationship between any Lesion(s) and any Overlapping Undruggable Target or Prioritized Overlapping</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Undruggable Target; or</w:t>
      </w:r>
    </w:p>
    <w:p>
      <w:pPr>
        <w:spacing w:after="0" w:line="210" w:lineRule="exact"/>
        <w:rPr>
          <w:rFonts w:ascii="Arial" w:cs="Arial" w:eastAsia="Arial" w:hAnsi="Arial"/>
          <w:sz w:val="16"/>
          <w:szCs w:val="16"/>
          <w:color w:val="auto"/>
        </w:rPr>
      </w:pPr>
    </w:p>
    <w:p>
      <w:pPr>
        <w:ind w:left="1940" w:hanging="392"/>
        <w:spacing w:after="0"/>
        <w:tabs>
          <w:tab w:leader="none" w:pos="1940" w:val="left"/>
        </w:tabs>
        <w:numPr>
          <w:ilvl w:val="1"/>
          <w:numId w:val="502"/>
        </w:numPr>
        <w:rPr>
          <w:rFonts w:ascii="Arial" w:cs="Arial" w:eastAsia="Arial" w:hAnsi="Arial"/>
          <w:sz w:val="16"/>
          <w:szCs w:val="16"/>
          <w:color w:val="auto"/>
        </w:rPr>
      </w:pPr>
      <w:r>
        <w:rPr>
          <w:rFonts w:ascii="Arial" w:cs="Arial" w:eastAsia="Arial" w:hAnsi="Arial"/>
          <w:sz w:val="16"/>
          <w:szCs w:val="16"/>
          <w:color w:val="auto"/>
        </w:rPr>
        <w:t>the data or results from any work under this Agreement pertaining to any (i) Pre-Option Campaign or Collaboration Campaign,</w:t>
      </w:r>
    </w:p>
    <w:p>
      <w:pPr>
        <w:spacing w:after="0" w:line="46" w:lineRule="exact"/>
        <w:rPr>
          <w:rFonts w:ascii="Arial" w:cs="Arial" w:eastAsia="Arial" w:hAnsi="Arial"/>
          <w:sz w:val="16"/>
          <w:szCs w:val="16"/>
          <w:color w:val="auto"/>
        </w:rPr>
      </w:pPr>
    </w:p>
    <w:p>
      <w:pPr>
        <w:ind w:left="120" w:right="400" w:hanging="4"/>
        <w:spacing w:after="0" w:line="260" w:lineRule="auto"/>
        <w:tabs>
          <w:tab w:leader="none" w:pos="385" w:val="left"/>
        </w:tabs>
        <w:numPr>
          <w:ilvl w:val="0"/>
          <w:numId w:val="503"/>
        </w:numPr>
        <w:rPr>
          <w:rFonts w:ascii="Arial" w:cs="Arial" w:eastAsia="Arial" w:hAnsi="Arial"/>
          <w:sz w:val="18"/>
          <w:szCs w:val="18"/>
          <w:color w:val="auto"/>
        </w:rPr>
      </w:pPr>
      <w:r>
        <w:rPr>
          <w:rFonts w:ascii="Arial" w:cs="Arial" w:eastAsia="Arial" w:hAnsi="Arial"/>
          <w:sz w:val="18"/>
          <w:szCs w:val="18"/>
          <w:color w:val="auto"/>
        </w:rPr>
        <w:t>Overlapping Undruggable Target or Prioritized Overlapping Undruggable Target, or (iii) Selected Target, Validated Target, Unblinded Target or Collaboration Target;</w:t>
      </w:r>
    </w:p>
    <w:p>
      <w:pPr>
        <w:spacing w:after="0" w:line="185"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 xml:space="preserve">in each case ((a) through (d)) unless and until the applicable Campaign or Target becomes an Excluded Campaign or Excluded Target (as applicable); </w:t>
      </w:r>
      <w:r>
        <w:rPr>
          <w:rFonts w:ascii="Arial" w:cs="Arial" w:eastAsia="Arial" w:hAnsi="Arial"/>
          <w:sz w:val="16"/>
          <w:szCs w:val="16"/>
          <w:u w:val="single" w:color="auto"/>
          <w:color w:val="auto"/>
        </w:rPr>
        <w:t>except that</w:t>
      </w:r>
      <w:r>
        <w:rPr>
          <w:rFonts w:ascii="Arial" w:cs="Arial" w:eastAsia="Arial" w:hAnsi="Arial"/>
          <w:sz w:val="16"/>
          <w:szCs w:val="16"/>
          <w:color w:val="auto"/>
        </w:rPr>
        <w:t>, for clarity, if a given Target or Campaign becomes reinstated as a Collaboration Target or Collaboration Campaign (as applicable) pursuant to Section 2.13.3, the provisions of this Section 11.4 shall at such time again apply with respect to Publications thereon. Notwithstanding anything to the contrary herein, this Section 11.4 shall not apply to Publications with respect to (x) any Druggable/LDD Target that Repare excludes from any anonymized report pursuant to Section 2.5.1(b) other than Publications relating to any Pre-Option Campaign Lesion(s) or Collaboration Campaign Lesion(s), (y) any Synthetic Lethal relationship between any Excluded Target and any Campaign Lesion(s) other than Pre-Option Campaign Lesion(s) or Collaboration Campaign Lesion(s) and (z) any Overlapping Undruggable Target or Prioritized Overlapping Undruggable Target if such Publication</w:t>
      </w:r>
    </w:p>
    <w:p>
      <w:pPr>
        <w:spacing w:after="0" w:line="2" w:lineRule="exact"/>
        <w:rPr>
          <w:sz w:val="20"/>
          <w:szCs w:val="20"/>
          <w:color w:val="auto"/>
        </w:rPr>
      </w:pPr>
    </w:p>
    <w:p>
      <w:pPr>
        <w:ind w:left="120" w:hanging="4"/>
        <w:spacing w:after="0" w:line="255" w:lineRule="auto"/>
        <w:tabs>
          <w:tab w:leader="none" w:pos="335" w:val="left"/>
        </w:tabs>
        <w:numPr>
          <w:ilvl w:val="0"/>
          <w:numId w:val="504"/>
        </w:numPr>
        <w:rPr>
          <w:rFonts w:ascii="Arial" w:cs="Arial" w:eastAsia="Arial" w:hAnsi="Arial"/>
          <w:sz w:val="18"/>
          <w:szCs w:val="18"/>
          <w:color w:val="auto"/>
        </w:rPr>
      </w:pPr>
      <w:r>
        <w:rPr>
          <w:rFonts w:ascii="Arial" w:cs="Arial" w:eastAsia="Arial" w:hAnsi="Arial"/>
          <w:sz w:val="18"/>
          <w:szCs w:val="18"/>
          <w:color w:val="auto"/>
        </w:rPr>
        <w:t>does not relate to such Target’s [***] and (ii) would not otherwise be prohibited by Section 11.4.1(a)(i) or 11.4.1(a)(ii). For the avoidance of doubt, Repare shall not have the right to make any Publications with respect to Resulting Compounds or Products, or the use thereof, or the data or results from any work under this Agreement pertaining to such Resulting Compounds or Products.</w:t>
      </w:r>
    </w:p>
    <w:p>
      <w:pPr>
        <w:spacing w:after="0" w:line="190" w:lineRule="exact"/>
        <w:rPr>
          <w:sz w:val="20"/>
          <w:szCs w:val="20"/>
          <w:color w:val="auto"/>
        </w:rPr>
      </w:pPr>
    </w:p>
    <w:p>
      <w:pPr>
        <w:ind w:left="120" w:right="40" w:firstLine="991"/>
        <w:spacing w:after="0" w:line="289" w:lineRule="auto"/>
        <w:rPr>
          <w:sz w:val="20"/>
          <w:szCs w:val="20"/>
          <w:color w:val="auto"/>
        </w:rPr>
      </w:pPr>
      <w:r>
        <w:rPr>
          <w:rFonts w:ascii="Arial" w:cs="Arial" w:eastAsia="Arial" w:hAnsi="Arial"/>
          <w:sz w:val="16"/>
          <w:szCs w:val="16"/>
          <w:color w:val="auto"/>
        </w:rPr>
        <w:t xml:space="preserve">11.4.2 </w:t>
      </w:r>
      <w:r>
        <w:rPr>
          <w:rFonts w:ascii="Arial" w:cs="Arial" w:eastAsia="Arial" w:hAnsi="Arial"/>
          <w:sz w:val="16"/>
          <w:szCs w:val="16"/>
          <w:u w:val="single" w:color="auto"/>
          <w:color w:val="auto"/>
        </w:rPr>
        <w:t>BMS</w:t>
      </w:r>
      <w:r>
        <w:rPr>
          <w:rFonts w:ascii="Arial" w:cs="Arial" w:eastAsia="Arial" w:hAnsi="Arial"/>
          <w:sz w:val="16"/>
          <w:szCs w:val="16"/>
          <w:color w:val="auto"/>
        </w:rPr>
        <w:t xml:space="preserve">. From and after BMS’s exercise of its Option with respect to a Primary Campaign or an Unblinded Undruggable Target (as applicable), BMS shall have the right to make Publications with respect to such Primary Campaign or an Unblinded Undruggable Target without the prior written consent of Repare; </w:t>
      </w:r>
      <w:r>
        <w:rPr>
          <w:rFonts w:ascii="Arial" w:cs="Arial" w:eastAsia="Arial" w:hAnsi="Arial"/>
          <w:sz w:val="16"/>
          <w:szCs w:val="16"/>
          <w:u w:val="single" w:color="auto"/>
          <w:color w:val="auto"/>
        </w:rPr>
        <w:t>provided that</w:t>
      </w:r>
      <w:r>
        <w:rPr>
          <w:rFonts w:ascii="Arial" w:cs="Arial" w:eastAsia="Arial" w:hAnsi="Arial"/>
          <w:sz w:val="16"/>
          <w:szCs w:val="16"/>
          <w:color w:val="auto"/>
        </w:rPr>
        <w:t>, in the event that BMS desires to make a Publication that may disclose the Confidential Information of Repare, BMS shall provide a copy of the proposed Publication (including abstracts, or presentations to a journal, editor, meeting, seminar or other Third Party) to Repare for comment at least [***] prior to submission of such proposed manuscript for publication (or [***] in the case of an abstract or presentation). If, during such [***] or [***] period (as applicable), Repare notifies BMS that such proposed Publication contains the Confidential Information of Repare, Repare may, by written notice to BMS, delay the Publication for a period of time not to exceed [***] from the date of such written notice for BMS to revise such proposed Publication to remove the Repare Confidential Information. Prior to submission for publication, BMS shall delete from the proposed Publication all Confidential Information of Repare that Repare identifies in good faith and requests to be deleted.</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60" w:right="479" w:bottom="1440" w:gutter="0" w:footer="0" w:header="0"/>
        </w:sectPr>
      </w:pPr>
    </w:p>
    <w:bookmarkStart w:id="748" w:name="page749"/>
    <w:bookmarkEnd w:id="7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Term</w:t>
      </w:r>
      <w:r>
        <w:rPr>
          <w:rFonts w:ascii="Arial" w:cs="Arial" w:eastAsia="Arial" w:hAnsi="Arial"/>
          <w:sz w:val="18"/>
          <w:szCs w:val="18"/>
          <w:color w:val="auto"/>
        </w:rPr>
        <w:t>. All obligations under Sections 11.1, 11.2, 11.3 and 11.6 shall survive termination or expiration of this Agreement and shall expire [***] following termination or expiration of this Agreement. [***].</w:t>
      </w:r>
    </w:p>
    <w:p>
      <w:pPr>
        <w:spacing w:after="0" w:line="170"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u w:val="single" w:color="auto"/>
          <w:color w:val="auto"/>
        </w:rPr>
        <w:t>Return of Confidential Information.</w:t>
      </w:r>
    </w:p>
    <w:p>
      <w:pPr>
        <w:spacing w:after="0" w:line="225" w:lineRule="exact"/>
        <w:rPr>
          <w:sz w:val="20"/>
          <w:szCs w:val="20"/>
          <w:color w:val="auto"/>
        </w:rPr>
      </w:pPr>
    </w:p>
    <w:p>
      <w:pPr>
        <w:jc w:val="both"/>
        <w:ind w:left="120" w:right="560" w:firstLine="991"/>
        <w:spacing w:after="0" w:line="286" w:lineRule="auto"/>
        <w:rPr>
          <w:sz w:val="20"/>
          <w:szCs w:val="20"/>
          <w:color w:val="auto"/>
        </w:rPr>
      </w:pPr>
      <w:r>
        <w:rPr>
          <w:rFonts w:ascii="Arial" w:cs="Arial" w:eastAsia="Arial" w:hAnsi="Arial"/>
          <w:sz w:val="17"/>
          <w:szCs w:val="17"/>
          <w:color w:val="auto"/>
        </w:rPr>
        <w:t xml:space="preserve">11.6.1 </w:t>
      </w:r>
      <w:r>
        <w:rPr>
          <w:rFonts w:ascii="Arial" w:cs="Arial" w:eastAsia="Arial" w:hAnsi="Arial"/>
          <w:sz w:val="17"/>
          <w:szCs w:val="17"/>
          <w:u w:val="single" w:color="auto"/>
          <w:color w:val="auto"/>
        </w:rPr>
        <w:t>Return and Destruction</w:t>
      </w:r>
      <w:r>
        <w:rPr>
          <w:rFonts w:ascii="Arial" w:cs="Arial" w:eastAsia="Arial" w:hAnsi="Arial"/>
          <w:sz w:val="17"/>
          <w:szCs w:val="17"/>
          <w:color w:val="auto"/>
        </w:rPr>
        <w:t>. Upon the expiration or termination of this Agreement or as required pursuant to Section 2.13, the Receiving Party shall return to the Disclosing Party all Confidential Information received by the Receiving Party or any of its Affiliates from the Disclosing Party or any of its Affiliates (and all copies and reproductions thereof). In addition, the Receiving Party shall destroy:</w:t>
      </w:r>
    </w:p>
    <w:p>
      <w:pPr>
        <w:spacing w:after="0" w:line="57" w:lineRule="exact"/>
        <w:rPr>
          <w:sz w:val="20"/>
          <w:szCs w:val="20"/>
          <w:color w:val="auto"/>
        </w:rPr>
      </w:pPr>
    </w:p>
    <w:p>
      <w:pPr>
        <w:ind w:left="120" w:right="620" w:firstLine="1428"/>
        <w:spacing w:after="0" w:line="277" w:lineRule="auto"/>
        <w:tabs>
          <w:tab w:leader="none" w:pos="1932" w:val="left"/>
        </w:tabs>
        <w:numPr>
          <w:ilvl w:val="0"/>
          <w:numId w:val="505"/>
        </w:numPr>
        <w:rPr>
          <w:rFonts w:ascii="Arial" w:cs="Arial" w:eastAsia="Arial" w:hAnsi="Arial"/>
          <w:sz w:val="18"/>
          <w:szCs w:val="18"/>
          <w:color w:val="auto"/>
        </w:rPr>
      </w:pPr>
      <w:r>
        <w:rPr>
          <w:rFonts w:ascii="Arial" w:cs="Arial" w:eastAsia="Arial" w:hAnsi="Arial"/>
          <w:sz w:val="18"/>
          <w:szCs w:val="18"/>
          <w:color w:val="auto"/>
        </w:rPr>
        <w:t>any notes, reports or other documents prepared by the Receiving Party or any of its Affiliates that contain Confidential Information of the Disclosing Party or any of its Affiliates; and</w:t>
      </w:r>
    </w:p>
    <w:p>
      <w:pPr>
        <w:spacing w:after="0" w:line="170" w:lineRule="exact"/>
        <w:rPr>
          <w:rFonts w:ascii="Arial" w:cs="Arial" w:eastAsia="Arial" w:hAnsi="Arial"/>
          <w:sz w:val="18"/>
          <w:szCs w:val="18"/>
          <w:color w:val="auto"/>
        </w:rPr>
      </w:pPr>
    </w:p>
    <w:p>
      <w:pPr>
        <w:ind w:left="120" w:firstLine="1428"/>
        <w:spacing w:after="0" w:line="277" w:lineRule="auto"/>
        <w:tabs>
          <w:tab w:leader="none" w:pos="1942" w:val="left"/>
        </w:tabs>
        <w:numPr>
          <w:ilvl w:val="0"/>
          <w:numId w:val="505"/>
        </w:numPr>
        <w:rPr>
          <w:rFonts w:ascii="Arial" w:cs="Arial" w:eastAsia="Arial" w:hAnsi="Arial"/>
          <w:sz w:val="18"/>
          <w:szCs w:val="18"/>
          <w:color w:val="auto"/>
        </w:rPr>
      </w:pPr>
      <w:r>
        <w:rPr>
          <w:rFonts w:ascii="Arial" w:cs="Arial" w:eastAsia="Arial" w:hAnsi="Arial"/>
          <w:sz w:val="18"/>
          <w:szCs w:val="18"/>
          <w:color w:val="auto"/>
        </w:rPr>
        <w:t>any Confidential Information of the Disclosing Party or any of its Affiliates (and all copies and reproductions thereof) that is in electronic form or cannot otherwise be returned to the Disclosing Party.</w:t>
      </w:r>
    </w:p>
    <w:p>
      <w:pPr>
        <w:spacing w:after="0" w:line="170" w:lineRule="exact"/>
        <w:rPr>
          <w:sz w:val="20"/>
          <w:szCs w:val="20"/>
          <w:color w:val="auto"/>
        </w:rPr>
      </w:pPr>
    </w:p>
    <w:p>
      <w:pPr>
        <w:ind w:left="120" w:right="140" w:firstLine="991"/>
        <w:spacing w:after="0" w:line="257" w:lineRule="auto"/>
        <w:rPr>
          <w:sz w:val="20"/>
          <w:szCs w:val="20"/>
          <w:color w:val="auto"/>
        </w:rPr>
      </w:pPr>
      <w:r>
        <w:rPr>
          <w:rFonts w:ascii="Arial" w:cs="Arial" w:eastAsia="Arial" w:hAnsi="Arial"/>
          <w:sz w:val="18"/>
          <w:szCs w:val="18"/>
          <w:color w:val="auto"/>
        </w:rPr>
        <w:t xml:space="preserve">11.6.2 </w:t>
      </w:r>
      <w:r>
        <w:rPr>
          <w:rFonts w:ascii="Arial" w:cs="Arial" w:eastAsia="Arial" w:hAnsi="Arial"/>
          <w:sz w:val="18"/>
          <w:szCs w:val="18"/>
          <w:u w:val="single" w:color="auto"/>
          <w:color w:val="auto"/>
        </w:rPr>
        <w:t>Destruction</w:t>
      </w:r>
      <w:r>
        <w:rPr>
          <w:rFonts w:ascii="Arial" w:cs="Arial" w:eastAsia="Arial" w:hAnsi="Arial"/>
          <w:sz w:val="18"/>
          <w:szCs w:val="18"/>
          <w:color w:val="auto"/>
        </w:rPr>
        <w:t>. Alternatively, upon written request of the Disclosing Party, the Receiving Party shall destroy all Confidential Information received by the Receiving Party or any of its Affiliates from the Disclosing Party or any of its Affiliates (and all copies and reproductions thereof) and any notes, reports or other documents prepared by the Receiving Party or any of its Affiliates that contain Confidential Information of the Disclosing Party or any of its Affiliates. Any destruction of Confidential Information shall be certified in writing to the Disclosing Party by an authorized officer of the Receiving Party supervising such destruction.</w:t>
      </w:r>
    </w:p>
    <w:p>
      <w:pPr>
        <w:spacing w:after="0" w:line="188"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 xml:space="preserve">11.6.3 </w:t>
      </w:r>
      <w:r>
        <w:rPr>
          <w:rFonts w:ascii="Arial" w:cs="Arial" w:eastAsia="Arial" w:hAnsi="Arial"/>
          <w:sz w:val="18"/>
          <w:szCs w:val="18"/>
          <w:u w:val="single" w:color="auto"/>
          <w:color w:val="auto"/>
        </w:rPr>
        <w:t>Back-Up Media</w:t>
      </w:r>
      <w:r>
        <w:rPr>
          <w:rFonts w:ascii="Arial" w:cs="Arial" w:eastAsia="Arial" w:hAnsi="Arial"/>
          <w:sz w:val="18"/>
          <w:szCs w:val="18"/>
          <w:color w:val="auto"/>
        </w:rPr>
        <w:t>. Nothing in this Section 11.6 shall require the alteration, modification, deletion or destruction of archival tapes or other electronic back-up media made in the ordinary course of business, but the Receiving Party shall continue to be bound indefinitely by its obligations of confidentiality and other obligations under this ARTICLE XI with respect to any Confidential Information contained in such archival tapes or other electronic back-up media.</w:t>
      </w:r>
    </w:p>
    <w:p>
      <w:pPr>
        <w:spacing w:after="0" w:line="187"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11.6.4</w:t>
      </w:r>
      <w:r>
        <w:rPr>
          <w:sz w:val="20"/>
          <w:szCs w:val="20"/>
          <w:color w:val="auto"/>
        </w:rPr>
        <w:tab/>
      </w:r>
      <w:r>
        <w:rPr>
          <w:rFonts w:ascii="Arial" w:cs="Arial" w:eastAsia="Arial" w:hAnsi="Arial"/>
          <w:sz w:val="16"/>
          <w:szCs w:val="16"/>
          <w:u w:val="single" w:color="auto"/>
          <w:color w:val="auto"/>
        </w:rPr>
        <w:t>Exceptions</w:t>
      </w:r>
      <w:r>
        <w:rPr>
          <w:rFonts w:ascii="Arial" w:cs="Arial" w:eastAsia="Arial" w:hAnsi="Arial"/>
          <w:sz w:val="16"/>
          <w:szCs w:val="16"/>
          <w:color w:val="auto"/>
        </w:rPr>
        <w:t>. Notwithstanding the foregoing,</w:t>
      </w:r>
    </w:p>
    <w:p>
      <w:pPr>
        <w:spacing w:after="0" w:line="117" w:lineRule="exact"/>
        <w:rPr>
          <w:sz w:val="20"/>
          <w:szCs w:val="20"/>
          <w:color w:val="auto"/>
        </w:rPr>
      </w:pPr>
    </w:p>
    <w:p>
      <w:pPr>
        <w:ind w:left="120" w:right="40" w:firstLine="1428"/>
        <w:spacing w:after="0" w:line="277" w:lineRule="auto"/>
        <w:tabs>
          <w:tab w:leader="none" w:pos="1932"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the Receiving Party’s legal counsel may retain one copy of the Disclosing Party’s (and its Affiliates’) Confidential Information solely for the purpose of determining the Receiving Party’s continuing obligations under this ARTICLE XI; and</w:t>
      </w:r>
    </w:p>
    <w:p>
      <w:pPr>
        <w:spacing w:after="0" w:line="170" w:lineRule="exact"/>
        <w:rPr>
          <w:rFonts w:ascii="Arial" w:cs="Arial" w:eastAsia="Arial" w:hAnsi="Arial"/>
          <w:sz w:val="18"/>
          <w:szCs w:val="18"/>
          <w:color w:val="auto"/>
        </w:rPr>
      </w:pPr>
    </w:p>
    <w:p>
      <w:pPr>
        <w:ind w:left="120" w:right="20" w:firstLine="1428"/>
        <w:spacing w:after="0" w:line="311" w:lineRule="auto"/>
        <w:tabs>
          <w:tab w:leader="none" w:pos="1942" w:val="left"/>
        </w:tabs>
        <w:numPr>
          <w:ilvl w:val="0"/>
          <w:numId w:val="506"/>
        </w:numPr>
        <w:rPr>
          <w:rFonts w:ascii="Arial" w:cs="Arial" w:eastAsia="Arial" w:hAnsi="Arial"/>
          <w:sz w:val="16"/>
          <w:szCs w:val="16"/>
          <w:color w:val="auto"/>
        </w:rPr>
      </w:pPr>
      <w:r>
        <w:rPr>
          <w:rFonts w:ascii="Arial" w:cs="Arial" w:eastAsia="Arial" w:hAnsi="Arial"/>
          <w:sz w:val="16"/>
          <w:szCs w:val="16"/>
          <w:color w:val="auto"/>
        </w:rPr>
        <w:t>the Receiving Party may retain the Disclosing Party’s (and its Affiliates’) Confidential Information and its own notes, reports and other documents to the extent reasonably required (i) to exercise the rights and licenses of the Receiving Party expressly surviving expiration or termination of this Agreement; or (ii) to perform the obligations of the Receiving Party expressly surviving expiration or termination of this Agreement.</w:t>
      </w:r>
    </w:p>
    <w:p>
      <w:pPr>
        <w:spacing w:after="0" w:line="81" w:lineRule="exact"/>
        <w:rPr>
          <w:rFonts w:ascii="Arial" w:cs="Arial" w:eastAsia="Arial" w:hAnsi="Arial"/>
          <w:sz w:val="16"/>
          <w:szCs w:val="16"/>
          <w:color w:val="auto"/>
        </w:rPr>
      </w:pPr>
    </w:p>
    <w:p>
      <w:pPr>
        <w:ind w:left="5540" w:hanging="111"/>
        <w:spacing w:after="0"/>
        <w:tabs>
          <w:tab w:leader="none" w:pos="5540" w:val="left"/>
        </w:tabs>
        <w:numPr>
          <w:ilvl w:val="1"/>
          <w:numId w:val="506"/>
        </w:numPr>
        <w:rPr>
          <w:rFonts w:ascii="Arial" w:cs="Arial" w:eastAsia="Arial" w:hAnsi="Arial"/>
          <w:sz w:val="18"/>
          <w:szCs w:val="18"/>
          <w:color w:val="auto"/>
        </w:rPr>
      </w:pPr>
      <w:r>
        <w:rPr>
          <w:rFonts w:ascii="Arial" w:cs="Arial" w:eastAsia="Arial" w:hAnsi="Arial"/>
          <w:sz w:val="18"/>
          <w:szCs w:val="18"/>
          <w:color w:val="auto"/>
        </w:rPr>
        <w:t>69 -</w:t>
      </w:r>
    </w:p>
    <w:p>
      <w:pPr>
        <w:sectPr>
          <w:pgSz w:w="11900" w:h="16838" w:orient="portrait"/>
          <w:cols w:equalWidth="0" w:num="1">
            <w:col w:w="11080"/>
          </w:cols>
          <w:pgMar w:left="320" w:top="460" w:right="499" w:bottom="1440" w:gutter="0" w:footer="0" w:header="0"/>
        </w:sectPr>
      </w:pPr>
    </w:p>
    <w:bookmarkStart w:id="749" w:name="page750"/>
    <w:bookmarkEnd w:id="7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Notwithstanding the return or destruction of the Disclosing Party’s (and its Affiliates’) Confidential Information, the Receiving Party shall continue to be bound by its obligations of confidentiality and other obligations under this ARTICLE XI.</w:t>
      </w:r>
    </w:p>
    <w:p>
      <w:pPr>
        <w:spacing w:after="0" w:line="170" w:lineRule="exact"/>
        <w:rPr>
          <w:sz w:val="20"/>
          <w:szCs w:val="20"/>
          <w:color w:val="auto"/>
        </w:rPr>
      </w:pPr>
    </w:p>
    <w:p>
      <w:pPr>
        <w:ind w:left="120" w:firstLine="991"/>
        <w:spacing w:after="0" w:line="270" w:lineRule="auto"/>
        <w:rPr>
          <w:sz w:val="20"/>
          <w:szCs w:val="20"/>
          <w:color w:val="auto"/>
        </w:rPr>
      </w:pPr>
      <w:r>
        <w:rPr>
          <w:rFonts w:ascii="Arial" w:cs="Arial" w:eastAsia="Arial" w:hAnsi="Arial"/>
          <w:sz w:val="17"/>
          <w:szCs w:val="17"/>
          <w:color w:val="auto"/>
        </w:rPr>
        <w:t xml:space="preserve">11.6.5 </w:t>
      </w:r>
      <w:r>
        <w:rPr>
          <w:rFonts w:ascii="Arial" w:cs="Arial" w:eastAsia="Arial" w:hAnsi="Arial"/>
          <w:sz w:val="17"/>
          <w:szCs w:val="17"/>
          <w:u w:val="single" w:color="auto"/>
          <w:color w:val="auto"/>
        </w:rPr>
        <w:t>Secure Information Exchange</w:t>
      </w:r>
      <w:r>
        <w:rPr>
          <w:rFonts w:ascii="Arial" w:cs="Arial" w:eastAsia="Arial" w:hAnsi="Arial"/>
          <w:sz w:val="17"/>
          <w:szCs w:val="17"/>
          <w:color w:val="auto"/>
        </w:rPr>
        <w:t>. The Parties will establish a common secure information exchange platform compliant with BMS Information Security practices for the purpose of electronically sharing information accessible to each Party for the receipt, review, investigation, recordation, communication, and exchange (as between the Parties) of data, information, correspondence and other materials required to be exchanged by the Parties hereunder (the “</w:t>
      </w:r>
      <w:r>
        <w:rPr>
          <w:rFonts w:ascii="Arial" w:cs="Arial" w:eastAsia="Arial" w:hAnsi="Arial"/>
          <w:sz w:val="17"/>
          <w:szCs w:val="17"/>
          <w:u w:val="single" w:color="auto"/>
          <w:color w:val="auto"/>
        </w:rPr>
        <w:t>Secure Information Exchange</w:t>
      </w:r>
      <w:r>
        <w:rPr>
          <w:rFonts w:ascii="Arial" w:cs="Arial" w:eastAsia="Arial" w:hAnsi="Arial"/>
          <w:sz w:val="17"/>
          <w:szCs w:val="17"/>
          <w:color w:val="auto"/>
        </w:rPr>
        <w:t>”). The JSC shall establish guidelines and procedures for utilizing the Secure Information Exchange which shall be in accordance with, and enable the Parties and their Affiliates to fulfill their reporting obligations under, applicable Law. Without limiting the foregoing, unless otherwise agreed to by the Parties, any non-anonymized (</w:t>
      </w:r>
      <w:r>
        <w:rPr>
          <w:rFonts w:ascii="Arial" w:cs="Arial" w:eastAsia="Arial" w:hAnsi="Arial"/>
          <w:sz w:val="17"/>
          <w:szCs w:val="17"/>
          <w:i w:val="1"/>
          <w:iCs w:val="1"/>
          <w:color w:val="auto"/>
        </w:rPr>
        <w:t>i.e.</w:t>
      </w:r>
      <w:r>
        <w:rPr>
          <w:rFonts w:ascii="Arial" w:cs="Arial" w:eastAsia="Arial" w:hAnsi="Arial"/>
          <w:sz w:val="17"/>
          <w:szCs w:val="17"/>
          <w:color w:val="auto"/>
        </w:rPr>
        <w:t>, unblinded) data or information provided to the Internal BMS Gatekeeper, the Firewalled Scientist or the JSC hereunder pursuant to the applicable provisions of ARTICLE II shall be stored on a Secure Information Exchange hosted and controlled by Repare (and not BMS) and made accessible to the Internal BMS Gatekeeper, the Firewalled Scientist or the JSC solely through the Secure Information Exchange.</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REPRESENTATIONS AND WARRANTIES</w:t>
      </w:r>
    </w:p>
    <w:p>
      <w:pPr>
        <w:spacing w:after="0" w:line="211"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u w:val="single" w:color="auto"/>
          <w:color w:val="auto"/>
        </w:rPr>
        <w:t>Mutual Representations</w:t>
      </w:r>
      <w:r>
        <w:rPr>
          <w:rFonts w:ascii="Arial" w:cs="Arial" w:eastAsia="Arial" w:hAnsi="Arial"/>
          <w:sz w:val="16"/>
          <w:szCs w:val="16"/>
          <w:color w:val="auto"/>
        </w:rPr>
        <w:t>. Repare and BMS each represents, warrants and covenants to the other Party, as of the Effective Date, that:</w:t>
      </w:r>
    </w:p>
    <w:p>
      <w:pPr>
        <w:spacing w:after="0" w:line="117"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Authority</w:t>
      </w:r>
      <w:r>
        <w:rPr>
          <w:rFonts w:ascii="Arial" w:cs="Arial" w:eastAsia="Arial" w:hAnsi="Arial"/>
          <w:sz w:val="18"/>
          <w:szCs w:val="18"/>
          <w:color w:val="auto"/>
        </w:rPr>
        <w:t>. Such Party is duly organized, validly existing and in good standing under the Laws of the jurisdiction of its formation and has full corporate power and authority to enter into this Agreement, and to carry out the provisions hereof.</w:t>
      </w:r>
    </w:p>
    <w:p>
      <w:pPr>
        <w:spacing w:after="0" w:line="170" w:lineRule="exact"/>
        <w:rPr>
          <w:sz w:val="20"/>
          <w:szCs w:val="20"/>
          <w:color w:val="auto"/>
        </w:rPr>
      </w:pPr>
    </w:p>
    <w:p>
      <w:pPr>
        <w:jc w:val="both"/>
        <w:ind w:left="120" w:right="180" w:firstLine="991"/>
        <w:spacing w:after="0" w:line="263"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Consents</w:t>
      </w:r>
      <w:r>
        <w:rPr>
          <w:rFonts w:ascii="Arial" w:cs="Arial" w:eastAsia="Arial" w:hAnsi="Arial"/>
          <w:sz w:val="18"/>
          <w:szCs w:val="18"/>
          <w:color w:val="auto"/>
        </w:rPr>
        <w:t>. All necessary consents, approvals and authorizations of all Government Authorities and other Persons required to be obtained by such Party as of the Effective Date in connection with the execution, delivery and performance of this Agreement, and the performance of such Party’s obligations hereunder, have been obtained.</w:t>
      </w:r>
    </w:p>
    <w:p>
      <w:pPr>
        <w:spacing w:after="0" w:line="184" w:lineRule="exact"/>
        <w:rPr>
          <w:sz w:val="20"/>
          <w:szCs w:val="20"/>
          <w:color w:val="auto"/>
        </w:rPr>
      </w:pPr>
    </w:p>
    <w:p>
      <w:pPr>
        <w:jc w:val="both"/>
        <w:ind w:left="120" w:right="180" w:firstLine="991"/>
        <w:spacing w:after="0" w:line="291" w:lineRule="auto"/>
        <w:rPr>
          <w:sz w:val="20"/>
          <w:szCs w:val="20"/>
          <w:color w:val="auto"/>
        </w:rPr>
      </w:pPr>
      <w:r>
        <w:rPr>
          <w:rFonts w:ascii="Arial" w:cs="Arial" w:eastAsia="Arial" w:hAnsi="Arial"/>
          <w:sz w:val="16"/>
          <w:szCs w:val="16"/>
          <w:color w:val="auto"/>
        </w:rPr>
        <w:t xml:space="preserve">12.1.3 </w:t>
      </w:r>
      <w:r>
        <w:rPr>
          <w:rFonts w:ascii="Arial" w:cs="Arial" w:eastAsia="Arial" w:hAnsi="Arial"/>
          <w:sz w:val="16"/>
          <w:szCs w:val="16"/>
          <w:u w:val="single" w:color="auto"/>
          <w:color w:val="auto"/>
        </w:rPr>
        <w:t>No Conflict</w:t>
      </w:r>
      <w:r>
        <w:rPr>
          <w:rFonts w:ascii="Arial" w:cs="Arial" w:eastAsia="Arial" w:hAnsi="Arial"/>
          <w:sz w:val="16"/>
          <w:szCs w:val="16"/>
          <w:color w:val="auto"/>
        </w:rPr>
        <w:t>. Notwithstanding anything to the contrary in this Agreement, the execution and delivery of this Agreement, the performance of such Party’s obligations under this Agreement and the licenses and sublicenses to be granted by such Party pursuant to this Agreement</w:t>
      </w:r>
    </w:p>
    <w:p>
      <w:pPr>
        <w:ind w:left="120" w:right="100" w:hanging="4"/>
        <w:spacing w:after="0" w:line="255" w:lineRule="auto"/>
        <w:tabs>
          <w:tab w:leader="none" w:pos="365" w:val="left"/>
        </w:tabs>
        <w:numPr>
          <w:ilvl w:val="0"/>
          <w:numId w:val="507"/>
        </w:numPr>
        <w:rPr>
          <w:rFonts w:ascii="Arial" w:cs="Arial" w:eastAsia="Arial" w:hAnsi="Arial"/>
          <w:sz w:val="18"/>
          <w:szCs w:val="18"/>
          <w:color w:val="auto"/>
        </w:rPr>
      </w:pPr>
      <w:r>
        <w:rPr>
          <w:rFonts w:ascii="Arial" w:cs="Arial" w:eastAsia="Arial" w:hAnsi="Arial"/>
          <w:sz w:val="18"/>
          <w:szCs w:val="18"/>
          <w:color w:val="auto"/>
        </w:rPr>
        <w:t>do not and will not conflict with or violate any requirement of applicable Laws existing as of the Effective Date and (b) do not and will not conflict with, violate, breach or constitute a default under any agreement or any provision thereof, or any contract, oral or written, to which such Party or any of its Affiliates is a party or by which such Party or any of its Affiliates is bound, existing as of the Effective Date.</w:t>
      </w:r>
    </w:p>
    <w:p>
      <w:pPr>
        <w:spacing w:after="0" w:line="190" w:lineRule="exact"/>
        <w:rPr>
          <w:sz w:val="20"/>
          <w:szCs w:val="20"/>
          <w:color w:val="auto"/>
        </w:rPr>
      </w:pPr>
    </w:p>
    <w:p>
      <w:pPr>
        <w:ind w:left="120" w:right="180" w:firstLine="991"/>
        <w:spacing w:after="0" w:line="263"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Enforceability</w:t>
      </w:r>
      <w:r>
        <w:rPr>
          <w:rFonts w:ascii="Arial" w:cs="Arial" w:eastAsia="Arial" w:hAnsi="Arial"/>
          <w:sz w:val="18"/>
          <w:szCs w:val="18"/>
          <w:color w:val="auto"/>
        </w:rPr>
        <w:t>. This Agreement has been duly executed and delivered on behalf of such Party and is a legal and valid obligation binding upon such Party and is enforceable in accordance with its terms, subject to applicable bankruptcy, insolvency, moratorium and other similar Laws affecting creditors’ rights generally and by general principles of equity.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60" w:right="459" w:bottom="1440" w:gutter="0" w:footer="0" w:header="0"/>
        </w:sectPr>
      </w:pPr>
    </w:p>
    <w:bookmarkStart w:id="750" w:name="page751"/>
    <w:bookmarkEnd w:id="7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86" w:lineRule="auto"/>
        <w:rPr>
          <w:sz w:val="20"/>
          <w:szCs w:val="20"/>
          <w:color w:val="auto"/>
        </w:rPr>
      </w:pPr>
      <w:r>
        <w:rPr>
          <w:rFonts w:ascii="Arial" w:cs="Arial" w:eastAsia="Arial" w:hAnsi="Arial"/>
          <w:sz w:val="17"/>
          <w:szCs w:val="17"/>
          <w:color w:val="auto"/>
        </w:rPr>
        <w:t xml:space="preserve">12.1.5 </w:t>
      </w:r>
      <w:r>
        <w:rPr>
          <w:rFonts w:ascii="Arial" w:cs="Arial" w:eastAsia="Arial" w:hAnsi="Arial"/>
          <w:sz w:val="17"/>
          <w:szCs w:val="17"/>
          <w:u w:val="single" w:color="auto"/>
          <w:color w:val="auto"/>
        </w:rPr>
        <w:t>Employee Obligations</w:t>
      </w:r>
      <w:r>
        <w:rPr>
          <w:rFonts w:ascii="Arial" w:cs="Arial" w:eastAsia="Arial" w:hAnsi="Arial"/>
          <w:sz w:val="17"/>
          <w:szCs w:val="17"/>
          <w:color w:val="auto"/>
        </w:rPr>
        <w:t>. To such Party’s knowledge, none of such Party’s or its Affiliates’ employees who have been, are or will be involved in conducting activities under this Agreement are, as a result of the nature of such activities to be conducted by the Parties, in violation of any covenant in any contract with a Third Party relating to non-disclosure of proprietary information, noncompetition or non-solicitation.</w:t>
      </w:r>
    </w:p>
    <w:p>
      <w:pPr>
        <w:spacing w:after="0" w:line="165"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Additional Repare Representations</w:t>
      </w:r>
      <w:r>
        <w:rPr>
          <w:rFonts w:ascii="Arial" w:cs="Arial" w:eastAsia="Arial" w:hAnsi="Arial"/>
          <w:sz w:val="16"/>
          <w:szCs w:val="16"/>
          <w:color w:val="auto"/>
        </w:rPr>
        <w:t>. Repare represents, warrants and covenants to BMS, as of the Effective Date, as follows:</w:t>
      </w:r>
    </w:p>
    <w:p>
      <w:pPr>
        <w:spacing w:after="0" w:line="117" w:lineRule="exact"/>
        <w:rPr>
          <w:sz w:val="20"/>
          <w:szCs w:val="20"/>
          <w:color w:val="auto"/>
        </w:rPr>
      </w:pPr>
    </w:p>
    <w:p>
      <w:pPr>
        <w:ind w:left="120" w:right="480" w:firstLine="991"/>
        <w:spacing w:after="0" w:line="277" w:lineRule="auto"/>
        <w:rPr>
          <w:sz w:val="20"/>
          <w:szCs w:val="20"/>
          <w:color w:val="auto"/>
        </w:rPr>
      </w:pPr>
      <w:r>
        <w:rPr>
          <w:rFonts w:ascii="Arial" w:cs="Arial" w:eastAsia="Arial" w:hAnsi="Arial"/>
          <w:sz w:val="18"/>
          <w:szCs w:val="18"/>
          <w:color w:val="auto"/>
        </w:rPr>
        <w:t xml:space="preserve">12.2.1 </w:t>
      </w:r>
      <w:r>
        <w:rPr>
          <w:rFonts w:ascii="Arial" w:cs="Arial" w:eastAsia="Arial" w:hAnsi="Arial"/>
          <w:sz w:val="18"/>
          <w:szCs w:val="18"/>
          <w:u w:val="single" w:color="auto"/>
          <w:color w:val="auto"/>
        </w:rPr>
        <w:t>Sufficient Rights</w:t>
      </w:r>
      <w:r>
        <w:rPr>
          <w:rFonts w:ascii="Arial" w:cs="Arial" w:eastAsia="Arial" w:hAnsi="Arial"/>
          <w:sz w:val="18"/>
          <w:szCs w:val="18"/>
          <w:color w:val="auto"/>
        </w:rPr>
        <w:t>. Repare possesses sufficient rights, authorizations and consents necessary to grant all rights and licenses it purports to grant to BMS with respect to the Repare Intellectual Property under this Agreement.</w:t>
      </w:r>
    </w:p>
    <w:p>
      <w:pPr>
        <w:spacing w:after="0" w:line="170" w:lineRule="exact"/>
        <w:rPr>
          <w:sz w:val="20"/>
          <w:szCs w:val="20"/>
          <w:color w:val="auto"/>
        </w:rPr>
      </w:pPr>
    </w:p>
    <w:p>
      <w:pPr>
        <w:ind w:left="120" w:right="120" w:firstLine="991"/>
        <w:spacing w:after="0" w:line="263" w:lineRule="auto"/>
        <w:rPr>
          <w:sz w:val="20"/>
          <w:szCs w:val="20"/>
          <w:color w:val="auto"/>
        </w:rPr>
      </w:pPr>
      <w:r>
        <w:rPr>
          <w:rFonts w:ascii="Arial" w:cs="Arial" w:eastAsia="Arial" w:hAnsi="Arial"/>
          <w:sz w:val="18"/>
          <w:szCs w:val="18"/>
          <w:color w:val="auto"/>
        </w:rPr>
        <w:t xml:space="preserve">12.2.2 </w:t>
      </w:r>
      <w:r>
        <w:rPr>
          <w:rFonts w:ascii="Arial" w:cs="Arial" w:eastAsia="Arial" w:hAnsi="Arial"/>
          <w:sz w:val="18"/>
          <w:szCs w:val="18"/>
          <w:u w:val="single" w:color="auto"/>
          <w:color w:val="auto"/>
        </w:rPr>
        <w:t>Encumbrances</w:t>
      </w:r>
      <w:r>
        <w:rPr>
          <w:rFonts w:ascii="Arial" w:cs="Arial" w:eastAsia="Arial" w:hAnsi="Arial"/>
          <w:sz w:val="18"/>
          <w:szCs w:val="18"/>
          <w:color w:val="auto"/>
        </w:rPr>
        <w:t>. Repare has not used, and during the Collaboration Term will not knowingly use, any Know-How in the Collaboration that is encumbered by any contractual right of, or obligation to, a Third Party that conflicts or interferes with any of the rights or licenses granted or to be granted to BMS hereunder.</w:t>
      </w:r>
    </w:p>
    <w:p>
      <w:pPr>
        <w:spacing w:after="0" w:line="184" w:lineRule="exact"/>
        <w:rPr>
          <w:sz w:val="20"/>
          <w:szCs w:val="20"/>
          <w:color w:val="auto"/>
        </w:rPr>
      </w:pPr>
    </w:p>
    <w:p>
      <w:pPr>
        <w:ind w:left="120" w:right="160" w:firstLine="991"/>
        <w:spacing w:after="0" w:line="263" w:lineRule="auto"/>
        <w:rPr>
          <w:sz w:val="20"/>
          <w:szCs w:val="20"/>
          <w:color w:val="auto"/>
        </w:rPr>
      </w:pPr>
      <w:r>
        <w:rPr>
          <w:rFonts w:ascii="Arial" w:cs="Arial" w:eastAsia="Arial" w:hAnsi="Arial"/>
          <w:sz w:val="18"/>
          <w:szCs w:val="18"/>
          <w:color w:val="auto"/>
        </w:rPr>
        <w:t xml:space="preserve">12.2.3 </w:t>
      </w:r>
      <w:r>
        <w:rPr>
          <w:rFonts w:ascii="Arial" w:cs="Arial" w:eastAsia="Arial" w:hAnsi="Arial"/>
          <w:sz w:val="18"/>
          <w:szCs w:val="18"/>
          <w:u w:val="single" w:color="auto"/>
          <w:color w:val="auto"/>
        </w:rPr>
        <w:t>Third Parties</w:t>
      </w:r>
      <w:r>
        <w:rPr>
          <w:rFonts w:ascii="Arial" w:cs="Arial" w:eastAsia="Arial" w:hAnsi="Arial"/>
          <w:sz w:val="18"/>
          <w:szCs w:val="18"/>
          <w:color w:val="auto"/>
        </w:rPr>
        <w:t>. Repare has not granted, and during the Term Repare will not grant, any right or license to any Third Party relating to any of the intellectual property rights Repare Controls, that conflicts with or limits the scope of the rights or licenses granted, or to be granted, to BMS hereunder.</w:t>
      </w:r>
    </w:p>
    <w:p>
      <w:pPr>
        <w:spacing w:after="0" w:line="184"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 xml:space="preserve">12.2.4 </w:t>
      </w:r>
      <w:r>
        <w:rPr>
          <w:rFonts w:ascii="Arial" w:cs="Arial" w:eastAsia="Arial" w:hAnsi="Arial"/>
          <w:sz w:val="18"/>
          <w:szCs w:val="18"/>
          <w:u w:val="single" w:color="auto"/>
          <w:color w:val="auto"/>
        </w:rPr>
        <w:t>Proceedings</w:t>
      </w:r>
      <w:r>
        <w:rPr>
          <w:rFonts w:ascii="Arial" w:cs="Arial" w:eastAsia="Arial" w:hAnsi="Arial"/>
          <w:sz w:val="18"/>
          <w:szCs w:val="18"/>
          <w:color w:val="auto"/>
        </w:rPr>
        <w:t>. There are no claims, litigations, suits, actions, disputes, arbitrations or legal, administrative or other proceedings or governmental investigations pending or, to Repare’s knowledge, threatened against Repare, nor is Repare a party to any judgment or settlement, in each case that would be reasonably expected to adversely affect or restrict the ability of Repare to consummate the transactions contemplated under this Agreement and to perform its obligations under this Agreement, or that would be reasonably expected to adversely affect the Repare Intellectual Property or Repare’s Control thereof or the Existing Repare Campaigns.</w:t>
      </w:r>
    </w:p>
    <w:p>
      <w:pPr>
        <w:spacing w:after="0" w:line="188"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 xml:space="preserve">12.2.5 </w:t>
      </w:r>
      <w:r>
        <w:rPr>
          <w:rFonts w:ascii="Arial" w:cs="Arial" w:eastAsia="Arial" w:hAnsi="Arial"/>
          <w:sz w:val="18"/>
          <w:szCs w:val="18"/>
          <w:u w:val="single" w:color="auto"/>
          <w:color w:val="auto"/>
        </w:rPr>
        <w:t>Infringement</w:t>
      </w:r>
      <w:r>
        <w:rPr>
          <w:rFonts w:ascii="Arial" w:cs="Arial" w:eastAsia="Arial" w:hAnsi="Arial"/>
          <w:sz w:val="18"/>
          <w:szCs w:val="18"/>
          <w:color w:val="auto"/>
        </w:rPr>
        <w:t>. To Repare’s knowledge, the practice of the Repare Intellectual Property as contemplated under this Agreement does not (a) infringe any claims of any Patents of any Third Party or (b) misappropriate any Know-How of any Third Party.</w:t>
      </w:r>
    </w:p>
    <w:p>
      <w:pPr>
        <w:spacing w:after="0" w:line="170"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 xml:space="preserve">12.2.6 </w:t>
      </w:r>
      <w:r>
        <w:rPr>
          <w:rFonts w:ascii="Arial" w:cs="Arial" w:eastAsia="Arial" w:hAnsi="Arial"/>
          <w:sz w:val="18"/>
          <w:szCs w:val="18"/>
          <w:u w:val="single" w:color="auto"/>
          <w:color w:val="auto"/>
        </w:rPr>
        <w:t>Patent Proceedings</w:t>
      </w:r>
      <w:r>
        <w:rPr>
          <w:rFonts w:ascii="Arial" w:cs="Arial" w:eastAsia="Arial" w:hAnsi="Arial"/>
          <w:sz w:val="18"/>
          <w:szCs w:val="18"/>
          <w:color w:val="auto"/>
        </w:rPr>
        <w:t>. None of (a) the Repare Patents owned, or both Controlled and Prosecuted, by Repare and (b) to Repare’s knowledge, the Repare Patents Controlled but not Prosecuted by Repare, are subject to any pending re-examination, opposition, interference or litigation proceedings.</w:t>
      </w:r>
    </w:p>
    <w:p>
      <w:pPr>
        <w:spacing w:after="0" w:line="184"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 xml:space="preserve">12.2.7 </w:t>
      </w:r>
      <w:r>
        <w:rPr>
          <w:rFonts w:ascii="Arial" w:cs="Arial" w:eastAsia="Arial" w:hAnsi="Arial"/>
          <w:sz w:val="17"/>
          <w:szCs w:val="17"/>
          <w:u w:val="single" w:color="auto"/>
          <w:color w:val="auto"/>
        </w:rPr>
        <w:t>Inventors</w:t>
      </w:r>
      <w:r>
        <w:rPr>
          <w:rFonts w:ascii="Arial" w:cs="Arial" w:eastAsia="Arial" w:hAnsi="Arial"/>
          <w:sz w:val="17"/>
          <w:szCs w:val="17"/>
          <w:color w:val="auto"/>
        </w:rPr>
        <w:t>. No person, other than former or current employees or consultants of Repare who are obligated in writing to assign his/her inventions to Repare, respectively, is an inventor of any of the inventions claimed in the Repare Patents existing as of the Effective Date. All inventors of any inventions included within the Repare Patents that are existing as of the Effective Date have assigned or have a contractual obligation to assign their entire right, title and interest in and to such inventions and the corresponding Patent rights to Repare, as the case may be. No present or former employee or consultant of Repare owns or has any proprietary, financial or other interest, direct or indirect, in the Repare Patents. To Repare’s knowledge, there are no claims that have been asserted in writing challenging the inventorship of the Repare Patents.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60" w:right="459" w:bottom="1440" w:gutter="0" w:footer="0" w:header="0"/>
        </w:sectPr>
      </w:pPr>
    </w:p>
    <w:bookmarkStart w:id="751" w:name="page752"/>
    <w:bookmarkEnd w:id="7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 xml:space="preserve">12.2.8 </w:t>
      </w:r>
      <w:r>
        <w:rPr>
          <w:rFonts w:ascii="Arial" w:cs="Arial" w:eastAsia="Arial" w:hAnsi="Arial"/>
          <w:sz w:val="18"/>
          <w:szCs w:val="18"/>
          <w:u w:val="single" w:color="auto"/>
          <w:color w:val="auto"/>
        </w:rPr>
        <w:t>Due Diligence</w:t>
      </w:r>
      <w:r>
        <w:rPr>
          <w:rFonts w:ascii="Arial" w:cs="Arial" w:eastAsia="Arial" w:hAnsi="Arial"/>
          <w:sz w:val="18"/>
          <w:szCs w:val="18"/>
          <w:color w:val="auto"/>
        </w:rPr>
        <w:t>. To Repare’s knowledge, all information provided by Repare to BMS for due diligence purposes in relation to this Agreement is accurate in all material respects.</w:t>
      </w:r>
    </w:p>
    <w:p>
      <w:pPr>
        <w:spacing w:after="0" w:line="170"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 xml:space="preserve">12.2.9 </w:t>
      </w:r>
      <w:r>
        <w:rPr>
          <w:rFonts w:ascii="Arial" w:cs="Arial" w:eastAsia="Arial" w:hAnsi="Arial"/>
          <w:sz w:val="18"/>
          <w:szCs w:val="18"/>
          <w:u w:val="single" w:color="auto"/>
          <w:color w:val="auto"/>
        </w:rPr>
        <w:t>Liens</w:t>
      </w:r>
      <w:r>
        <w:rPr>
          <w:rFonts w:ascii="Arial" w:cs="Arial" w:eastAsia="Arial" w:hAnsi="Arial"/>
          <w:sz w:val="18"/>
          <w:szCs w:val="18"/>
          <w:color w:val="auto"/>
        </w:rPr>
        <w:t>. Neither Repare nor any of its Affiliates has granted any liens or security interests on the Repare Intellectual Property, and the Repare Intellectual Property is free and clear of any mortgage, pledge, claim, security interest, covenant, easement, encumbrance, lien or charge of any kind, except, in each case, with respect to licenses, covenants not to sue, immunities from suit, standstills, releases and options that would not, in the aggregate, fundamentally frustrate the purposes of this Agreement.</w:t>
      </w:r>
    </w:p>
    <w:p>
      <w:pPr>
        <w:spacing w:after="0" w:line="187" w:lineRule="exact"/>
        <w:rPr>
          <w:sz w:val="20"/>
          <w:szCs w:val="20"/>
          <w:color w:val="auto"/>
        </w:rPr>
      </w:pPr>
    </w:p>
    <w:p>
      <w:pPr>
        <w:ind w:left="120" w:right="240" w:firstLine="991"/>
        <w:spacing w:after="0" w:line="277" w:lineRule="auto"/>
        <w:rPr>
          <w:sz w:val="20"/>
          <w:szCs w:val="20"/>
          <w:color w:val="auto"/>
        </w:rPr>
      </w:pPr>
      <w:r>
        <w:rPr>
          <w:rFonts w:ascii="Arial" w:cs="Arial" w:eastAsia="Arial" w:hAnsi="Arial"/>
          <w:sz w:val="18"/>
          <w:szCs w:val="18"/>
          <w:color w:val="auto"/>
        </w:rPr>
        <w:t xml:space="preserve">12.2.10 </w:t>
      </w:r>
      <w:r>
        <w:rPr>
          <w:rFonts w:ascii="Arial" w:cs="Arial" w:eastAsia="Arial" w:hAnsi="Arial"/>
          <w:sz w:val="18"/>
          <w:szCs w:val="18"/>
          <w:u w:val="single" w:color="auto"/>
          <w:color w:val="auto"/>
        </w:rPr>
        <w:t>Payment Obligations</w:t>
      </w:r>
      <w:r>
        <w:rPr>
          <w:rFonts w:ascii="Arial" w:cs="Arial" w:eastAsia="Arial" w:hAnsi="Arial"/>
          <w:sz w:val="18"/>
          <w:szCs w:val="18"/>
          <w:color w:val="auto"/>
        </w:rPr>
        <w:t>. Repare and its Affiliates are not subject to any payment obligations to any Third Party as a result of the execution or performance of this Agreement.</w:t>
      </w:r>
    </w:p>
    <w:p>
      <w:pPr>
        <w:spacing w:after="0" w:line="170"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u w:val="single" w:color="auto"/>
          <w:color w:val="auto"/>
        </w:rPr>
        <w:t>Covenants.</w:t>
      </w:r>
    </w:p>
    <w:p>
      <w:pPr>
        <w:spacing w:after="0" w:line="225"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12.3.1</w:t>
      </w:r>
      <w:r>
        <w:rPr>
          <w:sz w:val="20"/>
          <w:szCs w:val="20"/>
          <w:color w:val="auto"/>
        </w:rPr>
        <w:tab/>
      </w:r>
      <w:r>
        <w:rPr>
          <w:rFonts w:ascii="Arial" w:cs="Arial" w:eastAsia="Arial" w:hAnsi="Arial"/>
          <w:sz w:val="16"/>
          <w:szCs w:val="16"/>
          <w:u w:val="single" w:color="auto"/>
          <w:color w:val="auto"/>
        </w:rPr>
        <w:t>Mutual Covenants</w:t>
      </w:r>
      <w:r>
        <w:rPr>
          <w:rFonts w:ascii="Arial" w:cs="Arial" w:eastAsia="Arial" w:hAnsi="Arial"/>
          <w:sz w:val="16"/>
          <w:szCs w:val="16"/>
          <w:color w:val="auto"/>
        </w:rPr>
        <w:t>. Each Party hereby covenants to the other Party that:</w:t>
      </w:r>
    </w:p>
    <w:p>
      <w:pPr>
        <w:spacing w:after="0" w:line="117" w:lineRule="exact"/>
        <w:rPr>
          <w:sz w:val="20"/>
          <w:szCs w:val="20"/>
          <w:color w:val="auto"/>
        </w:rPr>
      </w:pPr>
    </w:p>
    <w:p>
      <w:pPr>
        <w:ind w:left="120" w:right="160" w:firstLine="1428"/>
        <w:spacing w:after="0" w:line="257" w:lineRule="auto"/>
        <w:tabs>
          <w:tab w:leader="none" w:pos="1932" w:val="left"/>
        </w:tabs>
        <w:numPr>
          <w:ilvl w:val="0"/>
          <w:numId w:val="508"/>
        </w:numPr>
        <w:rPr>
          <w:rFonts w:ascii="Arial" w:cs="Arial" w:eastAsia="Arial" w:hAnsi="Arial"/>
          <w:sz w:val="18"/>
          <w:szCs w:val="18"/>
          <w:color w:val="auto"/>
        </w:rPr>
      </w:pPr>
      <w:r>
        <w:rPr>
          <w:rFonts w:ascii="Arial" w:cs="Arial" w:eastAsia="Arial" w:hAnsi="Arial"/>
          <w:sz w:val="18"/>
          <w:szCs w:val="18"/>
          <w:color w:val="auto"/>
        </w:rPr>
        <w:t>all employees and Third Party contractors of such Party or any of its Affiliates or sublicensees working under this Agreement will be under appropriate confidentiality provisions at least as protective as those contained in this Agreement, and, to the extent permitted under applicable Law, the obligation to assign all right, title and interest in and to all Know-How made, invented, created, designed, conceived, produced, reduced to practice or otherwise developed by such employees and Third Party contractors, whether or not patentable, to such Party as the sole owner thereof;</w:t>
      </w:r>
    </w:p>
    <w:p>
      <w:pPr>
        <w:spacing w:after="0" w:line="187" w:lineRule="exact"/>
        <w:rPr>
          <w:rFonts w:ascii="Arial" w:cs="Arial" w:eastAsia="Arial" w:hAnsi="Arial"/>
          <w:sz w:val="18"/>
          <w:szCs w:val="18"/>
          <w:color w:val="auto"/>
        </w:rPr>
      </w:pPr>
    </w:p>
    <w:p>
      <w:pPr>
        <w:ind w:left="120" w:right="140" w:firstLine="1428"/>
        <w:spacing w:after="0" w:line="257" w:lineRule="auto"/>
        <w:tabs>
          <w:tab w:leader="none" w:pos="1942"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to such Party’s knowledge, such Party will not (i) employ or use, nor hire or use any contractor or consultant that employs or uses, any individual or entity, including a clinical investigator, institution or institutional review board, debarred or disqualified by the FDA (or subject to a similar sanction by any Regulatory Authority outside the United States) or (ii) employ any individual or entity that is the subject of an FDA debarment investigation or proceeding (or similar proceeding by any Regulatory Authority outside the United States), in each of subclauses (i) and (ii) in the conduct of its activities under this Agreement;</w:t>
      </w:r>
    </w:p>
    <w:p>
      <w:pPr>
        <w:spacing w:after="0" w:line="187" w:lineRule="exact"/>
        <w:rPr>
          <w:rFonts w:ascii="Arial" w:cs="Arial" w:eastAsia="Arial" w:hAnsi="Arial"/>
          <w:sz w:val="18"/>
          <w:szCs w:val="18"/>
          <w:color w:val="auto"/>
        </w:rPr>
      </w:pPr>
    </w:p>
    <w:p>
      <w:pPr>
        <w:ind w:left="120" w:firstLine="1428"/>
        <w:spacing w:after="0" w:line="308" w:lineRule="auto"/>
        <w:tabs>
          <w:tab w:leader="none" w:pos="1932" w:val="left"/>
        </w:tabs>
        <w:numPr>
          <w:ilvl w:val="0"/>
          <w:numId w:val="508"/>
        </w:numPr>
        <w:rPr>
          <w:rFonts w:ascii="Arial" w:cs="Arial" w:eastAsia="Arial" w:hAnsi="Arial"/>
          <w:sz w:val="17"/>
          <w:szCs w:val="17"/>
          <w:color w:val="auto"/>
        </w:rPr>
      </w:pPr>
      <w:r>
        <w:rPr>
          <w:rFonts w:ascii="Arial" w:cs="Arial" w:eastAsia="Arial" w:hAnsi="Arial"/>
          <w:sz w:val="17"/>
          <w:szCs w:val="17"/>
          <w:color w:val="auto"/>
        </w:rPr>
        <w:t>neither such Party nor any of its Affiliates shall, during the Term, grant any right or license to any Third Party relating to any of the intellectual property rights it owns or Controls that would conflict with any of the rights or licenses granted to the other Party hereunder;</w:t>
      </w:r>
    </w:p>
    <w:p>
      <w:pPr>
        <w:spacing w:after="0" w:line="146" w:lineRule="exact"/>
        <w:rPr>
          <w:rFonts w:ascii="Arial" w:cs="Arial" w:eastAsia="Arial" w:hAnsi="Arial"/>
          <w:sz w:val="17"/>
          <w:szCs w:val="17"/>
          <w:color w:val="auto"/>
        </w:rPr>
      </w:pPr>
    </w:p>
    <w:p>
      <w:pPr>
        <w:ind w:left="120" w:right="680" w:firstLine="1428"/>
        <w:spacing w:after="0" w:line="342" w:lineRule="auto"/>
        <w:tabs>
          <w:tab w:leader="none" w:pos="1942" w:val="left"/>
        </w:tabs>
        <w:numPr>
          <w:ilvl w:val="0"/>
          <w:numId w:val="508"/>
        </w:numPr>
        <w:rPr>
          <w:rFonts w:ascii="Arial" w:cs="Arial" w:eastAsia="Arial" w:hAnsi="Arial"/>
          <w:sz w:val="16"/>
          <w:szCs w:val="16"/>
          <w:color w:val="auto"/>
        </w:rPr>
      </w:pPr>
      <w:r>
        <w:rPr>
          <w:rFonts w:ascii="Arial" w:cs="Arial" w:eastAsia="Arial" w:hAnsi="Arial"/>
          <w:sz w:val="16"/>
          <w:szCs w:val="16"/>
          <w:color w:val="auto"/>
        </w:rPr>
        <w:t>such Party and its Affiliates shall perform their activities pursuant to this Agreement in compliance (and shall ensure compliance by its contractors and Sublicensees) in all material respects with all applicable Laws, including GCP, GLP and GMP, as applicable;</w:t>
      </w:r>
    </w:p>
    <w:p>
      <w:pPr>
        <w:spacing w:after="0" w:line="56" w:lineRule="exact"/>
        <w:rPr>
          <w:rFonts w:ascii="Arial" w:cs="Arial" w:eastAsia="Arial" w:hAnsi="Arial"/>
          <w:sz w:val="16"/>
          <w:szCs w:val="16"/>
          <w:color w:val="auto"/>
        </w:rPr>
      </w:pPr>
    </w:p>
    <w:p>
      <w:pPr>
        <w:ind w:left="5540" w:hanging="111"/>
        <w:spacing w:after="0"/>
        <w:tabs>
          <w:tab w:leader="none" w:pos="554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72 -</w:t>
      </w:r>
    </w:p>
    <w:p>
      <w:pPr>
        <w:sectPr>
          <w:pgSz w:w="11900" w:h="16838" w:orient="portrait"/>
          <w:cols w:equalWidth="0" w:num="1">
            <w:col w:w="11100"/>
          </w:cols>
          <w:pgMar w:left="320" w:top="460" w:right="479" w:bottom="1440" w:gutter="0" w:footer="0" w:header="0"/>
        </w:sectPr>
      </w:pPr>
    </w:p>
    <w:bookmarkStart w:id="752" w:name="page753"/>
    <w:bookmarkEnd w:id="7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1428"/>
        <w:spacing w:after="0" w:line="257" w:lineRule="auto"/>
        <w:tabs>
          <w:tab w:leader="none" w:pos="1932"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the Parties agree and acknowledge that the terms of this Agreement are not intended to give rise to, and shall not be treated by the Parties as giving rise to, in whole or in part, a partnership for U.S. federal (or applicable state or local) income tax purposes, or for any other purposes. No Party shall take any position, or cause or permit any of its Affiliates to take any position, inconsistent with this Section 12.3.1(e) for such purposes (including with respect to filing U.S. federal income tax returns and in the course of any audit, review or litigation), unless otherwise required by applicable Law; and</w:t>
      </w:r>
    </w:p>
    <w:p>
      <w:pPr>
        <w:spacing w:after="0" w:line="187" w:lineRule="exact"/>
        <w:rPr>
          <w:rFonts w:ascii="Arial" w:cs="Arial" w:eastAsia="Arial" w:hAnsi="Arial"/>
          <w:sz w:val="18"/>
          <w:szCs w:val="18"/>
          <w:color w:val="auto"/>
        </w:rPr>
      </w:pPr>
    </w:p>
    <w:p>
      <w:pPr>
        <w:ind w:left="120" w:right="140" w:firstLine="1428"/>
        <w:spacing w:after="0" w:line="257" w:lineRule="auto"/>
        <w:tabs>
          <w:tab w:leader="none" w:pos="1912" w:val="left"/>
        </w:tabs>
        <w:numPr>
          <w:ilvl w:val="0"/>
          <w:numId w:val="509"/>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including the use of the term “option” (or any derivation thereof), the Parties agree and acknowledge that the Options are not intended to be treated, and shall not be treated by the Parties, as options for U.S. federal (or applicable state or local) income tax purposes, and no Party shall take any position, or cause or permit any of its Affiliates to take any position, inconsistent with this Section 12.3.1(f) for tax purposes (including with respect to filing U.S. federal income tax returns and in the course of any audit, review or litigation), unless otherwise required by applicable Law.</w:t>
      </w:r>
    </w:p>
    <w:p>
      <w:pPr>
        <w:spacing w:after="0" w:line="188"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Disclaimer</w:t>
      </w:r>
      <w:r>
        <w:rPr>
          <w:rFonts w:ascii="Arial" w:cs="Arial" w:eastAsia="Arial" w:hAnsi="Arial"/>
          <w:sz w:val="18"/>
          <w:szCs w:val="18"/>
          <w:color w:val="auto"/>
        </w:rPr>
        <w:t>. Except as otherwise expressly set forth in this Agreement, NEITHER PARTY MAKES ANY REPRESENTATION OR EXTENDS ANY WARRANTY OF ANY KIND, EITHER EXPRESS OR IMPLIED, INCLUDING ANY WARRANTY THAT ANY PATENTS ARE VALID OR ENFORCEABLE, AND EXPRESSLY DISCLAIMS ALL IMPLIED WARRANTIES, INCLUDING IMPLIED WARRANTIES OF MERCHANTABILITY, FITNESS FOR A PARTICULAR PURPOSE AND NONINFRINGEMENT. Without limiting the generality of the foregoing, each Party disclaims any warranties with regards to: (a) the success of any study or test commenced under this Agreement; (b) the safety or usefulness for any purpose of the technology or materials, including any Resulting Compound or Product, it provides or discovers under this Agreement; or (c) the validity, enforceability or non-infringement of any intellectual property rights or technology it provides or licenses to the other Party under this Agreement.</w:t>
      </w: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XIII</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u w:val="single" w:color="auto"/>
          <w:color w:val="auto"/>
        </w:rPr>
        <w:t>By BMS.</w:t>
      </w:r>
    </w:p>
    <w:p>
      <w:pPr>
        <w:spacing w:after="0" w:line="225" w:lineRule="exact"/>
        <w:rPr>
          <w:sz w:val="20"/>
          <w:szCs w:val="20"/>
          <w:color w:val="auto"/>
        </w:rPr>
      </w:pPr>
    </w:p>
    <w:p>
      <w:pPr>
        <w:jc w:val="both"/>
        <w:ind w:left="120" w:firstLine="991"/>
        <w:spacing w:after="0" w:line="263"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Indemnification</w:t>
      </w:r>
      <w:r>
        <w:rPr>
          <w:rFonts w:ascii="Arial" w:cs="Arial" w:eastAsia="Arial" w:hAnsi="Arial"/>
          <w:sz w:val="18"/>
          <w:szCs w:val="18"/>
          <w:color w:val="auto"/>
        </w:rPr>
        <w:t>. BMS agrees, at BMS’s cost and expense, to defend, indemnify and hold harmless Repare and Repare’s Affiliates and their respective directors, officers, employees and agents (the “</w:t>
      </w:r>
      <w:r>
        <w:rPr>
          <w:rFonts w:ascii="Arial" w:cs="Arial" w:eastAsia="Arial" w:hAnsi="Arial"/>
          <w:sz w:val="18"/>
          <w:szCs w:val="18"/>
          <w:u w:val="single" w:color="auto"/>
          <w:color w:val="auto"/>
        </w:rPr>
        <w:t>Repare Indemnified Parties</w:t>
      </w:r>
      <w:r>
        <w:rPr>
          <w:rFonts w:ascii="Arial" w:cs="Arial" w:eastAsia="Arial" w:hAnsi="Arial"/>
          <w:sz w:val="18"/>
          <w:szCs w:val="18"/>
          <w:color w:val="auto"/>
        </w:rPr>
        <w:t>”) from and against any Damages arising out of any Claim to the extent relating to:</w:t>
      </w:r>
    </w:p>
    <w:p>
      <w:pPr>
        <w:spacing w:after="0" w:line="76" w:lineRule="exact"/>
        <w:rPr>
          <w:sz w:val="20"/>
          <w:szCs w:val="20"/>
          <w:color w:val="auto"/>
        </w:rPr>
      </w:pPr>
    </w:p>
    <w:p>
      <w:pPr>
        <w:ind w:left="1920" w:hanging="372"/>
        <w:spacing w:after="0"/>
        <w:tabs>
          <w:tab w:leader="none" w:pos="192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any breach by BMS of any of its representations, warranties or covenants under this Agreement;</w:t>
      </w:r>
    </w:p>
    <w:p>
      <w:pPr>
        <w:spacing w:after="0" w:line="225" w:lineRule="exact"/>
        <w:rPr>
          <w:rFonts w:ascii="Arial" w:cs="Arial" w:eastAsia="Arial" w:hAnsi="Arial"/>
          <w:sz w:val="18"/>
          <w:szCs w:val="18"/>
          <w:color w:val="auto"/>
        </w:rPr>
      </w:pPr>
    </w:p>
    <w:p>
      <w:pPr>
        <w:ind w:left="120" w:right="460" w:firstLine="1428"/>
        <w:spacing w:after="0" w:line="277" w:lineRule="auto"/>
        <w:tabs>
          <w:tab w:leader="none" w:pos="1942"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negligence, willful misconduct or violation of Law of BMS or any of its Affiliates or Sublicensees in connection with BMS’s performance of its obligations or exercise of its rights under this Agreement; or</w:t>
      </w:r>
    </w:p>
    <w:p>
      <w:pPr>
        <w:spacing w:after="0" w:line="102" w:lineRule="exact"/>
        <w:rPr>
          <w:rFonts w:ascii="Arial" w:cs="Arial" w:eastAsia="Arial" w:hAnsi="Arial"/>
          <w:sz w:val="18"/>
          <w:szCs w:val="18"/>
          <w:color w:val="auto"/>
        </w:rPr>
      </w:pPr>
    </w:p>
    <w:p>
      <w:pPr>
        <w:ind w:left="5540" w:hanging="111"/>
        <w:spacing w:after="0"/>
        <w:tabs>
          <w:tab w:leader="none" w:pos="5540" w:val="left"/>
        </w:tabs>
        <w:numPr>
          <w:ilvl w:val="1"/>
          <w:numId w:val="510"/>
        </w:numPr>
        <w:rPr>
          <w:rFonts w:ascii="Arial" w:cs="Arial" w:eastAsia="Arial" w:hAnsi="Arial"/>
          <w:sz w:val="18"/>
          <w:szCs w:val="18"/>
          <w:color w:val="auto"/>
        </w:rPr>
      </w:pPr>
      <w:r>
        <w:rPr>
          <w:rFonts w:ascii="Arial" w:cs="Arial" w:eastAsia="Arial" w:hAnsi="Arial"/>
          <w:sz w:val="18"/>
          <w:szCs w:val="18"/>
          <w:color w:val="auto"/>
        </w:rPr>
        <w:t>73 -</w:t>
      </w:r>
    </w:p>
    <w:p>
      <w:pPr>
        <w:sectPr>
          <w:pgSz w:w="11900" w:h="16838" w:orient="portrait"/>
          <w:cols w:equalWidth="0" w:num="1">
            <w:col w:w="11120"/>
          </w:cols>
          <w:pgMar w:left="320" w:top="460" w:right="459" w:bottom="1440" w:gutter="0" w:footer="0" w:header="0"/>
        </w:sectPr>
      </w:pPr>
    </w:p>
    <w:bookmarkStart w:id="753" w:name="page754"/>
    <w:bookmarkEnd w:id="7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1428"/>
        <w:spacing w:after="0" w:line="263" w:lineRule="auto"/>
        <w:tabs>
          <w:tab w:leader="none" w:pos="1932" w:val="left"/>
        </w:tabs>
        <w:numPr>
          <w:ilvl w:val="0"/>
          <w:numId w:val="511"/>
        </w:numPr>
        <w:rPr>
          <w:rFonts w:ascii="Arial" w:cs="Arial" w:eastAsia="Arial" w:hAnsi="Arial"/>
          <w:sz w:val="18"/>
          <w:szCs w:val="18"/>
          <w:color w:val="auto"/>
        </w:rPr>
      </w:pPr>
      <w:r>
        <w:rPr>
          <w:rFonts w:ascii="Arial" w:cs="Arial" w:eastAsia="Arial" w:hAnsi="Arial"/>
          <w:sz w:val="18"/>
          <w:szCs w:val="18"/>
          <w:color w:val="auto"/>
        </w:rPr>
        <w:t>any Development, Manufacture or Commercialization of any Resulting Compound or Product by or on behalf of BMS or any of its Affiliates or Sublicensees, except to the extent such Damages arise or result from, or are otherwise attributable to, the Repare Collaboration Intellectual Property;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auto"/>
        </w:rPr>
        <w:t>except that</w:t>
      </w:r>
      <w:r>
        <w:rPr>
          <w:rFonts w:ascii="Arial" w:cs="Arial" w:eastAsia="Arial" w:hAnsi="Arial"/>
          <w:sz w:val="16"/>
          <w:szCs w:val="16"/>
          <w:color w:val="auto"/>
        </w:rPr>
        <w:t>, (x) in each case, such indemnity shall not apply to the extent Repare has an indemnification obligation pursuant to Section 13.2.1(a) or</w:t>
      </w:r>
    </w:p>
    <w:p>
      <w:pPr>
        <w:spacing w:after="0" w:line="4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13.2.1(b) for such Damages and (y) BMS shall not be liable to hold harmless or indemnify the Repare Indemnified Parties for any punitive or exemplary Damages, except to the extent the Repare Indemnified Party(ies) seeking indemnification is (or are) actually liable to a Third Party for such punitive or exemplary Damages in connection with a Claim by such Third Party.</w:t>
      </w:r>
    </w:p>
    <w:p>
      <w:pPr>
        <w:spacing w:after="0" w:line="190" w:lineRule="exact"/>
        <w:rPr>
          <w:sz w:val="20"/>
          <w:szCs w:val="20"/>
          <w:color w:val="auto"/>
        </w:rPr>
      </w:pPr>
    </w:p>
    <w:p>
      <w:pPr>
        <w:ind w:left="120" w:right="100" w:firstLine="991"/>
        <w:spacing w:after="0" w:line="291" w:lineRule="auto"/>
        <w:rPr>
          <w:sz w:val="20"/>
          <w:szCs w:val="20"/>
          <w:color w:val="auto"/>
        </w:rPr>
      </w:pPr>
      <w:r>
        <w:rPr>
          <w:rFonts w:ascii="Arial" w:cs="Arial" w:eastAsia="Arial" w:hAnsi="Arial"/>
          <w:sz w:val="16"/>
          <w:szCs w:val="16"/>
          <w:color w:val="auto"/>
        </w:rPr>
        <w:t xml:space="preserve">13.1.2 </w:t>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 In the event of any such Claim against any Repare Indemnified Party, Repare shall promptly, and in any event within ten (10) Business Days, notify BMS in writing of the Claim. BMS shall have the right, exercisable by notice to Repare within ten</w:t>
      </w:r>
    </w:p>
    <w:p>
      <w:pPr>
        <w:ind w:left="120" w:right="140" w:hanging="4"/>
        <w:spacing w:after="0" w:line="268" w:lineRule="auto"/>
        <w:tabs>
          <w:tab w:leader="none" w:pos="465" w:val="left"/>
        </w:tabs>
        <w:numPr>
          <w:ilvl w:val="0"/>
          <w:numId w:val="512"/>
        </w:numPr>
        <w:rPr>
          <w:rFonts w:ascii="Arial" w:cs="Arial" w:eastAsia="Arial" w:hAnsi="Arial"/>
          <w:sz w:val="17"/>
          <w:szCs w:val="17"/>
          <w:color w:val="auto"/>
        </w:rPr>
      </w:pPr>
      <w:r>
        <w:rPr>
          <w:rFonts w:ascii="Arial" w:cs="Arial" w:eastAsia="Arial" w:hAnsi="Arial"/>
          <w:sz w:val="17"/>
          <w:szCs w:val="17"/>
          <w:color w:val="auto"/>
        </w:rPr>
        <w:t>Business Days after receipt of notice from Repare of the Claim, to assume direction and control of the defense, litigation, settlement, appeal or other disposition of the Claim with counsel selected by BMS and reasonably acceptable to Repare. Any failure by Repare to provide timely notice of a Claim shall not limit a Repare Indemnified Party’s right for indemnification hereunder except to the extent such failure results in actual prejudice to BMS. The Repare Indemnified Parties shall cooperate with BMS and may, at their option and expense, be separately represented in any such action or proceeding. If and for so long as BMS controls the defense of the Claim in good faith, BMS shall not be liable for any litigation costs or expenses incurred by the Repare Indemnified Parties in defending such Claim without BMS’s prior written authorization. In addition, BMS shall not be responsible for the indemnification or defense of any Damages incurred by any Repare Indemnified Party to the extent arising from any negligent or intentional misconduct by any Repare Indemnified Party or the breach by Repare of any representation, obligation, covenant or warranty under this Agreement, or any Claims compromised or settled without BMS’s prior written consent. Each Party shall use reasonable efforts to mitigate Damages indemnified under this Section 13.1.</w:t>
      </w:r>
    </w:p>
    <w:p>
      <w:pPr>
        <w:spacing w:after="0" w:line="179"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u w:val="single" w:color="auto"/>
          <w:color w:val="auto"/>
        </w:rPr>
        <w:t>By Repare.</w:t>
      </w:r>
    </w:p>
    <w:p>
      <w:pPr>
        <w:spacing w:after="0" w:line="225" w:lineRule="exact"/>
        <w:rPr>
          <w:sz w:val="20"/>
          <w:szCs w:val="20"/>
          <w:color w:val="auto"/>
        </w:rPr>
      </w:pPr>
    </w:p>
    <w:p>
      <w:pPr>
        <w:ind w:left="120" w:right="120" w:firstLine="991"/>
        <w:spacing w:after="0" w:line="342" w:lineRule="auto"/>
        <w:rPr>
          <w:sz w:val="20"/>
          <w:szCs w:val="20"/>
          <w:color w:val="auto"/>
        </w:rPr>
      </w:pPr>
      <w:r>
        <w:rPr>
          <w:rFonts w:ascii="Arial" w:cs="Arial" w:eastAsia="Arial" w:hAnsi="Arial"/>
          <w:sz w:val="16"/>
          <w:szCs w:val="16"/>
          <w:color w:val="auto"/>
        </w:rPr>
        <w:t>13.2.1 Repare agrees, at Repare’s cost and expense, to defend, indemnify and hold harmless BMS and its Affiliates and their respective directors, officers, employees and agents (the “</w:t>
      </w:r>
      <w:r>
        <w:rPr>
          <w:rFonts w:ascii="Arial" w:cs="Arial" w:eastAsia="Arial" w:hAnsi="Arial"/>
          <w:sz w:val="16"/>
          <w:szCs w:val="16"/>
          <w:u w:val="single" w:color="auto"/>
          <w:color w:val="auto"/>
        </w:rPr>
        <w:t>BMS Indemnified Parties</w:t>
      </w:r>
      <w:r>
        <w:rPr>
          <w:rFonts w:ascii="Arial" w:cs="Arial" w:eastAsia="Arial" w:hAnsi="Arial"/>
          <w:sz w:val="16"/>
          <w:szCs w:val="16"/>
          <w:color w:val="auto"/>
        </w:rPr>
        <w:t>”) from and against any Damages arising out of any Claim relating to:</w:t>
      </w:r>
    </w:p>
    <w:p>
      <w:pPr>
        <w:spacing w:after="0" w:line="16" w:lineRule="exact"/>
        <w:rPr>
          <w:sz w:val="20"/>
          <w:szCs w:val="20"/>
          <w:color w:val="auto"/>
        </w:rPr>
      </w:pPr>
    </w:p>
    <w:p>
      <w:pPr>
        <w:ind w:left="1920" w:hanging="372"/>
        <w:spacing w:after="0"/>
        <w:tabs>
          <w:tab w:leader="none" w:pos="192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any breach by Repare of any of its representations, warranties or covenants under this Agreement; or</w:t>
      </w:r>
    </w:p>
    <w:p>
      <w:pPr>
        <w:spacing w:after="0" w:line="225" w:lineRule="exact"/>
        <w:rPr>
          <w:rFonts w:ascii="Arial" w:cs="Arial" w:eastAsia="Arial" w:hAnsi="Arial"/>
          <w:sz w:val="18"/>
          <w:szCs w:val="18"/>
          <w:color w:val="auto"/>
        </w:rPr>
      </w:pPr>
    </w:p>
    <w:p>
      <w:pPr>
        <w:ind w:left="120" w:right="800" w:firstLine="1428"/>
        <w:spacing w:after="0" w:line="277" w:lineRule="auto"/>
        <w:tabs>
          <w:tab w:leader="none" w:pos="1942"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the negligence, willful misconduct or violation of Law of Repare or any of its Affiliates in connection with Repare’s performance of its obligations or exercise of its rights under this Agreement;</w:t>
      </w:r>
    </w:p>
    <w:p>
      <w:pPr>
        <w:spacing w:after="0" w:line="170"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u w:val="single" w:color="auto"/>
          <w:color w:val="auto"/>
        </w:rPr>
        <w:t>except that</w:t>
      </w:r>
      <w:r>
        <w:rPr>
          <w:rFonts w:ascii="Arial" w:cs="Arial" w:eastAsia="Arial" w:hAnsi="Arial"/>
          <w:sz w:val="16"/>
          <w:szCs w:val="16"/>
          <w:color w:val="auto"/>
        </w:rPr>
        <w:t>, (x) in each case, such indemnity shall not apply to the extent BMS has an indemnification obligation pursuant to Section 13.1.1(a) or 13.1.1(b) for such Damages and (y) Repare shall not be liable to hold harmless or indemnify the BMS Indemnified Parties for any</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60" w:right="479" w:bottom="1440" w:gutter="0" w:footer="0" w:header="0"/>
        </w:sectPr>
      </w:pPr>
    </w:p>
    <w:bookmarkStart w:id="754" w:name="page755"/>
    <w:bookmarkEnd w:id="7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punitive or exemplary Damages, except to the extent the BMS Indemnified Party(ies) seeking indemnification is(are) actually liable to a Third Party for such punitive or exemplary Damages in connection with a Claim by such Third Party.</w:t>
      </w:r>
    </w:p>
    <w:p>
      <w:pPr>
        <w:spacing w:after="0" w:line="170"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 xml:space="preserve">13.2.2 </w:t>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 In the event of any such Claim against any BMS Indemnified Party, BMS shall promptly, and in any event within [***], notify Repare in writing of the Claim. Repare shall have the right, exercisable by notice to BMS within [***] after receipt of notice from BMS of the Claim, to assume direction and control of the defense, litigation, settlement, appeal or other disposition of the Claim with counsel selected by Repare and reasonably acceptable to BMS. Any failure by BMS to provide timely notice of a Claim shall not limit a BMS Indemnified Party’s right for indemnification hereunder except to the extent such failure results in actual prejudice to Repare. The BMS Indemnified Parties shall cooperate with Repare and may, at their option and expense, be separately represented in any such action or proceeding. If and for so long as Repare controls the defense of the Claim in good faith, Repare shall not be liable for any litigation costs or expenses incurred by the BMS Indemnified Parties in defending such Claim without Repare’s prior written authorization. In addition, Repare shall not be responsible for the indemnification or defense of any Damages incurred by any BMS Indemnified Party to the extent arising from any negligent or intentional misconduct by any BMS Indemnified Party or the breach by BMS of any representation, obligation, covenant or warranty under this Agreement, or any Claims compromised or settled without Repare’s prior written consent. Each Party shall use reasonable efforts to mitigate Damages indemnified under this Section 13.2.</w:t>
      </w:r>
    </w:p>
    <w:p>
      <w:pPr>
        <w:spacing w:after="0" w:line="17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EXCEPT WITH RESPECT TO A BREACH OF ARTICLE VI, ARTICLE VIII OR ARTICLE XI, OR A PARTY’S LIABILITY PURSUANT TO SECTION 13.1 OR SECTION 13.2, NEITHER PARTY, NOR ANY OF ITS AFFILIATES, SHALL BE LIABLE FOR ANY SPECIAL, INCIDENTAL, CONSEQUENTIAL, EXEMPLARY, PUNITIVE, MULTIPLE OR INDIRECT OR REMOTE DAMAGES, OR FOR LOSS OF PROFITS, LOSS OF DATA OR LOSS OF USE DAMAGES, ARISING IN ANY WAY OUT OF THIS AGREEMENT OR THE EXERCISE OF SUCH PARTY’S RIGHTS HEREUNDER, WHETHER BASED UPON WARRANTY, CONTRACT, TORT, STRICT LIABILITY OR OTHERWISE, EVEN IF SUCH PARTY HAS BEEN ADVISED OF THE POSSIBILITY OF SUCH DAMAGES OR LOSS.</w:t>
      </w: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XIV</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TERM AND TERMINATION</w:t>
      </w:r>
    </w:p>
    <w:p>
      <w:pPr>
        <w:spacing w:after="0" w:line="211"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Term; Expiration</w:t>
      </w:r>
      <w:r>
        <w:rPr>
          <w:rFonts w:ascii="Arial" w:cs="Arial" w:eastAsia="Arial" w:hAnsi="Arial"/>
          <w:sz w:val="16"/>
          <w:szCs w:val="16"/>
          <w:color w:val="auto"/>
        </w:rPr>
        <w:t>. Unless earlier terminated in accordance with this ARTICLE XIV, the term of this Agreement (the “Term”) shall commence as of the Effective Date and remain in force until, if BMS has exercised its Option during the applicable Option Term for any Target or Lesion with the aim of Developing or Commercializing any Resulting Compound or Product beyond the end of the Collaboration Term, (a) on a Product-by-Product and country-by-country basis, on the date of the expiration of the Royalty Term with respect to such Product in such country and</w:t>
      </w:r>
    </w:p>
    <w:p>
      <w:pPr>
        <w:spacing w:after="0" w:line="1" w:lineRule="exact"/>
        <w:rPr>
          <w:sz w:val="20"/>
          <w:szCs w:val="20"/>
          <w:color w:val="auto"/>
        </w:rPr>
      </w:pPr>
    </w:p>
    <w:p>
      <w:pPr>
        <w:ind w:left="120" w:right="60" w:hanging="4"/>
        <w:spacing w:after="0" w:line="255" w:lineRule="auto"/>
        <w:tabs>
          <w:tab w:leader="none" w:pos="375" w:val="left"/>
        </w:tabs>
        <w:numPr>
          <w:ilvl w:val="0"/>
          <w:numId w:val="514"/>
        </w:numPr>
        <w:rPr>
          <w:rFonts w:ascii="Arial" w:cs="Arial" w:eastAsia="Arial" w:hAnsi="Arial"/>
          <w:sz w:val="18"/>
          <w:szCs w:val="18"/>
          <w:color w:val="auto"/>
        </w:rPr>
      </w:pPr>
      <w:r>
        <w:rPr>
          <w:rFonts w:ascii="Arial" w:cs="Arial" w:eastAsia="Arial" w:hAnsi="Arial"/>
          <w:sz w:val="18"/>
          <w:szCs w:val="18"/>
          <w:color w:val="auto"/>
        </w:rPr>
        <w:t>in its entirety upon the expiration of all applicable Royalty Terms under this Agreement with respect to all Products in all countries in the Territory; provided, however, that if either (i) BMS has not exercised any Option for any Target or Lesion during the applicable Option Terms and BMS no longer has any other rights to exercise any other Option for any Target or</w:t>
      </w:r>
    </w:p>
    <w:p>
      <w:pPr>
        <w:spacing w:after="0" w:line="122" w:lineRule="exact"/>
        <w:rPr>
          <w:rFonts w:ascii="Arial" w:cs="Arial" w:eastAsia="Arial" w:hAnsi="Arial"/>
          <w:sz w:val="18"/>
          <w:szCs w:val="18"/>
          <w:color w:val="auto"/>
        </w:rPr>
      </w:pPr>
    </w:p>
    <w:p>
      <w:pPr>
        <w:ind w:left="5540" w:hanging="111"/>
        <w:spacing w:after="0"/>
        <w:tabs>
          <w:tab w:leader="none" w:pos="554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75 -</w:t>
      </w:r>
    </w:p>
    <w:p>
      <w:pPr>
        <w:sectPr>
          <w:pgSz w:w="11900" w:h="16838" w:orient="portrait"/>
          <w:cols w:equalWidth="0" w:num="1">
            <w:col w:w="11100"/>
          </w:cols>
          <w:pgMar w:left="320" w:top="460" w:right="479" w:bottom="1440" w:gutter="0" w:footer="0" w:header="0"/>
        </w:sectPr>
      </w:pPr>
    </w:p>
    <w:bookmarkStart w:id="755" w:name="page756"/>
    <w:bookmarkEnd w:id="7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Lesion or (ii) has terminated this Agreement with respect to all Targets for which it has timely exercised its Option, then, in each case ((i) or ii)), this Agreement shall expire [***] after the later of (A) the expiration of the Collaboration Term or (B) the receipt by BMS of the last Final Data Package that BMS has a right to receive under this Agreement.</w:t>
      </w:r>
    </w:p>
    <w:p>
      <w:pPr>
        <w:spacing w:after="0" w:line="184"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Termination for Convenience</w:t>
      </w:r>
      <w:r>
        <w:rPr>
          <w:rFonts w:ascii="Arial" w:cs="Arial" w:eastAsia="Arial" w:hAnsi="Arial"/>
          <w:sz w:val="18"/>
          <w:szCs w:val="18"/>
          <w:color w:val="auto"/>
        </w:rPr>
        <w:t>. BMS may terminate this Agreement, in its entirety or with respect to each Collaboration Target, for convenience upon [***] prior written notice to Repare.</w:t>
      </w:r>
    </w:p>
    <w:p>
      <w:pPr>
        <w:spacing w:after="0" w:line="170"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u w:val="single" w:color="auto"/>
          <w:color w:val="auto"/>
        </w:rPr>
        <w:t>Termination for Breach.</w:t>
      </w:r>
    </w:p>
    <w:p>
      <w:pPr>
        <w:spacing w:after="0" w:line="225"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14.3.1</w:t>
      </w:r>
      <w:r>
        <w:rPr>
          <w:sz w:val="20"/>
          <w:szCs w:val="20"/>
          <w:color w:val="auto"/>
        </w:rPr>
        <w:tab/>
      </w:r>
      <w:r>
        <w:rPr>
          <w:rFonts w:ascii="Arial" w:cs="Arial" w:eastAsia="Arial" w:hAnsi="Arial"/>
          <w:sz w:val="16"/>
          <w:szCs w:val="16"/>
          <w:u w:val="single" w:color="auto"/>
          <w:color w:val="auto"/>
        </w:rPr>
        <w:t>Material Breach</w:t>
      </w:r>
      <w:r>
        <w:rPr>
          <w:rFonts w:ascii="Arial" w:cs="Arial" w:eastAsia="Arial" w:hAnsi="Arial"/>
          <w:sz w:val="16"/>
          <w:szCs w:val="16"/>
          <w:color w:val="auto"/>
        </w:rPr>
        <w:t>. Either Party may terminate this Agreement, in its entirety or with respect to a given Collaboration Target, if</w:t>
      </w:r>
    </w:p>
    <w:p>
      <w:pPr>
        <w:spacing w:after="0" w:line="23" w:lineRule="exact"/>
        <w:rPr>
          <w:sz w:val="20"/>
          <w:szCs w:val="20"/>
          <w:color w:val="auto"/>
        </w:rPr>
      </w:pPr>
    </w:p>
    <w:p>
      <w:pPr>
        <w:ind w:left="120" w:right="160" w:hanging="4"/>
        <w:spacing w:after="0" w:line="252" w:lineRule="auto"/>
        <w:tabs>
          <w:tab w:leader="none" w:pos="365"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other Party materially breaches this Agreement in its entirety or with respect to such Collaboration Target (as applicable) and (b) the breaching Party has not cured such material breach within [***] after the date of written notice to the breaching Party of such breach (or [***] in the case of BMS’s payment obligations under this Agreement) (the “</w:t>
      </w:r>
      <w:r>
        <w:rPr>
          <w:rFonts w:ascii="Arial" w:cs="Arial" w:eastAsia="Arial" w:hAnsi="Arial"/>
          <w:sz w:val="18"/>
          <w:szCs w:val="18"/>
          <w:u w:val="single" w:color="auto"/>
          <w:color w:val="auto"/>
        </w:rPr>
        <w:t>Cure Period</w:t>
      </w:r>
      <w:r>
        <w:rPr>
          <w:rFonts w:ascii="Arial" w:cs="Arial" w:eastAsia="Arial" w:hAnsi="Arial"/>
          <w:sz w:val="18"/>
          <w:szCs w:val="18"/>
          <w:color w:val="auto"/>
        </w:rPr>
        <w:t>”), which notice shall describe such breach in reasonable detail and shall state the non-breaching Party’s intention to terminate this Agreement (in its entirety or with respect to the applicable Collaboration Target) pursuant to this Section 14.3.1. Any such termination of this Agreement under this Section 14.3.1 (in its entirety or with respect to a given Collaboration Target) shall become effective at the end of the Cure Period, unless the breaching Party has cured the applicable material breach prior to the expiration of such Cure Period.</w:t>
      </w:r>
    </w:p>
    <w:p>
      <w:pPr>
        <w:spacing w:after="0" w:line="192" w:lineRule="exact"/>
        <w:rPr>
          <w:sz w:val="20"/>
          <w:szCs w:val="20"/>
          <w:color w:val="auto"/>
        </w:rPr>
      </w:pPr>
    </w:p>
    <w:p>
      <w:pPr>
        <w:ind w:left="120" w:right="20" w:firstLine="991"/>
        <w:spacing w:after="0" w:line="291" w:lineRule="auto"/>
        <w:rPr>
          <w:sz w:val="20"/>
          <w:szCs w:val="20"/>
          <w:color w:val="auto"/>
        </w:rPr>
      </w:pPr>
      <w:r>
        <w:rPr>
          <w:rFonts w:ascii="Arial" w:cs="Arial" w:eastAsia="Arial" w:hAnsi="Arial"/>
          <w:sz w:val="16"/>
          <w:szCs w:val="16"/>
          <w:color w:val="auto"/>
        </w:rPr>
        <w:t xml:space="preserve">14.3.2 </w:t>
      </w:r>
      <w:r>
        <w:rPr>
          <w:rFonts w:ascii="Arial" w:cs="Arial" w:eastAsia="Arial" w:hAnsi="Arial"/>
          <w:sz w:val="16"/>
          <w:szCs w:val="16"/>
          <w:u w:val="single" w:color="auto"/>
          <w:color w:val="auto"/>
        </w:rPr>
        <w:t>Disagreement as to Material Breach</w:t>
      </w:r>
      <w:r>
        <w:rPr>
          <w:rFonts w:ascii="Arial" w:cs="Arial" w:eastAsia="Arial" w:hAnsi="Arial"/>
          <w:sz w:val="16"/>
          <w:szCs w:val="16"/>
          <w:color w:val="auto"/>
        </w:rPr>
        <w:t>. If the Parties reasonably and in good faith disagree as to whether there has been a material breach of this Agreement (in its entirety or with respect to a given Collaboration Target), then (a) the Party that disputes that there has been a material breach may contest the allegation by referring such matter, within [***] following such notice of alleged material breach for resolution to the Executive Officers, who shall meet promptly to discuss the matter, and determine, within [***] following referral of such matter, whether or not a material breach has occurred; (b) if the Executive Officers are unable to resolve a dispute within [***] after it is referred to them, the matter will be resolved as provided in Section 15.2; and (c) it is understood and agreed that, during the pendency of such dispute, all of the terms and conditions of this Agreement shall remain in effect and the Parties shall continue to perform all of their respective obligations hereunder.</w:t>
      </w:r>
    </w:p>
    <w:p>
      <w:pPr>
        <w:spacing w:after="0" w:line="166"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Termination for Insolvency</w:t>
      </w:r>
      <w:r>
        <w:rPr>
          <w:rFonts w:ascii="Arial" w:cs="Arial" w:eastAsia="Arial" w:hAnsi="Arial"/>
          <w:sz w:val="18"/>
          <w:szCs w:val="18"/>
          <w:color w:val="auto"/>
        </w:rPr>
        <w:t>. To the extent permitted by Law, this Agreement may be terminated in its entirety by either Repare or BMS upon the filing or institution of bankruptcy, reorganization, liquidation or receivership proceedings with respect to, or upon an assignment of a substantial portion of the assets for the benefit of creditors by, the other Party, but, in the event of any involuntary bankruptcy or receivership proceeding, such right to terminate shall only become effective if the non-terminating Party consents to the involuntary bankruptcy or receivership or such proceeding is not dismissed within [***] after the filing thereof.</w:t>
      </w:r>
    </w:p>
    <w:p>
      <w:pPr>
        <w:spacing w:after="0" w:line="188"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u w:val="single" w:color="auto"/>
          <w:color w:val="auto"/>
        </w:rPr>
        <w:t>Effects of Expiration or Termination.</w:t>
      </w:r>
    </w:p>
    <w:p>
      <w:pPr>
        <w:spacing w:after="0" w:line="225"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14.5.1</w:t>
      </w:r>
      <w:r>
        <w:rPr>
          <w:sz w:val="20"/>
          <w:szCs w:val="20"/>
          <w:color w:val="auto"/>
        </w:rPr>
        <w:tab/>
      </w:r>
      <w:r>
        <w:rPr>
          <w:rFonts w:ascii="Arial" w:cs="Arial" w:eastAsia="Arial" w:hAnsi="Arial"/>
          <w:sz w:val="16"/>
          <w:szCs w:val="16"/>
          <w:u w:val="single" w:color="auto"/>
          <w:color w:val="auto"/>
        </w:rPr>
        <w:t>Expiration of this Agreement</w:t>
      </w:r>
      <w:r>
        <w:rPr>
          <w:rFonts w:ascii="Arial" w:cs="Arial" w:eastAsia="Arial" w:hAnsi="Arial"/>
          <w:sz w:val="16"/>
          <w:szCs w:val="16"/>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60" w:right="459" w:bottom="1440" w:gutter="0" w:footer="0" w:header="0"/>
        </w:sectPr>
      </w:pPr>
    </w:p>
    <w:bookmarkStart w:id="756" w:name="page757"/>
    <w:bookmarkEnd w:id="7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920" w:hanging="372"/>
        <w:spacing w:after="0"/>
        <w:tabs>
          <w:tab w:leader="none" w:pos="192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If this Agreement expires in accordance with Section 14.1, Section 11.6 shall apply.</w:t>
      </w:r>
    </w:p>
    <w:p>
      <w:pPr>
        <w:spacing w:after="0" w:line="225" w:lineRule="exact"/>
        <w:rPr>
          <w:rFonts w:ascii="Arial" w:cs="Arial" w:eastAsia="Arial" w:hAnsi="Arial"/>
          <w:sz w:val="18"/>
          <w:szCs w:val="18"/>
          <w:color w:val="auto"/>
        </w:rPr>
      </w:pPr>
    </w:p>
    <w:p>
      <w:pPr>
        <w:ind w:left="120" w:firstLine="1428"/>
        <w:spacing w:after="0" w:line="275" w:lineRule="auto"/>
        <w:tabs>
          <w:tab w:leader="none" w:pos="1942" w:val="left"/>
        </w:tabs>
        <w:numPr>
          <w:ilvl w:val="0"/>
          <w:numId w:val="516"/>
        </w:numPr>
        <w:rPr>
          <w:rFonts w:ascii="Arial" w:cs="Arial" w:eastAsia="Arial" w:hAnsi="Arial"/>
          <w:sz w:val="17"/>
          <w:szCs w:val="17"/>
          <w:color w:val="auto"/>
        </w:rPr>
      </w:pPr>
      <w:r>
        <w:rPr>
          <w:rFonts w:ascii="Arial" w:cs="Arial" w:eastAsia="Arial" w:hAnsi="Arial"/>
          <w:sz w:val="17"/>
          <w:szCs w:val="17"/>
          <w:color w:val="auto"/>
        </w:rPr>
        <w:t>Solely if this Agreement expires because BMS has not exercised any Option for any Target or Lesion in accordance with the proviso set forth in Section 14.1, (i) all rights (including all Options granted to BMS hereunder) and licenses granted herein shall terminate, (ii) all Pre-Option Campaigns shall be deemed Excluded Campaigns and Section 2.13 shall apply to such Excluded Campaigns and (iii) all Validated Targets and Unblinded Undruggable Targets shall be deemed Excluded Targets and Section 2.13 shall apply to such Excluded Targets, and, if any such Excluded Target was an Unblinded Target, such Excluded Target shall be deemed a Reverted Non-Optioned Target.</w:t>
      </w:r>
    </w:p>
    <w:p>
      <w:pPr>
        <w:spacing w:after="0" w:line="176" w:lineRule="exact"/>
        <w:rPr>
          <w:sz w:val="20"/>
          <w:szCs w:val="20"/>
          <w:color w:val="auto"/>
        </w:rPr>
      </w:pPr>
    </w:p>
    <w:p>
      <w:pPr>
        <w:ind w:left="120" w:right="220" w:firstLine="991"/>
        <w:spacing w:after="0" w:line="287" w:lineRule="auto"/>
        <w:rPr>
          <w:sz w:val="20"/>
          <w:szCs w:val="20"/>
          <w:color w:val="auto"/>
        </w:rPr>
      </w:pPr>
      <w:r>
        <w:rPr>
          <w:rFonts w:ascii="Arial" w:cs="Arial" w:eastAsia="Arial" w:hAnsi="Arial"/>
          <w:sz w:val="16"/>
          <w:szCs w:val="16"/>
          <w:color w:val="auto"/>
        </w:rPr>
        <w:t xml:space="preserve">14.5.2 </w:t>
      </w:r>
      <w:r>
        <w:rPr>
          <w:rFonts w:ascii="Arial" w:cs="Arial" w:eastAsia="Arial" w:hAnsi="Arial"/>
          <w:sz w:val="16"/>
          <w:szCs w:val="16"/>
          <w:u w:val="single" w:color="auto"/>
          <w:color w:val="auto"/>
        </w:rPr>
        <w:t>Termination of this Agreement in its Entirety</w:t>
      </w:r>
      <w:r>
        <w:rPr>
          <w:rFonts w:ascii="Arial" w:cs="Arial" w:eastAsia="Arial" w:hAnsi="Arial"/>
          <w:sz w:val="16"/>
          <w:szCs w:val="16"/>
          <w:color w:val="auto"/>
        </w:rPr>
        <w:t>. If this Agreement is terminated in its entirety, (a) all rights (including all Options granted to BMS hereunder) and licenses granted herein shall terminate, (b) BMS shall, subject to Sections 9.11 and 14.6.2, cease any and all Development activities under this Agreement of all Resulting Compounds, in each case, solely with respect to Collaboration-Identified Indications,</w:t>
      </w:r>
    </w:p>
    <w:p>
      <w:pPr>
        <w:spacing w:after="0" w:line="2" w:lineRule="exact"/>
        <w:rPr>
          <w:sz w:val="20"/>
          <w:szCs w:val="20"/>
          <w:color w:val="auto"/>
        </w:rPr>
      </w:pPr>
    </w:p>
    <w:p>
      <w:pPr>
        <w:ind w:left="120" w:right="240" w:hanging="4"/>
        <w:spacing w:after="0" w:line="292" w:lineRule="auto"/>
        <w:tabs>
          <w:tab w:leader="none" w:pos="365" w:val="left"/>
        </w:tabs>
        <w:numPr>
          <w:ilvl w:val="0"/>
          <w:numId w:val="517"/>
        </w:numPr>
        <w:rPr>
          <w:rFonts w:ascii="Arial" w:cs="Arial" w:eastAsia="Arial" w:hAnsi="Arial"/>
          <w:sz w:val="16"/>
          <w:szCs w:val="16"/>
          <w:color w:val="auto"/>
        </w:rPr>
      </w:pPr>
      <w:r>
        <w:rPr>
          <w:rFonts w:ascii="Arial" w:cs="Arial" w:eastAsia="Arial" w:hAnsi="Arial"/>
          <w:sz w:val="16"/>
          <w:szCs w:val="16"/>
          <w:color w:val="auto"/>
        </w:rPr>
        <w:t>all Pre-Option Campaigns and Collaboration Campaigns shall be deemed Excluded Campaigns and Section 2.13 shall apply to such Excluded Campaigns, (d) all Validated Targets, Unblinded Undruggable Targets and Collaboration Targets shall be deemed Excluded Targets and Section 2.13 shall apply to such Excluded Targets, and, if any such Excluded Target was an Unblinded Target, such Excluded Target shall be deemed a Reverted Optioned Target (if BMS had previously exercised its applicable Option with respect to such Excluded Target) or a Reverted Non-Optioned Target (if BMS had not previously exercised its applicable Option with respect to such Excluded Target), and (e) Section 11.6 shall apply.</w:t>
      </w:r>
    </w:p>
    <w:p>
      <w:pPr>
        <w:spacing w:after="0" w:line="162" w:lineRule="exact"/>
        <w:rPr>
          <w:sz w:val="20"/>
          <w:szCs w:val="20"/>
          <w:color w:val="auto"/>
        </w:rPr>
      </w:pPr>
    </w:p>
    <w:p>
      <w:pPr>
        <w:ind w:left="120" w:right="40" w:firstLine="991"/>
        <w:spacing w:after="0" w:line="288" w:lineRule="auto"/>
        <w:rPr>
          <w:sz w:val="20"/>
          <w:szCs w:val="20"/>
          <w:color w:val="auto"/>
        </w:rPr>
      </w:pPr>
      <w:r>
        <w:rPr>
          <w:rFonts w:ascii="Arial" w:cs="Arial" w:eastAsia="Arial" w:hAnsi="Arial"/>
          <w:sz w:val="16"/>
          <w:szCs w:val="16"/>
          <w:color w:val="auto"/>
        </w:rPr>
        <w:t xml:space="preserve">14.5.3 </w:t>
      </w:r>
      <w:r>
        <w:rPr>
          <w:rFonts w:ascii="Arial" w:cs="Arial" w:eastAsia="Arial" w:hAnsi="Arial"/>
          <w:sz w:val="16"/>
          <w:szCs w:val="16"/>
          <w:u w:val="single" w:color="auto"/>
          <w:color w:val="auto"/>
        </w:rPr>
        <w:t>Termination of this Agreement with Respect to a Collaboration Target</w:t>
      </w:r>
      <w:r>
        <w:rPr>
          <w:rFonts w:ascii="Arial" w:cs="Arial" w:eastAsia="Arial" w:hAnsi="Arial"/>
          <w:sz w:val="16"/>
          <w:szCs w:val="16"/>
          <w:color w:val="auto"/>
        </w:rPr>
        <w:t>. If this Agreement is terminated with respect to a given Collaboration Target pursuant to Section 14.2 or 14.3, (a) all rights (including all Options granted to BMS hereunder) and licenses granted herein with respect to such Collaboration Target shall terminate, (b) BMS shall, subject to Sections 9.11 and 14.6.2, cease any and all Development activities for the applicable Resulting Compounds with respect to such Collaboration Target under this Agreement, in each case, solely with respect to Collaboration-Identified Indications, (c) such Collaboration Target shall be deemed an Excluded Target and Section 2.13 shall apply to such Excluded Target, (d) if such Excluded Target was an Unblinded Target, such Excluded Target shall be deemed a Reverted Optioned Target (if BMS had previously exercised its applicable Option with respect to such Excluded Target) or a Reverted Non-Optioned Target (if BMS had not previously exercised its applicable Option with respect to such Excluded Target), (e) if, as a result of such termination, there are no longer any Collaboration Targets from any given Pre-Option Campaign or Collaboration Campaign, such Pre-Option Campaign or Collaboration Campaign (as applicable) shall be deemed an Excluded Campaign and Section 2.13 shall apply to such Excluded Campaign and (f) Section 11.6 shall apply.</w:t>
      </w:r>
    </w:p>
    <w:p>
      <w:pPr>
        <w:spacing w:after="0" w:line="168"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 xml:space="preserve">14.5.4 </w:t>
      </w:r>
      <w:r>
        <w:rPr>
          <w:rFonts w:ascii="Arial" w:cs="Arial" w:eastAsia="Arial" w:hAnsi="Arial"/>
          <w:sz w:val="18"/>
          <w:szCs w:val="18"/>
          <w:u w:val="single" w:color="auto"/>
          <w:color w:val="auto"/>
        </w:rPr>
        <w:t>Non-Exclusive License</w:t>
      </w:r>
      <w:r>
        <w:rPr>
          <w:rFonts w:ascii="Arial" w:cs="Arial" w:eastAsia="Arial" w:hAnsi="Arial"/>
          <w:sz w:val="18"/>
          <w:szCs w:val="18"/>
          <w:color w:val="auto"/>
        </w:rPr>
        <w:t>. In the event of any termination of this Agreement except for termination by BMS pursuant to Section 14.3, whether in its entirety or with respect to a given Collaboration Target, BMS shall and hereby does grant to Repare a non-exclusive, royalty-free, perpetual, irrevocable right and license, under the BMS Termination IP to Develop, Manufacture, make, have made, use, offer for sale, sell, import, Commercialize and otherwise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60" w:right="459" w:bottom="1440" w:gutter="0" w:footer="0" w:header="0"/>
        </w:sectPr>
      </w:pPr>
    </w:p>
    <w:bookmarkStart w:id="757" w:name="page758"/>
    <w:bookmarkEnd w:id="7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exploit compounds or products (other than Resulting Compounds or Products, or any derivatives thereof) that are Directed to Excluded Targets using the Synthetic Lethal relationships between such Excluded Targets and the applicable Campaign Lesion(s) or Excluded Campaign Lesion(s) that Repare has identified to BMS under this Agreement to define the patient population for such compounds or products. Repare may assign or sublicense (through multiple tiers) such right and license in connection with any assignment or license of any right to Develop, Manufacture, make, have made, use, offer for sale, sell, import, Commercialize and otherwise exploit such compounds or products. For purposes of this Section 14.5.4, “</w:t>
      </w:r>
      <w:r>
        <w:rPr>
          <w:rFonts w:ascii="Arial" w:cs="Arial" w:eastAsia="Arial" w:hAnsi="Arial"/>
          <w:sz w:val="16"/>
          <w:szCs w:val="16"/>
          <w:u w:val="single" w:color="auto"/>
          <w:color w:val="auto"/>
        </w:rPr>
        <w:t>BMS Termination IP</w:t>
      </w:r>
      <w:r>
        <w:rPr>
          <w:rFonts w:ascii="Arial" w:cs="Arial" w:eastAsia="Arial" w:hAnsi="Arial"/>
          <w:sz w:val="16"/>
          <w:szCs w:val="16"/>
          <w:color w:val="auto"/>
        </w:rPr>
        <w:t>” means any Patent within the Collaboration IP Controlled (other than through the grant of a license from Repare to BMS pursuant to this Agreement) by BMS or any of its Affiliates as of the effective date of termination of this Agreement (in its entirety or with respect to a given Collaboration Target) solely to the extent that such Patent claims the method of use of any compound or product with a patient population defined using a Synthetic Lesion relationship between the applicable Excluded Target(s) and the applicable Campaign Lesion(s) or Excluded Campaign Lesion(s) identified by Repare under this Agreement. For clarity, BMS Termination IP does not include any Patent or other intellectual property Covering any composition of matter, method of manufacture, formulation, dosing regimen or diagnostic tool of any Resulting Compound, any Product, or any other compound or product owned or Controlled by BMS as of the effective date of termination or at any time thereafter.</w:t>
      </w:r>
    </w:p>
    <w:p>
      <w:pPr>
        <w:spacing w:after="0" w:line="168" w:lineRule="exact"/>
        <w:rPr>
          <w:sz w:val="20"/>
          <w:szCs w:val="20"/>
          <w:color w:val="auto"/>
        </w:rPr>
      </w:pPr>
    </w:p>
    <w:p>
      <w:pPr>
        <w:ind w:left="120" w:right="20" w:firstLine="991"/>
        <w:spacing w:after="0" w:line="289" w:lineRule="auto"/>
        <w:rPr>
          <w:sz w:val="20"/>
          <w:szCs w:val="20"/>
          <w:color w:val="auto"/>
        </w:rPr>
      </w:pPr>
      <w:r>
        <w:rPr>
          <w:rFonts w:ascii="Arial" w:cs="Arial" w:eastAsia="Arial" w:hAnsi="Arial"/>
          <w:sz w:val="16"/>
          <w:szCs w:val="16"/>
          <w:color w:val="auto"/>
        </w:rPr>
        <w:t xml:space="preserve">14.5.5 </w:t>
      </w:r>
      <w:r>
        <w:rPr>
          <w:rFonts w:ascii="Arial" w:cs="Arial" w:eastAsia="Arial" w:hAnsi="Arial"/>
          <w:sz w:val="16"/>
          <w:szCs w:val="16"/>
          <w:u w:val="single" w:color="auto"/>
          <w:color w:val="auto"/>
        </w:rPr>
        <w:t>Potential License Arrangement Under Certain Termination</w:t>
      </w:r>
      <w:r>
        <w:rPr>
          <w:rFonts w:ascii="Arial" w:cs="Arial" w:eastAsia="Arial" w:hAnsi="Arial"/>
          <w:sz w:val="16"/>
          <w:szCs w:val="16"/>
          <w:color w:val="auto"/>
        </w:rPr>
        <w:t>. If this Agreement is terminated pursuant to Section 14.2 or by Repare pursuant to Section 14.3, in its entirety or with respect to a given Collaboration Target, then (except if BMS determines there is a Material Safety Issue with respect to any Resulting Compounds or Products subject to such expiration or termination, in which case, this Section 14.5.5 will not apply), at Repare’s request, the Parties shall discuss and negotiate in good faith the terms and conditions under which Repare may utilize BMS intellectual property that claims or covers the Resulting Compounds or Products that are Directed to the terminated Collaboration Target(s) (and, if any such Resulting Compound or Product is an Existing Post-IND Compound, Existing Post-IND Product, Post-IND Third Party Compound or Product containing a Post-IND Third Party Compound, then solely with respect to the Collaboration-Identified Indication(s)). For clarity, BMS will not have any obligation with respect to entering into a separate agreement setting forth such terms and conditions unless, if after such good faith negotiations, a definitive agreement has been duly authorized, executed, and delivered by an authorized representative of each of Repare and BMS.</w:t>
      </w:r>
    </w:p>
    <w:p>
      <w:pPr>
        <w:spacing w:after="0" w:line="166"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u w:val="single" w:color="auto"/>
          <w:color w:val="auto"/>
        </w:rPr>
        <w:t>Surviving Provisions.</w:t>
      </w:r>
    </w:p>
    <w:p>
      <w:pPr>
        <w:spacing w:after="0" w:line="225" w:lineRule="exact"/>
        <w:rPr>
          <w:sz w:val="20"/>
          <w:szCs w:val="20"/>
          <w:color w:val="auto"/>
        </w:rPr>
      </w:pPr>
    </w:p>
    <w:p>
      <w:pPr>
        <w:ind w:left="120" w:firstLine="991"/>
        <w:spacing w:after="0" w:line="301" w:lineRule="auto"/>
        <w:rPr>
          <w:sz w:val="20"/>
          <w:szCs w:val="20"/>
          <w:color w:val="auto"/>
        </w:rPr>
      </w:pPr>
      <w:r>
        <w:rPr>
          <w:rFonts w:ascii="Arial" w:cs="Arial" w:eastAsia="Arial" w:hAnsi="Arial"/>
          <w:sz w:val="16"/>
          <w:szCs w:val="16"/>
          <w:color w:val="auto"/>
        </w:rPr>
        <w:t xml:space="preserve">14.6.1 </w:t>
      </w:r>
      <w:r>
        <w:rPr>
          <w:rFonts w:ascii="Arial" w:cs="Arial" w:eastAsia="Arial" w:hAnsi="Arial"/>
          <w:sz w:val="16"/>
          <w:szCs w:val="16"/>
          <w:u w:val="single" w:color="auto"/>
          <w:color w:val="auto"/>
        </w:rPr>
        <w:t>Accrued Liabilities</w:t>
      </w:r>
      <w:r>
        <w:rPr>
          <w:rFonts w:ascii="Arial" w:cs="Arial" w:eastAsia="Arial" w:hAnsi="Arial"/>
          <w:sz w:val="16"/>
          <w:szCs w:val="16"/>
          <w:color w:val="auto"/>
        </w:rPr>
        <w:t>. Except as otherwise specifically provided herein, expiration or termination of this Agreement shall not relieve either Party of any liability or obligation that accrued hereunder prior to the effective date of such expiration or termination, nor preclude either Party from pursuing any rights or remedies it may have hereunder or at law or in equity with respect to any breach of this Agreement, nor prejudice either Party’s right to obtain performance of any obligation that accrued hereunder prior to the effective date of such expiration or termination.</w:t>
      </w:r>
    </w:p>
    <w:p>
      <w:pPr>
        <w:spacing w:after="0" w:line="157"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 xml:space="preserve">14.6.2 </w:t>
      </w:r>
      <w:r>
        <w:rPr>
          <w:rFonts w:ascii="Arial" w:cs="Arial" w:eastAsia="Arial" w:hAnsi="Arial"/>
          <w:sz w:val="18"/>
          <w:szCs w:val="18"/>
          <w:u w:val="single" w:color="auto"/>
          <w:color w:val="auto"/>
        </w:rPr>
        <w:t>Survival</w:t>
      </w:r>
      <w:r>
        <w:rPr>
          <w:rFonts w:ascii="Arial" w:cs="Arial" w:eastAsia="Arial" w:hAnsi="Arial"/>
          <w:sz w:val="18"/>
          <w:szCs w:val="18"/>
          <w:color w:val="auto"/>
        </w:rPr>
        <w:t>. The rights and obligations of the Parties set forth in the following Sections and Articles shall survive the expiration or termination of this Agreement (in its entirety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60" w:right="459" w:bottom="1440" w:gutter="0" w:footer="0" w:header="0"/>
        </w:sectPr>
      </w:pPr>
    </w:p>
    <w:bookmarkStart w:id="758" w:name="page759"/>
    <w:bookmarkEnd w:id="7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or with respect to a given Collaboration Target, as applicable, and, if terminated with respect to a given Collaboration Target, then the following Sections and Articles of this Agreement shall survive solely with respect to such Collaboration Target), in addition to those other terms and conditions that are expressly stated to survive termination or expiration of this Agreement: Sections 2.3, 2.11, 2.13.1, 2.13.2, 6.4, 6.5, 6.7, 9.9 and 9.10 (solely to the extent BMS continues to Develop or Commercialize an applicable Product for a Collaboration-Identified Indication after the effective date of termination),</w:t>
      </w:r>
    </w:p>
    <w:p>
      <w:pPr>
        <w:spacing w:after="0" w:line="1" w:lineRule="exact"/>
        <w:rPr>
          <w:sz w:val="20"/>
          <w:szCs w:val="20"/>
          <w:color w:val="auto"/>
        </w:rPr>
      </w:pPr>
    </w:p>
    <w:p>
      <w:pPr>
        <w:ind w:left="120" w:right="80"/>
        <w:spacing w:after="0" w:line="252" w:lineRule="auto"/>
        <w:rPr>
          <w:sz w:val="20"/>
          <w:szCs w:val="20"/>
          <w:color w:val="auto"/>
        </w:rPr>
      </w:pPr>
      <w:r>
        <w:rPr>
          <w:rFonts w:ascii="Arial" w:cs="Arial" w:eastAsia="Arial" w:hAnsi="Arial"/>
          <w:sz w:val="18"/>
          <w:szCs w:val="18"/>
          <w:color w:val="auto"/>
        </w:rPr>
        <w:t>9.10.4 (notwithstanding the foregoing, and, to the extent referenced therein, Sections 6.1.2(c) and 6.1.2(d)), 9.11 (and, to the extent referenced therein, Sections 9.4 through 9.10), 9.12, 9.13 (for the period set forth therein), 9.14 (for the period set forth therein and with respect to payments that are accrued but unpaid at the time of expiration or termination, or otherwise to the extent applicable), 9.15-9.19 (with respect to payments that are accrued but unpaid at the time of expiration or termination, or otherwise to the extent applicable), 10.1, 10.2, 10.3 (first sentence), 11.5 (including the provisions referenced therein for the time period set forth therein), 12.3.1(f), 12.4, 14.5 and 14.6, and ARTICLE I (to the extent the definitions are used in other surviving provisions), ARTICLE XIII (provided that Section 13.1.1(c) shall survive only with respect to units of Product sold by or on behalf of BMS, its Affiliates or Sublicensees), and ARTICLE XV.</w:t>
      </w:r>
    </w:p>
    <w:p>
      <w:pPr>
        <w:spacing w:after="0" w:line="192"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 xml:space="preserve">14.6.3 </w:t>
      </w:r>
      <w:r>
        <w:rPr>
          <w:rFonts w:ascii="Arial" w:cs="Arial" w:eastAsia="Arial" w:hAnsi="Arial"/>
          <w:sz w:val="18"/>
          <w:szCs w:val="18"/>
          <w:u w:val="single" w:color="auto"/>
          <w:color w:val="auto"/>
        </w:rPr>
        <w:t>Equitable Relief</w:t>
      </w:r>
      <w:r>
        <w:rPr>
          <w:rFonts w:ascii="Arial" w:cs="Arial" w:eastAsia="Arial" w:hAnsi="Arial"/>
          <w:sz w:val="18"/>
          <w:szCs w:val="18"/>
          <w:color w:val="auto"/>
        </w:rPr>
        <w:t>. Termination of this Agreement shall be in addition to, and shall not prejudice, the Parties’ remedies at law or in equity, including the Parties’ ability to receive Damages or equitable relief with respect to any breach of this Agreement, regardless of whether or not such breach was the reason for the termination.</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XV</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Dispute Resolution</w:t>
      </w:r>
      <w:r>
        <w:rPr>
          <w:rFonts w:ascii="Arial" w:cs="Arial" w:eastAsia="Arial" w:hAnsi="Arial"/>
          <w:sz w:val="17"/>
          <w:szCs w:val="17"/>
          <w:color w:val="auto"/>
        </w:rPr>
        <w:t>. The Parties agree that any disputes arising with respect to the interpretation, enforcement, termination or invalidity of this Agreement (each, a “</w:t>
      </w:r>
      <w:r>
        <w:rPr>
          <w:rFonts w:ascii="Arial" w:cs="Arial" w:eastAsia="Arial" w:hAnsi="Arial"/>
          <w:sz w:val="17"/>
          <w:szCs w:val="17"/>
          <w:u w:val="single" w:color="auto"/>
          <w:color w:val="auto"/>
        </w:rPr>
        <w:t>Dispute</w:t>
      </w:r>
      <w:r>
        <w:rPr>
          <w:rFonts w:ascii="Arial" w:cs="Arial" w:eastAsia="Arial" w:hAnsi="Arial"/>
          <w:sz w:val="17"/>
          <w:szCs w:val="17"/>
          <w:color w:val="auto"/>
        </w:rPr>
        <w:t>”) shall first be presented to the Parties’ respective Executive Officers for resolution. If the Parties are unable to resolve a given Dispute pursuant to this Section 15.1 after discussions between the Executive Officers within [***] after referring such Dispute to the Executive Officers, either Party may, at its sole discretion, seek resolution of such matter in accordance with Section 15.2.</w:t>
      </w:r>
    </w:p>
    <w:p>
      <w:pPr>
        <w:spacing w:after="0" w:line="171"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u w:val="single" w:color="auto"/>
          <w:color w:val="auto"/>
        </w:rPr>
        <w:t>Arbitration</w:t>
      </w:r>
      <w:r>
        <w:rPr>
          <w:rFonts w:ascii="Arial" w:cs="Arial" w:eastAsia="Arial" w:hAnsi="Arial"/>
          <w:sz w:val="17"/>
          <w:szCs w:val="17"/>
          <w:color w:val="auto"/>
        </w:rPr>
        <w:t>.</w:t>
      </w:r>
    </w:p>
    <w:p>
      <w:pPr>
        <w:spacing w:after="0" w:line="225" w:lineRule="exact"/>
        <w:rPr>
          <w:sz w:val="20"/>
          <w:szCs w:val="20"/>
          <w:color w:val="auto"/>
        </w:rPr>
      </w:pPr>
    </w:p>
    <w:p>
      <w:pPr>
        <w:ind w:left="120" w:right="420" w:firstLine="991"/>
        <w:spacing w:after="0" w:line="308" w:lineRule="auto"/>
        <w:rPr>
          <w:sz w:val="20"/>
          <w:szCs w:val="20"/>
          <w:color w:val="auto"/>
        </w:rPr>
      </w:pPr>
      <w:r>
        <w:rPr>
          <w:rFonts w:ascii="Arial" w:cs="Arial" w:eastAsia="Arial" w:hAnsi="Arial"/>
          <w:sz w:val="17"/>
          <w:szCs w:val="17"/>
          <w:color w:val="auto"/>
        </w:rPr>
        <w:t xml:space="preserve">15.2.1 </w:t>
      </w:r>
      <w:r>
        <w:rPr>
          <w:rFonts w:ascii="Arial" w:cs="Arial" w:eastAsia="Arial" w:hAnsi="Arial"/>
          <w:sz w:val="17"/>
          <w:szCs w:val="17"/>
          <w:u w:val="single" w:color="auto"/>
          <w:color w:val="auto"/>
        </w:rPr>
        <w:t>Generally</w:t>
      </w:r>
      <w:r>
        <w:rPr>
          <w:rFonts w:ascii="Arial" w:cs="Arial" w:eastAsia="Arial" w:hAnsi="Arial"/>
          <w:sz w:val="17"/>
          <w:szCs w:val="17"/>
          <w:color w:val="auto"/>
        </w:rPr>
        <w:t>. If the Executive Officers have not succeeded in negotiating a resolution of a Dispute pursuant to Section 15.1, the Dispute shall be resolved through arbitration pursuant to this Section 15.2, the results of which shall be binding upon the Parties.</w:t>
      </w:r>
    </w:p>
    <w:p>
      <w:pPr>
        <w:spacing w:after="0" w:line="146" w:lineRule="exact"/>
        <w:rPr>
          <w:sz w:val="20"/>
          <w:szCs w:val="20"/>
          <w:color w:val="auto"/>
        </w:rPr>
      </w:pPr>
    </w:p>
    <w:p>
      <w:pPr>
        <w:ind w:left="120" w:right="120" w:firstLine="991"/>
        <w:spacing w:after="0" w:line="293" w:lineRule="auto"/>
        <w:rPr>
          <w:sz w:val="20"/>
          <w:szCs w:val="20"/>
          <w:color w:val="auto"/>
        </w:rPr>
      </w:pPr>
      <w:r>
        <w:rPr>
          <w:rFonts w:ascii="Arial" w:cs="Arial" w:eastAsia="Arial" w:hAnsi="Arial"/>
          <w:sz w:val="16"/>
          <w:szCs w:val="16"/>
          <w:color w:val="auto"/>
        </w:rPr>
        <w:t xml:space="preserve">15.2.2 </w:t>
      </w:r>
      <w:r>
        <w:rPr>
          <w:rFonts w:ascii="Arial" w:cs="Arial" w:eastAsia="Arial" w:hAnsi="Arial"/>
          <w:sz w:val="16"/>
          <w:szCs w:val="16"/>
          <w:u w:val="single" w:color="auto"/>
          <w:color w:val="auto"/>
        </w:rPr>
        <w:t>Arbitration Procedure</w:t>
      </w:r>
      <w:r>
        <w:rPr>
          <w:rFonts w:ascii="Arial" w:cs="Arial" w:eastAsia="Arial" w:hAnsi="Arial"/>
          <w:sz w:val="16"/>
          <w:szCs w:val="16"/>
          <w:color w:val="auto"/>
        </w:rPr>
        <w:t>. Any arbitration pursuant to this Section 15.2 will be held in [***] unless another location is mutually agreed by the Parties. The arbitration will be conducted under the auspices of [***] by a panel of [***] arbitrators pursuant to [***]’s Commercial Arbitration Rules then in effect. The award of the arbitrators shall be the sole and exclusive remedy of the Parties, except for those remedies that are set forth in this Agreement or which apply to a Party by operation of the applicable provisions of this Agreement, and the Parties hereby expressly agree to waive the right to appeal from the decisions of the arbitrators, and there shall be no appeal to any court or other authority (government or private) from the decision of the arbitrators. Judgment on the award rendered by the arbitrators may be enforced in any court having competent jurisdiction thereof.</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60" w:right="439" w:bottom="1440" w:gutter="0" w:footer="0" w:header="0"/>
        </w:sectPr>
      </w:pPr>
    </w:p>
    <w:bookmarkStart w:id="759" w:name="page760"/>
    <w:bookmarkEnd w:id="7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 xml:space="preserve">15.2.3 </w:t>
      </w:r>
      <w:r>
        <w:rPr>
          <w:rFonts w:ascii="Arial" w:cs="Arial" w:eastAsia="Arial" w:hAnsi="Arial"/>
          <w:sz w:val="18"/>
          <w:szCs w:val="18"/>
          <w:u w:val="single" w:color="auto"/>
          <w:color w:val="auto"/>
        </w:rPr>
        <w:t>Arbitration Costs</w:t>
      </w:r>
      <w:r>
        <w:rPr>
          <w:rFonts w:ascii="Arial" w:cs="Arial" w:eastAsia="Arial" w:hAnsi="Arial"/>
          <w:sz w:val="18"/>
          <w:szCs w:val="18"/>
          <w:color w:val="auto"/>
        </w:rPr>
        <w:t xml:space="preserve">. Each Party shall bear its own attorneys’ fees, costs, and disbursements arising out of the arbitration, and shall pay an equal share of the fees and costs of the arbitrator; </w:t>
      </w:r>
      <w:r>
        <w:rPr>
          <w:rFonts w:ascii="Arial" w:cs="Arial" w:eastAsia="Arial" w:hAnsi="Arial"/>
          <w:sz w:val="18"/>
          <w:szCs w:val="18"/>
          <w:u w:val="single" w:color="auto"/>
          <w:color w:val="auto"/>
        </w:rPr>
        <w:t>provided, however, that</w:t>
      </w:r>
      <w:r>
        <w:rPr>
          <w:rFonts w:ascii="Arial" w:cs="Arial" w:eastAsia="Arial" w:hAnsi="Arial"/>
          <w:sz w:val="18"/>
          <w:szCs w:val="18"/>
          <w:color w:val="auto"/>
        </w:rPr>
        <w:t xml:space="preserve"> [***].</w:t>
      </w:r>
    </w:p>
    <w:p>
      <w:pPr>
        <w:spacing w:after="0" w:line="170"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8"/>
          <w:szCs w:val="18"/>
          <w:color w:val="auto"/>
        </w:rPr>
        <w:t xml:space="preserve">15.2.4 </w:t>
      </w:r>
      <w:r>
        <w:rPr>
          <w:rFonts w:ascii="Arial" w:cs="Arial" w:eastAsia="Arial" w:hAnsi="Arial"/>
          <w:sz w:val="18"/>
          <w:szCs w:val="18"/>
          <w:u w:val="single" w:color="auto"/>
          <w:color w:val="auto"/>
        </w:rPr>
        <w:t>Confidentiality</w:t>
      </w:r>
      <w:r>
        <w:rPr>
          <w:rFonts w:ascii="Arial" w:cs="Arial" w:eastAsia="Arial" w:hAnsi="Arial"/>
          <w:sz w:val="18"/>
          <w:szCs w:val="18"/>
          <w:color w:val="auto"/>
        </w:rPr>
        <w:t>. All proceedings and decisions of the arbitrators shall be deemed Confidential Information of each of the Parties, and shall be subject to ARTICLE XI.</w:t>
      </w:r>
    </w:p>
    <w:p>
      <w:pPr>
        <w:spacing w:after="0" w:line="170" w:lineRule="exact"/>
        <w:rPr>
          <w:sz w:val="20"/>
          <w:szCs w:val="20"/>
          <w:color w:val="auto"/>
        </w:rPr>
      </w:pPr>
    </w:p>
    <w:p>
      <w:pPr>
        <w:ind w:left="120" w:right="120" w:firstLine="991"/>
        <w:spacing w:after="0" w:line="257" w:lineRule="auto"/>
        <w:rPr>
          <w:sz w:val="20"/>
          <w:szCs w:val="20"/>
          <w:color w:val="auto"/>
        </w:rPr>
      </w:pPr>
      <w:r>
        <w:rPr>
          <w:rFonts w:ascii="Arial" w:cs="Arial" w:eastAsia="Arial" w:hAnsi="Arial"/>
          <w:sz w:val="18"/>
          <w:szCs w:val="18"/>
          <w:color w:val="auto"/>
        </w:rPr>
        <w:t xml:space="preserve">15.2.5 </w:t>
      </w:r>
      <w:r>
        <w:rPr>
          <w:rFonts w:ascii="Arial" w:cs="Arial" w:eastAsia="Arial" w:hAnsi="Arial"/>
          <w:sz w:val="18"/>
          <w:szCs w:val="18"/>
          <w:u w:val="single" w:color="auto"/>
          <w:color w:val="auto"/>
        </w:rPr>
        <w:t>Award; Cumulative Remedies</w:t>
      </w:r>
      <w:r>
        <w:rPr>
          <w:rFonts w:ascii="Arial" w:cs="Arial" w:eastAsia="Arial" w:hAnsi="Arial"/>
          <w:sz w:val="18"/>
          <w:szCs w:val="18"/>
          <w:color w:val="auto"/>
        </w:rPr>
        <w:t>. Notwithstanding the provisions of Sections 15.2.1 and 15.2.2, either Party may bring an action in any court having jurisdiction to enforce an award rendered pursuant to Sections 15.2.1 and 15.2.2. The Parties further agree not to raise as a defense or objection to the request or granting of such relief that any breach of this Agreement is or would be compensable by an award of money damages. No remedy referred to in this Agreement is intended to be exclusive, but each shall be cumulative and in addition to any other remedy referred to in this Agreement or otherwise available under applicable Law.</w:t>
      </w:r>
    </w:p>
    <w:p>
      <w:pPr>
        <w:spacing w:after="0" w:line="188"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 xml:space="preserve">15.2.6 </w:t>
      </w:r>
      <w:r>
        <w:rPr>
          <w:rFonts w:ascii="Arial" w:cs="Arial" w:eastAsia="Arial" w:hAnsi="Arial"/>
          <w:sz w:val="18"/>
          <w:szCs w:val="18"/>
          <w:u w:val="single" w:color="auto"/>
          <w:color w:val="auto"/>
        </w:rPr>
        <w:t>Pending Final Resolution</w:t>
      </w:r>
      <w:r>
        <w:rPr>
          <w:rFonts w:ascii="Arial" w:cs="Arial" w:eastAsia="Arial" w:hAnsi="Arial"/>
          <w:sz w:val="18"/>
          <w:szCs w:val="18"/>
          <w:color w:val="auto"/>
        </w:rPr>
        <w:t>. Until final resolution of the Dispute in accordance with this Agreement, (a) this Agreement will remain in full force and effect; and (b) the time periods for cure as to any termination will be tolled. The Parties further agree that any payments made pursuant to this Agreement pending resolution of the dispute shall be refunded if a final determination is made in accordance with this Agreement that such payments are not due.</w:t>
      </w:r>
    </w:p>
    <w:p>
      <w:pPr>
        <w:spacing w:after="0" w:line="187" w:lineRule="exact"/>
        <w:rPr>
          <w:sz w:val="20"/>
          <w:szCs w:val="20"/>
          <w:color w:val="auto"/>
        </w:rPr>
      </w:pPr>
    </w:p>
    <w:p>
      <w:pPr>
        <w:ind w:left="120" w:right="60" w:firstLine="991"/>
        <w:spacing w:after="0" w:line="279" w:lineRule="auto"/>
        <w:rPr>
          <w:sz w:val="20"/>
          <w:szCs w:val="20"/>
          <w:color w:val="auto"/>
        </w:rPr>
      </w:pPr>
      <w:r>
        <w:rPr>
          <w:rFonts w:ascii="Arial" w:cs="Arial" w:eastAsia="Arial" w:hAnsi="Arial"/>
          <w:sz w:val="17"/>
          <w:szCs w:val="17"/>
          <w:color w:val="auto"/>
        </w:rPr>
        <w:t xml:space="preserve">15.2.7 </w:t>
      </w:r>
      <w:r>
        <w:rPr>
          <w:rFonts w:ascii="Arial" w:cs="Arial" w:eastAsia="Arial" w:hAnsi="Arial"/>
          <w:sz w:val="17"/>
          <w:szCs w:val="17"/>
          <w:u w:val="single" w:color="auto"/>
          <w:color w:val="auto"/>
        </w:rPr>
        <w:t>Injunctive Relief</w:t>
      </w:r>
      <w:r>
        <w:rPr>
          <w:rFonts w:ascii="Arial" w:cs="Arial" w:eastAsia="Arial" w:hAnsi="Arial"/>
          <w:sz w:val="17"/>
          <w:szCs w:val="17"/>
          <w:color w:val="auto"/>
        </w:rPr>
        <w:t>. Either Party may apply to the arbitrators or, for good cause, to the [***] for the appointment of an emergency arbitrator pursuant to the [***] then in effect, for consideration of interim injunctive relief until the arbitration award is rendered or the controversy is otherwise resolved. Either Party also may, without waiving any remedy under this Agreement, seek from any court having jurisdiction any injunctive or provisional relief necessary to protect the rights or property of such Party pending the arbitration award.</w:t>
      </w:r>
    </w:p>
    <w:p>
      <w:pPr>
        <w:spacing w:after="0" w:line="17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all questions regarding its validity or interpretation, or the performance or breach of this Agreement, shall be governed by and construed and enforced in accordance with the laws of the State of New York, without reference to conflicts of laws principles.</w:t>
      </w:r>
    </w:p>
    <w:p>
      <w:pPr>
        <w:spacing w:after="0" w:line="124"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u w:val="single" w:color="auto"/>
          <w:color w:val="auto"/>
        </w:rPr>
        <w:t>Assignment.</w:t>
      </w:r>
    </w:p>
    <w:p>
      <w:pPr>
        <w:spacing w:after="0" w:line="225" w:lineRule="exact"/>
        <w:rPr>
          <w:sz w:val="20"/>
          <w:szCs w:val="20"/>
          <w:color w:val="auto"/>
        </w:rPr>
      </w:pPr>
    </w:p>
    <w:p>
      <w:pPr>
        <w:ind w:left="120" w:right="80" w:firstLine="991"/>
        <w:spacing w:after="0" w:line="254" w:lineRule="auto"/>
        <w:rPr>
          <w:sz w:val="20"/>
          <w:szCs w:val="20"/>
          <w:color w:val="auto"/>
        </w:rPr>
      </w:pPr>
      <w:r>
        <w:rPr>
          <w:rFonts w:ascii="Arial" w:cs="Arial" w:eastAsia="Arial" w:hAnsi="Arial"/>
          <w:sz w:val="18"/>
          <w:szCs w:val="18"/>
          <w:color w:val="auto"/>
        </w:rPr>
        <w:t xml:space="preserve">15.4.1 </w:t>
      </w:r>
      <w:r>
        <w:rPr>
          <w:rFonts w:ascii="Arial" w:cs="Arial" w:eastAsia="Arial" w:hAnsi="Arial"/>
          <w:sz w:val="18"/>
          <w:szCs w:val="18"/>
          <w:u w:val="single" w:color="auto"/>
          <w:color w:val="auto"/>
        </w:rPr>
        <w:t>Generally</w:t>
      </w:r>
      <w:r>
        <w:rPr>
          <w:rFonts w:ascii="Arial" w:cs="Arial" w:eastAsia="Arial" w:hAnsi="Arial"/>
          <w:sz w:val="18"/>
          <w:szCs w:val="18"/>
          <w:color w:val="auto"/>
        </w:rPr>
        <w:t>. Neither this Agreement nor any of the rights, interests or obligations hereunder shall be assigned or delegated by any of the Parties (whether by operation of law or otherwise) without the prior written consent of the other Parties, except that either Party may, without the other Party’s written consent, assign and delegate this Agreement and its rights and obligations hereunder in whole or in part to a Third Party that acquires, by or otherwise in connection with, any merger, sale of assets or otherwise, all or substantially all of the business of the assigning Party to which the subject matter of this Agreement relates, as long as the assignee agrees in writing to assume all of the assigning Party’s obligations under this Agreement, and the assigning Party will remain responsible for the performance by its assignee of this Agreement or any obligations hereunder so assigned.</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60" w:right="479" w:bottom="1440" w:gutter="0" w:footer="0" w:header="0"/>
        </w:sectPr>
      </w:pPr>
    </w:p>
    <w:bookmarkStart w:id="760" w:name="page761"/>
    <w:bookmarkEnd w:id="7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991"/>
        <w:spacing w:after="0" w:line="259" w:lineRule="auto"/>
        <w:rPr>
          <w:sz w:val="20"/>
          <w:szCs w:val="20"/>
          <w:color w:val="auto"/>
        </w:rPr>
      </w:pPr>
      <w:r>
        <w:rPr>
          <w:rFonts w:ascii="Arial" w:cs="Arial" w:eastAsia="Arial" w:hAnsi="Arial"/>
          <w:sz w:val="18"/>
          <w:szCs w:val="18"/>
          <w:color w:val="auto"/>
        </w:rPr>
        <w:t xml:space="preserve">15.4.2 </w:t>
      </w:r>
      <w:r>
        <w:rPr>
          <w:rFonts w:ascii="Arial" w:cs="Arial" w:eastAsia="Arial" w:hAnsi="Arial"/>
          <w:sz w:val="18"/>
          <w:szCs w:val="18"/>
          <w:u w:val="single" w:color="auto"/>
          <w:color w:val="auto"/>
        </w:rPr>
        <w:t>All Other Assignments Null and Void</w:t>
      </w:r>
      <w:r>
        <w:rPr>
          <w:rFonts w:ascii="Arial" w:cs="Arial" w:eastAsia="Arial" w:hAnsi="Arial"/>
          <w:sz w:val="18"/>
          <w:szCs w:val="18"/>
          <w:color w:val="auto"/>
        </w:rPr>
        <w:t xml:space="preserve">. The terms of this Agreement will be binding upon and will inure to the benefit of the successors, heirs, administrators and permitted assigns of the Parties. In the event of any assignment by a Party of its rights and obligations under this Agreement, such Party shall remain primarily liable to the other Party for the performance thereof. Any purported assignment in violation of this Section 15.4 will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18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15.5 </w:t>
      </w:r>
      <w:r>
        <w:rPr>
          <w:rFonts w:ascii="Arial" w:cs="Arial" w:eastAsia="Arial" w:hAnsi="Arial"/>
          <w:sz w:val="16"/>
          <w:szCs w:val="16"/>
          <w:u w:val="single" w:color="auto"/>
          <w:color w:val="auto"/>
        </w:rPr>
        <w:t>Force Majeure</w:t>
      </w:r>
      <w:r>
        <w:rPr>
          <w:rFonts w:ascii="Arial" w:cs="Arial" w:eastAsia="Arial" w:hAnsi="Arial"/>
          <w:sz w:val="16"/>
          <w:szCs w:val="16"/>
          <w:color w:val="auto"/>
        </w:rPr>
        <w:t>. If the performance of any part of this Agreement by a Party is prevented, restricted, interfered with or delayed by an occurrence beyond the control of such Party (and which did not occur as a result of such Party’s financial condition, negligence or fault), including fire, earthquake, flood, embargo, power shortage or failure, acts of war or terrorism, insurrection, riot, lockout or other labor disturbance, governmental acts or orders or restrictions (even if foreseeable as a result of the COVID-19 pandemic), pandemic (including COVID-19, even though foreseeable), acts of God, such Party shall, upon giving written notice to the other Party, be excused from such performance to the extent of such prevention, restriction, interference or delay, but the affected Party shall use its Commercially Reasonable Efforts to avoid or remove such causes of non-performance and shall continue performance with the utmost dispatch whenever such causes are removed; provided that any deadlines hereunder related to such performance shall be tolled during the foregoing period of non-performance. Without limiting the foregoing, when such circumstances arise, the Parties shall negotiate in good faith any modifications of the terms of this Agreement that may be necessary or appropriate in order to arrive at an equitable solution.</w:t>
      </w:r>
    </w:p>
    <w:p>
      <w:pPr>
        <w:spacing w:after="0" w:line="16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 xml:space="preserve">15.6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Unless otherwise agreed by the Parties or specified in this Agreement, all notices required or permitted to be given under this Agreement shall be in writing and shall be sufficient if: (a) personally delivered; (b) sent by registered or certified mail (return receipt requested and postage prepaid); (c) sent by express courier service providing evidence of receipt and postage prepaid where applicable; or (d) sent by facsimile transmission (receipt verified and a copy promptly sent by another permissible method of providing notice described in clauses (a), (b) or (c) above), to the address for a Party set forth below, or such other address for a Party as may be specified in writing by like notice:</w:t>
      </w:r>
    </w:p>
    <w:p>
      <w:pPr>
        <w:spacing w:after="0" w:line="186"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3560" w:type="dxa"/>
            <w:vAlign w:val="bottom"/>
            <w:gridSpan w:val="2"/>
          </w:tcPr>
          <w:p>
            <w:pPr>
              <w:spacing w:after="0"/>
              <w:rPr>
                <w:sz w:val="20"/>
                <w:szCs w:val="20"/>
                <w:color w:val="auto"/>
              </w:rPr>
            </w:pPr>
            <w:r>
              <w:rPr>
                <w:rFonts w:ascii="Arial" w:cs="Arial" w:eastAsia="Arial" w:hAnsi="Arial"/>
                <w:sz w:val="18"/>
                <w:szCs w:val="18"/>
                <w:color w:val="auto"/>
              </w:rPr>
              <w:t>To Repare:</w:t>
            </w:r>
          </w:p>
        </w:tc>
        <w:tc>
          <w:tcPr>
            <w:tcW w:w="1720" w:type="dxa"/>
            <w:vAlign w:val="bottom"/>
          </w:tcPr>
          <w:p>
            <w:pPr>
              <w:spacing w:after="0"/>
              <w:rPr>
                <w:sz w:val="17"/>
                <w:szCs w:val="17"/>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To BMS:</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60" w:type="dxa"/>
            <w:vAlign w:val="bottom"/>
            <w:gridSpan w:val="2"/>
          </w:tcPr>
          <w:p>
            <w:pPr>
              <w:spacing w:after="0"/>
              <w:rPr>
                <w:sz w:val="20"/>
                <w:szCs w:val="20"/>
                <w:color w:val="auto"/>
              </w:rPr>
            </w:pPr>
            <w:r>
              <w:rPr>
                <w:rFonts w:ascii="Arial" w:cs="Arial" w:eastAsia="Arial" w:hAnsi="Arial"/>
                <w:sz w:val="18"/>
                <w:szCs w:val="18"/>
                <w:color w:val="auto"/>
              </w:rPr>
              <w:t>Repare Therapeutics Inc.</w:t>
            </w:r>
          </w:p>
        </w:tc>
        <w:tc>
          <w:tcPr>
            <w:tcW w:w="172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Bristol-Myers Squibb Company</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7210 Frederick Banting Suite 100,</w:t>
            </w:r>
          </w:p>
        </w:tc>
        <w:tc>
          <w:tcPr>
            <w:tcW w:w="17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Province Line Road &amp; Route 206</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Saint-Laurent, QC H4S 2A1, Canada</w:t>
            </w:r>
          </w:p>
        </w:tc>
        <w:tc>
          <w:tcPr>
            <w:tcW w:w="17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Princeton, NJ 08543</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Attention: Chief Executive Officer</w:t>
            </w:r>
          </w:p>
        </w:tc>
        <w:tc>
          <w:tcPr>
            <w:tcW w:w="17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w w:val="94"/>
              </w:rPr>
              <w:t>Attention: Vice President, Business</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With copy to:</w:t>
            </w:r>
          </w:p>
        </w:tc>
        <w:tc>
          <w:tcPr>
            <w:tcW w:w="17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w w:val="90"/>
              </w:rPr>
              <w:t>Development, Oncology &amp; Research</w:t>
            </w:r>
          </w:p>
        </w:tc>
        <w:tc>
          <w:tcPr>
            <w:tcW w:w="0" w:type="dxa"/>
            <w:vAlign w:val="bottom"/>
          </w:tcPr>
          <w:p>
            <w:pPr>
              <w:spacing w:after="0"/>
              <w:rPr>
                <w:sz w:val="1"/>
                <w:szCs w:val="1"/>
                <w:color w:val="auto"/>
              </w:rPr>
            </w:pPr>
          </w:p>
        </w:tc>
      </w:tr>
      <w:tr>
        <w:trPr>
          <w:trHeight w:val="230"/>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Repare Therapeutics USA, Inc.</w:t>
            </w:r>
          </w:p>
        </w:tc>
        <w:tc>
          <w:tcPr>
            <w:tcW w:w="172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Enabling Transactions</w:t>
            </w:r>
          </w:p>
        </w:tc>
        <w:tc>
          <w:tcPr>
            <w:tcW w:w="0" w:type="dxa"/>
            <w:vAlign w:val="bottom"/>
          </w:tcPr>
          <w:p>
            <w:pPr>
              <w:spacing w:after="0"/>
              <w:rPr>
                <w:sz w:val="1"/>
                <w:szCs w:val="1"/>
                <w:color w:val="auto"/>
              </w:rPr>
            </w:pPr>
          </w:p>
        </w:tc>
      </w:tr>
      <w:tr>
        <w:trPr>
          <w:trHeight w:val="134"/>
        </w:trPr>
        <w:tc>
          <w:tcPr>
            <w:tcW w:w="3560" w:type="dxa"/>
            <w:vAlign w:val="bottom"/>
            <w:gridSpan w:val="2"/>
            <w:vMerge w:val="continue"/>
          </w:tcPr>
          <w:p>
            <w:pPr>
              <w:spacing w:after="0"/>
              <w:rPr>
                <w:sz w:val="11"/>
                <w:szCs w:val="11"/>
                <w:color w:val="auto"/>
              </w:rPr>
            </w:pPr>
          </w:p>
        </w:tc>
        <w:tc>
          <w:tcPr>
            <w:tcW w:w="1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One Broadway, 15th Floor</w:t>
            </w:r>
          </w:p>
        </w:tc>
        <w:tc>
          <w:tcPr>
            <w:tcW w:w="1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Cambridge, MA 02142</w:t>
            </w:r>
          </w:p>
        </w:tc>
        <w:tc>
          <w:tcPr>
            <w:tcW w:w="1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Attention: Chief Scientific Officer</w:t>
            </w:r>
          </w:p>
        </w:tc>
        <w:tc>
          <w:tcPr>
            <w:tcW w:w="1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-81-</w:t>
            </w:r>
          </w:p>
        </w:tc>
        <w:tc>
          <w:tcPr>
            <w:tcW w:w="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60" w:right="519" w:bottom="1440" w:gutter="0" w:footer="0" w:header="0"/>
        </w:sectPr>
      </w:pPr>
    </w:p>
    <w:bookmarkStart w:id="761" w:name="page762"/>
    <w:bookmarkEnd w:id="7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With a copy to:</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WilmerHale</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60 State Street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Facsimile: [***]</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such notices shall be effective upon receipt by the Party to whom it is addressed.</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u w:val="single" w:color="auto"/>
          <w:color w:val="auto"/>
        </w:rPr>
        <w:t>Waiver</w:t>
      </w:r>
      <w:r>
        <w:rPr>
          <w:rFonts w:ascii="Arial" w:cs="Arial" w:eastAsia="Arial" w:hAnsi="Arial"/>
          <w:sz w:val="18"/>
          <w:szCs w:val="18"/>
          <w:color w:val="auto"/>
        </w:rPr>
        <w:t>. Except as otherwise expressly provided in this Agreement, any term of this Agreement may be waived only by a written instrument executed by a duly authorized representative of the Party waiving compliance. The delay or failure of either Party at any time to require performance of any provision of this Agreement shall in no manner affect such Party’s rights at a later time to thereafter enforce such provision. No waiver by either Party of any condition or term in any one or more instances shall be construed as a further or continuing waiver of such condition or term or of another condition or term.</w:t>
      </w:r>
    </w:p>
    <w:p>
      <w:pPr>
        <w:spacing w:after="0" w:line="18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 xml:space="preserve">15.8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should be invalid, illegal or unenforceable in any jurisdiction, the Parties shall negotiate in good faith a valid, legal and enforceable substitute provision that most nearly reflects the original intent of the Parties and all other provisions of this Agreement shall remain in full force and effect in such jurisdiction and shall be liberally construed in order to carry out the intentions of the Parties hereto as nearly as may be possible. If the Parties cannot agree upon a substitute provision, the invalid, illegal or unenforceable provision of this Agreement shall not affect the validity of this Agreement as a whole, unless the invalid, illegal or unenforceable provision is of such essential importance to this Agreement that it is to be reasonably assumed that the Parties would not have entered into this Agreement without the invalid, illegal or unenforceable provision.</w:t>
      </w:r>
    </w:p>
    <w:p>
      <w:pPr>
        <w:spacing w:after="0" w:line="19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15.9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(including the Exhibits and Schedules attached hereto) constitutes the entire agreement between the Parties relating to its subject matter, and supersedes all prior and contemporaneous agreements, representations or understandings, either written or oral, between the Parties with respect to such subject matter, including the Confidentiality Agreement. There are no covenants, promises, agreements, warranties, representations, conditions or understandings, either oral or written, between the Parties relating to the subject matter hereof other than as set forth herein.</w:t>
      </w:r>
    </w:p>
    <w:p>
      <w:pPr>
        <w:spacing w:after="0" w:line="188"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 xml:space="preserve">15.10 </w:t>
      </w:r>
      <w:r>
        <w:rPr>
          <w:rFonts w:ascii="Arial" w:cs="Arial" w:eastAsia="Arial" w:hAnsi="Arial"/>
          <w:sz w:val="18"/>
          <w:szCs w:val="18"/>
          <w:u w:val="single" w:color="auto"/>
          <w:color w:val="auto"/>
        </w:rPr>
        <w:t>Modification</w:t>
      </w:r>
      <w:r>
        <w:rPr>
          <w:rFonts w:ascii="Arial" w:cs="Arial" w:eastAsia="Arial" w:hAnsi="Arial"/>
          <w:sz w:val="18"/>
          <w:szCs w:val="18"/>
          <w:color w:val="auto"/>
        </w:rPr>
        <w:t>. No modification, amendment or addition to this Agreement, or any provision hereof, shall be effective unless reduced to writing and signed by a duly authorized representative of each Party. No provision of this Agreement shall be varied, contradicted or explained by any oral agreement, course of dealing or performance or any other matter not set forth in an agreement in writing and signed by a duly authorized representative of each Party.</w:t>
      </w:r>
    </w:p>
    <w:p>
      <w:pPr>
        <w:spacing w:after="0" w:line="18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 xml:space="preserve">15.11 </w:t>
      </w:r>
      <w:r>
        <w:rPr>
          <w:rFonts w:ascii="Arial" w:cs="Arial" w:eastAsia="Arial" w:hAnsi="Arial"/>
          <w:sz w:val="18"/>
          <w:szCs w:val="18"/>
          <w:u w:val="single" w:color="auto"/>
          <w:color w:val="auto"/>
        </w:rPr>
        <w:t>Independent Contractors; No Intended Third Party Beneficiaries</w:t>
      </w:r>
      <w:r>
        <w:rPr>
          <w:rFonts w:ascii="Arial" w:cs="Arial" w:eastAsia="Arial" w:hAnsi="Arial"/>
          <w:sz w:val="18"/>
          <w:szCs w:val="18"/>
          <w:color w:val="auto"/>
        </w:rPr>
        <w:t>. Nothing contained in this Agreement is intended or shall be deemed or construed to create any relationship of employer and employee, agent and principal, partnership or joint venture between the Parties. Each Party is an independent contractor. No Party shall assume, either directly or indirectly, 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60" w:right="459" w:bottom="1440" w:gutter="0" w:footer="0" w:header="0"/>
        </w:sectPr>
      </w:pPr>
    </w:p>
    <w:bookmarkStart w:id="762" w:name="page763"/>
    <w:bookmarkEnd w:id="7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liability of or for the other Party. No Party shall have any express or implied right or authority to assume or create any obligations on behalf of, or in the name of, the other Party, nor to bind the other Party to any contract, agreement or undertaking with any Third Party. There are no express or implied third party beneficiaries hereunder, except for the indemnitees identified in Sections 13.1 and 13.2.</w:t>
      </w:r>
    </w:p>
    <w:p>
      <w:pPr>
        <w:spacing w:after="0" w:line="18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15.12 </w:t>
      </w:r>
      <w:r>
        <w:rPr>
          <w:rFonts w:ascii="Arial" w:cs="Arial" w:eastAsia="Arial" w:hAnsi="Arial"/>
          <w:sz w:val="16"/>
          <w:szCs w:val="16"/>
          <w:u w:val="single" w:color="auto"/>
          <w:color w:val="auto"/>
        </w:rPr>
        <w:t>Interpretation; Construction</w:t>
      </w:r>
      <w:r>
        <w:rPr>
          <w:rFonts w:ascii="Arial" w:cs="Arial" w:eastAsia="Arial" w:hAnsi="Arial"/>
          <w:sz w:val="16"/>
          <w:szCs w:val="16"/>
          <w:color w:val="auto"/>
        </w:rPr>
        <w:t>. The captions to the several Articles and Sections of this Agreement are included only for convenience of reference and shall not in any way affect the construction of, or be taken into consideration in interpreting, this Agreement. In this Agreement, unless the context requires otherwise, (a) the words “including,” “include,” “includes,” “such as” and “e.g.” shall be deemed to be followed by the phrase “without limitation” or like expression, whether or not followed by the same; (b) references to the singular shall include the plural and vice versa; (c) references to masculine, feminine and neuter pronouns and expressions shall be interchangeable; (d) the words “herein” or “hereunder” relate to this Agreement;</w:t>
      </w:r>
    </w:p>
    <w:p>
      <w:pPr>
        <w:spacing w:after="0" w:line="2" w:lineRule="exact"/>
        <w:rPr>
          <w:sz w:val="20"/>
          <w:szCs w:val="20"/>
          <w:color w:val="auto"/>
        </w:rPr>
      </w:pPr>
    </w:p>
    <w:p>
      <w:pPr>
        <w:ind w:left="120" w:right="140" w:hanging="4"/>
        <w:spacing w:after="0" w:line="269" w:lineRule="auto"/>
        <w:tabs>
          <w:tab w:leader="none" w:pos="365" w:val="left"/>
        </w:tabs>
        <w:numPr>
          <w:ilvl w:val="0"/>
          <w:numId w:val="518"/>
        </w:numPr>
        <w:rPr>
          <w:rFonts w:ascii="Arial" w:cs="Arial" w:eastAsia="Arial" w:hAnsi="Arial"/>
          <w:sz w:val="17"/>
          <w:szCs w:val="17"/>
          <w:color w:val="auto"/>
        </w:rPr>
      </w:pPr>
      <w:r>
        <w:rPr>
          <w:rFonts w:ascii="Arial" w:cs="Arial" w:eastAsia="Arial" w:hAnsi="Arial"/>
          <w:sz w:val="17"/>
          <w:szCs w:val="17"/>
          <w:color w:val="auto"/>
        </w:rPr>
        <w:t>the word “or” is used in the inclusive sense that is typically associated with the phrase “and/or”; (f) the word “will” shall be construed to have the same meaning and effect as the word “shall”; (g) all references to “dollars” or “$” herein shall mean Dollars; (h) the phrase “non-refundable, non-creditable” shall not prohibit, limit or restrict either Party’s right to obtain damages in connection with a breach of this Agreement; and (i) a capitalized term not defined herein but reflecting a different part of speech from that of a capitalized term which is defined herein shall be interpreted in a correlative manner.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180"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 xml:space="preserve">15.13 </w:t>
      </w:r>
      <w:r>
        <w:rPr>
          <w:rFonts w:ascii="Arial" w:cs="Arial" w:eastAsia="Arial" w:hAnsi="Arial"/>
          <w:sz w:val="17"/>
          <w:szCs w:val="17"/>
          <w:u w:val="single" w:color="auto"/>
          <w:color w:val="auto"/>
        </w:rPr>
        <w:t>Performance by Affiliates</w:t>
      </w:r>
      <w:r>
        <w:rPr>
          <w:rFonts w:ascii="Arial" w:cs="Arial" w:eastAsia="Arial" w:hAnsi="Arial"/>
          <w:sz w:val="17"/>
          <w:szCs w:val="17"/>
          <w:color w:val="auto"/>
        </w:rPr>
        <w:t>. BMS may perform any obligation this Agreement imposes on it through any of its Affiliates. To the extent that this Agreement imposes obligations on Affiliates of a Party, such Party agrees to cause its Affiliates to perform such obligations.</w:t>
      </w:r>
    </w:p>
    <w:p>
      <w:pPr>
        <w:spacing w:after="0" w:line="146"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 xml:space="preserve">15.14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(2) counterparts, each of which shall be deemed an original, and both of which together shall constitute one and the same instrument. Any such counterpart, to the extent delivered by means of a fax machine or by .pdf, .tif, .gif, .jpeg or similar attachment to electronic mail (any such delivery, an “Electronic Delivery”) shall be treated in all manner and respects as an original executed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claim or defense with respect to the formation of a contract, and each Party forever waives any such claim or defense, except to the extent that such claim or defense relates to lack of authenticity.</w:t>
      </w:r>
    </w:p>
    <w:p>
      <w:pPr>
        <w:spacing w:after="0" w:line="16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u w:val="single" w:color="auto"/>
          <w:color w:val="auto"/>
        </w:rPr>
        <w:t>Equitable Relief</w:t>
      </w:r>
      <w:r>
        <w:rPr>
          <w:rFonts w:ascii="Arial" w:cs="Arial" w:eastAsia="Arial" w:hAnsi="Arial"/>
          <w:sz w:val="18"/>
          <w:szCs w:val="18"/>
          <w:color w:val="auto"/>
        </w:rPr>
        <w:t>. Notwithstanding anything to the contrary herein, the Parties shall be entitled to seek equitable relief, including injunction and specific performance, as a remedy for any breach of this Agreement. Such remedies shall not be deemed to be the exclusive remedies for a breach of this Agreement but shall be in addition to all other remedies available at law or equity.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60" w:right="459" w:bottom="1440" w:gutter="0" w:footer="0" w:header="0"/>
        </w:sectPr>
      </w:pPr>
    </w:p>
    <w:bookmarkStart w:id="763" w:name="page764"/>
    <w:bookmarkEnd w:id="7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15.16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shall execute, acknowledge and deliver such further instruments, and do all such other acts, as may be necessary or appropriate in order to carry out the expressly stated purposes and the clear intent of this Agreement. Except with respect to registrations, filings and applications related to Antitrust Law, which shall be governed by ARTICLE III, Repare and BMS shall cooperate and use all reasonable efforts to make all other registrations, filings and applications, to give all notices and to obtain as soon as practicable all governmental or other consents, transfers, approvals, orders, qualifications, authorizations, permits and waivers, if any, and to do all other things necessary or desirable for the consummation of the transactions as contemplated hereby.</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80"/>
          </w:cols>
          <w:pgMar w:left="320" w:top="460" w:right="499" w:bottom="1440" w:gutter="0" w:footer="0" w:header="0"/>
        </w:sectPr>
      </w:pPr>
    </w:p>
    <w:bookmarkStart w:id="764" w:name="page765"/>
    <w:bookmarkEnd w:id="7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WITNESS WHEREOF, and intending to be legally bound hereby, the Parties have caused this Collaboration and License Agreement to be executed by their respective duly authorized officers as of the Effective Date.</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BRISTOL-MYERS SQUIBB COMPANY</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Rupert Vessey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Rupert Vessey</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EVP, Research and Early Development</w:t>
      </w:r>
    </w:p>
    <w:p>
      <w:pPr>
        <w:spacing w:after="0" w:line="21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COLLABORATION AND LICENSE AGREEMENT</w:t>
      </w:r>
      <w:r>
        <w:rPr>
          <w:rFonts w:ascii="Arial" w:cs="Arial" w:eastAsia="Arial" w:hAnsi="Arial"/>
          <w:sz w:val="18"/>
          <w:szCs w:val="18"/>
          <w:color w:val="auto"/>
        </w:rPr>
        <w:t>]</w:t>
      </w:r>
    </w:p>
    <w:p>
      <w:pPr>
        <w:sectPr>
          <w:pgSz w:w="11900" w:h="16838" w:orient="portrait"/>
          <w:cols w:equalWidth="0" w:num="1">
            <w:col w:w="10760"/>
          </w:cols>
          <w:pgMar w:left="320" w:top="460" w:right="819" w:bottom="1440" w:gutter="0" w:footer="0" w:header="0"/>
        </w:sectPr>
      </w:pPr>
    </w:p>
    <w:bookmarkStart w:id="765" w:name="page766"/>
    <w:bookmarkEnd w:id="7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WITNESS WHEREOF, and intending to be legally bound hereby, the Parties have caused this Collaboration and License Agreement to be executed by their respective duly authorized officers as of the Effective Date.</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REPARE THERAPEUTICS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Lloyd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Lloyd Segal</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President and CEO</w:t>
      </w:r>
    </w:p>
    <w:p>
      <w:pPr>
        <w:spacing w:after="0" w:line="21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COLLABORATION AND LICENSE AGREEMENT</w:t>
      </w:r>
      <w:r>
        <w:rPr>
          <w:rFonts w:ascii="Arial" w:cs="Arial" w:eastAsia="Arial" w:hAnsi="Arial"/>
          <w:sz w:val="18"/>
          <w:szCs w:val="18"/>
          <w:color w:val="auto"/>
        </w:rPr>
        <w:t>]</w:t>
      </w:r>
    </w:p>
    <w:p>
      <w:pPr>
        <w:sectPr>
          <w:pgSz w:w="11900" w:h="16838" w:orient="portrait"/>
          <w:cols w:equalWidth="0" w:num="1">
            <w:col w:w="10760"/>
          </w:cols>
          <w:pgMar w:left="320" w:top="460" w:right="819" w:bottom="1440" w:gutter="0" w:footer="0" w:header="0"/>
        </w:sectPr>
      </w:pPr>
    </w:p>
    <w:bookmarkStart w:id="766" w:name="page767"/>
    <w:bookmarkEnd w:id="7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u w:val="single" w:color="auto"/>
          <w:color w:val="auto"/>
        </w:rPr>
        <w:t>Research Plan</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139"/>
          </w:cols>
          <w:pgMar w:left="320" w:top="460" w:right="1440" w:bottom="1440" w:gutter="0" w:footer="0" w:header="0"/>
        </w:sectPr>
      </w:pPr>
    </w:p>
    <w:bookmarkStart w:id="767" w:name="page768"/>
    <w:bookmarkEnd w:id="7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Press Release</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Repare Therapeutics Announces Multi-Target Discovery Collaboration with Bristol Myers Squibb</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-Bristol Myers Squibb to leverage Repare’s proprietary SNIPRx</w:t>
      </w:r>
      <w:r>
        <w:rPr>
          <w:rFonts w:ascii="Arial" w:cs="Arial" w:eastAsia="Arial" w:hAnsi="Arial"/>
          <w:sz w:val="13"/>
          <w:szCs w:val="13"/>
          <w:i w:val="1"/>
          <w:iCs w:val="1"/>
          <w:color w:val="auto"/>
        </w:rPr>
        <w:t>®</w:t>
      </w:r>
      <w:r>
        <w:rPr>
          <w:rFonts w:ascii="Arial" w:cs="Arial" w:eastAsia="Arial" w:hAnsi="Arial"/>
          <w:sz w:val="16"/>
          <w:szCs w:val="16"/>
          <w:i w:val="1"/>
          <w:iCs w:val="1"/>
          <w:color w:val="auto"/>
        </w:rPr>
        <w:t xml:space="preserve"> synthetic lethal discovery platform to identify multiple oncology drug candidates</w:t>
      </w:r>
    </w:p>
    <w:p>
      <w:pPr>
        <w:spacing w:after="0" w:line="248" w:lineRule="exact"/>
        <w:rPr>
          <w:sz w:val="20"/>
          <w:szCs w:val="20"/>
          <w:color w:val="auto"/>
        </w:rPr>
      </w:pPr>
    </w:p>
    <w:p>
      <w:pPr>
        <w:ind w:left="3120" w:hanging="111"/>
        <w:spacing w:after="0"/>
        <w:tabs>
          <w:tab w:leader="none" w:pos="3120" w:val="left"/>
        </w:tabs>
        <w:numPr>
          <w:ilvl w:val="1"/>
          <w:numId w:val="519"/>
        </w:numPr>
        <w:rPr>
          <w:rFonts w:ascii="Arial" w:cs="Arial" w:eastAsia="Arial" w:hAnsi="Arial"/>
          <w:sz w:val="18"/>
          <w:szCs w:val="18"/>
          <w:i w:val="1"/>
          <w:iCs w:val="1"/>
          <w:color w:val="auto"/>
        </w:rPr>
      </w:pPr>
      <w:r>
        <w:rPr>
          <w:rFonts w:ascii="Arial" w:cs="Arial" w:eastAsia="Arial" w:hAnsi="Arial"/>
          <w:sz w:val="18"/>
          <w:szCs w:val="18"/>
          <w:i w:val="1"/>
          <w:iCs w:val="1"/>
          <w:color w:val="auto"/>
        </w:rPr>
        <w:t>$65 million upfront payment including $15 million in equity investment</w:t>
      </w:r>
    </w:p>
    <w:p>
      <w:pPr>
        <w:spacing w:after="0" w:line="225" w:lineRule="exact"/>
        <w:rPr>
          <w:rFonts w:ascii="Arial" w:cs="Arial" w:eastAsia="Arial" w:hAnsi="Arial"/>
          <w:sz w:val="18"/>
          <w:szCs w:val="18"/>
          <w:i w:val="1"/>
          <w:iCs w:val="1"/>
          <w:color w:val="auto"/>
        </w:rPr>
      </w:pPr>
    </w:p>
    <w:p>
      <w:pPr>
        <w:ind w:left="1880" w:hanging="114"/>
        <w:spacing w:after="0"/>
        <w:tabs>
          <w:tab w:leader="none" w:pos="1880" w:val="left"/>
        </w:tabs>
        <w:numPr>
          <w:ilvl w:val="0"/>
          <w:numId w:val="519"/>
        </w:numPr>
        <w:rPr>
          <w:rFonts w:ascii="Arial" w:cs="Arial" w:eastAsia="Arial" w:hAnsi="Arial"/>
          <w:sz w:val="18"/>
          <w:szCs w:val="18"/>
          <w:i w:val="1"/>
          <w:iCs w:val="1"/>
          <w:color w:val="auto"/>
        </w:rPr>
      </w:pPr>
      <w:r>
        <w:rPr>
          <w:rFonts w:ascii="Arial" w:cs="Arial" w:eastAsia="Arial" w:hAnsi="Arial"/>
          <w:sz w:val="18"/>
          <w:szCs w:val="18"/>
          <w:i w:val="1"/>
          <w:iCs w:val="1"/>
          <w:color w:val="auto"/>
        </w:rPr>
        <w:t>Repare Therapeutics eligible to receive development, regulatory and commercial milestones and royalties</w:t>
      </w:r>
    </w:p>
    <w:p>
      <w:pPr>
        <w:spacing w:after="0" w:line="221" w:lineRule="exact"/>
        <w:rPr>
          <w:sz w:val="20"/>
          <w:szCs w:val="20"/>
          <w:color w:val="auto"/>
        </w:rPr>
      </w:pPr>
    </w:p>
    <w:p>
      <w:pPr>
        <w:ind w:left="120"/>
        <w:spacing w:after="0" w:line="289" w:lineRule="auto"/>
        <w:rPr>
          <w:sz w:val="20"/>
          <w:szCs w:val="20"/>
          <w:color w:val="auto"/>
        </w:rPr>
      </w:pPr>
      <w:r>
        <w:rPr>
          <w:rFonts w:ascii="Arial" w:cs="Arial" w:eastAsia="Arial" w:hAnsi="Arial"/>
          <w:sz w:val="17"/>
          <w:szCs w:val="17"/>
          <w:b w:val="1"/>
          <w:bCs w:val="1"/>
          <w:color w:val="auto"/>
        </w:rPr>
        <w:t xml:space="preserve">Cambridge, MA &amp; Montreal, QC, May [XX], 2020 /PRNewswire/ </w:t>
      </w:r>
      <w:r>
        <w:rPr>
          <w:rFonts w:ascii="Arial" w:cs="Arial" w:eastAsia="Arial" w:hAnsi="Arial"/>
          <w:sz w:val="17"/>
          <w:szCs w:val="17"/>
          <w:color w:val="auto"/>
        </w:rPr>
        <w:t>— Repare Therapeutics Inc. (“Repare”), a precision oncology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pioneering synthetic lethality to develop novel therapeutics that target specific vulnerabilities of tumors in genetically defined patient populations, today announced it has entered into an exclusive, worldwide research collaboration with Bristol Myers Squibb (BMS) (NYSE:BMY).</w:t>
      </w:r>
    </w:p>
    <w:p>
      <w:pPr>
        <w:spacing w:after="0" w:line="162"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“This collaboration will help to ensure that our novel discoveries are being broadly prosecuted in the search for the next generation of precision oncology medicines,” said Lloyd M. Segal, President and Chief Executive Officer of Repare Therapeutics. “Bristol Myers Squibb brings key strategic capabilities to this partnership and the resources to maximize our platform’s potential while allowing us to independently focus on our proprietary clinical and near-clinical programs.”</w:t>
      </w:r>
    </w:p>
    <w:p>
      <w:pPr>
        <w:spacing w:after="0" w:line="187"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“We look forward to collaborating with Repare and to applying their SNIPRx</w:t>
      </w:r>
      <w:r>
        <w:rPr>
          <w:rFonts w:ascii="Arial" w:cs="Arial" w:eastAsia="Arial" w:hAnsi="Arial"/>
          <w:sz w:val="15"/>
          <w:szCs w:val="15"/>
          <w:color w:val="auto"/>
        </w:rPr>
        <w:t>®</w:t>
      </w:r>
      <w:r>
        <w:rPr>
          <w:rFonts w:ascii="Arial" w:cs="Arial" w:eastAsia="Arial" w:hAnsi="Arial"/>
          <w:sz w:val="18"/>
          <w:szCs w:val="18"/>
          <w:color w:val="auto"/>
        </w:rPr>
        <w:t xml:space="preserve"> technology to enable the identification of novel precision oncology therapeutics,” said Rupert Vessey, M.A., B.M., B.Ch., F.R.C.P., D.Phil., Executive Vice President, Research &amp; Early Development, Bristol Myers Squibb. “Repare’s distinctive team and technology have the potential to lead to the discovery of important targeted drug candidates that can result in new precision therapies for patients.”</w:t>
      </w:r>
    </w:p>
    <w:p>
      <w:pPr>
        <w:spacing w:after="0" w:line="187"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Under the terms of the agreement, the companies will leverage Repare’s proprietary, CRISPR-enabled genome-wide synthetic lethal target discovery platform, SNIPRx</w:t>
      </w:r>
      <w:r>
        <w:rPr>
          <w:rFonts w:ascii="Arial" w:cs="Arial" w:eastAsia="Arial" w:hAnsi="Arial"/>
          <w:sz w:val="15"/>
          <w:szCs w:val="15"/>
          <w:color w:val="auto"/>
        </w:rPr>
        <w:t>®</w:t>
      </w:r>
      <w:r>
        <w:rPr>
          <w:rFonts w:ascii="Arial" w:cs="Arial" w:eastAsia="Arial" w:hAnsi="Arial"/>
          <w:sz w:val="18"/>
          <w:szCs w:val="18"/>
          <w:color w:val="auto"/>
        </w:rPr>
        <w:t>, to jointly identify multiple synthetic lethal precision oncology targets for drug candidates. Repare will grant BMS exclusive worldwide rights to develop and commercialize therapeutics for select validated synthetic lethal precision oncology targets discovered under the collaboration.</w:t>
      </w:r>
    </w:p>
    <w:p>
      <w:pPr>
        <w:spacing w:after="0" w:line="18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As part of the agreement, BMS will make an upfront payment of $65 million which includes a $15 million equity investment in Repare. Repare will be eligible to receive up to approximately $3 billion in license fees, discovery, development, regulatory and sales-based milestones, in addition to royalty payments on net sales of each product commercialized by BMS.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60" w:right="499" w:bottom="1440" w:gutter="0" w:footer="0" w:header="0"/>
        </w:sectPr>
      </w:pPr>
    </w:p>
    <w:bookmarkStart w:id="768" w:name="page769"/>
    <w:bookmarkEnd w:id="7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About Repare’s SNIPRx</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Platform</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Repare Therapeutics’ SNIPRx</w:t>
      </w:r>
      <w:r>
        <w:rPr>
          <w:rFonts w:ascii="Arial" w:cs="Arial" w:eastAsia="Arial" w:hAnsi="Arial"/>
          <w:sz w:val="15"/>
          <w:szCs w:val="15"/>
          <w:color w:val="auto"/>
        </w:rPr>
        <w:t>®</w:t>
      </w:r>
      <w:r>
        <w:rPr>
          <w:rFonts w:ascii="Arial" w:cs="Arial" w:eastAsia="Arial" w:hAnsi="Arial"/>
          <w:sz w:val="18"/>
          <w:szCs w:val="18"/>
          <w:color w:val="auto"/>
        </w:rPr>
        <w:t xml:space="preserve"> platform is a genome-wide CRISPR-based screening approach that utilizes proprietary isogenic cell lines to identify novel and known synthetic lethal gene pairs and the corresponding patients who are most likely to benefit from the Company’s therapies based on the genetic profile of their tumors. Repare’s platform enables the development of precision therapeutics in patients whose tumors contain one or more genomic alterations identified by SNIPRx</w:t>
      </w:r>
      <w:r>
        <w:rPr>
          <w:rFonts w:ascii="Arial" w:cs="Arial" w:eastAsia="Arial" w:hAnsi="Arial"/>
          <w:sz w:val="15"/>
          <w:szCs w:val="15"/>
          <w:color w:val="auto"/>
        </w:rPr>
        <w:t>®</w:t>
      </w:r>
      <w:r>
        <w:rPr>
          <w:rFonts w:ascii="Arial" w:cs="Arial" w:eastAsia="Arial" w:hAnsi="Arial"/>
          <w:sz w:val="18"/>
          <w:szCs w:val="18"/>
          <w:color w:val="auto"/>
        </w:rPr>
        <w:t xml:space="preserve"> screening, in order to selectively target those patients most likely to achieve clinical benefit from resulting product candidates.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About Repare Therapeutics, Inc.</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Repare Therapeutics is a leading precision oncology company enabled by its proprietary synthetic lethality approach to the discovery and development of novel therapeutics. The Company utilizes its genome-wide, CRISPR-enabled SNIPRx</w:t>
      </w:r>
      <w:r>
        <w:rPr>
          <w:rFonts w:ascii="Arial" w:cs="Arial" w:eastAsia="Arial" w:hAnsi="Arial"/>
          <w:sz w:val="15"/>
          <w:szCs w:val="15"/>
          <w:color w:val="auto"/>
        </w:rPr>
        <w:t>®</w:t>
      </w:r>
      <w:r>
        <w:rPr>
          <w:rFonts w:ascii="Arial" w:cs="Arial" w:eastAsia="Arial" w:hAnsi="Arial"/>
          <w:sz w:val="18"/>
          <w:szCs w:val="18"/>
          <w:color w:val="auto"/>
        </w:rPr>
        <w:t xml:space="preserve"> platform to systematically discover and develop highly targeted cancer therapies focused on genomic instability, including DNA damage repair. The Company’s pipeline includes its lead product candidate RP-3500, a potential leading ATR inhibitor, as well as CCNE1-SL inhibitor and Polq inhibitor programs. For more information, please visit </w:t>
      </w:r>
      <w:r>
        <w:rPr>
          <w:rFonts w:ascii="Arial" w:cs="Arial" w:eastAsia="Arial" w:hAnsi="Arial"/>
          <w:sz w:val="18"/>
          <w:szCs w:val="18"/>
          <w:u w:val="single" w:color="auto"/>
          <w:color w:val="auto"/>
        </w:rPr>
        <w:t>www.reparerx.com</w:t>
      </w:r>
      <w:r>
        <w:rPr>
          <w:rFonts w:ascii="Arial" w:cs="Arial" w:eastAsia="Arial" w:hAnsi="Arial"/>
          <w:sz w:val="18"/>
          <w:szCs w:val="18"/>
          <w:color w:val="auto"/>
        </w:rPr>
        <w: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SNIPRx</w:t>
      </w:r>
      <w:r>
        <w:rPr>
          <w:rFonts w:ascii="Arial" w:cs="Arial" w:eastAsia="Arial" w:hAnsi="Arial"/>
          <w:sz w:val="15"/>
          <w:szCs w:val="15"/>
          <w:color w:val="auto"/>
        </w:rPr>
        <w:t>®</w:t>
      </w:r>
      <w:r>
        <w:rPr>
          <w:rFonts w:ascii="Arial" w:cs="Arial" w:eastAsia="Arial" w:hAnsi="Arial"/>
          <w:sz w:val="18"/>
          <w:szCs w:val="18"/>
          <w:color w:val="auto"/>
        </w:rPr>
        <w:t xml:space="preserve"> is a registered trademark of Repare Therapeutics Inc.</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Repare Contact: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Steve Forte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Repare Therapeutics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info@reparerx.com</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Kimberly Minarovich</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Argot Partners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repare@argotpartners.com</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David Rosen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Argot Partners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david.rosen@argotpartners.com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212-600-1902</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80"/>
          </w:cols>
          <w:pgMar w:left="320" w:top="460" w:right="599" w:bottom="1440" w:gutter="0" w:footer="0" w:header="0"/>
        </w:sectPr>
      </w:pPr>
    </w:p>
    <w:bookmarkStart w:id="769" w:name="page770"/>
    <w:bookmarkEnd w:id="7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Exhibit 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Unblinding Letter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Repare Therapeutics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7210 Frederick Banting Suite 100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Saint-Laurent, QC H4S 2A1</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[insert date]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w:t>
      </w:r>
    </w:p>
    <w:p>
      <w:pPr>
        <w:spacing w:after="0" w:line="221" w:lineRule="exact"/>
        <w:rPr>
          <w:sz w:val="20"/>
          <w:szCs w:val="20"/>
          <w:color w:val="auto"/>
        </w:rPr>
      </w:pPr>
    </w:p>
    <w:p>
      <w:pPr>
        <w:ind w:left="120"/>
        <w:spacing w:after="0"/>
        <w:tabs>
          <w:tab w:leader="none" w:pos="7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Unblinding Notification</w:t>
      </w:r>
    </w:p>
    <w:p>
      <w:pPr>
        <w:spacing w:after="0" w:line="121"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Reference is made to the Collaboration and License Agreement by and between Repare Therapeutics Inc. and Repare Therapeutics USA, Inc. (together, “</w:t>
      </w:r>
      <w:r>
        <w:rPr>
          <w:rFonts w:ascii="Arial" w:cs="Arial" w:eastAsia="Arial" w:hAnsi="Arial"/>
          <w:sz w:val="16"/>
          <w:szCs w:val="16"/>
          <w:b w:val="1"/>
          <w:bCs w:val="1"/>
          <w:i w:val="1"/>
          <w:iCs w:val="1"/>
          <w:color w:val="auto"/>
        </w:rPr>
        <w:t>Repare</w:t>
      </w:r>
      <w:r>
        <w:rPr>
          <w:rFonts w:ascii="Arial" w:cs="Arial" w:eastAsia="Arial" w:hAnsi="Arial"/>
          <w:sz w:val="16"/>
          <w:szCs w:val="16"/>
          <w:color w:val="auto"/>
        </w:rPr>
        <w:t>”) on the one hand, and Bristol-Myers Squibb Company (“</w:t>
      </w:r>
      <w:r>
        <w:rPr>
          <w:rFonts w:ascii="Arial" w:cs="Arial" w:eastAsia="Arial" w:hAnsi="Arial"/>
          <w:sz w:val="16"/>
          <w:szCs w:val="16"/>
          <w:b w:val="1"/>
          <w:bCs w:val="1"/>
          <w:i w:val="1"/>
          <w:iCs w:val="1"/>
          <w:color w:val="auto"/>
        </w:rPr>
        <w:t>BMS</w:t>
      </w:r>
      <w:r>
        <w:rPr>
          <w:rFonts w:ascii="Arial" w:cs="Arial" w:eastAsia="Arial" w:hAnsi="Arial"/>
          <w:sz w:val="16"/>
          <w:szCs w:val="16"/>
          <w:color w:val="auto"/>
        </w:rPr>
        <w:t>”) on the other hand, dated as of May 26, 2020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w:t>
      </w:r>
    </w:p>
    <w:p>
      <w:pPr>
        <w:spacing w:after="0" w:line="124"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This letter constitutes an Unblinding Notification (as defined in the Agreement) pursuant to Section [2.5.8/2.6.3/2.8.2(a)] of the Agreement. BMS hereby requests that Repare disclose to BMS the identity of the [Druggable/LDD Target / Undruggable Target] (as defined in the Agreement) that is the subject of the anonymized Final Data Package (as defined in the Agreement) with reference [include applicable reference].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and on behalf of Bristol-Myers Squibb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306070</wp:posOffset>
            </wp:positionV>
            <wp:extent cx="2794635"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Repare Therapeutics USA, Inc.</w:t>
      </w:r>
    </w:p>
    <w:p>
      <w:pPr>
        <w:spacing w:after="0" w:line="2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One Broadway, 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Chief Scientific Officer</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WilmerHale</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60 State Street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Boston, MA 02109</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60" w:right="439" w:bottom="1440" w:gutter="0" w:footer="0" w:header="0"/>
        </w:sectPr>
      </w:pPr>
    </w:p>
    <w:bookmarkStart w:id="770" w:name="page771"/>
    <w:bookmarkEnd w:id="7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Schedule 1.1.55</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u w:val="single" w:color="auto"/>
          <w:color w:val="auto"/>
        </w:rPr>
        <w:t>Existing Repare Campaigns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139"/>
          </w:cols>
          <w:pgMar w:left="320" w:top="460" w:right="1440" w:bottom="1440" w:gutter="0" w:footer="0" w:header="0"/>
        </w:sectPr>
      </w:pPr>
    </w:p>
    <w:bookmarkStart w:id="771" w:name="page772"/>
    <w:bookmarkEnd w:id="7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Schedule 5.2.6(c)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Expert Matter Arbitration</w:t>
      </w:r>
    </w:p>
    <w:p>
      <w:pPr>
        <w:spacing w:after="0" w:line="21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Any matter that is referred by the Parties for resolution by an Expert by their representatives on the JSC as contemplated by Section 5.2.6(c) shall be resolved by expedited arbitration by an Expert as follows:</w:t>
      </w:r>
    </w:p>
    <w:p>
      <w:pPr>
        <w:spacing w:after="0" w:line="62" w:lineRule="exact"/>
        <w:rPr>
          <w:sz w:val="20"/>
          <w:szCs w:val="20"/>
          <w:color w:val="auto"/>
        </w:rPr>
      </w:pPr>
    </w:p>
    <w:p>
      <w:pPr>
        <w:ind w:left="120" w:right="20" w:firstLine="1428"/>
        <w:spacing w:after="0" w:line="257" w:lineRule="auto"/>
        <w:tabs>
          <w:tab w:leader="none" w:pos="1932" w:val="left"/>
        </w:tabs>
        <w:numPr>
          <w:ilvl w:val="0"/>
          <w:numId w:val="520"/>
        </w:numPr>
        <w:rPr>
          <w:rFonts w:ascii="Arial" w:cs="Arial" w:eastAsia="Arial" w:hAnsi="Arial"/>
          <w:sz w:val="18"/>
          <w:szCs w:val="18"/>
          <w:color w:val="auto"/>
        </w:rPr>
      </w:pPr>
      <w:r>
        <w:rPr>
          <w:rFonts w:ascii="Arial" w:cs="Arial" w:eastAsia="Arial" w:hAnsi="Arial"/>
          <w:sz w:val="18"/>
          <w:szCs w:val="18"/>
          <w:color w:val="auto"/>
        </w:rPr>
        <w:t>Upon written request by either Party to the other Party, the Parties shall promptly negotiate in good faith to appoint an appropriate Expert. If the Parties are not able to agree by mutual Party written consent within [***] after the receipt by a Party of the written request in the immediately preceding sentence, the [***], or such other similar entity as the Parties may agree by mutual Party written consent, shall be responsible for selecting an Expert within [***] of being approached by a Party. The fees and costs of the Expert and the CPR Institute for Dispute Resolution (or such other entity) shall be [***].</w:t>
      </w:r>
    </w:p>
    <w:p>
      <w:pPr>
        <w:spacing w:after="0" w:line="187" w:lineRule="exact"/>
        <w:rPr>
          <w:rFonts w:ascii="Arial" w:cs="Arial" w:eastAsia="Arial" w:hAnsi="Arial"/>
          <w:sz w:val="18"/>
          <w:szCs w:val="18"/>
          <w:color w:val="auto"/>
        </w:rPr>
      </w:pPr>
    </w:p>
    <w:p>
      <w:pPr>
        <w:ind w:left="120" w:firstLine="1428"/>
        <w:spacing w:after="0" w:line="259" w:lineRule="auto"/>
        <w:tabs>
          <w:tab w:leader="none" w:pos="1939" w:val="left"/>
        </w:tabs>
        <w:numPr>
          <w:ilvl w:val="0"/>
          <w:numId w:val="520"/>
        </w:numPr>
        <w:rPr>
          <w:rFonts w:ascii="Arial" w:cs="Arial" w:eastAsia="Arial" w:hAnsi="Arial"/>
          <w:sz w:val="18"/>
          <w:szCs w:val="18"/>
          <w:color w:val="auto"/>
        </w:rPr>
      </w:pPr>
      <w:r>
        <w:rPr>
          <w:rFonts w:ascii="Arial" w:cs="Arial" w:eastAsia="Arial" w:hAnsi="Arial"/>
          <w:sz w:val="18"/>
          <w:szCs w:val="18"/>
          <w:color w:val="auto"/>
        </w:rPr>
        <w:t>Within [***] after the designation of the Expert, the Parties shall each simultaneously submit to the Expert and one another a written statement of their respective positions on such disagreement. Each Party shall have [***] from receipt of the other Party’s submission to submit a written response thereto, which shall include any scientific, financial, technical or other relevant information in support thereof. The Expert shall have the right to meet with the Parties, either alone or together, as necessary to make a determination.</w:t>
      </w:r>
    </w:p>
    <w:p>
      <w:pPr>
        <w:spacing w:after="0" w:line="186" w:lineRule="exact"/>
        <w:rPr>
          <w:rFonts w:ascii="Arial" w:cs="Arial" w:eastAsia="Arial" w:hAnsi="Arial"/>
          <w:sz w:val="18"/>
          <w:szCs w:val="18"/>
          <w:color w:val="auto"/>
        </w:rPr>
      </w:pPr>
    </w:p>
    <w:p>
      <w:pPr>
        <w:ind w:left="120" w:right="120" w:firstLine="1428"/>
        <w:spacing w:after="0" w:line="257" w:lineRule="auto"/>
        <w:tabs>
          <w:tab w:leader="none" w:pos="1932" w:val="left"/>
        </w:tabs>
        <w:numPr>
          <w:ilvl w:val="0"/>
          <w:numId w:val="520"/>
        </w:numPr>
        <w:rPr>
          <w:rFonts w:ascii="Arial" w:cs="Arial" w:eastAsia="Arial" w:hAnsi="Arial"/>
          <w:sz w:val="18"/>
          <w:szCs w:val="18"/>
          <w:color w:val="auto"/>
        </w:rPr>
      </w:pPr>
      <w:r>
        <w:rPr>
          <w:rFonts w:ascii="Arial" w:cs="Arial" w:eastAsia="Arial" w:hAnsi="Arial"/>
          <w:sz w:val="18"/>
          <w:szCs w:val="18"/>
          <w:color w:val="auto"/>
        </w:rPr>
        <w:t>No later than [***] after the designation of the Expert, the Expert shall make a determination by selecting the resolution proposed by one of the Parties that as a whole is the most nearly consistent with this Agreement and the most fair and reasonable to the Parties in light of the totality of the circumstances and the terms of this Agreement. The Expert shall provide the Parties with a written statement setting forth the basis of the determination in connection therewith. The decision of the Expert shall be final and conclusive and binding on the Parties and their Affiliates, absent manifest error.</w:t>
      </w:r>
    </w:p>
    <w:p>
      <w:pPr>
        <w:spacing w:after="0" w:line="18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For purposes of this expert matter arbitration, “</w:t>
      </w:r>
      <w:r>
        <w:rPr>
          <w:rFonts w:ascii="Arial" w:cs="Arial" w:eastAsia="Arial" w:hAnsi="Arial"/>
          <w:sz w:val="18"/>
          <w:szCs w:val="18"/>
          <w:u w:val="single" w:color="auto"/>
          <w:color w:val="auto"/>
        </w:rPr>
        <w:t>Expert</w:t>
      </w:r>
      <w:r>
        <w:rPr>
          <w:rFonts w:ascii="Arial" w:cs="Arial" w:eastAsia="Arial" w:hAnsi="Arial"/>
          <w:sz w:val="18"/>
          <w:szCs w:val="18"/>
          <w:color w:val="auto"/>
        </w:rPr>
        <w:t>” means a mutually acceptable, disinterested, conflict-of-interest-free individual not affiliated with either Party or its Affiliates who, with respect to a dispute concerning the scientific matter possesses appropriate expertise to resolve such dispute. The Expert (or any of the Expert’s former employers) shall not be or have been at any time an Affiliate, employee, consultant (during the previous five (5) years), officer or director of either Party or any of its Affiliates.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60" w:right="459" w:bottom="1440" w:gutter="0" w:footer="0" w:header="0"/>
        </w:sectPr>
      </w:pPr>
    </w:p>
    <w:bookmarkStart w:id="772" w:name="page773"/>
    <w:bookmarkEnd w:id="772"/>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7960" w:type="dxa"/>
            <w:vAlign w:val="bottom"/>
            <w:gridSpan w:val="3"/>
          </w:tcPr>
          <w:p>
            <w:pPr>
              <w:ind w:left="880"/>
              <w:spacing w:after="0"/>
              <w:rPr>
                <w:sz w:val="20"/>
                <w:szCs w:val="20"/>
                <w:color w:val="auto"/>
              </w:rPr>
            </w:pPr>
            <w:r>
              <w:rPr>
                <w:rFonts w:ascii="Arial" w:cs="Arial" w:eastAsia="Arial" w:hAnsi="Arial"/>
                <w:sz w:val="18"/>
                <w:szCs w:val="18"/>
                <w:b w:val="1"/>
                <w:bCs w:val="1"/>
                <w:color w:val="auto"/>
              </w:rPr>
              <w:t>Subsidiaries of Repare Therapeutics Inc.</w:t>
            </w:r>
          </w:p>
        </w:tc>
      </w:tr>
      <w:tr>
        <w:trPr>
          <w:trHeight w:val="405"/>
        </w:trPr>
        <w:tc>
          <w:tcPr>
            <w:tcW w:w="3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Subsidiary</w:t>
            </w:r>
          </w:p>
        </w:tc>
        <w:tc>
          <w:tcPr>
            <w:tcW w:w="2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 of Organization</w:t>
            </w:r>
          </w:p>
        </w:tc>
      </w:tr>
      <w:tr>
        <w:trPr>
          <w:trHeight w:val="224"/>
        </w:trPr>
        <w:tc>
          <w:tcPr>
            <w:tcW w:w="3060" w:type="dxa"/>
            <w:vAlign w:val="bottom"/>
          </w:tcPr>
          <w:p>
            <w:pPr>
              <w:spacing w:after="0"/>
              <w:rPr>
                <w:sz w:val="20"/>
                <w:szCs w:val="20"/>
                <w:color w:val="auto"/>
              </w:rPr>
            </w:pPr>
            <w:r>
              <w:rPr>
                <w:rFonts w:ascii="Arial" w:cs="Arial" w:eastAsia="Arial" w:hAnsi="Arial"/>
                <w:sz w:val="18"/>
                <w:szCs w:val="18"/>
                <w:color w:val="auto"/>
              </w:rPr>
              <w:t>Repare Therapeutics USA Inc.</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United States (Delaware)</w:t>
            </w:r>
          </w:p>
        </w:tc>
      </w:tr>
    </w:tbl>
    <w:p>
      <w:pPr>
        <w:sectPr>
          <w:pgSz w:w="11900" w:h="16838" w:orient="portrait"/>
          <w:cols w:equalWidth="0" w:num="1">
            <w:col w:w="11020"/>
          </w:cols>
          <w:pgMar w:left="440" w:top="122" w:right="439" w:bottom="1440" w:gutter="0" w:footer="0" w:header="0"/>
        </w:sectPr>
      </w:pPr>
    </w:p>
    <w:bookmarkStart w:id="773" w:name="page774"/>
    <w:bookmarkEnd w:id="77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4" w:right="540"/>
        <w:spacing w:after="0" w:line="277"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April 3, 2020, in the Registration Statement (Form S-1) and related Prospectus of Repare Therapeutics Inc. for the registration of its common shares.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 Ernst &amp; Young LLP</w:t>
      </w:r>
      <w:r>
        <w:rPr>
          <w:rFonts w:ascii="Arial" w:cs="Arial" w:eastAsia="Arial" w:hAnsi="Arial"/>
          <w:sz w:val="15"/>
          <w:szCs w:val="15"/>
          <w:color w:val="auto"/>
        </w:rPr>
        <w:t>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Montreal, Canada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29, 2020</w:t>
      </w:r>
    </w:p>
    <w:p>
      <w:pPr>
        <w:spacing w:after="0" w:line="238" w:lineRule="exact"/>
        <w:rPr>
          <w:sz w:val="20"/>
          <w:szCs w:val="20"/>
          <w:color w:val="auto"/>
        </w:rPr>
      </w:pPr>
    </w:p>
    <w:p>
      <w:pPr>
        <w:ind w:left="424" w:hanging="424"/>
        <w:spacing w:after="0"/>
        <w:tabs>
          <w:tab w:leader="none" w:pos="424" w:val="left"/>
        </w:tabs>
        <w:numPr>
          <w:ilvl w:val="0"/>
          <w:numId w:val="521"/>
        </w:numPr>
        <w:rPr>
          <w:rFonts w:ascii="Arial" w:cs="Arial" w:eastAsia="Arial" w:hAnsi="Arial"/>
          <w:sz w:val="15"/>
          <w:szCs w:val="15"/>
          <w:color w:val="auto"/>
        </w:rPr>
      </w:pPr>
      <w:r>
        <w:rPr>
          <w:rFonts w:ascii="Arial" w:cs="Arial" w:eastAsia="Arial" w:hAnsi="Arial"/>
          <w:sz w:val="18"/>
          <w:szCs w:val="18"/>
          <w:color w:val="auto"/>
        </w:rPr>
        <w:t>CPA auditor, CA, public accountancy permit no. A113209</w:t>
      </w:r>
    </w:p>
    <w:sectPr>
      <w:pgSz w:w="11900" w:h="16838" w:orient="portrait"/>
      <w:cols w:equalWidth="0" w:num="1">
        <w:col w:w="11024"/>
      </w:cols>
      <w:pgMar w:left="436" w:top="1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65FD16"/>
    <w:multiLevelType w:val="hybridMultilevel"/>
    <w:lvl w:ilvl="0">
      <w:lvlJc w:val="left"/>
      <w:lvlText w:val="(%1)"/>
      <w:numFmt w:val="decimal"/>
      <w:start w:val="1"/>
    </w:lvl>
  </w:abstractNum>
  <w:abstractNum w:abstractNumId="1">
    <w:nsid w:val="77C9FD68"/>
    <w:multiLevelType w:val="hybridMultilevel"/>
    <w:lvl w:ilvl="0">
      <w:lvlJc w:val="left"/>
      <w:lvlText w:val="(%1)"/>
      <w:numFmt w:val="decimal"/>
      <w:start w:val="1"/>
    </w:lvl>
  </w:abstractNum>
  <w:abstractNum w:abstractNumId="2">
    <w:nsid w:val="298A92BA"/>
    <w:multiLevelType w:val="hybridMultilevel"/>
    <w:lvl w:ilvl="0">
      <w:lvlJc w:val="left"/>
      <w:lvlText w:val="•"/>
      <w:numFmt w:val="bullet"/>
      <w:start w:val="1"/>
    </w:lvl>
  </w:abstractNum>
  <w:abstractNum w:abstractNumId="3">
    <w:nsid w:val="6FE95EAC"/>
    <w:multiLevelType w:val="hybridMultilevel"/>
    <w:lvl w:ilvl="0">
      <w:lvlJc w:val="left"/>
      <w:lvlText w:val="%1."/>
      <w:numFmt w:val="decimal"/>
      <w:start w:val="1"/>
    </w:lvl>
  </w:abstractNum>
  <w:abstractNum w:abstractNumId="4">
    <w:nsid w:val="4B697C7A"/>
    <w:multiLevelType w:val="hybridMultilevel"/>
    <w:lvl w:ilvl="0">
      <w:lvlJc w:val="left"/>
      <w:lvlText w:val="(%1)"/>
      <w:numFmt w:val="decimal"/>
      <w:start w:val="1"/>
    </w:lvl>
  </w:abstractNum>
  <w:abstractNum w:abstractNumId="5">
    <w:nsid w:val="51A27AA6"/>
    <w:multiLevelType w:val="hybridMultilevel"/>
    <w:lvl w:ilvl="0">
      <w:lvlJc w:val="left"/>
      <w:lvlText w:val="•"/>
      <w:numFmt w:val="bullet"/>
      <w:start w:val="1"/>
    </w:lvl>
  </w:abstractNum>
  <w:abstractNum w:abstractNumId="6">
    <w:nsid w:val="613183F2"/>
    <w:multiLevelType w:val="hybridMultilevel"/>
    <w:lvl w:ilvl="0">
      <w:lvlJc w:val="left"/>
      <w:lvlText w:val="•"/>
      <w:numFmt w:val="bullet"/>
      <w:start w:val="1"/>
    </w:lvl>
  </w:abstractNum>
  <w:abstractNum w:abstractNumId="7">
    <w:nsid w:val="634102B4"/>
    <w:multiLevelType w:val="hybridMultilevel"/>
    <w:lvl w:ilvl="0">
      <w:lvlJc w:val="left"/>
      <w:lvlText w:val="•"/>
      <w:numFmt w:val="bullet"/>
      <w:start w:val="1"/>
    </w:lvl>
  </w:abstractNum>
  <w:abstractNum w:abstractNumId="8">
    <w:nsid w:val="65BF9DA8"/>
    <w:multiLevelType w:val="hybridMultilevel"/>
    <w:lvl w:ilvl="0">
      <w:lvlJc w:val="left"/>
      <w:lvlText w:val="•"/>
      <w:numFmt w:val="bullet"/>
      <w:start w:val="1"/>
    </w:lvl>
  </w:abstractNum>
  <w:abstractNum w:abstractNumId="9">
    <w:nsid w:val="21A2ECCA"/>
    <w:multiLevelType w:val="hybridMultilevel"/>
    <w:lvl w:ilvl="0">
      <w:lvlJc w:val="left"/>
      <w:lvlText w:val="•"/>
      <w:numFmt w:val="bullet"/>
      <w:start w:val="1"/>
    </w:lvl>
  </w:abstractNum>
  <w:abstractNum w:abstractNumId="10">
    <w:nsid w:val="4D5C4899"/>
    <w:multiLevelType w:val="hybridMultilevel"/>
    <w:lvl w:ilvl="0">
      <w:lvlJc w:val="left"/>
      <w:lvlText w:val="•"/>
      <w:numFmt w:val="bullet"/>
      <w:start w:val="1"/>
    </w:lvl>
  </w:abstractNum>
  <w:abstractNum w:abstractNumId="11">
    <w:nsid w:val="3C3B72B2"/>
    <w:multiLevelType w:val="hybridMultilevel"/>
    <w:lvl w:ilvl="0">
      <w:lvlJc w:val="left"/>
      <w:lvlText w:val="(%1)"/>
      <w:numFmt w:val="decimal"/>
      <w:start w:val="1"/>
    </w:lvl>
  </w:abstractNum>
  <w:abstractNum w:abstractNumId="12">
    <w:nsid w:val="155EC4C2"/>
    <w:multiLevelType w:val="hybridMultilevel"/>
    <w:lvl w:ilvl="0">
      <w:lvlJc w:val="left"/>
      <w:lvlText w:val="•"/>
      <w:numFmt w:val="bullet"/>
      <w:start w:val="1"/>
    </w:lvl>
  </w:abstractNum>
  <w:abstractNum w:abstractNumId="13">
    <w:nsid w:val="65D2A137"/>
    <w:multiLevelType w:val="hybridMultilevel"/>
    <w:lvl w:ilvl="0">
      <w:lvlJc w:val="left"/>
      <w:lvlText w:val="•"/>
      <w:numFmt w:val="bullet"/>
      <w:start w:val="1"/>
    </w:lvl>
  </w:abstractNum>
  <w:abstractNum w:abstractNumId="14">
    <w:nsid w:val="6EBB1F2A"/>
    <w:multiLevelType w:val="hybridMultilevel"/>
    <w:lvl w:ilvl="0">
      <w:lvlJc w:val="left"/>
      <w:lvlText w:val="•"/>
      <w:numFmt w:val="bullet"/>
      <w:start w:val="1"/>
    </w:lvl>
  </w:abstractNum>
  <w:abstractNum w:abstractNumId="15">
    <w:nsid w:val="6FBF29CB"/>
    <w:multiLevelType w:val="hybridMultilevel"/>
    <w:lvl w:ilvl="0">
      <w:lvlJc w:val="left"/>
      <w:lvlText w:val="•"/>
      <w:numFmt w:val="bullet"/>
      <w:start w:val="1"/>
    </w:lvl>
  </w:abstractNum>
  <w:abstractNum w:abstractNumId="16">
    <w:nsid w:val="550B8808"/>
    <w:multiLevelType w:val="hybridMultilevel"/>
    <w:lvl w:ilvl="0">
      <w:lvlJc w:val="left"/>
      <w:lvlText w:val="(%1)"/>
      <w:numFmt w:val="decimal"/>
      <w:start w:val="1"/>
    </w:lvl>
  </w:abstractNum>
  <w:abstractNum w:abstractNumId="17">
    <w:nsid w:val="34CC3ACF"/>
    <w:multiLevelType w:val="hybridMultilevel"/>
    <w:lvl w:ilvl="0">
      <w:lvlJc w:val="left"/>
      <w:lvlText w:val="(%1)"/>
      <w:numFmt w:val="decimal"/>
      <w:start w:val="1"/>
    </w:lvl>
  </w:abstractNum>
  <w:abstractNum w:abstractNumId="18">
    <w:nsid w:val="4E556261"/>
    <w:multiLevelType w:val="hybridMultilevel"/>
    <w:lvl w:ilvl="0">
      <w:lvlJc w:val="left"/>
      <w:lvlText w:val="(%1)"/>
      <w:numFmt w:val="decimal"/>
      <w:start w:val="3"/>
    </w:lvl>
  </w:abstractNum>
  <w:abstractNum w:abstractNumId="19">
    <w:nsid w:val="4C672FC9"/>
    <w:multiLevelType w:val="hybridMultilevel"/>
    <w:lvl w:ilvl="0">
      <w:lvlJc w:val="left"/>
      <w:lvlText w:val="•"/>
      <w:numFmt w:val="bullet"/>
      <w:start w:val="1"/>
    </w:lvl>
  </w:abstractNum>
  <w:abstractNum w:abstractNumId="20">
    <w:nsid w:val="52A311C3"/>
    <w:multiLevelType w:val="hybridMultilevel"/>
    <w:lvl w:ilvl="0">
      <w:lvlJc w:val="left"/>
      <w:lvlText w:val="•"/>
      <w:numFmt w:val="bullet"/>
      <w:start w:val="1"/>
    </w:lvl>
  </w:abstractNum>
  <w:abstractNum w:abstractNumId="21">
    <w:nsid w:val="44EF6B80"/>
    <w:multiLevelType w:val="hybridMultilevel"/>
    <w:lvl w:ilvl="0">
      <w:lvlJc w:val="left"/>
      <w:lvlText w:val="•"/>
      <w:numFmt w:val="bullet"/>
      <w:start w:val="1"/>
    </w:lvl>
  </w:abstractNum>
  <w:abstractNum w:abstractNumId="22">
    <w:nsid w:val="12FCDE5E"/>
    <w:multiLevelType w:val="hybridMultilevel"/>
    <w:lvl w:ilvl="0">
      <w:lvlJc w:val="left"/>
      <w:lvlText w:val="•"/>
      <w:numFmt w:val="bullet"/>
      <w:start w:val="1"/>
    </w:lvl>
  </w:abstractNum>
  <w:abstractNum w:abstractNumId="23">
    <w:nsid w:val="4A1D606E"/>
    <w:multiLevelType w:val="hybridMultilevel"/>
    <w:lvl w:ilvl="0">
      <w:lvlJc w:val="left"/>
      <w:lvlText w:val="•"/>
      <w:numFmt w:val="bullet"/>
      <w:start w:val="1"/>
    </w:lvl>
  </w:abstractNum>
  <w:abstractNum w:abstractNumId="24">
    <w:nsid w:val="4382503"/>
    <w:multiLevelType w:val="hybridMultilevel"/>
    <w:lvl w:ilvl="0">
      <w:lvlJc w:val="left"/>
      <w:lvlText w:val="•"/>
      <w:numFmt w:val="bullet"/>
      <w:start w:val="1"/>
    </w:lvl>
  </w:abstractNum>
  <w:abstractNum w:abstractNumId="25">
    <w:nsid w:val="59B76E28"/>
    <w:multiLevelType w:val="hybridMultilevel"/>
    <w:lvl w:ilvl="0">
      <w:lvlJc w:val="left"/>
      <w:lvlText w:val="•"/>
      <w:numFmt w:val="bullet"/>
      <w:start w:val="1"/>
    </w:lvl>
  </w:abstractNum>
  <w:abstractNum w:abstractNumId="26">
    <w:nsid w:val="4252C2DA"/>
    <w:multiLevelType w:val="hybridMultilevel"/>
    <w:lvl w:ilvl="0">
      <w:lvlJc w:val="left"/>
      <w:lvlText w:val="•"/>
      <w:numFmt w:val="bullet"/>
      <w:start w:val="1"/>
    </w:lvl>
  </w:abstractNum>
  <w:abstractNum w:abstractNumId="27">
    <w:nsid w:val="6A92EF4C"/>
    <w:multiLevelType w:val="hybridMultilevel"/>
    <w:lvl w:ilvl="0">
      <w:lvlJc w:val="left"/>
      <w:lvlText w:val="•"/>
      <w:numFmt w:val="bullet"/>
      <w:start w:val="1"/>
    </w:lvl>
  </w:abstractNum>
  <w:abstractNum w:abstractNumId="28">
    <w:nsid w:val="41ED20D7"/>
    <w:multiLevelType w:val="hybridMultilevel"/>
    <w:lvl w:ilvl="0">
      <w:lvlJc w:val="left"/>
      <w:lvlText w:val="•"/>
      <w:numFmt w:val="bullet"/>
      <w:start w:val="1"/>
    </w:lvl>
  </w:abstractNum>
  <w:abstractNum w:abstractNumId="29">
    <w:nsid w:val="E6B3F6A"/>
    <w:multiLevelType w:val="hybridMultilevel"/>
    <w:lvl w:ilvl="0">
      <w:lvlJc w:val="left"/>
      <w:lvlText w:val="•"/>
      <w:numFmt w:val="bullet"/>
      <w:start w:val="1"/>
    </w:lvl>
  </w:abstractNum>
  <w:abstractNum w:abstractNumId="30">
    <w:nsid w:val="3EB21819"/>
    <w:multiLevelType w:val="hybridMultilevel"/>
    <w:lvl w:ilvl="0">
      <w:lvlJc w:val="left"/>
      <w:lvlText w:val="•"/>
      <w:numFmt w:val="bullet"/>
      <w:start w:val="1"/>
    </w:lvl>
  </w:abstractNum>
  <w:abstractNum w:abstractNumId="31">
    <w:nsid w:val="41531DED"/>
    <w:multiLevelType w:val="hybridMultilevel"/>
    <w:lvl w:ilvl="0">
      <w:lvlJc w:val="left"/>
      <w:lvlText w:val="•"/>
      <w:numFmt w:val="bullet"/>
      <w:start w:val="1"/>
    </w:lvl>
  </w:abstractNum>
  <w:abstractNum w:abstractNumId="32">
    <w:nsid w:val="6353CD2"/>
    <w:multiLevelType w:val="hybridMultilevel"/>
    <w:lvl w:ilvl="0">
      <w:lvlJc w:val="left"/>
      <w:lvlText w:val="•"/>
      <w:numFmt w:val="bullet"/>
      <w:start w:val="1"/>
    </w:lvl>
  </w:abstractNum>
  <w:abstractNum w:abstractNumId="33">
    <w:nsid w:val="683CAAD3"/>
    <w:multiLevelType w:val="hybridMultilevel"/>
    <w:lvl w:ilvl="0">
      <w:lvlJc w:val="left"/>
      <w:lvlText w:val="•"/>
      <w:numFmt w:val="bullet"/>
      <w:start w:val="1"/>
    </w:lvl>
  </w:abstractNum>
  <w:abstractNum w:abstractNumId="34">
    <w:nsid w:val="313C7C99"/>
    <w:multiLevelType w:val="hybridMultilevel"/>
    <w:lvl w:ilvl="0">
      <w:lvlJc w:val="left"/>
      <w:lvlText w:val="•"/>
      <w:numFmt w:val="bullet"/>
      <w:start w:val="1"/>
    </w:lvl>
  </w:abstractNum>
  <w:abstractNum w:abstractNumId="35">
    <w:nsid w:val="519EB94C"/>
    <w:multiLevelType w:val="hybridMultilevel"/>
    <w:lvl w:ilvl="0">
      <w:lvlJc w:val="left"/>
      <w:lvlText w:val="•"/>
      <w:numFmt w:val="bullet"/>
      <w:start w:val="1"/>
    </w:lvl>
  </w:abstractNum>
  <w:abstractNum w:abstractNumId="36">
    <w:nsid w:val="39DF2579"/>
    <w:multiLevelType w:val="hybridMultilevel"/>
    <w:lvl w:ilvl="0">
      <w:lvlJc w:val="left"/>
      <w:lvlText w:val="•"/>
      <w:numFmt w:val="bullet"/>
      <w:start w:val="1"/>
    </w:lvl>
  </w:abstractNum>
  <w:abstractNum w:abstractNumId="37">
    <w:nsid w:val="126E008B"/>
    <w:multiLevelType w:val="hybridMultilevel"/>
    <w:lvl w:ilvl="0">
      <w:lvlJc w:val="left"/>
      <w:lvlText w:val="•"/>
      <w:numFmt w:val="bullet"/>
      <w:start w:val="1"/>
    </w:lvl>
  </w:abstractNum>
  <w:abstractNum w:abstractNumId="38">
    <w:nsid w:val="34DFBC00"/>
    <w:multiLevelType w:val="hybridMultilevel"/>
    <w:lvl w:ilvl="0">
      <w:lvlJc w:val="left"/>
      <w:lvlText w:val="•"/>
      <w:numFmt w:val="bullet"/>
      <w:start w:val="1"/>
    </w:lvl>
  </w:abstractNum>
  <w:abstractNum w:abstractNumId="39">
    <w:nsid w:val="1F9EC322"/>
    <w:multiLevelType w:val="hybridMultilevel"/>
    <w:lvl w:ilvl="0">
      <w:lvlJc w:val="left"/>
      <w:lvlText w:val="•"/>
      <w:numFmt w:val="bullet"/>
      <w:start w:val="1"/>
    </w:lvl>
  </w:abstractNum>
  <w:abstractNum w:abstractNumId="40">
    <w:nsid w:val="3410ED56"/>
    <w:multiLevelType w:val="hybridMultilevel"/>
    <w:lvl w:ilvl="0">
      <w:lvlJc w:val="left"/>
      <w:lvlText w:val="•"/>
      <w:numFmt w:val="bullet"/>
      <w:start w:val="1"/>
    </w:lvl>
  </w:abstractNum>
  <w:abstractNum w:abstractNumId="41">
    <w:nsid w:val="23C049A"/>
    <w:multiLevelType w:val="hybridMultilevel"/>
    <w:lvl w:ilvl="0">
      <w:lvlJc w:val="left"/>
      <w:lvlText w:val="•"/>
      <w:numFmt w:val="bullet"/>
      <w:start w:val="1"/>
    </w:lvl>
  </w:abstractNum>
  <w:abstractNum w:abstractNumId="42">
    <w:nsid w:val="5BDA35D4"/>
    <w:multiLevelType w:val="hybridMultilevel"/>
    <w:lvl w:ilvl="0">
      <w:lvlJc w:val="left"/>
      <w:lvlText w:val="•"/>
      <w:numFmt w:val="bullet"/>
      <w:start w:val="1"/>
    </w:lvl>
  </w:abstractNum>
  <w:abstractNum w:abstractNumId="43">
    <w:nsid w:val="496FB218"/>
    <w:multiLevelType w:val="hybridMultilevel"/>
    <w:lvl w:ilvl="0">
      <w:lvlJc w:val="left"/>
      <w:lvlText w:val="•"/>
      <w:numFmt w:val="bullet"/>
      <w:start w:val="1"/>
    </w:lvl>
  </w:abstractNum>
  <w:abstractNum w:abstractNumId="44">
    <w:nsid w:val="680EA5D1"/>
    <w:multiLevelType w:val="hybridMultilevel"/>
    <w:lvl w:ilvl="0">
      <w:lvlJc w:val="left"/>
      <w:lvlText w:val="•"/>
      <w:numFmt w:val="bullet"/>
      <w:start w:val="1"/>
    </w:lvl>
  </w:abstractNum>
  <w:abstractNum w:abstractNumId="45">
    <w:nsid w:val="4A9554FE"/>
    <w:multiLevelType w:val="hybridMultilevel"/>
    <w:lvl w:ilvl="0">
      <w:lvlJc w:val="left"/>
      <w:lvlText w:val="•"/>
      <w:numFmt w:val="bullet"/>
      <w:start w:val="1"/>
    </w:lvl>
  </w:abstractNum>
  <w:abstractNum w:abstractNumId="46">
    <w:nsid w:val="392EDBE4"/>
    <w:multiLevelType w:val="hybridMultilevel"/>
    <w:lvl w:ilvl="0">
      <w:lvlJc w:val="left"/>
      <w:lvlText w:val="•"/>
      <w:numFmt w:val="bullet"/>
      <w:start w:val="1"/>
    </w:lvl>
  </w:abstractNum>
  <w:abstractNum w:abstractNumId="47">
    <w:nsid w:val="3D1A2DD9"/>
    <w:multiLevelType w:val="hybridMultilevel"/>
    <w:lvl w:ilvl="0">
      <w:lvlJc w:val="left"/>
      <w:lvlText w:val="•"/>
      <w:numFmt w:val="bullet"/>
      <w:start w:val="1"/>
    </w:lvl>
  </w:abstractNum>
  <w:abstractNum w:abstractNumId="48">
    <w:nsid w:val="7F618FCD"/>
    <w:multiLevelType w:val="hybridMultilevel"/>
    <w:lvl w:ilvl="0">
      <w:lvlJc w:val="left"/>
      <w:lvlText w:val="•"/>
      <w:numFmt w:val="bullet"/>
      <w:start w:val="1"/>
    </w:lvl>
  </w:abstractNum>
  <w:abstractNum w:abstractNumId="49">
    <w:nsid w:val="7843E45"/>
    <w:multiLevelType w:val="hybridMultilevel"/>
    <w:lvl w:ilvl="0">
      <w:lvlJc w:val="left"/>
      <w:lvlText w:val="•"/>
      <w:numFmt w:val="bullet"/>
      <w:start w:val="1"/>
    </w:lvl>
  </w:abstractNum>
  <w:abstractNum w:abstractNumId="50">
    <w:nsid w:val="9815DA3"/>
    <w:multiLevelType w:val="hybridMultilevel"/>
    <w:lvl w:ilvl="0">
      <w:lvlJc w:val="left"/>
      <w:lvlText w:val="•"/>
      <w:numFmt w:val="bullet"/>
      <w:start w:val="1"/>
    </w:lvl>
  </w:abstractNum>
  <w:abstractNum w:abstractNumId="51">
    <w:nsid w:val="5204A191"/>
    <w:multiLevelType w:val="hybridMultilevel"/>
    <w:lvl w:ilvl="0">
      <w:lvlJc w:val="left"/>
      <w:lvlText w:val="•"/>
      <w:numFmt w:val="bullet"/>
      <w:start w:val="1"/>
    </w:lvl>
  </w:abstractNum>
  <w:abstractNum w:abstractNumId="52">
    <w:nsid w:val="4C73A9C6"/>
    <w:multiLevelType w:val="hybridMultilevel"/>
    <w:lvl w:ilvl="0">
      <w:lvlJc w:val="left"/>
      <w:lvlText w:val="•"/>
      <w:numFmt w:val="bullet"/>
      <w:start w:val="1"/>
    </w:lvl>
  </w:abstractNum>
  <w:abstractNum w:abstractNumId="53">
    <w:nsid w:val="1C7E3C01"/>
    <w:multiLevelType w:val="hybridMultilevel"/>
    <w:lvl w:ilvl="0">
      <w:lvlJc w:val="left"/>
      <w:lvlText w:val="$"/>
      <w:numFmt w:val="bullet"/>
      <w:start w:val="1"/>
    </w:lvl>
  </w:abstractNum>
  <w:abstractNum w:abstractNumId="54">
    <w:nsid w:val="1C2201FF"/>
    <w:multiLevelType w:val="hybridMultilevel"/>
    <w:lvl w:ilvl="0">
      <w:lvlJc w:val="left"/>
      <w:lvlText w:val="$"/>
      <w:numFmt w:val="bullet"/>
      <w:start w:val="1"/>
    </w:lvl>
  </w:abstractNum>
  <w:abstractNum w:abstractNumId="55">
    <w:nsid w:val="50ABCEC9"/>
    <w:multiLevelType w:val="hybridMultilevel"/>
    <w:lvl w:ilvl="0">
      <w:lvlJc w:val="left"/>
      <w:lvlText w:val="(%1)"/>
      <w:numFmt w:val="lowerRoman"/>
      <w:start w:val="1"/>
    </w:lvl>
  </w:abstractNum>
  <w:abstractNum w:abstractNumId="56">
    <w:nsid w:val="7635AA2A"/>
    <w:multiLevelType w:val="hybridMultilevel"/>
    <w:lvl w:ilvl="0">
      <w:lvlJc w:val="left"/>
      <w:lvlText w:val="•"/>
      <w:numFmt w:val="bullet"/>
      <w:start w:val="1"/>
    </w:lvl>
  </w:abstractNum>
  <w:abstractNum w:abstractNumId="57">
    <w:nsid w:val="5E74C4D9"/>
    <w:multiLevelType w:val="hybridMultilevel"/>
    <w:lvl w:ilvl="0">
      <w:lvlJc w:val="left"/>
      <w:lvlText w:val="$"/>
      <w:numFmt w:val="bullet"/>
      <w:start w:val="1"/>
    </w:lvl>
  </w:abstractNum>
  <w:abstractNum w:abstractNumId="58">
    <w:nsid w:val="3B3EBE15"/>
    <w:multiLevelType w:val="hybridMultilevel"/>
    <w:lvl w:ilvl="0">
      <w:lvlJc w:val="left"/>
      <w:lvlText w:val="•"/>
      <w:numFmt w:val="bullet"/>
      <w:start w:val="1"/>
    </w:lvl>
  </w:abstractNum>
  <w:abstractNum w:abstractNumId="59">
    <w:nsid w:val="3822CB01"/>
    <w:multiLevelType w:val="hybridMultilevel"/>
    <w:lvl w:ilvl="0">
      <w:lvlJc w:val="left"/>
      <w:lvlText w:val="•"/>
      <w:numFmt w:val="bullet"/>
      <w:start w:val="1"/>
    </w:lvl>
  </w:abstractNum>
  <w:abstractNum w:abstractNumId="60">
    <w:nsid w:val="6CE00443"/>
    <w:multiLevelType w:val="hybridMultilevel"/>
    <w:lvl w:ilvl="0">
      <w:lvlJc w:val="left"/>
      <w:lvlText w:val="$"/>
      <w:numFmt w:val="bullet"/>
      <w:start w:val="1"/>
    </w:lvl>
    <w:lvl w:ilvl="1">
      <w:lvlJc w:val="left"/>
      <w:lvlText w:val="•"/>
      <w:numFmt w:val="bullet"/>
      <w:start w:val="1"/>
    </w:lvl>
  </w:abstractNum>
  <w:abstractNum w:abstractNumId="61">
    <w:nsid w:val="79F0D62F"/>
    <w:multiLevelType w:val="hybridMultilevel"/>
    <w:lvl w:ilvl="0">
      <w:lvlJc w:val="left"/>
      <w:lvlText w:val="$"/>
      <w:numFmt w:val="bullet"/>
      <w:start w:val="1"/>
    </w:lvl>
  </w:abstractNum>
  <w:abstractNum w:abstractNumId="62">
    <w:nsid w:val="7975E8EE"/>
    <w:multiLevelType w:val="hybridMultilevel"/>
    <w:lvl w:ilvl="0">
      <w:lvlJc w:val="left"/>
      <w:lvlText w:val="•"/>
      <w:numFmt w:val="bullet"/>
      <w:start w:val="1"/>
    </w:lvl>
  </w:abstractNum>
  <w:abstractNum w:abstractNumId="63">
    <w:nsid w:val="73154115"/>
    <w:multiLevelType w:val="hybridMultilevel"/>
    <w:lvl w:ilvl="0">
      <w:lvlJc w:val="left"/>
      <w:lvlText w:val="(%1)"/>
      <w:numFmt w:val="decimal"/>
      <w:start w:val="1"/>
    </w:lvl>
  </w:abstractNum>
  <w:abstractNum w:abstractNumId="64">
    <w:nsid w:val="622D8102"/>
    <w:multiLevelType w:val="hybridMultilevel"/>
    <w:lvl w:ilvl="0">
      <w:lvlJc w:val="left"/>
      <w:lvlText w:val="(%1)"/>
      <w:numFmt w:val="decimal"/>
      <w:start w:val="1"/>
    </w:lvl>
  </w:abstractNum>
  <w:abstractNum w:abstractNumId="65">
    <w:nsid w:val="2AB26587"/>
    <w:multiLevelType w:val="hybridMultilevel"/>
    <w:lvl w:ilvl="0">
      <w:lvlJc w:val="left"/>
      <w:lvlText w:val="•"/>
      <w:numFmt w:val="bullet"/>
      <w:start w:val="1"/>
    </w:lvl>
  </w:abstractNum>
  <w:abstractNum w:abstractNumId="66">
    <w:nsid w:val="44B3FA61"/>
    <w:multiLevelType w:val="hybridMultilevel"/>
    <w:lvl w:ilvl="0">
      <w:lvlJc w:val="left"/>
      <w:lvlText w:val="•"/>
      <w:numFmt w:val="bullet"/>
      <w:start w:val="1"/>
    </w:lvl>
  </w:abstractNum>
  <w:abstractNum w:abstractNumId="67">
    <w:nsid w:val="1C0CA67C"/>
    <w:multiLevelType w:val="hybridMultilevel"/>
    <w:lvl w:ilvl="0">
      <w:lvlJc w:val="left"/>
      <w:lvlText w:val="•"/>
      <w:numFmt w:val="bullet"/>
      <w:start w:val="1"/>
    </w:lvl>
  </w:abstractNum>
  <w:abstractNum w:abstractNumId="68">
    <w:nsid w:val="3D206613"/>
    <w:multiLevelType w:val="hybridMultilevel"/>
    <w:lvl w:ilvl="0">
      <w:lvlJc w:val="left"/>
      <w:lvlText w:val="•"/>
      <w:numFmt w:val="bullet"/>
      <w:start w:val="1"/>
    </w:lvl>
  </w:abstractNum>
  <w:abstractNum w:abstractNumId="69">
    <w:nsid w:val="7993B662"/>
    <w:multiLevelType w:val="hybridMultilevel"/>
    <w:lvl w:ilvl="0">
      <w:lvlJc w:val="left"/>
      <w:lvlText w:val="•"/>
      <w:numFmt w:val="bullet"/>
      <w:start w:val="1"/>
    </w:lvl>
  </w:abstractNum>
  <w:abstractNum w:abstractNumId="70">
    <w:nsid w:val="3BAB699E"/>
    <w:multiLevelType w:val="hybridMultilevel"/>
    <w:lvl w:ilvl="0">
      <w:lvlJc w:val="left"/>
      <w:lvlText w:val="•"/>
      <w:numFmt w:val="bullet"/>
      <w:start w:val="1"/>
    </w:lvl>
  </w:abstractNum>
  <w:abstractNum w:abstractNumId="71">
    <w:nsid w:val="71315369"/>
    <w:multiLevelType w:val="hybridMultilevel"/>
    <w:lvl w:ilvl="0">
      <w:lvlJc w:val="left"/>
      <w:lvlText w:val="•"/>
      <w:numFmt w:val="bullet"/>
      <w:start w:val="1"/>
    </w:lvl>
  </w:abstractNum>
  <w:abstractNum w:abstractNumId="72">
    <w:nsid w:val="7BCFBAFC"/>
    <w:multiLevelType w:val="hybridMultilevel"/>
    <w:lvl w:ilvl="0">
      <w:lvlJc w:val="left"/>
      <w:lvlText w:val="•"/>
      <w:numFmt w:val="bullet"/>
      <w:start w:val="1"/>
    </w:lvl>
  </w:abstractNum>
  <w:abstractNum w:abstractNumId="73">
    <w:nsid w:val="17859F72"/>
    <w:multiLevelType w:val="hybridMultilevel"/>
    <w:lvl w:ilvl="0">
      <w:lvlJc w:val="left"/>
      <w:lvlText w:val="•"/>
      <w:numFmt w:val="bullet"/>
      <w:start w:val="1"/>
    </w:lvl>
  </w:abstractNum>
  <w:abstractNum w:abstractNumId="74">
    <w:nsid w:val="3AA10581"/>
    <w:multiLevelType w:val="hybridMultilevel"/>
    <w:lvl w:ilvl="0">
      <w:lvlJc w:val="left"/>
      <w:lvlText w:val="•"/>
      <w:numFmt w:val="bullet"/>
      <w:start w:val="1"/>
    </w:lvl>
  </w:abstractNum>
  <w:abstractNum w:abstractNumId="75">
    <w:nsid w:val="63DE60CD"/>
    <w:multiLevelType w:val="hybridMultilevel"/>
    <w:lvl w:ilvl="0">
      <w:lvlJc w:val="left"/>
      <w:lvlText w:val="(%1)"/>
      <w:numFmt w:val="decimal"/>
      <w:start w:val="1"/>
    </w:lvl>
  </w:abstractNum>
  <w:abstractNum w:abstractNumId="76">
    <w:nsid w:val="621AF471"/>
    <w:multiLevelType w:val="hybridMultilevel"/>
    <w:lvl w:ilvl="0">
      <w:lvlJc w:val="left"/>
      <w:lvlText w:val="•"/>
      <w:numFmt w:val="bullet"/>
      <w:start w:val="1"/>
    </w:lvl>
  </w:abstractNum>
  <w:abstractNum w:abstractNumId="77">
    <w:nsid w:val="73CFE165"/>
    <w:multiLevelType w:val="hybridMultilevel"/>
    <w:lvl w:ilvl="0">
      <w:lvlJc w:val="left"/>
      <w:lvlText w:val="%1."/>
      <w:numFmt w:val="decimal"/>
      <w:start w:val="1"/>
    </w:lvl>
  </w:abstractNum>
  <w:abstractNum w:abstractNumId="78">
    <w:nsid w:val="20F88EA6"/>
    <w:multiLevelType w:val="hybridMultilevel"/>
    <w:lvl w:ilvl="0">
      <w:lvlJc w:val="left"/>
      <w:lvlText w:val="(%1)"/>
      <w:numFmt w:val="decimal"/>
      <w:start w:val="1"/>
    </w:lvl>
  </w:abstractNum>
  <w:abstractNum w:abstractNumId="79">
    <w:nsid w:val="617C843E"/>
    <w:multiLevelType w:val="hybridMultilevel"/>
    <w:lvl w:ilvl="0">
      <w:lvlJc w:val="left"/>
      <w:lvlText w:val="•"/>
      <w:numFmt w:val="bullet"/>
      <w:start w:val="1"/>
    </w:lvl>
  </w:abstractNum>
  <w:abstractNum w:abstractNumId="80">
    <w:nsid w:val="7B541FAB"/>
    <w:multiLevelType w:val="hybridMultilevel"/>
    <w:lvl w:ilvl="0">
      <w:lvlJc w:val="left"/>
      <w:lvlText w:val="•"/>
      <w:numFmt w:val="bullet"/>
      <w:start w:val="1"/>
    </w:lvl>
  </w:abstractNum>
  <w:abstractNum w:abstractNumId="81">
    <w:nsid w:val="2A79EC49"/>
    <w:multiLevelType w:val="hybridMultilevel"/>
    <w:lvl w:ilvl="0">
      <w:lvlJc w:val="left"/>
      <w:lvlText w:val="•"/>
      <w:numFmt w:val="bullet"/>
      <w:start w:val="1"/>
    </w:lvl>
  </w:abstractNum>
  <w:abstractNum w:abstractNumId="82">
    <w:nsid w:val="338125CF"/>
    <w:multiLevelType w:val="hybridMultilevel"/>
    <w:lvl w:ilvl="0">
      <w:lvlJc w:val="left"/>
      <w:lvlText w:val="•"/>
      <w:numFmt w:val="bullet"/>
      <w:start w:val="1"/>
    </w:lvl>
  </w:abstractNum>
  <w:abstractNum w:abstractNumId="83">
    <w:nsid w:val="47C7C971"/>
    <w:multiLevelType w:val="hybridMultilevel"/>
    <w:lvl w:ilvl="0">
      <w:lvlJc w:val="left"/>
      <w:lvlText w:val="%1."/>
      <w:numFmt w:val="upperLetter"/>
      <w:start w:val="1"/>
    </w:lvl>
  </w:abstractNum>
  <w:abstractNum w:abstractNumId="84">
    <w:nsid w:val="46F8284B"/>
    <w:multiLevelType w:val="hybridMultilevel"/>
    <w:lvl w:ilvl="0">
      <w:lvlJc w:val="left"/>
      <w:lvlText w:val="%1."/>
      <w:numFmt w:val="upperLetter"/>
      <w:start w:val="2"/>
    </w:lvl>
  </w:abstractNum>
  <w:abstractNum w:abstractNumId="85">
    <w:nsid w:val="4FA327CE"/>
    <w:multiLevelType w:val="hybridMultilevel"/>
    <w:lvl w:ilvl="0">
      <w:lvlJc w:val="left"/>
      <w:lvlText w:val="(%1)"/>
      <w:numFmt w:val="lowerRoman"/>
      <w:start w:val="1"/>
    </w:lvl>
  </w:abstractNum>
  <w:abstractNum w:abstractNumId="86">
    <w:nsid w:val="1873983A"/>
    <w:multiLevelType w:val="hybridMultilevel"/>
    <w:lvl w:ilvl="0">
      <w:lvlJc w:val="left"/>
      <w:lvlText w:val="(%1)"/>
      <w:numFmt w:val="lowerRoman"/>
      <w:start w:val="3"/>
    </w:lvl>
  </w:abstractNum>
  <w:abstractNum w:abstractNumId="87">
    <w:nsid w:val="3D2DD275"/>
    <w:multiLevelType w:val="hybridMultilevel"/>
    <w:lvl w:ilvl="0">
      <w:lvlJc w:val="left"/>
      <w:lvlText w:val="(%1)"/>
      <w:numFmt w:val="lowerRoman"/>
      <w:start w:val="1"/>
    </w:lvl>
  </w:abstractNum>
  <w:abstractNum w:abstractNumId="88">
    <w:nsid w:val="2E17ECA7"/>
    <w:multiLevelType w:val="hybridMultilevel"/>
    <w:lvl w:ilvl="0">
      <w:lvlJc w:val="left"/>
      <w:lvlText w:val="•"/>
      <w:numFmt w:val="bullet"/>
      <w:start w:val="1"/>
    </w:lvl>
  </w:abstractNum>
  <w:abstractNum w:abstractNumId="89">
    <w:nsid w:val="53B2564F"/>
    <w:multiLevelType w:val="hybridMultilevel"/>
    <w:lvl w:ilvl="0">
      <w:lvlJc w:val="left"/>
      <w:lvlText w:val="•"/>
      <w:numFmt w:val="bullet"/>
      <w:start w:val="1"/>
    </w:lvl>
  </w:abstractNum>
  <w:abstractNum w:abstractNumId="90">
    <w:nsid w:val="75509D76"/>
    <w:multiLevelType w:val="hybridMultilevel"/>
    <w:lvl w:ilvl="0">
      <w:lvlJc w:val="left"/>
      <w:lvlText w:val="(%1)"/>
      <w:numFmt w:val="decimal"/>
      <w:start w:val="1"/>
    </w:lvl>
  </w:abstractNum>
  <w:abstractNum w:abstractNumId="91">
    <w:nsid w:val="1AF7F0EA"/>
    <w:multiLevelType w:val="hybridMultilevel"/>
    <w:lvl w:ilvl="0">
      <w:lvlJc w:val="left"/>
      <w:lvlText w:val="•"/>
      <w:numFmt w:val="bullet"/>
      <w:start w:val="1"/>
    </w:lvl>
  </w:abstractNum>
  <w:abstractNum w:abstractNumId="92">
    <w:nsid w:val="4DA32C7E"/>
    <w:multiLevelType w:val="hybridMultilevel"/>
    <w:lvl w:ilvl="0">
      <w:lvlJc w:val="left"/>
      <w:lvlText w:val="•"/>
      <w:numFmt w:val="bullet"/>
      <w:start w:val="1"/>
    </w:lvl>
  </w:abstractNum>
  <w:abstractNum w:abstractNumId="93">
    <w:nsid w:val="6EC68664"/>
    <w:multiLevelType w:val="hybridMultilevel"/>
    <w:lvl w:ilvl="0">
      <w:lvlJc w:val="left"/>
      <w:lvlText w:val="•"/>
      <w:numFmt w:val="bullet"/>
      <w:start w:val="1"/>
    </w:lvl>
  </w:abstractNum>
  <w:abstractNum w:abstractNumId="94">
    <w:nsid w:val="E0D31FF"/>
    <w:multiLevelType w:val="hybridMultilevel"/>
    <w:lvl w:ilvl="0">
      <w:lvlJc w:val="left"/>
      <w:lvlText w:val="•"/>
      <w:numFmt w:val="bullet"/>
      <w:start w:val="1"/>
    </w:lvl>
  </w:abstractNum>
  <w:abstractNum w:abstractNumId="95">
    <w:nsid w:val="2FD0AD81"/>
    <w:multiLevelType w:val="hybridMultilevel"/>
    <w:lvl w:ilvl="0">
      <w:lvlJc w:val="left"/>
      <w:lvlText w:val="(%1)"/>
      <w:numFmt w:val="decimal"/>
      <w:start w:val="1"/>
    </w:lvl>
  </w:abstractNum>
  <w:abstractNum w:abstractNumId="96">
    <w:nsid w:val="1978EBEB"/>
    <w:multiLevelType w:val="hybridMultilevel"/>
    <w:lvl w:ilvl="0">
      <w:lvlJc w:val="left"/>
      <w:lvlText w:val="•"/>
      <w:numFmt w:val="bullet"/>
      <w:start w:val="1"/>
    </w:lvl>
  </w:abstractNum>
  <w:abstractNum w:abstractNumId="97">
    <w:nsid w:val="52C12C61"/>
    <w:multiLevelType w:val="hybridMultilevel"/>
    <w:lvl w:ilvl="0">
      <w:lvlJc w:val="left"/>
      <w:lvlText w:val="(%1)"/>
      <w:numFmt w:val="decimal"/>
      <w:start w:val="1"/>
    </w:lvl>
  </w:abstractNum>
  <w:abstractNum w:abstractNumId="98">
    <w:nsid w:val="4BDD53FD"/>
    <w:multiLevelType w:val="hybridMultilevel"/>
    <w:lvl w:ilvl="0">
      <w:lvlJc w:val="left"/>
      <w:lvlText w:val="(%1)"/>
      <w:numFmt w:val="decimal"/>
      <w:start w:val="5"/>
    </w:lvl>
  </w:abstractNum>
  <w:abstractNum w:abstractNumId="99">
    <w:nsid w:val="569951FE"/>
    <w:multiLevelType w:val="hybridMultilevel"/>
    <w:lvl w:ilvl="0">
      <w:lvlJc w:val="left"/>
      <w:lvlText w:val="(%1)"/>
      <w:numFmt w:val="decimal"/>
      <w:start w:val="1"/>
    </w:lvl>
  </w:abstractNum>
  <w:abstractNum w:abstractNumId="100">
    <w:nsid w:val="4C54E2C3"/>
    <w:multiLevelType w:val="hybridMultilevel"/>
    <w:lvl w:ilvl="0">
      <w:lvlJc w:val="left"/>
      <w:lvlText w:val="(%1)"/>
      <w:numFmt w:val="decimal"/>
      <w:start w:val="1"/>
    </w:lvl>
  </w:abstractNum>
  <w:abstractNum w:abstractNumId="101">
    <w:nsid w:val="788BD9B"/>
    <w:multiLevelType w:val="hybridMultilevel"/>
    <w:lvl w:ilvl="0">
      <w:lvlJc w:val="left"/>
      <w:lvlText w:val="(%1)"/>
      <w:numFmt w:val="decimal"/>
      <w:start w:val="1"/>
    </w:lvl>
  </w:abstractNum>
  <w:abstractNum w:abstractNumId="102">
    <w:nsid w:val="47CAA567"/>
    <w:multiLevelType w:val="hybridMultilevel"/>
    <w:lvl w:ilvl="0">
      <w:lvlJc w:val="left"/>
      <w:lvlText w:val="(%1)"/>
      <w:numFmt w:val="lowerRoman"/>
      <w:start w:val="8"/>
    </w:lvl>
  </w:abstractNum>
  <w:abstractNum w:abstractNumId="103">
    <w:nsid w:val="48249DBF"/>
    <w:multiLevelType w:val="hybridMultilevel"/>
    <w:lvl w:ilvl="0">
      <w:lvlJc w:val="left"/>
      <w:lvlText w:val="(%1)"/>
      <w:numFmt w:val="lowerRoman"/>
      <w:start w:val="11"/>
    </w:lvl>
  </w:abstractNum>
  <w:abstractNum w:abstractNumId="104">
    <w:nsid w:val="1F0E5D0D"/>
    <w:multiLevelType w:val="hybridMultilevel"/>
    <w:lvl w:ilvl="0">
      <w:lvlJc w:val="left"/>
      <w:lvlText w:val="(%1)"/>
      <w:numFmt w:val="lowerRoman"/>
      <w:start w:val="17"/>
    </w:lvl>
  </w:abstractNum>
  <w:abstractNum w:abstractNumId="105">
    <w:nsid w:val="26BAAE9"/>
    <w:multiLevelType w:val="hybridMultilevel"/>
    <w:lvl w:ilvl="0">
      <w:lvlJc w:val="left"/>
      <w:lvlText w:val="(%1)"/>
      <w:numFmt w:val="lowerRoman"/>
      <w:start w:val="2"/>
    </w:lvl>
  </w:abstractNum>
  <w:abstractNum w:abstractNumId="106">
    <w:nsid w:val="2C02FE8C"/>
    <w:multiLevelType w:val="hybridMultilevel"/>
    <w:lvl w:ilvl="0">
      <w:lvlJc w:val="left"/>
      <w:lvlText w:val="•"/>
      <w:numFmt w:val="bullet"/>
      <w:start w:val="1"/>
    </w:lvl>
  </w:abstractNum>
  <w:abstractNum w:abstractNumId="107">
    <w:nsid w:val="129517E"/>
    <w:multiLevelType w:val="hybridMultilevel"/>
    <w:lvl w:ilvl="0">
      <w:lvlJc w:val="left"/>
      <w:lvlText w:val="•"/>
      <w:numFmt w:val="bullet"/>
      <w:start w:val="1"/>
    </w:lvl>
  </w:abstractNum>
  <w:abstractNum w:abstractNumId="108">
    <w:nsid w:val="763B8C4E"/>
    <w:multiLevelType w:val="hybridMultilevel"/>
    <w:lvl w:ilvl="0">
      <w:lvlJc w:val="left"/>
      <w:lvlText w:val="•"/>
      <w:numFmt w:val="bullet"/>
      <w:start w:val="1"/>
    </w:lvl>
  </w:abstractNum>
  <w:abstractNum w:abstractNumId="109">
    <w:nsid w:val="4CFB8D32"/>
    <w:multiLevelType w:val="hybridMultilevel"/>
    <w:lvl w:ilvl="0">
      <w:lvlJc w:val="left"/>
      <w:lvlText w:val="(%1)"/>
      <w:numFmt w:val="decimal"/>
      <w:start w:val="1"/>
    </w:lvl>
  </w:abstractNum>
  <w:abstractNum w:abstractNumId="110">
    <w:nsid w:val="62A5D5BD"/>
    <w:multiLevelType w:val="hybridMultilevel"/>
    <w:lvl w:ilvl="0">
      <w:lvlJc w:val="left"/>
      <w:lvlText w:val="(%1)"/>
      <w:numFmt w:val="decimal"/>
      <w:start w:val="3"/>
    </w:lvl>
  </w:abstractNum>
  <w:abstractNum w:abstractNumId="111">
    <w:nsid w:val="718FABF9"/>
    <w:multiLevelType w:val="hybridMultilevel"/>
    <w:lvl w:ilvl="0">
      <w:lvlJc w:val="left"/>
      <w:lvlText w:val="(%1)"/>
      <w:numFmt w:val="decimal"/>
      <w:start w:val="1"/>
    </w:lvl>
  </w:abstractNum>
  <w:abstractNum w:abstractNumId="112">
    <w:nsid w:val="7775797C"/>
    <w:multiLevelType w:val="hybridMultilevel"/>
    <w:lvl w:ilvl="0">
      <w:lvlJc w:val="left"/>
      <w:lvlText w:val="(%1)"/>
      <w:numFmt w:val="decimal"/>
      <w:start w:val="4"/>
    </w:lvl>
  </w:abstractNum>
  <w:abstractNum w:abstractNumId="113">
    <w:nsid w:val="1626FB8C"/>
    <w:multiLevelType w:val="hybridMultilevel"/>
    <w:lvl w:ilvl="0">
      <w:lvlJc w:val="left"/>
      <w:lvlText w:val="•"/>
      <w:numFmt w:val="bullet"/>
      <w:start w:val="1"/>
    </w:lvl>
  </w:abstractNum>
  <w:abstractNum w:abstractNumId="114">
    <w:nsid w:val="3957756A"/>
    <w:multiLevelType w:val="hybridMultilevel"/>
    <w:lvl w:ilvl="0">
      <w:lvlJc w:val="left"/>
      <w:lvlText w:val="•"/>
      <w:numFmt w:val="bullet"/>
      <w:start w:val="1"/>
    </w:lvl>
  </w:abstractNum>
  <w:abstractNum w:abstractNumId="115">
    <w:nsid w:val="3E6DA1C7"/>
    <w:multiLevelType w:val="hybridMultilevel"/>
    <w:lvl w:ilvl="0">
      <w:lvlJc w:val="left"/>
      <w:lvlText w:val="*"/>
      <w:numFmt w:val="bullet"/>
      <w:start w:val="1"/>
    </w:lvl>
  </w:abstractNum>
  <w:abstractNum w:abstractNumId="116">
    <w:nsid w:val="65CA235B"/>
    <w:multiLevelType w:val="hybridMultilevel"/>
    <w:lvl w:ilvl="0">
      <w:lvlJc w:val="left"/>
      <w:lvlText w:val="(%1)"/>
      <w:numFmt w:val="decimal"/>
      <w:start w:val="1"/>
    </w:lvl>
  </w:abstractNum>
  <w:abstractNum w:abstractNumId="117">
    <w:nsid w:val="51CB0DA4"/>
    <w:multiLevelType w:val="hybridMultilevel"/>
    <w:lvl w:ilvl="0">
      <w:lvlJc w:val="left"/>
      <w:lvlText w:val="(%1)"/>
      <w:numFmt w:val="decimal"/>
      <w:start w:val="2"/>
    </w:lvl>
  </w:abstractNum>
  <w:abstractNum w:abstractNumId="118">
    <w:nsid w:val="7B9B743C"/>
    <w:multiLevelType w:val="hybridMultilevel"/>
    <w:lvl w:ilvl="0">
      <w:lvlJc w:val="left"/>
      <w:lvlText w:val="(%1)"/>
      <w:numFmt w:val="decimal"/>
      <w:start w:val="7"/>
    </w:lvl>
  </w:abstractNum>
  <w:abstractNum w:abstractNumId="119">
    <w:nsid w:val="13E21002"/>
    <w:multiLevelType w:val="hybridMultilevel"/>
    <w:lvl w:ilvl="0">
      <w:lvlJc w:val="left"/>
      <w:lvlText w:val="•"/>
      <w:numFmt w:val="bullet"/>
      <w:start w:val="1"/>
    </w:lvl>
  </w:abstractNum>
  <w:abstractNum w:abstractNumId="120">
    <w:nsid w:val="257D63F4"/>
    <w:multiLevelType w:val="hybridMultilevel"/>
    <w:lvl w:ilvl="0">
      <w:lvlJc w:val="left"/>
      <w:lvlText w:val="(%1)"/>
      <w:numFmt w:val="lowerRoman"/>
      <w:start w:val="1"/>
    </w:lvl>
  </w:abstractNum>
  <w:abstractNum w:abstractNumId="121">
    <w:nsid w:val="70EC11B2"/>
    <w:multiLevelType w:val="hybridMultilevel"/>
    <w:lvl w:ilvl="0">
      <w:lvlJc w:val="left"/>
      <w:lvlText w:val="(%1)"/>
      <w:numFmt w:val="lowerRoman"/>
      <w:start w:val="3"/>
    </w:lvl>
  </w:abstractNum>
  <w:abstractNum w:abstractNumId="122">
    <w:nsid w:val="2EDA00ED"/>
    <w:multiLevelType w:val="hybridMultilevel"/>
    <w:lvl w:ilvl="0">
      <w:lvlJc w:val="left"/>
      <w:lvlText w:val="•"/>
      <w:numFmt w:val="bullet"/>
      <w:start w:val="1"/>
    </w:lvl>
  </w:abstractNum>
  <w:abstractNum w:abstractNumId="123">
    <w:nsid w:val="73209072"/>
    <w:multiLevelType w:val="hybridMultilevel"/>
    <w:lvl w:ilvl="0">
      <w:lvlJc w:val="left"/>
      <w:lvlText w:val="•"/>
      <w:numFmt w:val="bullet"/>
      <w:start w:val="1"/>
    </w:lvl>
  </w:abstractNum>
  <w:abstractNum w:abstractNumId="124">
    <w:nsid w:val="5FB29816"/>
    <w:multiLevelType w:val="hybridMultilevel"/>
    <w:lvl w:ilvl="0">
      <w:lvlJc w:val="left"/>
      <w:lvlText w:val="•"/>
      <w:numFmt w:val="bullet"/>
      <w:start w:val="1"/>
    </w:lvl>
  </w:abstractNum>
  <w:abstractNum w:abstractNumId="125">
    <w:nsid w:val="3CE732EC"/>
    <w:multiLevelType w:val="hybridMultilevel"/>
    <w:lvl w:ilvl="0">
      <w:lvlJc w:val="left"/>
      <w:lvlText w:val="•"/>
      <w:numFmt w:val="bullet"/>
      <w:start w:val="1"/>
    </w:lvl>
  </w:abstractNum>
  <w:abstractNum w:abstractNumId="126">
    <w:nsid w:val="22F13DF3"/>
    <w:multiLevelType w:val="hybridMultilevel"/>
    <w:lvl w:ilvl="0">
      <w:lvlJc w:val="left"/>
      <w:lvlText w:val="•"/>
      <w:numFmt w:val="bullet"/>
      <w:start w:val="1"/>
    </w:lvl>
  </w:abstractNum>
  <w:abstractNum w:abstractNumId="127">
    <w:nsid w:val="792B8401"/>
    <w:multiLevelType w:val="hybridMultilevel"/>
    <w:lvl w:ilvl="0">
      <w:lvlJc w:val="left"/>
      <w:lvlText w:val="•"/>
      <w:numFmt w:val="bullet"/>
      <w:start w:val="1"/>
    </w:lvl>
  </w:abstractNum>
  <w:abstractNum w:abstractNumId="128">
    <w:nsid w:val="FA85F4D"/>
    <w:multiLevelType w:val="hybridMultilevel"/>
    <w:lvl w:ilvl="0">
      <w:lvlJc w:val="left"/>
      <w:lvlText w:val="(%1)"/>
      <w:numFmt w:val="lowerRoman"/>
      <w:start w:val="1"/>
    </w:lvl>
  </w:abstractNum>
  <w:abstractNum w:abstractNumId="129">
    <w:nsid w:val="6ECE91F0"/>
    <w:multiLevelType w:val="hybridMultilevel"/>
    <w:lvl w:ilvl="0">
      <w:lvlJc w:val="left"/>
      <w:lvlText w:val="•"/>
      <w:numFmt w:val="bullet"/>
      <w:start w:val="1"/>
    </w:lvl>
  </w:abstractNum>
  <w:abstractNum w:abstractNumId="130">
    <w:nsid w:val="4FC4D600"/>
    <w:multiLevelType w:val="hybridMultilevel"/>
    <w:lvl w:ilvl="0">
      <w:lvlJc w:val="left"/>
      <w:lvlText w:val="•"/>
      <w:numFmt w:val="bullet"/>
      <w:start w:val="1"/>
    </w:lvl>
  </w:abstractNum>
  <w:abstractNum w:abstractNumId="131">
    <w:nsid w:val="5BFD4210"/>
    <w:multiLevelType w:val="hybridMultilevel"/>
    <w:lvl w:ilvl="0">
      <w:lvlJc w:val="left"/>
      <w:lvlText w:val="•"/>
      <w:numFmt w:val="bullet"/>
      <w:start w:val="1"/>
    </w:lvl>
  </w:abstractNum>
  <w:abstractNum w:abstractNumId="132">
    <w:nsid w:val="76574F8B"/>
    <w:multiLevelType w:val="hybridMultilevel"/>
    <w:lvl w:ilvl="0">
      <w:lvlJc w:val="left"/>
      <w:lvlText w:val="(%1)"/>
      <w:numFmt w:val="lowerRoman"/>
      <w:start w:val="1"/>
    </w:lvl>
  </w:abstractNum>
  <w:abstractNum w:abstractNumId="133">
    <w:nsid w:val="178F7B67"/>
    <w:multiLevelType w:val="hybridMultilevel"/>
    <w:lvl w:ilvl="0">
      <w:lvlJc w:val="left"/>
      <w:lvlText w:val="(%1)"/>
      <w:numFmt w:val="lowerLetter"/>
      <w:start w:val="1"/>
    </w:lvl>
  </w:abstractNum>
  <w:abstractNum w:abstractNumId="134">
    <w:nsid w:val="2421DFCF"/>
    <w:multiLevelType w:val="hybridMultilevel"/>
    <w:lvl w:ilvl="0">
      <w:lvlJc w:val="left"/>
      <w:lvlText w:val="1"/>
      <w:numFmt w:val="bullet"/>
      <w:start w:val="1"/>
    </w:lvl>
  </w:abstractNum>
  <w:abstractNum w:abstractNumId="135">
    <w:nsid w:val="1565AC99"/>
    <w:multiLevelType w:val="hybridMultilevel"/>
    <w:lvl w:ilvl="0">
      <w:lvlJc w:val="left"/>
      <w:lvlText w:val="%1."/>
      <w:numFmt w:val="decimal"/>
      <w:start w:val="2"/>
    </w:lvl>
  </w:abstractNum>
  <w:abstractNum w:abstractNumId="136">
    <w:nsid w:val="19FB2650"/>
    <w:multiLevelType w:val="hybridMultilevel"/>
    <w:lvl w:ilvl="0">
      <w:lvlJc w:val="left"/>
      <w:lvlText w:val="•"/>
      <w:numFmt w:val="bullet"/>
      <w:start w:val="1"/>
    </w:lvl>
  </w:abstractNum>
  <w:abstractNum w:abstractNumId="137">
    <w:nsid w:val="5024DE5B"/>
    <w:multiLevelType w:val="hybridMultilevel"/>
    <w:lvl w:ilvl="0">
      <w:lvlJc w:val="left"/>
      <w:lvlText w:val="(%1)"/>
      <w:numFmt w:val="lowerRoman"/>
      <w:start w:val="2"/>
    </w:lvl>
  </w:abstractNum>
  <w:abstractNum w:abstractNumId="138">
    <w:nsid w:val="168EFE17"/>
    <w:multiLevelType w:val="hybridMultilevel"/>
    <w:lvl w:ilvl="0">
      <w:lvlJc w:val="left"/>
      <w:lvlText w:val="•"/>
      <w:numFmt w:val="bullet"/>
      <w:start w:val="1"/>
    </w:lvl>
  </w:abstractNum>
  <w:abstractNum w:abstractNumId="139">
    <w:nsid w:val="1036B29F"/>
    <w:multiLevelType w:val="hybridMultilevel"/>
    <w:lvl w:ilvl="0">
      <w:lvlJc w:val="left"/>
      <w:lvlText w:val="%1."/>
      <w:numFmt w:val="decimal"/>
      <w:start w:val="11"/>
    </w:lvl>
  </w:abstractNum>
  <w:abstractNum w:abstractNumId="140">
    <w:nsid w:val="1D206B8E"/>
    <w:multiLevelType w:val="hybridMultilevel"/>
    <w:lvl w:ilvl="0">
      <w:lvlJc w:val="left"/>
      <w:lvlText w:val="%1)"/>
      <w:numFmt w:val="lowerLetter"/>
      <w:start w:val="1"/>
    </w:lvl>
  </w:abstractNum>
  <w:abstractNum w:abstractNumId="141">
    <w:nsid w:val="7934D3D4"/>
    <w:multiLevelType w:val="hybridMultilevel"/>
    <w:lvl w:ilvl="0">
      <w:lvlJc w:val="left"/>
      <w:lvlText w:val="%1."/>
      <w:numFmt w:val="decimal"/>
      <w:start w:val="2"/>
    </w:lvl>
  </w:abstractNum>
  <w:abstractNum w:abstractNumId="142">
    <w:nsid w:val="1C65E98"/>
    <w:multiLevelType w:val="hybridMultilevel"/>
    <w:lvl w:ilvl="0">
      <w:lvlJc w:val="left"/>
      <w:lvlText w:val="%1."/>
      <w:numFmt w:val="decimal"/>
      <w:start w:val="6"/>
    </w:lvl>
  </w:abstractNum>
  <w:abstractNum w:abstractNumId="143">
    <w:nsid w:val="1495E50A"/>
    <w:multiLevelType w:val="hybridMultilevel"/>
    <w:lvl w:ilvl="0">
      <w:lvlJc w:val="left"/>
      <w:lvlText w:val="$"/>
      <w:numFmt w:val="bullet"/>
      <w:start w:val="1"/>
    </w:lvl>
  </w:abstractNum>
  <w:abstractNum w:abstractNumId="144">
    <w:nsid w:val="F5BCF61"/>
    <w:multiLevelType w:val="hybridMultilevel"/>
    <w:lvl w:ilvl="0">
      <w:lvlJc w:val="left"/>
      <w:lvlText w:val="$"/>
      <w:numFmt w:val="bullet"/>
      <w:start w:val="1"/>
    </w:lvl>
  </w:abstractNum>
  <w:abstractNum w:abstractNumId="145">
    <w:nsid w:val="3B1DD403"/>
    <w:multiLevelType w:val="hybridMultilevel"/>
    <w:lvl w:ilvl="0">
      <w:lvlJc w:val="left"/>
      <w:lvlText w:val="•"/>
      <w:numFmt w:val="bullet"/>
      <w:start w:val="1"/>
    </w:lvl>
  </w:abstractNum>
  <w:abstractNum w:abstractNumId="146">
    <w:nsid w:val="530386D1"/>
    <w:multiLevelType w:val="hybridMultilevel"/>
    <w:lvl w:ilvl="0">
      <w:lvlJc w:val="left"/>
      <w:lvlText w:val="*"/>
      <w:numFmt w:val="bullet"/>
      <w:start w:val="1"/>
    </w:lvl>
  </w:abstractNum>
  <w:abstractNum w:abstractNumId="147">
    <w:nsid w:val="7525F2BC"/>
    <w:multiLevelType w:val="hybridMultilevel"/>
    <w:lvl w:ilvl="0">
      <w:lvlJc w:val="left"/>
      <w:lvlText w:val="+"/>
      <w:numFmt w:val="bullet"/>
      <w:start w:val="1"/>
    </w:lvl>
  </w:abstractNum>
  <w:abstractNum w:abstractNumId="148">
    <w:nsid w:val="CE8E1A7"/>
    <w:multiLevelType w:val="hybridMultilevel"/>
    <w:lvl w:ilvl="0">
      <w:lvlJc w:val="left"/>
      <w:lvlText w:val="†"/>
      <w:numFmt w:val="bullet"/>
      <w:start w:val="1"/>
    </w:lvl>
  </w:abstractNum>
  <w:abstractNum w:abstractNumId="149">
    <w:nsid w:val="4E9EFB0D"/>
    <w:multiLevelType w:val="hybridMultilevel"/>
    <w:lvl w:ilvl="0">
      <w:lvlJc w:val="left"/>
      <w:lvlText w:val="++"/>
      <w:numFmt w:val="bullet"/>
      <w:start w:val="1"/>
    </w:lvl>
  </w:abstractNum>
  <w:abstractNum w:abstractNumId="150">
    <w:nsid w:val="90802BE"/>
    <w:multiLevelType w:val="hybridMultilevel"/>
    <w:lvl w:ilvl="0">
      <w:lvlJc w:val="left"/>
      <w:lvlText w:val="%1."/>
      <w:numFmt w:val="decimal"/>
      <w:start w:val="1"/>
    </w:lvl>
  </w:abstractNum>
  <w:abstractNum w:abstractNumId="151">
    <w:nsid w:val="3266459B"/>
    <w:multiLevelType w:val="hybridMultilevel"/>
    <w:lvl w:ilvl="0">
      <w:lvlJc w:val="left"/>
      <w:lvlText w:val="1"/>
      <w:numFmt w:val="bullet"/>
      <w:start w:val="1"/>
    </w:lvl>
  </w:abstractNum>
  <w:abstractNum w:abstractNumId="152">
    <w:nsid w:val="3F8B0CBF"/>
    <w:multiLevelType w:val="hybridMultilevel"/>
    <w:lvl w:ilvl="0">
      <w:lvlJc w:val="left"/>
      <w:lvlText w:val="2"/>
      <w:numFmt w:val="bullet"/>
      <w:start w:val="1"/>
    </w:lvl>
  </w:abstractNum>
  <w:abstractNum w:abstractNumId="153">
    <w:nsid w:val="37E203AB"/>
    <w:multiLevelType w:val="hybridMultilevel"/>
    <w:lvl w:ilvl="0">
      <w:lvlJc w:val="left"/>
      <w:lvlText w:val="3"/>
      <w:numFmt w:val="bullet"/>
      <w:start w:val="1"/>
    </w:lvl>
  </w:abstractNum>
  <w:abstractNum w:abstractNumId="154">
    <w:nsid w:val="2586D60E"/>
    <w:multiLevelType w:val="hybridMultilevel"/>
    <w:lvl w:ilvl="0">
      <w:lvlJc w:val="left"/>
      <w:lvlText w:val="4"/>
      <w:numFmt w:val="bullet"/>
      <w:start w:val="1"/>
    </w:lvl>
  </w:abstractNum>
  <w:abstractNum w:abstractNumId="155">
    <w:nsid w:val="1F3DA4D5"/>
    <w:multiLevelType w:val="hybridMultilevel"/>
    <w:lvl w:ilvl="0">
      <w:lvlJc w:val="left"/>
      <w:lvlText w:val="%1."/>
      <w:numFmt w:val="decimal"/>
      <w:start w:val="1"/>
    </w:lvl>
  </w:abstractNum>
  <w:abstractNum w:abstractNumId="156">
    <w:nsid w:val="74C93698"/>
    <w:multiLevelType w:val="hybridMultilevel"/>
    <w:lvl w:ilvl="0">
      <w:lvlJc w:val="left"/>
      <w:lvlText w:val="%1."/>
      <w:numFmt w:val="decimal"/>
      <w:start w:val="5"/>
    </w:lvl>
  </w:abstractNum>
  <w:abstractNum w:abstractNumId="157">
    <w:nsid w:val="48781401"/>
    <w:multiLevelType w:val="hybridMultilevel"/>
    <w:lvl w:ilvl="0">
      <w:lvlJc w:val="left"/>
      <w:lvlText w:val="(%1)"/>
      <w:numFmt w:val="lowerLetter"/>
      <w:start w:val="1"/>
    </w:lvl>
  </w:abstractNum>
  <w:abstractNum w:abstractNumId="158">
    <w:nsid w:val="186928D6"/>
    <w:multiLevelType w:val="hybridMultilevel"/>
    <w:lvl w:ilvl="0">
      <w:lvlJc w:val="left"/>
      <w:lvlText w:val="%1."/>
      <w:numFmt w:val="decimal"/>
      <w:start w:val="1"/>
    </w:lvl>
  </w:abstractNum>
  <w:abstractNum w:abstractNumId="159">
    <w:nsid w:val="47195E5"/>
    <w:multiLevelType w:val="hybridMultilevel"/>
    <w:lvl w:ilvl="0">
      <w:lvlJc w:val="left"/>
      <w:lvlText w:val="(%1)"/>
      <w:numFmt w:val="lowerLetter"/>
      <w:start w:val="1"/>
    </w:lvl>
  </w:abstractNum>
  <w:abstractNum w:abstractNumId="160">
    <w:nsid w:val="3746A5F2"/>
    <w:multiLevelType w:val="hybridMultilevel"/>
    <w:lvl w:ilvl="0">
      <w:lvlJc w:val="left"/>
      <w:lvlText w:val="%1."/>
      <w:numFmt w:val="decimal"/>
      <w:start w:val="2"/>
    </w:lvl>
  </w:abstractNum>
  <w:abstractNum w:abstractNumId="161">
    <w:nsid w:val="682DFED6"/>
    <w:multiLevelType w:val="hybridMultilevel"/>
    <w:lvl w:ilvl="0">
      <w:lvlJc w:val="left"/>
      <w:lvlText w:val="%1."/>
      <w:numFmt w:val="decimal"/>
      <w:start w:val="3"/>
    </w:lvl>
  </w:abstractNum>
  <w:abstractNum w:abstractNumId="162">
    <w:nsid w:val="606ED7F6"/>
    <w:multiLevelType w:val="hybridMultilevel"/>
    <w:lvl w:ilvl="0">
      <w:lvlJc w:val="left"/>
      <w:lvlText w:val="%1."/>
      <w:numFmt w:val="decimal"/>
      <w:start w:val="4"/>
    </w:lvl>
  </w:abstractNum>
  <w:abstractNum w:abstractNumId="163">
    <w:nsid w:val="2D9DF57D"/>
    <w:multiLevelType w:val="hybridMultilevel"/>
    <w:lvl w:ilvl="0">
      <w:lvlJc w:val="left"/>
      <w:lvlText w:val="%1."/>
      <w:numFmt w:val="decimal"/>
      <w:start w:val="5"/>
    </w:lvl>
  </w:abstractNum>
  <w:abstractNum w:abstractNumId="164">
    <w:nsid w:val="7FBD7A3E"/>
    <w:multiLevelType w:val="hybridMultilevel"/>
    <w:lvl w:ilvl="0">
      <w:lvlJc w:val="left"/>
      <w:lvlText w:val="%1."/>
      <w:numFmt w:val="decimal"/>
      <w:start w:val="1"/>
    </w:lvl>
  </w:abstractNum>
  <w:abstractNum w:abstractNumId="165">
    <w:nsid w:val="490B7C5"/>
    <w:multiLevelType w:val="hybridMultilevel"/>
    <w:lvl w:ilvl="0">
      <w:lvlJc w:val="left"/>
      <w:lvlText w:val="%1."/>
      <w:numFmt w:val="decimal"/>
      <w:start w:val="2"/>
    </w:lvl>
  </w:abstractNum>
  <w:abstractNum w:abstractNumId="166">
    <w:nsid w:val="4303A216"/>
    <w:multiLevelType w:val="hybridMultilevel"/>
    <w:lvl w:ilvl="0">
      <w:lvlJc w:val="left"/>
      <w:lvlText w:val="%1."/>
      <w:numFmt w:val="decimal"/>
      <w:start w:val="3"/>
    </w:lvl>
  </w:abstractNum>
  <w:abstractNum w:abstractNumId="167">
    <w:nsid w:val="19B8A08E"/>
    <w:multiLevelType w:val="hybridMultilevel"/>
    <w:lvl w:ilvl="0">
      <w:lvlJc w:val="left"/>
      <w:lvlText w:val="%1."/>
      <w:numFmt w:val="decimal"/>
      <w:start w:val="4"/>
    </w:lvl>
  </w:abstractNum>
  <w:abstractNum w:abstractNumId="168">
    <w:nsid w:val="54B59621"/>
    <w:multiLevelType w:val="hybridMultilevel"/>
    <w:lvl w:ilvl="0">
      <w:lvlJc w:val="left"/>
      <w:lvlText w:val="%1."/>
      <w:numFmt w:val="decimal"/>
      <w:start w:val="5"/>
    </w:lvl>
  </w:abstractNum>
  <w:abstractNum w:abstractNumId="169">
    <w:nsid w:val="5992A02E"/>
    <w:multiLevelType w:val="hybridMultilevel"/>
    <w:lvl w:ilvl="0">
      <w:lvlJc w:val="left"/>
      <w:lvlText w:val="%1."/>
      <w:numFmt w:val="decimal"/>
      <w:start w:val="6"/>
    </w:lvl>
  </w:abstractNum>
  <w:abstractNum w:abstractNumId="170">
    <w:nsid w:val="29EF532D"/>
    <w:multiLevelType w:val="hybridMultilevel"/>
    <w:lvl w:ilvl="0">
      <w:lvlJc w:val="left"/>
      <w:lvlText w:val="%1."/>
      <w:numFmt w:val="decimal"/>
      <w:start w:val="7"/>
    </w:lvl>
  </w:abstractNum>
  <w:abstractNum w:abstractNumId="171">
    <w:nsid w:val="71D601AF"/>
    <w:multiLevelType w:val="hybridMultilevel"/>
    <w:lvl w:ilvl="0">
      <w:lvlJc w:val="left"/>
      <w:lvlText w:val="%1."/>
      <w:numFmt w:val="decimal"/>
      <w:start w:val="8"/>
    </w:lvl>
  </w:abstractNum>
  <w:abstractNum w:abstractNumId="172">
    <w:nsid w:val="52C77402"/>
    <w:multiLevelType w:val="hybridMultilevel"/>
    <w:lvl w:ilvl="0">
      <w:lvlJc w:val="left"/>
      <w:lvlText w:val="%1."/>
      <w:numFmt w:val="decimal"/>
      <w:start w:val="9"/>
    </w:lvl>
  </w:abstractNum>
  <w:abstractNum w:abstractNumId="173">
    <w:nsid w:val="2BB5B1C6"/>
    <w:multiLevelType w:val="hybridMultilevel"/>
    <w:lvl w:ilvl="0">
      <w:lvlJc w:val="left"/>
      <w:lvlText w:val="%1."/>
      <w:numFmt w:val="decimal"/>
      <w:start w:val="10"/>
    </w:lvl>
  </w:abstractNum>
  <w:abstractNum w:abstractNumId="174">
    <w:nsid w:val="66BE6B9"/>
    <w:multiLevelType w:val="hybridMultilevel"/>
    <w:lvl w:ilvl="0">
      <w:lvlJc w:val="left"/>
      <w:lvlText w:val="(%1)"/>
      <w:numFmt w:val="lowerLetter"/>
      <w:start w:val="1"/>
    </w:lvl>
  </w:abstractNum>
  <w:abstractNum w:abstractNumId="175">
    <w:nsid w:val="62234363"/>
    <w:multiLevelType w:val="hybridMultilevel"/>
    <w:lvl w:ilvl="0">
      <w:lvlJc w:val="left"/>
      <w:lvlText w:val="(%1)"/>
      <w:numFmt w:val="lowerLetter"/>
      <w:start w:val="2"/>
    </w:lvl>
  </w:abstractNum>
  <w:abstractNum w:abstractNumId="176">
    <w:nsid w:val="66D385C9"/>
    <w:multiLevelType w:val="hybridMultilevel"/>
    <w:lvl w:ilvl="0">
      <w:lvlJc w:val="left"/>
      <w:lvlText w:val="(%1)"/>
      <w:numFmt w:val="lowerLetter"/>
      <w:start w:val="1"/>
    </w:lvl>
  </w:abstractNum>
  <w:abstractNum w:abstractNumId="177">
    <w:nsid w:val="596F6D8A"/>
    <w:multiLevelType w:val="hybridMultilevel"/>
    <w:lvl w:ilvl="0">
      <w:lvlJc w:val="left"/>
      <w:lvlText w:val="(%1)"/>
      <w:numFmt w:val="lowerLetter"/>
      <w:start w:val="1"/>
    </w:lvl>
  </w:abstractNum>
  <w:abstractNum w:abstractNumId="178">
    <w:nsid w:val="5749361F"/>
    <w:multiLevelType w:val="hybridMultilevel"/>
    <w:lvl w:ilvl="0">
      <w:lvlJc w:val="left"/>
      <w:lvlText w:val="(%1)"/>
      <w:numFmt w:val="lowerRoman"/>
      <w:start w:val="1"/>
    </w:lvl>
  </w:abstractNum>
  <w:abstractNum w:abstractNumId="179">
    <w:nsid w:val="73BC6770"/>
    <w:multiLevelType w:val="hybridMultilevel"/>
    <w:lvl w:ilvl="0">
      <w:lvlJc w:val="left"/>
      <w:lvlText w:val="(%1)"/>
      <w:numFmt w:val="lowerRoman"/>
      <w:start w:val="1"/>
    </w:lvl>
  </w:abstractNum>
  <w:abstractNum w:abstractNumId="180">
    <w:nsid w:val="280E6897"/>
    <w:multiLevelType w:val="hybridMultilevel"/>
    <w:lvl w:ilvl="0">
      <w:lvlJc w:val="left"/>
      <w:lvlText w:val="(%1)"/>
      <w:numFmt w:val="lowerLetter"/>
      <w:start w:val="1"/>
    </w:lvl>
    <w:lvl w:ilvl="1">
      <w:lvlJc w:val="left"/>
      <w:lvlText w:val="(%2)"/>
      <w:numFmt w:val="lowerRoman"/>
      <w:start w:val="1"/>
    </w:lvl>
  </w:abstractNum>
  <w:abstractNum w:abstractNumId="181">
    <w:nsid w:val="605138DE"/>
    <w:multiLevelType w:val="hybridMultilevel"/>
    <w:lvl w:ilvl="0">
      <w:lvlJc w:val="left"/>
      <w:lvlText w:val="(%1)"/>
      <w:numFmt w:val="lowerLetter"/>
      <w:start w:val="2"/>
    </w:lvl>
    <w:lvl w:ilvl="1">
      <w:lvlJc w:val="left"/>
      <w:lvlText w:val="(%2)"/>
      <w:numFmt w:val="lowerRoman"/>
      <w:start w:val="1"/>
    </w:lvl>
  </w:abstractNum>
  <w:abstractNum w:abstractNumId="182">
    <w:nsid w:val="2622AD0C"/>
    <w:multiLevelType w:val="hybridMultilevel"/>
    <w:lvl w:ilvl="0">
      <w:lvlJc w:val="left"/>
      <w:lvlText w:val="(%1)"/>
      <w:numFmt w:val="lowerLetter"/>
      <w:start w:val="4"/>
    </w:lvl>
    <w:lvl w:ilvl="1">
      <w:lvlJc w:val="left"/>
      <w:lvlText w:val="(%2)"/>
      <w:numFmt w:val="lowerRoman"/>
      <w:start w:val="1"/>
    </w:lvl>
  </w:abstractNum>
  <w:abstractNum w:abstractNumId="183">
    <w:nsid w:val="67997556"/>
    <w:multiLevelType w:val="hybridMultilevel"/>
    <w:lvl w:ilvl="0">
      <w:lvlJc w:val="left"/>
      <w:lvlText w:val="(%1)"/>
      <w:numFmt w:val="lowerRoman"/>
      <w:start w:val="4"/>
    </w:lvl>
  </w:abstractNum>
  <w:abstractNum w:abstractNumId="184">
    <w:nsid w:val="18333C89"/>
    <w:multiLevelType w:val="hybridMultilevel"/>
    <w:lvl w:ilvl="0">
      <w:lvlJc w:val="left"/>
      <w:lvlText w:val="(%1)"/>
      <w:numFmt w:val="lowerRoman"/>
      <w:start w:val="6"/>
    </w:lvl>
  </w:abstractNum>
  <w:abstractNum w:abstractNumId="185">
    <w:nsid w:val="4BA9831A"/>
    <w:multiLevelType w:val="hybridMultilevel"/>
    <w:lvl w:ilvl="0">
      <w:lvlJc w:val="left"/>
      <w:lvlText w:val="(%1)"/>
      <w:numFmt w:val="lowerLetter"/>
      <w:start w:val="1"/>
    </w:lvl>
    <w:lvl w:ilvl="1">
      <w:lvlJc w:val="left"/>
      <w:lvlText w:val="(%2)"/>
      <w:numFmt w:val="lowerRoman"/>
      <w:start w:val="1"/>
    </w:lvl>
  </w:abstractNum>
  <w:abstractNum w:abstractNumId="186">
    <w:nsid w:val="6D71A2B"/>
    <w:multiLevelType w:val="hybridMultilevel"/>
    <w:lvl w:ilvl="0">
      <w:lvlJc w:val="left"/>
      <w:lvlText w:val="(%1)"/>
      <w:numFmt w:val="lowerRoman"/>
      <w:start w:val="2"/>
    </w:lvl>
  </w:abstractNum>
  <w:abstractNum w:abstractNumId="187">
    <w:nsid w:val="CFC7321"/>
    <w:multiLevelType w:val="hybridMultilevel"/>
    <w:lvl w:ilvl="0">
      <w:lvlJc w:val="left"/>
      <w:lvlText w:val="(%1)"/>
      <w:numFmt w:val="lowerLetter"/>
      <w:start w:val="3"/>
    </w:lvl>
  </w:abstractNum>
  <w:abstractNum w:abstractNumId="188">
    <w:nsid w:val="1421971B"/>
    <w:multiLevelType w:val="hybridMultilevel"/>
    <w:lvl w:ilvl="0">
      <w:lvlJc w:val="left"/>
      <w:lvlText w:val="(%1)"/>
      <w:numFmt w:val="lowerLetter"/>
      <w:start w:val="1"/>
    </w:lvl>
  </w:abstractNum>
  <w:abstractNum w:abstractNumId="189">
    <w:nsid w:val="1F40430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90">
    <w:nsid w:val="116E0907"/>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91">
    <w:nsid w:val="4B683D0D"/>
    <w:multiLevelType w:val="hybridMultilevel"/>
    <w:lvl w:ilvl="0">
      <w:lvlJc w:val="left"/>
      <w:lvlText w:val="(%1)"/>
      <w:numFmt w:val="lowerRoman"/>
      <w:start w:val="4"/>
    </w:lvl>
  </w:abstractNum>
  <w:abstractNum w:abstractNumId="192">
    <w:nsid w:val="76E41D8"/>
    <w:multiLevelType w:val="hybridMultilevel"/>
    <w:lvl w:ilvl="0">
      <w:lvlJc w:val="left"/>
      <w:lvlText w:val="(%1)"/>
      <w:numFmt w:val="lowerLetter"/>
      <w:start w:val="3"/>
    </w:lvl>
  </w:abstractNum>
  <w:abstractNum w:abstractNumId="193">
    <w:nsid w:val="71DCE0FD"/>
    <w:multiLevelType w:val="hybridMultilevel"/>
    <w:lvl w:ilvl="0">
      <w:lvlJc w:val="left"/>
      <w:lvlText w:val="(%1)"/>
      <w:numFmt w:val="lowerRoman"/>
      <w:start w:val="4"/>
    </w:lvl>
  </w:abstractNum>
  <w:abstractNum w:abstractNumId="194">
    <w:nsid w:val="7906328B"/>
    <w:multiLevelType w:val="hybridMultilevel"/>
    <w:lvl w:ilvl="0">
      <w:lvlJc w:val="left"/>
      <w:lvlText w:val="(%1)"/>
      <w:numFmt w:val="lowerLetter"/>
      <w:start w:val="1"/>
    </w:lvl>
  </w:abstractNum>
  <w:abstractNum w:abstractNumId="195">
    <w:nsid w:val="72BBC16"/>
    <w:multiLevelType w:val="hybridMultilevel"/>
    <w:lvl w:ilvl="0">
      <w:lvlJc w:val="left"/>
      <w:lvlText w:val="(%1)"/>
      <w:numFmt w:val="lowerLetter"/>
      <w:start w:val="1"/>
    </w:lvl>
  </w:abstractNum>
  <w:abstractNum w:abstractNumId="196">
    <w:nsid w:val="766D98C2"/>
    <w:multiLevelType w:val="hybridMultilevel"/>
    <w:lvl w:ilvl="0">
      <w:lvlJc w:val="left"/>
      <w:lvlText w:val="(%1)"/>
      <w:numFmt w:val="lowerLetter"/>
      <w:start w:val="2"/>
    </w:lvl>
  </w:abstractNum>
  <w:abstractNum w:abstractNumId="197">
    <w:nsid w:val="3C09D4A1"/>
    <w:multiLevelType w:val="hybridMultilevel"/>
    <w:lvl w:ilvl="0">
      <w:lvlJc w:val="left"/>
      <w:lvlText w:val="(%1)"/>
      <w:numFmt w:val="lowerLetter"/>
      <w:start w:val="8"/>
    </w:lvl>
  </w:abstractNum>
  <w:abstractNum w:abstractNumId="198">
    <w:nsid w:val="20E45CA4"/>
    <w:multiLevelType w:val="hybridMultilevel"/>
    <w:lvl w:ilvl="0">
      <w:lvlJc w:val="left"/>
      <w:lvlText w:val="(%1)"/>
      <w:numFmt w:val="lowerLetter"/>
      <w:start w:val="12"/>
    </w:lvl>
  </w:abstractNum>
  <w:abstractNum w:abstractNumId="199">
    <w:nsid w:val="4B232EE3"/>
    <w:multiLevelType w:val="hybridMultilevel"/>
    <w:lvl w:ilvl="0">
      <w:lvlJc w:val="left"/>
      <w:lvlText w:val="(%1)"/>
      <w:numFmt w:val="lowerLetter"/>
      <w:start w:val="17"/>
    </w:lvl>
  </w:abstractNum>
  <w:abstractNum w:abstractNumId="200">
    <w:nsid w:val="159C74CF"/>
    <w:multiLevelType w:val="hybridMultilevel"/>
    <w:lvl w:ilvl="0">
      <w:lvlJc w:val="left"/>
      <w:lvlText w:val="(%1)"/>
      <w:numFmt w:val="lowerLetter"/>
      <w:start w:val="1"/>
    </w:lvl>
  </w:abstractNum>
  <w:abstractNum w:abstractNumId="201">
    <w:nsid w:val="4AD3AFD2"/>
    <w:multiLevelType w:val="hybridMultilevel"/>
    <w:lvl w:ilvl="0">
      <w:lvlJc w:val="left"/>
      <w:lvlText w:val="(%1)"/>
      <w:numFmt w:val="lowerLetter"/>
      <w:start w:val="3"/>
    </w:lvl>
  </w:abstractNum>
  <w:abstractNum w:abstractNumId="202">
    <w:nsid w:val="3CF93092"/>
    <w:multiLevelType w:val="hybridMultilevel"/>
    <w:lvl w:ilvl="0">
      <w:lvlJc w:val="left"/>
      <w:lvlText w:val="(%1)"/>
      <w:numFmt w:val="lowerLetter"/>
      <w:start w:val="1"/>
    </w:lvl>
  </w:abstractNum>
  <w:abstractNum w:abstractNumId="203">
    <w:nsid w:val="6863E8D2"/>
    <w:multiLevelType w:val="hybridMultilevel"/>
    <w:lvl w:ilvl="0">
      <w:lvlJc w:val="left"/>
      <w:lvlText w:val="(%1)"/>
      <w:numFmt w:val="lowerLetter"/>
      <w:start w:val="2"/>
    </w:lvl>
  </w:abstractNum>
  <w:abstractNum w:abstractNumId="204">
    <w:nsid w:val="76896198"/>
    <w:multiLevelType w:val="hybridMultilevel"/>
    <w:lvl w:ilvl="0">
      <w:lvlJc w:val="left"/>
      <w:lvlText w:val="(%1)"/>
      <w:numFmt w:val="lowerRoman"/>
      <w:start w:val="1"/>
    </w:lvl>
  </w:abstractNum>
  <w:abstractNum w:abstractNumId="205">
    <w:nsid w:val="4365174B"/>
    <w:multiLevelType w:val="hybridMultilevel"/>
    <w:lvl w:ilvl="0">
      <w:lvlJc w:val="left"/>
      <w:lvlText w:val="(%1)"/>
      <w:numFmt w:val="lowerRoman"/>
      <w:start w:val="1"/>
    </w:lvl>
  </w:abstractNum>
  <w:abstractNum w:abstractNumId="206">
    <w:nsid w:val="4A872C35"/>
    <w:multiLevelType w:val="hybridMultilevel"/>
    <w:lvl w:ilvl="0">
      <w:lvlJc w:val="left"/>
      <w:lvlText w:val="(%1)"/>
      <w:numFmt w:val="lowerRoman"/>
      <w:start w:val="1"/>
    </w:lvl>
  </w:abstractNum>
  <w:abstractNum w:abstractNumId="207">
    <w:nsid w:val="5D5CE761"/>
    <w:multiLevelType w:val="hybridMultilevel"/>
    <w:lvl w:ilvl="0">
      <w:lvlJc w:val="left"/>
      <w:lvlText w:val="(%1)"/>
      <w:numFmt w:val="lowerRoman"/>
      <w:start w:val="2"/>
    </w:lvl>
  </w:abstractNum>
  <w:abstractNum w:abstractNumId="208">
    <w:nsid w:val="1CD484D5"/>
    <w:multiLevelType w:val="hybridMultilevel"/>
    <w:lvl w:ilvl="0">
      <w:lvlJc w:val="left"/>
      <w:lvlText w:val="(%1)"/>
      <w:numFmt w:val="lowerRoman"/>
      <w:start w:val="1"/>
    </w:lvl>
    <w:lvl w:ilvl="1">
      <w:lvlJc w:val="left"/>
      <w:lvlText w:val="(%2)"/>
      <w:numFmt w:val="upperLetter"/>
      <w:start w:val="1"/>
    </w:lvl>
  </w:abstractNum>
  <w:abstractNum w:abstractNumId="209">
    <w:nsid w:val="21D06255"/>
    <w:multiLevelType w:val="hybridMultilevel"/>
    <w:lvl w:ilvl="0">
      <w:lvlJc w:val="left"/>
      <w:lvlText w:val="(%1)"/>
      <w:numFmt w:val="upperLetter"/>
      <w:start w:val="1"/>
    </w:lvl>
  </w:abstractNum>
  <w:abstractNum w:abstractNumId="210">
    <w:nsid w:val="51194ED1"/>
    <w:multiLevelType w:val="hybridMultilevel"/>
    <w:lvl w:ilvl="0">
      <w:lvlJc w:val="left"/>
      <w:lvlText w:val="(%1)"/>
      <w:numFmt w:val="lowerRoman"/>
      <w:start w:val="3"/>
    </w:lvl>
  </w:abstractNum>
  <w:abstractNum w:abstractNumId="211">
    <w:nsid w:val="44E2ED6C"/>
    <w:multiLevelType w:val="hybridMultilevel"/>
    <w:lvl w:ilvl="0">
      <w:lvlJc w:val="left"/>
      <w:lvlText w:val="(%1)"/>
      <w:numFmt w:val="lowerLetter"/>
      <w:start w:val="1"/>
    </w:lvl>
  </w:abstractNum>
  <w:abstractNum w:abstractNumId="212">
    <w:nsid w:val="2219B33"/>
    <w:multiLevelType w:val="hybridMultilevel"/>
    <w:lvl w:ilvl="0">
      <w:lvlJc w:val="left"/>
      <w:lvlText w:val="(%1)"/>
      <w:numFmt w:val="lowerRoman"/>
      <w:start w:val="1"/>
    </w:lvl>
  </w:abstractNum>
  <w:abstractNum w:abstractNumId="213">
    <w:nsid w:val="773BFBDD"/>
    <w:multiLevelType w:val="hybridMultilevel"/>
    <w:lvl w:ilvl="0">
      <w:lvlJc w:val="left"/>
      <w:lvlText w:val="(%1)"/>
      <w:numFmt w:val="lowerRoman"/>
      <w:start w:val="1"/>
    </w:lvl>
  </w:abstractNum>
  <w:abstractNum w:abstractNumId="214">
    <w:nsid w:val="2C7C62C2"/>
    <w:multiLevelType w:val="hybridMultilevel"/>
    <w:lvl w:ilvl="0">
      <w:lvlJc w:val="left"/>
      <w:lvlText w:val="(%1)"/>
      <w:numFmt w:val="lowerLetter"/>
      <w:start w:val="1"/>
    </w:lvl>
    <w:lvl w:ilvl="1">
      <w:lvlJc w:val="left"/>
      <w:lvlText w:val="-"/>
      <w:numFmt w:val="bullet"/>
      <w:start w:val="1"/>
    </w:lvl>
  </w:abstractNum>
  <w:abstractNum w:abstractNumId="215">
    <w:nsid w:val="1A54D7BC"/>
    <w:multiLevelType w:val="hybridMultilevel"/>
    <w:lvl w:ilvl="0">
      <w:lvlJc w:val="left"/>
      <w:lvlText w:val="(%1)"/>
      <w:numFmt w:val="lowerLetter"/>
      <w:start w:val="1"/>
    </w:lvl>
  </w:abstractNum>
  <w:abstractNum w:abstractNumId="216">
    <w:nsid w:val="42E57EF7"/>
    <w:multiLevelType w:val="hybridMultilevel"/>
    <w:lvl w:ilvl="0">
      <w:lvlJc w:val="left"/>
      <w:lvlText w:val="(%1)"/>
      <w:numFmt w:val="lowerLetter"/>
      <w:start w:val="1"/>
    </w:lvl>
  </w:abstractNum>
  <w:abstractNum w:abstractNumId="217">
    <w:nsid w:val="33537CED"/>
    <w:multiLevelType w:val="hybridMultilevel"/>
    <w:lvl w:ilvl="0">
      <w:lvlJc w:val="left"/>
      <w:lvlText w:val="(%1)"/>
      <w:numFmt w:val="lowerLetter"/>
      <w:start w:val="1"/>
    </w:lvl>
  </w:abstractNum>
  <w:abstractNum w:abstractNumId="218">
    <w:nsid w:val="27514ADE"/>
    <w:multiLevelType w:val="hybridMultilevel"/>
    <w:lvl w:ilvl="0">
      <w:lvlJc w:val="left"/>
      <w:lvlText w:val="(%1)"/>
      <w:numFmt w:val="lowerLetter"/>
      <w:start w:val="1"/>
    </w:lvl>
    <w:lvl w:ilvl="1">
      <w:lvlJc w:val="left"/>
      <w:lvlText w:val="-"/>
      <w:numFmt w:val="bullet"/>
      <w:start w:val="1"/>
    </w:lvl>
  </w:abstractNum>
  <w:abstractNum w:abstractNumId="219">
    <w:nsid w:val="57071613"/>
    <w:multiLevelType w:val="hybridMultilevel"/>
    <w:lvl w:ilvl="0">
      <w:lvlJc w:val="left"/>
      <w:lvlText w:val="(%1)"/>
      <w:numFmt w:val="lowerLetter"/>
      <w:start w:val="1"/>
    </w:lvl>
  </w:abstractNum>
  <w:abstractNum w:abstractNumId="220">
    <w:nsid w:val="5293BFEF"/>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221">
    <w:nsid w:val="38BF53E5"/>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222">
    <w:nsid w:val="226F5320"/>
    <w:multiLevelType w:val="hybridMultilevel"/>
    <w:lvl w:ilvl="0">
      <w:lvlJc w:val="left"/>
      <w:lvlText w:val="(%1)"/>
      <w:numFmt w:val="lowerLetter"/>
      <w:start w:val="2"/>
    </w:lvl>
  </w:abstractNum>
  <w:abstractNum w:abstractNumId="223">
    <w:nsid w:val="5A0201C7"/>
    <w:multiLevelType w:val="hybridMultilevel"/>
    <w:lvl w:ilvl="0">
      <w:lvlJc w:val="left"/>
      <w:lvlText w:val="(%1)"/>
      <w:numFmt w:val="lowerLetter"/>
      <w:start w:val="1"/>
    </w:lvl>
  </w:abstractNum>
  <w:abstractNum w:abstractNumId="224">
    <w:nsid w:val="2A9C34E2"/>
    <w:multiLevelType w:val="hybridMultilevel"/>
    <w:lvl w:ilvl="0">
      <w:lvlJc w:val="left"/>
      <w:lvlText w:val="(%1)"/>
      <w:numFmt w:val="lowerLetter"/>
      <w:start w:val="1"/>
    </w:lvl>
    <w:lvl w:ilvl="1">
      <w:lvlJc w:val="left"/>
      <w:lvlText w:val="-"/>
      <w:numFmt w:val="bullet"/>
      <w:start w:val="1"/>
    </w:lvl>
  </w:abstractNum>
  <w:abstractNum w:abstractNumId="225">
    <w:nsid w:val="1B7585AB"/>
    <w:multiLevelType w:val="hybridMultilevel"/>
    <w:lvl w:ilvl="0">
      <w:lvlJc w:val="left"/>
      <w:lvlText w:val="(%1)"/>
      <w:numFmt w:val="lowerLetter"/>
      <w:start w:val="3"/>
    </w:lvl>
  </w:abstractNum>
  <w:abstractNum w:abstractNumId="226">
    <w:nsid w:val="612DBDDD"/>
    <w:multiLevelType w:val="hybridMultilevel"/>
    <w:lvl w:ilvl="0">
      <w:lvlJc w:val="left"/>
      <w:lvlText w:val="%1."/>
      <w:numFmt w:val="decimal"/>
      <w:start w:val="1"/>
    </w:lvl>
    <w:lvl w:ilvl="1">
      <w:lvlJc w:val="left"/>
      <w:lvlText w:val="(%2)"/>
      <w:numFmt w:val="lowerLetter"/>
      <w:start w:val="1"/>
    </w:lvl>
  </w:abstractNum>
  <w:abstractNum w:abstractNumId="227">
    <w:nsid w:val="2109CDA4"/>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228">
    <w:nsid w:val="577F5A4D"/>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229">
    <w:nsid w:val="2121A81"/>
    <w:multiLevelType w:val="hybridMultilevel"/>
    <w:lvl w:ilvl="0">
      <w:lvlJc w:val="left"/>
      <w:lvlText w:val="%1."/>
      <w:numFmt w:val="decimal"/>
      <w:start w:val="8"/>
    </w:lvl>
    <w:lvl w:ilvl="1">
      <w:lvlJc w:val="left"/>
      <w:lvlText w:val="-"/>
      <w:numFmt w:val="bullet"/>
      <w:start w:val="1"/>
    </w:lvl>
  </w:abstractNum>
  <w:abstractNum w:abstractNumId="230">
    <w:nsid w:val="6C2CFC88"/>
    <w:multiLevelType w:val="hybridMultilevel"/>
    <w:lvl w:ilvl="0">
      <w:lvlJc w:val="left"/>
      <w:lvlText w:val="%1."/>
      <w:numFmt w:val="decimal"/>
      <w:start w:val="13"/>
    </w:lvl>
  </w:abstractNum>
  <w:abstractNum w:abstractNumId="231">
    <w:nsid w:val="6D1BCF1C"/>
    <w:multiLevelType w:val="hybridMultilevel"/>
    <w:lvl w:ilvl="0">
      <w:lvlJc w:val="left"/>
      <w:lvlText w:val="%1."/>
      <w:numFmt w:val="decimal"/>
      <w:start w:val="1"/>
    </w:lvl>
    <w:lvl w:ilvl="1">
      <w:lvlJc w:val="left"/>
      <w:lvlText w:val="(%2)"/>
      <w:numFmt w:val="lowerLetter"/>
      <w:start w:val="1"/>
    </w:lvl>
  </w:abstractNum>
  <w:abstractNum w:abstractNumId="232">
    <w:nsid w:val="4CE5CA53"/>
    <w:multiLevelType w:val="hybridMultilevel"/>
    <w:lvl w:ilvl="0">
      <w:lvlJc w:val="left"/>
      <w:lvlText w:val="(%1)"/>
      <w:numFmt w:val="lowerLetter"/>
      <w:start w:val="4"/>
    </w:lvl>
  </w:abstractNum>
  <w:abstractNum w:abstractNumId="233">
    <w:nsid w:val="29262D1A"/>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234">
    <w:nsid w:val="557FB7E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235">
    <w:nsid w:val="436F2BE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36">
    <w:nsid w:val="6C8B4466"/>
    <w:multiLevelType w:val="hybridMultilevel"/>
    <w:lvl w:ilvl="0">
      <w:lvlJc w:val="left"/>
      <w:lvlText w:val="%1."/>
      <w:numFmt w:val="decimal"/>
      <w:start w:val="8"/>
    </w:lvl>
    <w:lvl w:ilvl="1">
      <w:lvlJc w:val="left"/>
      <w:lvlText w:val="-"/>
      <w:numFmt w:val="bullet"/>
      <w:start w:val="1"/>
    </w:lvl>
  </w:abstractNum>
  <w:abstractNum w:abstractNumId="237">
    <w:nsid w:val="2006E424"/>
    <w:multiLevelType w:val="hybridMultilevel"/>
    <w:lvl w:ilvl="0">
      <w:lvlJc w:val="left"/>
      <w:lvlText w:val="%1."/>
      <w:numFmt w:val="decimal"/>
      <w:start w:val="1"/>
    </w:lvl>
  </w:abstractNum>
  <w:abstractNum w:abstractNumId="238">
    <w:nsid w:val="20CC134C"/>
    <w:multiLevelType w:val="hybridMultilevel"/>
    <w:lvl w:ilvl="0">
      <w:lvlJc w:val="left"/>
      <w:lvlText w:val="(%1)"/>
      <w:numFmt w:val="lowerLetter"/>
      <w:start w:val="1"/>
    </w:lvl>
  </w:abstractNum>
  <w:abstractNum w:abstractNumId="239">
    <w:nsid w:val="95FC93B"/>
    <w:multiLevelType w:val="hybridMultilevel"/>
    <w:lvl w:ilvl="0">
      <w:lvlJc w:val="left"/>
      <w:lvlText w:val="%1."/>
      <w:numFmt w:val="decimal"/>
      <w:start w:val="2"/>
    </w:lvl>
  </w:abstractNum>
  <w:abstractNum w:abstractNumId="240">
    <w:nsid w:val="41D74679"/>
    <w:multiLevelType w:val="hybridMultilevel"/>
    <w:lvl w:ilvl="0">
      <w:lvlJc w:val="left"/>
      <w:lvlText w:val="(%1)"/>
      <w:numFmt w:val="lowerLetter"/>
      <w:start w:val="1"/>
    </w:lvl>
    <w:lvl w:ilvl="1">
      <w:lvlJc w:val="left"/>
      <w:lvlText w:val="-"/>
      <w:numFmt w:val="bullet"/>
      <w:start w:val="1"/>
    </w:lvl>
  </w:abstractNum>
  <w:abstractNum w:abstractNumId="241">
    <w:nsid w:val="71E5621E"/>
    <w:multiLevelType w:val="hybridMultilevel"/>
    <w:lvl w:ilvl="0">
      <w:lvlJc w:val="left"/>
      <w:lvlText w:val="%1."/>
      <w:numFmt w:val="decimal"/>
      <w:start w:val="3"/>
    </w:lvl>
  </w:abstractNum>
  <w:abstractNum w:abstractNumId="242">
    <w:nsid w:val="4E42B6A8"/>
    <w:multiLevelType w:val="hybridMultilevel"/>
    <w:lvl w:ilvl="0">
      <w:lvlJc w:val="left"/>
      <w:lvlText w:val="%1."/>
      <w:numFmt w:val="decimal"/>
      <w:start w:val="4"/>
    </w:lvl>
  </w:abstractNum>
  <w:abstractNum w:abstractNumId="243">
    <w:nsid w:val="43F8E1AC"/>
    <w:multiLevelType w:val="hybridMultilevel"/>
    <w:lvl w:ilvl="0">
      <w:lvlJc w:val="left"/>
      <w:lvlText w:val="%1."/>
      <w:numFmt w:val="decimal"/>
      <w:start w:val="5"/>
    </w:lvl>
  </w:abstractNum>
  <w:abstractNum w:abstractNumId="244">
    <w:nsid w:val="69215DFB"/>
    <w:multiLevelType w:val="hybridMultilevel"/>
    <w:lvl w:ilvl="0">
      <w:lvlJc w:val="left"/>
      <w:lvlText w:val="%1."/>
      <w:numFmt w:val="decimal"/>
      <w:start w:val="6"/>
    </w:lvl>
  </w:abstractNum>
  <w:abstractNum w:abstractNumId="245">
    <w:nsid w:val="7ABF196A"/>
    <w:multiLevelType w:val="hybridMultilevel"/>
    <w:lvl w:ilvl="0">
      <w:lvlJc w:val="left"/>
      <w:lvlText w:val="%1."/>
      <w:numFmt w:val="decimal"/>
      <w:start w:val="7"/>
    </w:lvl>
  </w:abstractNum>
  <w:abstractNum w:abstractNumId="246">
    <w:nsid w:val="5E4DB968"/>
    <w:multiLevelType w:val="hybridMultilevel"/>
    <w:lvl w:ilvl="0">
      <w:lvlJc w:val="left"/>
      <w:lvlText w:val="%1."/>
      <w:numFmt w:val="decimal"/>
      <w:start w:val="8"/>
    </w:lvl>
  </w:abstractNum>
  <w:abstractNum w:abstractNumId="247">
    <w:nsid w:val="2C06DCF3"/>
    <w:multiLevelType w:val="hybridMultilevel"/>
    <w:lvl w:ilvl="0">
      <w:lvlJc w:val="left"/>
      <w:lvlText w:val="%1."/>
      <w:numFmt w:val="decimal"/>
      <w:start w:val="9"/>
    </w:lvl>
  </w:abstractNum>
  <w:abstractNum w:abstractNumId="248">
    <w:nsid w:val="2E129658"/>
    <w:multiLevelType w:val="hybridMultilevel"/>
    <w:lvl w:ilvl="0">
      <w:lvlJc w:val="left"/>
      <w:lvlText w:val="%1."/>
      <w:numFmt w:val="decimal"/>
      <w:start w:val="10"/>
    </w:lvl>
  </w:abstractNum>
  <w:abstractNum w:abstractNumId="249">
    <w:nsid w:val="59F0446"/>
    <w:multiLevelType w:val="hybridMultilevel"/>
    <w:lvl w:ilvl="0">
      <w:lvlJc w:val="left"/>
      <w:lvlText w:val="%1."/>
      <w:numFmt w:val="decimal"/>
      <w:start w:val="11"/>
    </w:lvl>
  </w:abstractNum>
  <w:abstractNum w:abstractNumId="250">
    <w:nsid w:val="30DF306"/>
    <w:multiLevelType w:val="hybridMultilevel"/>
    <w:lvl w:ilvl="0">
      <w:lvlJc w:val="left"/>
      <w:lvlText w:val="%1."/>
      <w:numFmt w:val="decimal"/>
      <w:start w:val="12"/>
    </w:lvl>
  </w:abstractNum>
  <w:abstractNum w:abstractNumId="251">
    <w:nsid w:val="A65647"/>
    <w:multiLevelType w:val="hybridMultilevel"/>
    <w:lvl w:ilvl="0">
      <w:lvlJc w:val="left"/>
      <w:lvlText w:val="(%1)"/>
      <w:numFmt w:val="decimal"/>
      <w:start w:val="12"/>
    </w:lvl>
  </w:abstractNum>
  <w:abstractNum w:abstractNumId="252">
    <w:nsid w:val="3E5E582B"/>
    <w:multiLevelType w:val="hybridMultilevel"/>
    <w:lvl w:ilvl="0">
      <w:lvlJc w:val="left"/>
      <w:lvlText w:val="(%1)"/>
      <w:numFmt w:val="lowerLetter"/>
      <w:start w:val="1"/>
    </w:lvl>
    <w:lvl w:ilvl="1">
      <w:lvlJc w:val="left"/>
      <w:lvlText w:val="-"/>
      <w:numFmt w:val="bullet"/>
      <w:start w:val="1"/>
    </w:lvl>
  </w:abstractNum>
  <w:abstractNum w:abstractNumId="253">
    <w:nsid w:val="257D4626"/>
    <w:multiLevelType w:val="hybridMultilevel"/>
    <w:lvl w:ilvl="0">
      <w:lvlJc w:val="left"/>
      <w:lvlText w:val="(%1)"/>
      <w:numFmt w:val="lowerLetter"/>
      <w:start w:val="2"/>
    </w:lvl>
  </w:abstractNum>
  <w:abstractNum w:abstractNumId="254">
    <w:nsid w:val="5AA8580E"/>
    <w:multiLevelType w:val="hybridMultilevel"/>
    <w:lvl w:ilvl="0">
      <w:lvlJc w:val="left"/>
      <w:lvlText w:val="(%1)"/>
      <w:numFmt w:val="lowerLetter"/>
      <w:start w:val="1"/>
    </w:lvl>
  </w:abstractNum>
  <w:abstractNum w:abstractNumId="255">
    <w:nsid w:val="68FA8D0D"/>
    <w:multiLevelType w:val="hybridMultilevel"/>
    <w:lvl w:ilvl="0">
      <w:lvlJc w:val="left"/>
      <w:lvlText w:val="(%1)"/>
      <w:numFmt w:val="lowerLetter"/>
      <w:start w:val="1"/>
    </w:lvl>
    <w:lvl w:ilvl="1">
      <w:lvlJc w:val="left"/>
      <w:lvlText w:val="-"/>
      <w:numFmt w:val="bullet"/>
      <w:start w:val="1"/>
    </w:lvl>
  </w:abstractNum>
  <w:abstractNum w:abstractNumId="256">
    <w:nsid w:val="40F2CBD2"/>
    <w:multiLevelType w:val="hybridMultilevel"/>
    <w:lvl w:ilvl="0">
      <w:lvlJc w:val="left"/>
      <w:lvlText w:val="(%1)"/>
      <w:numFmt w:val="lowerLetter"/>
      <w:start w:val="2"/>
    </w:lvl>
  </w:abstractNum>
  <w:abstractNum w:abstractNumId="257">
    <w:nsid w:val="3BD615EB"/>
    <w:multiLevelType w:val="hybridMultilevel"/>
    <w:lvl w:ilvl="0">
      <w:lvlJc w:val="left"/>
      <w:lvlText w:val="(%1)"/>
      <w:numFmt w:val="decimal"/>
      <w:start w:val="30"/>
    </w:lvl>
  </w:abstractNum>
  <w:abstractNum w:abstractNumId="258">
    <w:nsid w:val="A045AB2"/>
    <w:multiLevelType w:val="hybridMultilevel"/>
    <w:lvl w:ilvl="0">
      <w:lvlJc w:val="left"/>
      <w:lvlText w:val="(%1)"/>
      <w:numFmt w:val="lowerLetter"/>
      <w:start w:val="1"/>
    </w:lvl>
    <w:lvl w:ilvl="1">
      <w:lvlJc w:val="left"/>
      <w:lvlText w:val="-"/>
      <w:numFmt w:val="bullet"/>
      <w:start w:val="1"/>
    </w:lvl>
  </w:abstractNum>
  <w:abstractNum w:abstractNumId="259">
    <w:nsid w:val="1872261F"/>
    <w:multiLevelType w:val="hybridMultilevel"/>
    <w:lvl w:ilvl="0">
      <w:lvlJc w:val="left"/>
      <w:lvlText w:val="(%1)"/>
      <w:numFmt w:val="lowerLetter"/>
      <w:start w:val="2"/>
    </w:lvl>
  </w:abstractNum>
  <w:abstractNum w:abstractNumId="260">
    <w:nsid w:val="3DE8306C"/>
    <w:multiLevelType w:val="hybridMultilevel"/>
    <w:lvl w:ilvl="0">
      <w:lvlJc w:val="left"/>
      <w:lvlText w:val="(%1)"/>
      <w:numFmt w:val="lowerLetter"/>
      <w:start w:val="1"/>
    </w:lvl>
    <w:lvl w:ilvl="1">
      <w:lvlJc w:val="left"/>
      <w:lvlText w:val="-"/>
      <w:numFmt w:val="bullet"/>
      <w:start w:val="1"/>
    </w:lvl>
  </w:abstractNum>
  <w:abstractNum w:abstractNumId="261">
    <w:nsid w:val="7631573A"/>
    <w:multiLevelType w:val="hybridMultilevel"/>
    <w:lvl w:ilvl="0">
      <w:lvlJc w:val="left"/>
      <w:lvlText w:val="%1."/>
      <w:numFmt w:val="upperLetter"/>
      <w:start w:val="1"/>
    </w:lvl>
  </w:abstractNum>
  <w:abstractNum w:abstractNumId="262">
    <w:nsid w:val="58DF53B"/>
    <w:multiLevelType w:val="hybridMultilevel"/>
    <w:lvl w:ilvl="0">
      <w:lvlJc w:val="left"/>
      <w:lvlText w:val="(%1)"/>
      <w:numFmt w:val="lowerRoman"/>
      <w:start w:val="2"/>
    </w:lvl>
    <w:lvl w:ilvl="1">
      <w:lvlJc w:val="left"/>
      <w:lvlText w:val="-"/>
      <w:numFmt w:val="bullet"/>
      <w:start w:val="1"/>
    </w:lvl>
  </w:abstractNum>
  <w:abstractNum w:abstractNumId="263">
    <w:nsid w:val="ACDFAC0"/>
    <w:multiLevelType w:val="hybridMultilevel"/>
    <w:lvl w:ilvl="0">
      <w:lvlJc w:val="left"/>
      <w:lvlText w:val="(%1)"/>
      <w:numFmt w:val="lowerLetter"/>
      <w:start w:val="2"/>
    </w:lvl>
  </w:abstractNum>
  <w:abstractNum w:abstractNumId="264">
    <w:nsid w:val="1F578454"/>
    <w:multiLevelType w:val="hybridMultilevel"/>
    <w:lvl w:ilvl="0">
      <w:lvlJc w:val="left"/>
      <w:lvlText w:val="(%1)"/>
      <w:numFmt w:val="lowerLetter"/>
      <w:start w:val="1"/>
    </w:lvl>
  </w:abstractNum>
  <w:abstractNum w:abstractNumId="265">
    <w:nsid w:val="5B0DAD2A"/>
    <w:multiLevelType w:val="hybridMultilevel"/>
    <w:lvl w:ilvl="0">
      <w:lvlJc w:val="left"/>
      <w:lvlText w:val="(%1)"/>
      <w:numFmt w:val="upperLetter"/>
      <w:start w:val="1"/>
    </w:lvl>
    <w:lvl w:ilvl="1">
      <w:lvlJc w:val="left"/>
      <w:lvlText w:val="-"/>
      <w:numFmt w:val="bullet"/>
      <w:start w:val="1"/>
    </w:lvl>
  </w:abstractNum>
  <w:abstractNum w:abstractNumId="266">
    <w:nsid w:val="4E3D26AB"/>
    <w:multiLevelType w:val="hybridMultilevel"/>
    <w:lvl w:ilvl="0">
      <w:lvlJc w:val="left"/>
      <w:lvlText w:val="(%1)"/>
      <w:numFmt w:val="upperLetter"/>
      <w:start w:val="2"/>
    </w:lvl>
  </w:abstractNum>
  <w:abstractNum w:abstractNumId="267">
    <w:nsid w:val="BE2C8BA"/>
    <w:multiLevelType w:val="hybridMultilevel"/>
    <w:lvl w:ilvl="0">
      <w:lvlJc w:val="left"/>
      <w:lvlText w:val="(%1)"/>
      <w:numFmt w:val="lowerLetter"/>
      <w:start w:val="1"/>
    </w:lvl>
  </w:abstractNum>
  <w:abstractNum w:abstractNumId="268">
    <w:nsid w:val="7B14914E"/>
    <w:multiLevelType w:val="hybridMultilevel"/>
    <w:lvl w:ilvl="0">
      <w:lvlJc w:val="left"/>
      <w:lvlText w:val="(%1)"/>
      <w:numFmt w:val="decimal"/>
      <w:start w:val="30"/>
    </w:lvl>
    <w:lvl w:ilvl="1">
      <w:lvlJc w:val="left"/>
      <w:lvlText w:val="-"/>
      <w:numFmt w:val="bullet"/>
      <w:start w:val="1"/>
    </w:lvl>
  </w:abstractNum>
  <w:abstractNum w:abstractNumId="269">
    <w:nsid w:val="6F0939F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70">
    <w:nsid w:val="154291F6"/>
    <w:multiLevelType w:val="hybridMultilevel"/>
    <w:lvl w:ilvl="0">
      <w:lvlJc w:val="left"/>
      <w:lvlText w:val="(%1)"/>
      <w:numFmt w:val="lowerLetter"/>
      <w:start w:val="4"/>
    </w:lvl>
  </w:abstractNum>
  <w:abstractNum w:abstractNumId="271">
    <w:nsid w:val="3CEBD7C7"/>
    <w:multiLevelType w:val="hybridMultilevel"/>
    <w:lvl w:ilvl="0">
      <w:lvlJc w:val="left"/>
      <w:lvlText w:val="(%1)"/>
      <w:numFmt w:val="lowerLetter"/>
      <w:start w:val="1"/>
    </w:lvl>
    <w:lvl w:ilvl="1">
      <w:lvlJc w:val="left"/>
      <w:lvlText w:val="-"/>
      <w:numFmt w:val="bullet"/>
      <w:start w:val="1"/>
    </w:lvl>
  </w:abstractNum>
  <w:abstractNum w:abstractNumId="272">
    <w:nsid w:val="60EE9C16"/>
    <w:multiLevelType w:val="hybridMultilevel"/>
    <w:lvl w:ilvl="0">
      <w:lvlJc w:val="left"/>
      <w:lvlText w:val="(%1)"/>
      <w:numFmt w:val="lowerLetter"/>
      <w:start w:val="5"/>
    </w:lvl>
  </w:abstractNum>
  <w:abstractNum w:abstractNumId="273">
    <w:nsid w:val="6385489E"/>
    <w:multiLevelType w:val="hybridMultilevel"/>
    <w:lvl w:ilvl="0">
      <w:lvlJc w:val="left"/>
      <w:lvlText w:val="(%1)"/>
      <w:numFmt w:val="lowerLetter"/>
      <w:start w:val="1"/>
    </w:lvl>
  </w:abstractNum>
  <w:abstractNum w:abstractNumId="274">
    <w:nsid w:val="E4B973"/>
    <w:multiLevelType w:val="hybridMultilevel"/>
    <w:lvl w:ilvl="0">
      <w:lvlJc w:val="left"/>
      <w:lvlText w:val="(%1)"/>
      <w:numFmt w:val="lowerLetter"/>
      <w:start w:val="1"/>
    </w:lvl>
    <w:lvl w:ilvl="1">
      <w:lvlJc w:val="left"/>
      <w:lvlText w:val="-"/>
      <w:numFmt w:val="bullet"/>
      <w:start w:val="1"/>
    </w:lvl>
  </w:abstractNum>
  <w:abstractNum w:abstractNumId="275">
    <w:nsid w:val="4A0FFA11"/>
    <w:multiLevelType w:val="hybridMultilevel"/>
    <w:lvl w:ilvl="0">
      <w:lvlJc w:val="left"/>
      <w:lvlText w:val="(%1)"/>
      <w:numFmt w:val="lowerLetter"/>
      <w:start w:val="3"/>
    </w:lvl>
    <w:lvl w:ilvl="1">
      <w:lvlJc w:val="left"/>
      <w:lvlText w:val="-"/>
      <w:numFmt w:val="bullet"/>
      <w:start w:val="1"/>
    </w:lvl>
  </w:abstractNum>
  <w:abstractNum w:abstractNumId="276">
    <w:nsid w:val="5E446208"/>
    <w:multiLevelType w:val="hybridMultilevel"/>
    <w:lvl w:ilvl="0">
      <w:lvlJc w:val="left"/>
      <w:lvlText w:val="(%1)"/>
      <w:numFmt w:val="lowerLetter"/>
      <w:start w:val="13"/>
    </w:lvl>
  </w:abstractNum>
  <w:abstractNum w:abstractNumId="277">
    <w:nsid w:val="5F3272DB"/>
    <w:multiLevelType w:val="hybridMultilevel"/>
    <w:lvl w:ilvl="0">
      <w:lvlJc w:val="left"/>
      <w:lvlText w:val="(%1)"/>
      <w:numFmt w:val="lowerLetter"/>
      <w:start w:val="1"/>
    </w:lvl>
    <w:lvl w:ilvl="1">
      <w:lvlJc w:val="left"/>
      <w:lvlText w:val="(%2)"/>
      <w:numFmt w:val="lowerRoman"/>
      <w:start w:val="1"/>
    </w:lvl>
  </w:abstractNum>
  <w:abstractNum w:abstractNumId="278">
    <w:nsid w:val="7616D704"/>
    <w:multiLevelType w:val="hybridMultilevel"/>
    <w:lvl w:ilvl="0">
      <w:lvlJc w:val="left"/>
      <w:lvlText w:val="(%1)"/>
      <w:numFmt w:val="lowerLetter"/>
      <w:start w:val="1"/>
    </w:lvl>
  </w:abstractNum>
  <w:abstractNum w:abstractNumId="279">
    <w:nsid w:val="C56F860"/>
    <w:multiLevelType w:val="hybridMultilevel"/>
    <w:lvl w:ilvl="0">
      <w:lvlJc w:val="left"/>
      <w:lvlText w:val="(%1)"/>
      <w:numFmt w:val="lowerLetter"/>
      <w:start w:val="1"/>
    </w:lvl>
    <w:lvl w:ilvl="1">
      <w:lvlJc w:val="left"/>
      <w:lvlText w:val="-"/>
      <w:numFmt w:val="bullet"/>
      <w:start w:val="1"/>
    </w:lvl>
  </w:abstractNum>
  <w:abstractNum w:abstractNumId="280">
    <w:nsid w:val="64D17722"/>
    <w:multiLevelType w:val="hybridMultilevel"/>
    <w:lvl w:ilvl="0">
      <w:lvlJc w:val="left"/>
      <w:lvlText w:val="(%1)"/>
      <w:numFmt w:val="lowerLetter"/>
      <w:start w:val="2"/>
    </w:lvl>
    <w:lvl w:ilvl="1">
      <w:lvlJc w:val="left"/>
      <w:lvlText w:val="-"/>
      <w:numFmt w:val="bullet"/>
      <w:start w:val="1"/>
    </w:lvl>
  </w:abstractNum>
  <w:abstractNum w:abstractNumId="281">
    <w:nsid w:val="7924CA0A"/>
    <w:multiLevelType w:val="hybridMultilevel"/>
    <w:lvl w:ilvl="0">
      <w:lvlJc w:val="left"/>
      <w:lvlText w:val="(%1)"/>
      <w:numFmt w:val="lowerRoman"/>
      <w:start w:val="1"/>
    </w:lvl>
    <w:lvl w:ilvl="1">
      <w:lvlJc w:val="left"/>
      <w:lvlText w:val="-"/>
      <w:numFmt w:val="bullet"/>
      <w:start w:val="1"/>
    </w:lvl>
  </w:abstractNum>
  <w:abstractNum w:abstractNumId="282">
    <w:nsid w:val="CFD4EA7"/>
    <w:multiLevelType w:val="hybridMultilevel"/>
    <w:lvl w:ilvl="0">
      <w:lvlJc w:val="left"/>
      <w:lvlText w:val="(%1)"/>
      <w:numFmt w:val="lowerRoman"/>
      <w:start w:val="2"/>
    </w:lvl>
  </w:abstractNum>
  <w:abstractNum w:abstractNumId="283">
    <w:nsid w:val="232FCF4D"/>
    <w:multiLevelType w:val="hybridMultilevel"/>
    <w:lvl w:ilvl="0">
      <w:lvlJc w:val="left"/>
      <w:lvlText w:val="(%1)"/>
      <w:numFmt w:val="lowerLetter"/>
      <w:start w:val="1"/>
    </w:lvl>
    <w:lvl w:ilvl="1">
      <w:lvlJc w:val="left"/>
      <w:lvlText w:val="-"/>
      <w:numFmt w:val="bullet"/>
      <w:start w:val="1"/>
    </w:lvl>
  </w:abstractNum>
  <w:abstractNum w:abstractNumId="284">
    <w:nsid w:val="1EA21031"/>
    <w:multiLevelType w:val="hybridMultilevel"/>
    <w:lvl w:ilvl="0">
      <w:lvlJc w:val="left"/>
      <w:lvlText w:val="(%1)"/>
      <w:numFmt w:val="lowerRoman"/>
      <w:start w:val="1"/>
    </w:lvl>
  </w:abstractNum>
  <w:abstractNum w:abstractNumId="285">
    <w:nsid w:val="67A5A6B5"/>
    <w:multiLevelType w:val="hybridMultilevel"/>
    <w:lvl w:ilvl="0">
      <w:lvlJc w:val="left"/>
      <w:lvlText w:val="(%1)"/>
      <w:numFmt w:val="lowerLetter"/>
      <w:start w:val="1"/>
    </w:lvl>
    <w:lvl w:ilvl="1">
      <w:lvlJc w:val="left"/>
      <w:lvlText w:val="-"/>
      <w:numFmt w:val="bullet"/>
      <w:start w:val="1"/>
    </w:lvl>
  </w:abstractNum>
  <w:abstractNum w:abstractNumId="286">
    <w:nsid w:val="C2A5C5B"/>
    <w:multiLevelType w:val="hybridMultilevel"/>
    <w:lvl w:ilvl="0">
      <w:lvlJc w:val="left"/>
      <w:lvlText w:val="(%1)"/>
      <w:numFmt w:val="lowerLetter"/>
      <w:start w:val="11"/>
    </w:lvl>
    <w:lvl w:ilvl="1">
      <w:lvlJc w:val="left"/>
      <w:lvlText w:val="-"/>
      <w:numFmt w:val="bullet"/>
      <w:start w:val="1"/>
    </w:lvl>
  </w:abstractNum>
  <w:abstractNum w:abstractNumId="287">
    <w:nsid w:val="5F94DC03"/>
    <w:multiLevelType w:val="hybridMultilevel"/>
    <w:lvl w:ilvl="0">
      <w:lvlJc w:val="left"/>
      <w:lvlText w:val="(%1)"/>
      <w:numFmt w:val="lowerLetter"/>
      <w:start w:val="18"/>
    </w:lvl>
    <w:lvl w:ilvl="1">
      <w:lvlJc w:val="left"/>
      <w:lvlText w:val="-"/>
      <w:numFmt w:val="bullet"/>
      <w:start w:val="1"/>
    </w:lvl>
  </w:abstractNum>
  <w:abstractNum w:abstractNumId="288">
    <w:nsid w:val="237BBCA0"/>
    <w:multiLevelType w:val="hybridMultilevel"/>
    <w:lvl w:ilvl="0">
      <w:lvlJc w:val="left"/>
      <w:lvlText w:val="(%1)"/>
      <w:numFmt w:val="lowerLetter"/>
      <w:start w:val="26"/>
    </w:lvl>
  </w:abstractNum>
  <w:abstractNum w:abstractNumId="289">
    <w:nsid w:val="162EB70D"/>
    <w:multiLevelType w:val="hybridMultilevel"/>
    <w:lvl w:ilvl="0">
      <w:lvlJc w:val="left"/>
      <w:lvlText w:val="(%1)"/>
      <w:numFmt w:val="lowerLetter"/>
      <w:start w:val="27"/>
    </w:lvl>
    <w:lvl w:ilvl="1">
      <w:lvlJc w:val="left"/>
      <w:lvlText w:val="-"/>
      <w:numFmt w:val="bullet"/>
      <w:start w:val="1"/>
    </w:lvl>
  </w:abstractNum>
  <w:abstractNum w:abstractNumId="290">
    <w:nsid w:val="78070222"/>
    <w:multiLevelType w:val="hybridMultilevel"/>
    <w:lvl w:ilvl="0">
      <w:lvlJc w:val="left"/>
      <w:lvlText w:val="(%1)"/>
      <w:numFmt w:val="lowerRoman"/>
      <w:start w:val="1"/>
    </w:lvl>
  </w:abstractNum>
  <w:abstractNum w:abstractNumId="291">
    <w:nsid w:val="6163ED0D"/>
    <w:multiLevelType w:val="hybridMultilevel"/>
    <w:lvl w:ilvl="0">
      <w:lvlJc w:val="left"/>
      <w:lvlText w:val="%1."/>
      <w:numFmt w:val="decimal"/>
      <w:start w:val="1"/>
    </w:lvl>
  </w:abstractNum>
  <w:abstractNum w:abstractNumId="292">
    <w:nsid w:val="C600E47"/>
    <w:multiLevelType w:val="hybridMultilevel"/>
    <w:lvl w:ilvl="0">
      <w:lvlJc w:val="left"/>
      <w:lvlText w:val="%1."/>
      <w:numFmt w:val="decimal"/>
      <w:start w:val="10"/>
    </w:lvl>
    <w:lvl w:ilvl="1">
      <w:lvlJc w:val="left"/>
      <w:lvlText w:val="-"/>
      <w:numFmt w:val="bullet"/>
      <w:start w:val="1"/>
    </w:lvl>
  </w:abstractNum>
  <w:abstractNum w:abstractNumId="293">
    <w:nsid w:val="7D94F75D"/>
    <w:multiLevelType w:val="hybridMultilevel"/>
    <w:lvl w:ilvl="0">
      <w:lvlJc w:val="left"/>
      <w:lvlText w:val="%1."/>
      <w:numFmt w:val="decimal"/>
      <w:start w:val="21"/>
    </w:lvl>
    <w:lvl w:ilvl="1">
      <w:lvlJc w:val="left"/>
      <w:lvlText w:val="-"/>
      <w:numFmt w:val="bullet"/>
      <w:start w:val="1"/>
    </w:lvl>
  </w:abstractNum>
  <w:abstractNum w:abstractNumId="294">
    <w:nsid w:val="6C31E7CD"/>
    <w:multiLevelType w:val="hybridMultilevel"/>
    <w:lvl w:ilvl="0">
      <w:lvlJc w:val="left"/>
      <w:lvlText w:val="(%1)"/>
      <w:numFmt w:val="decimal"/>
      <w:start w:val="10"/>
    </w:lvl>
  </w:abstractNum>
  <w:abstractNum w:abstractNumId="295">
    <w:nsid w:val="2BB7929B"/>
    <w:multiLevelType w:val="hybridMultilevel"/>
    <w:lvl w:ilvl="0">
      <w:lvlJc w:val="left"/>
      <w:lvlText w:val="(%1)"/>
      <w:numFmt w:val="lowerRoman"/>
      <w:start w:val="1"/>
    </w:lvl>
    <w:lvl w:ilvl="1">
      <w:lvlJc w:val="left"/>
      <w:lvlText w:val="-"/>
      <w:numFmt w:val="bullet"/>
      <w:start w:val="1"/>
    </w:lvl>
  </w:abstractNum>
  <w:abstractNum w:abstractNumId="296">
    <w:nsid w:val="58A2A487"/>
    <w:multiLevelType w:val="hybridMultilevel"/>
    <w:lvl w:ilvl="0">
      <w:lvlJc w:val="left"/>
      <w:lvlText w:val="(%1)"/>
      <w:numFmt w:val="lowerRoman"/>
      <w:start w:val="4"/>
    </w:lvl>
  </w:abstractNum>
  <w:abstractNum w:abstractNumId="297">
    <w:nsid w:val="3A6F0E78"/>
    <w:multiLevelType w:val="hybridMultilevel"/>
    <w:lvl w:ilvl="0">
      <w:lvlJc w:val="left"/>
      <w:lvlText w:val="(%1)"/>
      <w:numFmt w:val="decimal"/>
      <w:start w:val="7"/>
    </w:lvl>
  </w:abstractNum>
  <w:abstractNum w:abstractNumId="298">
    <w:nsid w:val="379A5B56"/>
    <w:multiLevelType w:val="hybridMultilevel"/>
    <w:lvl w:ilvl="0">
      <w:lvlJc w:val="left"/>
      <w:lvlText w:val="(%1)"/>
      <w:numFmt w:val="lowerRoman"/>
      <w:start w:val="5"/>
    </w:lvl>
  </w:abstractNum>
  <w:abstractNum w:abstractNumId="299">
    <w:nsid w:val="53B735D5"/>
    <w:multiLevelType w:val="hybridMultilevel"/>
    <w:lvl w:ilvl="0">
      <w:lvlJc w:val="left"/>
      <w:lvlText w:val="(%1)"/>
      <w:numFmt w:val="lowerRoman"/>
      <w:start w:val="1"/>
    </w:lvl>
  </w:abstractNum>
  <w:abstractNum w:abstractNumId="300">
    <w:nsid w:val="29784870"/>
    <w:multiLevelType w:val="hybridMultilevel"/>
    <w:lvl w:ilvl="0">
      <w:lvlJc w:val="left"/>
      <w:lvlText w:val="(%1)"/>
      <w:numFmt w:val="lowerRoman"/>
      <w:start w:val="1"/>
    </w:lvl>
  </w:abstractNum>
  <w:abstractNum w:abstractNumId="301">
    <w:nsid w:val="4CDCED4C"/>
    <w:multiLevelType w:val="hybridMultilevel"/>
    <w:lvl w:ilvl="0">
      <w:lvlJc w:val="left"/>
      <w:lvlText w:val="(%1)"/>
      <w:numFmt w:val="lowerLetter"/>
      <w:start w:val="1"/>
    </w:lvl>
  </w:abstractNum>
  <w:abstractNum w:abstractNumId="302">
    <w:nsid w:val="10A30D9C"/>
    <w:multiLevelType w:val="hybridMultilevel"/>
    <w:lvl w:ilvl="0">
      <w:lvlJc w:val="left"/>
      <w:lvlText w:val="(%1)"/>
      <w:numFmt w:val="lowerLetter"/>
      <w:start w:val="2"/>
    </w:lvl>
  </w:abstractNum>
  <w:abstractNum w:abstractNumId="303">
    <w:nsid w:val="A66E486"/>
    <w:multiLevelType w:val="hybridMultilevel"/>
    <w:lvl w:ilvl="0">
      <w:lvlJc w:val="left"/>
      <w:lvlText w:val="(%1)"/>
      <w:numFmt w:val="lowerRoman"/>
      <w:start w:val="1"/>
    </w:lvl>
    <w:lvl w:ilvl="1">
      <w:lvlJc w:val="left"/>
      <w:lvlText w:val="-"/>
      <w:numFmt w:val="bullet"/>
      <w:start w:val="1"/>
    </w:lvl>
  </w:abstractNum>
  <w:abstractNum w:abstractNumId="304">
    <w:nsid w:val="306235EA"/>
    <w:multiLevelType w:val="hybridMultilevel"/>
    <w:lvl w:ilvl="0">
      <w:lvlJc w:val="left"/>
      <w:lvlText w:val="(%1)"/>
      <w:numFmt w:val="lowerRoman"/>
      <w:start w:val="3"/>
    </w:lvl>
  </w:abstractNum>
  <w:abstractNum w:abstractNumId="305">
    <w:nsid w:val="1187C70F"/>
    <w:multiLevelType w:val="hybridMultilevel"/>
    <w:lvl w:ilvl="0">
      <w:lvlJc w:val="left"/>
      <w:lvlText w:val="(%1)"/>
      <w:numFmt w:val="lowerLetter"/>
      <w:start w:val="1"/>
    </w:lvl>
  </w:abstractNum>
  <w:abstractNum w:abstractNumId="306">
    <w:nsid w:val="5476DE98"/>
    <w:multiLevelType w:val="hybridMultilevel"/>
    <w:lvl w:ilvl="0">
      <w:lvlJc w:val="left"/>
      <w:lvlText w:val="%1."/>
      <w:numFmt w:val="decimal"/>
      <w:start w:val="1"/>
    </w:lvl>
  </w:abstractNum>
  <w:abstractNum w:abstractNumId="307">
    <w:nsid w:val="EA697F2"/>
    <w:multiLevelType w:val="hybridMultilevel"/>
    <w:lvl w:ilvl="0">
      <w:lvlJc w:val="left"/>
      <w:lvlText w:val="%1."/>
      <w:numFmt w:val="decimal"/>
      <w:start w:val="3"/>
    </w:lvl>
    <w:lvl w:ilvl="1">
      <w:lvlJc w:val="left"/>
      <w:lvlText w:val="-"/>
      <w:numFmt w:val="bullet"/>
      <w:start w:val="1"/>
    </w:lvl>
  </w:abstractNum>
  <w:abstractNum w:abstractNumId="308">
    <w:nsid w:val="70BA39EB"/>
    <w:multiLevelType w:val="hybridMultilevel"/>
    <w:lvl w:ilvl="0">
      <w:lvlJc w:val="left"/>
      <w:lvlText w:val="%1."/>
      <w:numFmt w:val="decimal"/>
      <w:start w:val="6"/>
    </w:lvl>
    <w:lvl w:ilvl="1">
      <w:lvlJc w:val="left"/>
      <w:lvlText w:val="-"/>
      <w:numFmt w:val="bullet"/>
      <w:start w:val="1"/>
    </w:lvl>
  </w:abstractNum>
  <w:abstractNum w:abstractNumId="309">
    <w:nsid w:val="4A8DB59C"/>
    <w:multiLevelType w:val="hybridMultilevel"/>
    <w:lvl w:ilvl="0">
      <w:lvlJc w:val="left"/>
      <w:lvlText w:val="%1."/>
      <w:numFmt w:val="decimal"/>
      <w:start w:val="1"/>
    </w:lvl>
  </w:abstractNum>
  <w:abstractNum w:abstractNumId="310">
    <w:nsid w:val="1AFD9053"/>
    <w:multiLevelType w:val="hybridMultilevel"/>
    <w:lvl w:ilvl="0">
      <w:lvlJc w:val="left"/>
      <w:lvlText w:val="%1."/>
      <w:numFmt w:val="decimal"/>
      <w:start w:val="1"/>
    </w:lvl>
  </w:abstractNum>
  <w:abstractNum w:abstractNumId="311">
    <w:nsid w:val="558BB10D"/>
    <w:multiLevelType w:val="hybridMultilevel"/>
    <w:lvl w:ilvl="0">
      <w:lvlJc w:val="left"/>
      <w:lvlText w:val="%1."/>
      <w:numFmt w:val="decimal"/>
      <w:start w:val="2"/>
    </w:lvl>
  </w:abstractNum>
  <w:abstractNum w:abstractNumId="312">
    <w:nsid w:val="43B27FA7"/>
    <w:multiLevelType w:val="hybridMultilevel"/>
    <w:lvl w:ilvl="0">
      <w:lvlJc w:val="left"/>
      <w:lvlText w:val="%1."/>
      <w:numFmt w:val="decimal"/>
      <w:start w:val="3"/>
    </w:lvl>
  </w:abstractNum>
  <w:abstractNum w:abstractNumId="313">
    <w:nsid w:val="27FADEFA"/>
    <w:multiLevelType w:val="hybridMultilevel"/>
    <w:lvl w:ilvl="0">
      <w:lvlJc w:val="left"/>
      <w:lvlText w:val="%1."/>
      <w:numFmt w:val="decimal"/>
      <w:start w:val="4"/>
    </w:lvl>
  </w:abstractNum>
  <w:abstractNum w:abstractNumId="314">
    <w:nsid w:val="78BB805A"/>
    <w:multiLevelType w:val="hybridMultilevel"/>
    <w:lvl w:ilvl="0">
      <w:lvlJc w:val="left"/>
      <w:lvlText w:val="%1."/>
      <w:numFmt w:val="decimal"/>
      <w:start w:val="5"/>
    </w:lvl>
  </w:abstractNum>
  <w:abstractNum w:abstractNumId="315">
    <w:nsid w:val="62548FD8"/>
    <w:multiLevelType w:val="hybridMultilevel"/>
    <w:lvl w:ilvl="0">
      <w:lvlJc w:val="left"/>
      <w:lvlText w:val="%1."/>
      <w:numFmt w:val="decimal"/>
      <w:start w:val="6"/>
    </w:lvl>
  </w:abstractNum>
  <w:abstractNum w:abstractNumId="316">
    <w:nsid w:val="FA085B0"/>
    <w:multiLevelType w:val="hybridMultilevel"/>
    <w:lvl w:ilvl="0">
      <w:lvlJc w:val="left"/>
      <w:lvlText w:val="%1."/>
      <w:numFmt w:val="decimal"/>
      <w:start w:val="7"/>
    </w:lvl>
  </w:abstractNum>
  <w:abstractNum w:abstractNumId="317">
    <w:nsid w:val="4E5DCB5"/>
    <w:multiLevelType w:val="hybridMultilevel"/>
    <w:lvl w:ilvl="0">
      <w:lvlJc w:val="left"/>
      <w:lvlText w:val="%1."/>
      <w:numFmt w:val="decimal"/>
      <w:start w:val="9"/>
    </w:lvl>
  </w:abstractNum>
  <w:abstractNum w:abstractNumId="318">
    <w:nsid w:val="41E96BDB"/>
    <w:multiLevelType w:val="hybridMultilevel"/>
    <w:lvl w:ilvl="0">
      <w:lvlJc w:val="left"/>
      <w:lvlText w:val="(%1)"/>
      <w:numFmt w:val="lowerLetter"/>
      <w:start w:val="1"/>
    </w:lvl>
  </w:abstractNum>
  <w:abstractNum w:abstractNumId="319">
    <w:nsid w:val="331C4250"/>
    <w:multiLevelType w:val="hybridMultilevel"/>
    <w:lvl w:ilvl="0">
      <w:lvlJc w:val="left"/>
      <w:lvlText w:val="%1"/>
      <w:numFmt w:val="decimal"/>
      <w:start w:val="1"/>
    </w:lvl>
    <w:lvl w:ilvl="1">
      <w:lvlJc w:val="left"/>
      <w:lvlText w:val="(%2)"/>
      <w:numFmt w:val="upperLetter"/>
      <w:start w:val="2"/>
    </w:lvl>
  </w:abstractNum>
  <w:abstractNum w:abstractNumId="320">
    <w:nsid w:val="1B1493C2"/>
    <w:multiLevelType w:val="hybridMultilevel"/>
    <w:lvl w:ilvl="0">
      <w:lvlJc w:val="left"/>
      <w:lvlText w:val="(%1)"/>
      <w:numFmt w:val="decimal"/>
      <w:start w:val="60"/>
    </w:lvl>
    <w:lvl w:ilvl="1">
      <w:lvlJc w:val="left"/>
      <w:lvlText w:val="%2"/>
      <w:numFmt w:val="upperLetter"/>
      <w:start w:val="1"/>
    </w:lvl>
  </w:abstractNum>
  <w:abstractNum w:abstractNumId="321">
    <w:nsid w:val="39F06DFD"/>
    <w:multiLevelType w:val="hybridMultilevel"/>
    <w:lvl w:ilvl="0">
      <w:lvlJc w:val="left"/>
      <w:lvlText w:val="(%1)"/>
      <w:numFmt w:val="upperLetter"/>
      <w:start w:val="3"/>
    </w:lvl>
  </w:abstractNum>
  <w:abstractNum w:abstractNumId="322">
    <w:nsid w:val="14802F5D"/>
    <w:multiLevelType w:val="hybridMultilevel"/>
    <w:lvl w:ilvl="0">
      <w:lvlJc w:val="left"/>
      <w:lvlText w:val="%1."/>
      <w:numFmt w:val="decimal"/>
      <w:start w:val="1"/>
    </w:lvl>
  </w:abstractNum>
  <w:abstractNum w:abstractNumId="323">
    <w:nsid w:val="2774A209"/>
    <w:multiLevelType w:val="hybridMultilevel"/>
    <w:lvl w:ilvl="0">
      <w:lvlJc w:val="left"/>
      <w:lvlText w:val="%1."/>
      <w:numFmt w:val="decimal"/>
      <w:start w:val="3"/>
    </w:lvl>
  </w:abstractNum>
  <w:abstractNum w:abstractNumId="324">
    <w:nsid w:val="3785655A"/>
    <w:multiLevelType w:val="hybridMultilevel"/>
    <w:lvl w:ilvl="0">
      <w:lvlJc w:val="left"/>
      <w:lvlText w:val="%1."/>
      <w:numFmt w:val="decimal"/>
      <w:start w:val="6"/>
    </w:lvl>
  </w:abstractNum>
  <w:abstractNum w:abstractNumId="325">
    <w:nsid w:val="B2172A"/>
    <w:multiLevelType w:val="hybridMultilevel"/>
    <w:lvl w:ilvl="0">
      <w:lvlJc w:val="left"/>
      <w:lvlText w:val="%1."/>
      <w:numFmt w:val="decimal"/>
      <w:start w:val="9"/>
    </w:lvl>
  </w:abstractNum>
  <w:abstractNum w:abstractNumId="326">
    <w:nsid w:val="532C34A5"/>
    <w:multiLevelType w:val="hybridMultilevel"/>
    <w:lvl w:ilvl="0">
      <w:lvlJc w:val="left"/>
      <w:lvlText w:val="%1."/>
      <w:numFmt w:val="upperLetter"/>
      <w:start w:val="6"/>
    </w:lvl>
  </w:abstractNum>
  <w:abstractNum w:abstractNumId="327">
    <w:nsid w:val="102809E2"/>
    <w:multiLevelType w:val="hybridMultilevel"/>
    <w:lvl w:ilvl="0">
      <w:lvlJc w:val="left"/>
      <w:lvlText w:val="(%1)"/>
      <w:numFmt w:val="lowerLetter"/>
      <w:start w:val="1"/>
    </w:lvl>
  </w:abstractNum>
  <w:abstractNum w:abstractNumId="328">
    <w:nsid w:val="3B2125A3"/>
    <w:multiLevelType w:val="hybridMultilevel"/>
    <w:lvl w:ilvl="0">
      <w:lvlJc w:val="left"/>
      <w:lvlText w:val="1"/>
      <w:numFmt w:val="bullet"/>
      <w:start w:val="1"/>
    </w:lvl>
  </w:abstractNum>
  <w:abstractNum w:abstractNumId="329">
    <w:nsid w:val="AC68FFB"/>
    <w:multiLevelType w:val="hybridMultilevel"/>
    <w:lvl w:ilvl="0">
      <w:lvlJc w:val="left"/>
      <w:lvlText w:val="2"/>
      <w:numFmt w:val="bullet"/>
      <w:start w:val="1"/>
    </w:lvl>
  </w:abstractNum>
  <w:abstractNum w:abstractNumId="330">
    <w:nsid w:val="63DF3FB7"/>
    <w:multiLevelType w:val="hybridMultilevel"/>
    <w:lvl w:ilvl="0">
      <w:lvlJc w:val="left"/>
      <w:lvlText w:val="3"/>
      <w:numFmt w:val="bullet"/>
      <w:start w:val="1"/>
    </w:lvl>
  </w:abstractNum>
  <w:abstractNum w:abstractNumId="331">
    <w:nsid w:val="64996E13"/>
    <w:multiLevelType w:val="hybridMultilevel"/>
    <w:lvl w:ilvl="0">
      <w:lvlJc w:val="left"/>
      <w:lvlText w:val="%1."/>
      <w:numFmt w:val="lowerLetter"/>
      <w:start w:val="1"/>
    </w:lvl>
  </w:abstractNum>
  <w:abstractNum w:abstractNumId="332">
    <w:nsid w:val="57A37D47"/>
    <w:multiLevelType w:val="hybridMultilevel"/>
    <w:lvl w:ilvl="0">
      <w:lvlJc w:val="left"/>
      <w:lvlText w:val="%1."/>
      <w:numFmt w:val="lowerLetter"/>
      <w:start w:val="3"/>
    </w:lvl>
  </w:abstractNum>
  <w:abstractNum w:abstractNumId="333">
    <w:nsid w:val="74824D54"/>
    <w:multiLevelType w:val="hybridMultilevel"/>
    <w:lvl w:ilvl="0">
      <w:lvlJc w:val="left"/>
      <w:lvlText w:val="(%1)"/>
      <w:numFmt w:val="decimal"/>
      <w:start w:val="4"/>
    </w:lvl>
  </w:abstractNum>
  <w:abstractNum w:abstractNumId="334">
    <w:nsid w:val="6F00529A"/>
    <w:multiLevelType w:val="hybridMultilevel"/>
    <w:lvl w:ilvl="0">
      <w:lvlJc w:val="left"/>
      <w:lvlText w:val="4"/>
      <w:numFmt w:val="bullet"/>
      <w:start w:val="1"/>
    </w:lvl>
  </w:abstractNum>
  <w:abstractNum w:abstractNumId="335">
    <w:nsid w:val="805B331"/>
    <w:multiLevelType w:val="hybridMultilevel"/>
    <w:lvl w:ilvl="0">
      <w:lvlJc w:val="left"/>
      <w:lvlText w:val="5"/>
      <w:numFmt w:val="bullet"/>
      <w:start w:val="1"/>
    </w:lvl>
  </w:abstractNum>
  <w:abstractNum w:abstractNumId="336">
    <w:nsid w:val="60A1463"/>
    <w:multiLevelType w:val="hybridMultilevel"/>
    <w:lvl w:ilvl="0">
      <w:lvlJc w:val="left"/>
      <w:lvlText w:val="(%1)"/>
      <w:numFmt w:val="decimal"/>
      <w:start w:val="1"/>
    </w:lvl>
  </w:abstractNum>
  <w:abstractNum w:abstractNumId="337">
    <w:nsid w:val="43773132"/>
    <w:multiLevelType w:val="hybridMultilevel"/>
    <w:lvl w:ilvl="0">
      <w:lvlJc w:val="left"/>
      <w:lvlText w:val="(%1)"/>
      <w:numFmt w:val="decimal"/>
      <w:start w:val="1"/>
    </w:lvl>
  </w:abstractNum>
  <w:abstractNum w:abstractNumId="338">
    <w:nsid w:val="16AC4B23"/>
    <w:multiLevelType w:val="hybridMultilevel"/>
    <w:lvl w:ilvl="0">
      <w:lvlJc w:val="left"/>
      <w:lvlText w:val="6"/>
      <w:numFmt w:val="bullet"/>
      <w:start w:val="1"/>
    </w:lvl>
  </w:abstractNum>
  <w:abstractNum w:abstractNumId="339">
    <w:nsid w:val="76C44E4E"/>
    <w:multiLevelType w:val="hybridMultilevel"/>
    <w:lvl w:ilvl="0">
      <w:lvlJc w:val="left"/>
      <w:lvlText w:val="(%1)"/>
      <w:numFmt w:val="lowerLetter"/>
      <w:start w:val="1"/>
    </w:lvl>
  </w:abstractNum>
  <w:abstractNum w:abstractNumId="340">
    <w:nsid w:val="E04E6CE"/>
    <w:multiLevelType w:val="hybridMultilevel"/>
    <w:lvl w:ilvl="0">
      <w:lvlJc w:val="left"/>
      <w:lvlText w:val="(%1)"/>
      <w:numFmt w:val="lowerLetter"/>
      <w:start w:val="2"/>
    </w:lvl>
  </w:abstractNum>
  <w:abstractNum w:abstractNumId="341">
    <w:nsid w:val="31A9DB76"/>
    <w:multiLevelType w:val="hybridMultilevel"/>
    <w:lvl w:ilvl="0">
      <w:lvlJc w:val="left"/>
      <w:lvlText w:val="(%1)"/>
      <w:numFmt w:val="lowerLetter"/>
      <w:start w:val="1"/>
    </w:lvl>
  </w:abstractNum>
  <w:abstractNum w:abstractNumId="342">
    <w:nsid w:val="4C4FFF5B"/>
    <w:multiLevelType w:val="hybridMultilevel"/>
    <w:lvl w:ilvl="0">
      <w:lvlJc w:val="left"/>
      <w:lvlText w:val="(%1)"/>
      <w:numFmt w:val="decimal"/>
      <w:start w:val="1"/>
    </w:lvl>
  </w:abstractNum>
  <w:abstractNum w:abstractNumId="343">
    <w:nsid w:val="51B76675"/>
    <w:multiLevelType w:val="hybridMultilevel"/>
    <w:lvl w:ilvl="0">
      <w:lvlJc w:val="left"/>
      <w:lvlText w:val="(%1)"/>
      <w:numFmt w:val="decimal"/>
      <w:start w:val="8"/>
    </w:lvl>
  </w:abstractNum>
  <w:abstractNum w:abstractNumId="344">
    <w:nsid w:val="59A4BA71"/>
    <w:multiLevelType w:val="hybridMultilevel"/>
    <w:lvl w:ilvl="0">
      <w:lvlJc w:val="left"/>
      <w:lvlText w:val="(%1)"/>
      <w:numFmt w:val="decimal"/>
      <w:start w:val="1"/>
    </w:lvl>
  </w:abstractNum>
  <w:abstractNum w:abstractNumId="345">
    <w:nsid w:val="450B7FB6"/>
    <w:multiLevelType w:val="hybridMultilevel"/>
    <w:lvl w:ilvl="0">
      <w:lvlJc w:val="left"/>
      <w:lvlText w:val="7"/>
      <w:numFmt w:val="bullet"/>
      <w:start w:val="1"/>
    </w:lvl>
  </w:abstractNum>
  <w:abstractNum w:abstractNumId="346">
    <w:nsid w:val="340BF64D"/>
    <w:multiLevelType w:val="hybridMultilevel"/>
    <w:lvl w:ilvl="0">
      <w:lvlJc w:val="left"/>
      <w:lvlText w:val="(%1)"/>
      <w:numFmt w:val="decimal"/>
      <w:start w:val="5"/>
    </w:lvl>
  </w:abstractNum>
  <w:abstractNum w:abstractNumId="347">
    <w:nsid w:val="69454021"/>
    <w:multiLevelType w:val="hybridMultilevel"/>
    <w:lvl w:ilvl="0">
      <w:lvlJc w:val="left"/>
      <w:lvlText w:val="(%1)"/>
      <w:numFmt w:val="decimal"/>
      <w:start w:val="60"/>
    </w:lvl>
  </w:abstractNum>
  <w:abstractNum w:abstractNumId="348">
    <w:nsid w:val="49F15C6B"/>
    <w:multiLevelType w:val="hybridMultilevel"/>
    <w:lvl w:ilvl="0">
      <w:lvlJc w:val="left"/>
      <w:lvlText w:val="8"/>
      <w:numFmt w:val="bullet"/>
      <w:start w:val="1"/>
    </w:lvl>
  </w:abstractNum>
  <w:abstractNum w:abstractNumId="349">
    <w:nsid w:val="75F56228"/>
    <w:multiLevelType w:val="hybridMultilevel"/>
    <w:lvl w:ilvl="0">
      <w:lvlJc w:val="left"/>
      <w:lvlText w:val="(%1)"/>
      <w:numFmt w:val="decimal"/>
      <w:start w:val="10"/>
    </w:lvl>
  </w:abstractNum>
  <w:abstractNum w:abstractNumId="350">
    <w:nsid w:val="1C618271"/>
    <w:multiLevelType w:val="hybridMultilevel"/>
    <w:lvl w:ilvl="0">
      <w:lvlJc w:val="left"/>
      <w:lvlText w:val="9"/>
      <w:numFmt w:val="bullet"/>
      <w:start w:val="1"/>
    </w:lvl>
  </w:abstractNum>
  <w:abstractNum w:abstractNumId="351">
    <w:nsid w:val="6505F02E"/>
    <w:multiLevelType w:val="hybridMultilevel"/>
    <w:lvl w:ilvl="0">
      <w:lvlJc w:val="left"/>
      <w:lvlText w:val="%1"/>
      <w:numFmt w:val="decimal"/>
      <w:start w:val="11"/>
    </w:lvl>
  </w:abstractNum>
  <w:abstractNum w:abstractNumId="352">
    <w:nsid w:val="2FE5D025"/>
    <w:multiLevelType w:val="hybridMultilevel"/>
    <w:lvl w:ilvl="0">
      <w:lvlJc w:val="left"/>
      <w:lvlText w:val="%1)"/>
      <w:numFmt w:val="lowerRoman"/>
      <w:start w:val="4"/>
    </w:lvl>
  </w:abstractNum>
  <w:abstractNum w:abstractNumId="353">
    <w:nsid w:val="30E1B1CF"/>
    <w:multiLevelType w:val="hybridMultilevel"/>
    <w:lvl w:ilvl="0">
      <w:lvlJc w:val="left"/>
      <w:lvlText w:val="%1)"/>
      <w:numFmt w:val="lowerLetter"/>
      <w:start w:val="1"/>
    </w:lvl>
  </w:abstractNum>
  <w:abstractNum w:abstractNumId="354">
    <w:nsid w:val="C7A9237"/>
    <w:multiLevelType w:val="hybridMultilevel"/>
    <w:lvl w:ilvl="0">
      <w:lvlJc w:val="left"/>
      <w:lvlText w:val="%1)"/>
      <w:numFmt w:val="lowerLetter"/>
      <w:start w:val="2"/>
    </w:lvl>
  </w:abstractNum>
  <w:abstractNum w:abstractNumId="355">
    <w:nsid w:val="676B3580"/>
    <w:multiLevelType w:val="hybridMultilevel"/>
    <w:lvl w:ilvl="0">
      <w:lvlJc w:val="left"/>
      <w:lvlText w:val="1"/>
      <w:numFmt w:val="bullet"/>
      <w:start w:val="1"/>
    </w:lvl>
  </w:abstractNum>
  <w:abstractNum w:abstractNumId="356">
    <w:nsid w:val="3193C8F9"/>
    <w:multiLevelType w:val="hybridMultilevel"/>
    <w:lvl w:ilvl="0">
      <w:lvlJc w:val="left"/>
      <w:lvlText w:val="2"/>
      <w:numFmt w:val="bullet"/>
      <w:start w:val="1"/>
    </w:lvl>
  </w:abstractNum>
  <w:abstractNum w:abstractNumId="357">
    <w:nsid w:val="5FA6C6DC"/>
    <w:multiLevelType w:val="hybridMultilevel"/>
    <w:lvl w:ilvl="0">
      <w:lvlJc w:val="left"/>
      <w:lvlText w:val="3"/>
      <w:numFmt w:val="bullet"/>
      <w:start w:val="1"/>
    </w:lvl>
  </w:abstractNum>
  <w:abstractNum w:abstractNumId="358">
    <w:nsid w:val="77933F62"/>
    <w:multiLevelType w:val="hybridMultilevel"/>
    <w:lvl w:ilvl="0">
      <w:lvlJc w:val="left"/>
      <w:lvlText w:val="4"/>
      <w:numFmt w:val="bullet"/>
      <w:start w:val="1"/>
    </w:lvl>
  </w:abstractNum>
  <w:abstractNum w:abstractNumId="359">
    <w:nsid w:val="6CB4EE9C"/>
    <w:multiLevelType w:val="hybridMultilevel"/>
    <w:lvl w:ilvl="0">
      <w:lvlJc w:val="left"/>
      <w:lvlText w:val="5"/>
      <w:numFmt w:val="bullet"/>
      <w:start w:val="1"/>
    </w:lvl>
  </w:abstractNum>
  <w:abstractNum w:abstractNumId="360">
    <w:nsid w:val="6A6D56D7"/>
    <w:multiLevelType w:val="hybridMultilevel"/>
    <w:lvl w:ilvl="0">
      <w:lvlJc w:val="left"/>
      <w:lvlText w:val="6"/>
      <w:numFmt w:val="bullet"/>
      <w:start w:val="1"/>
    </w:lvl>
  </w:abstractNum>
  <w:abstractNum w:abstractNumId="361">
    <w:nsid w:val="5B727F19"/>
    <w:multiLevelType w:val="hybridMultilevel"/>
    <w:lvl w:ilvl="0">
      <w:lvlJc w:val="left"/>
      <w:lvlText w:val="*"/>
      <w:numFmt w:val="bullet"/>
      <w:start w:val="1"/>
    </w:lvl>
  </w:abstractNum>
  <w:abstractNum w:abstractNumId="362">
    <w:nsid w:val="514E5CB0"/>
    <w:multiLevelType w:val="hybridMultilevel"/>
    <w:lvl w:ilvl="0">
      <w:lvlJc w:val="left"/>
      <w:lvlText w:val="**"/>
      <w:numFmt w:val="bullet"/>
      <w:start w:val="1"/>
    </w:lvl>
  </w:abstractNum>
  <w:abstractNum w:abstractNumId="363">
    <w:nsid w:val="4210D41E"/>
    <w:multiLevelType w:val="hybridMultilevel"/>
    <w:lvl w:ilvl="0">
      <w:lvlJc w:val="left"/>
      <w:lvlText w:val="(%1)"/>
      <w:numFmt w:val="lowerLetter"/>
      <w:start w:val="2"/>
    </w:lvl>
  </w:abstractNum>
  <w:abstractNum w:abstractNumId="364">
    <w:nsid w:val="4FF4CC6D"/>
    <w:multiLevelType w:val="hybridMultilevel"/>
    <w:lvl w:ilvl="0">
      <w:lvlJc w:val="left"/>
      <w:lvlText w:val="(%1)"/>
      <w:numFmt w:val="lowerLetter"/>
      <w:start w:val="1"/>
    </w:lvl>
  </w:abstractNum>
  <w:abstractNum w:abstractNumId="365">
    <w:nsid w:val="404EAF4A"/>
    <w:multiLevelType w:val="hybridMultilevel"/>
    <w:lvl w:ilvl="0">
      <w:lvlJc w:val="left"/>
      <w:lvlText w:val="(%1)"/>
      <w:numFmt w:val="lowerLetter"/>
      <w:start w:val="2"/>
    </w:lvl>
  </w:abstractNum>
  <w:abstractNum w:abstractNumId="366">
    <w:nsid w:val="4A16874F"/>
    <w:multiLevelType w:val="hybridMultilevel"/>
    <w:lvl w:ilvl="0">
      <w:lvlJc w:val="left"/>
      <w:lvlText w:val="(%1)"/>
      <w:numFmt w:val="lowerLetter"/>
      <w:start w:val="3"/>
    </w:lvl>
  </w:abstractNum>
  <w:abstractNum w:abstractNumId="367">
    <w:nsid w:val="55FEE0D1"/>
    <w:multiLevelType w:val="hybridMultilevel"/>
    <w:lvl w:ilvl="0">
      <w:lvlJc w:val="left"/>
      <w:lvlText w:val="(%1)"/>
      <w:numFmt w:val="lowerLetter"/>
      <w:start w:val="2"/>
    </w:lvl>
  </w:abstractNum>
  <w:abstractNum w:abstractNumId="368">
    <w:nsid w:val="3C5E07C"/>
    <w:multiLevelType w:val="hybridMultilevel"/>
    <w:lvl w:ilvl="0">
      <w:lvlJc w:val="left"/>
      <w:lvlText w:val="(%1)"/>
      <w:numFmt w:val="lowerLetter"/>
      <w:start w:val="1"/>
    </w:lvl>
  </w:abstractNum>
  <w:abstractNum w:abstractNumId="369">
    <w:nsid w:val="60C2D273"/>
    <w:multiLevelType w:val="hybridMultilevel"/>
    <w:lvl w:ilvl="0">
      <w:lvlJc w:val="left"/>
      <w:lvlText w:val="[***]"/>
      <w:numFmt w:val="bullet"/>
      <w:start w:val="1"/>
    </w:lvl>
  </w:abstractNum>
  <w:abstractNum w:abstractNumId="370">
    <w:nsid w:val="4CC32F1F"/>
    <w:multiLevelType w:val="hybridMultilevel"/>
    <w:lvl w:ilvl="0">
      <w:lvlJc w:val="left"/>
      <w:lvlText w:val="%1."/>
      <w:numFmt w:val="decimal"/>
      <w:start w:val="5"/>
    </w:lvl>
  </w:abstractNum>
  <w:abstractNum w:abstractNumId="371">
    <w:nsid w:val="11CAC74A"/>
    <w:multiLevelType w:val="hybridMultilevel"/>
    <w:lvl w:ilvl="0">
      <w:lvlJc w:val="left"/>
      <w:lvlText w:val="(%1)"/>
      <w:numFmt w:val="lowerLetter"/>
      <w:start w:val="1"/>
    </w:lvl>
  </w:abstractNum>
  <w:abstractNum w:abstractNumId="372">
    <w:nsid w:val="126CADE9"/>
    <w:multiLevelType w:val="hybridMultilevel"/>
    <w:lvl w:ilvl="0">
      <w:lvlJc w:val="left"/>
      <w:lvlText w:val="(%1)"/>
      <w:numFmt w:val="lowerLetter"/>
      <w:start w:val="2"/>
    </w:lvl>
  </w:abstractNum>
  <w:abstractNum w:abstractNumId="373">
    <w:nsid w:val="19132E7B"/>
    <w:multiLevelType w:val="hybridMultilevel"/>
    <w:lvl w:ilvl="0">
      <w:lvlJc w:val="left"/>
      <w:lvlText w:val="%1."/>
      <w:numFmt w:val="decimal"/>
      <w:start w:val="6"/>
    </w:lvl>
  </w:abstractNum>
  <w:abstractNum w:abstractNumId="374">
    <w:nsid w:val="63822DC0"/>
    <w:multiLevelType w:val="hybridMultilevel"/>
    <w:lvl w:ilvl="0">
      <w:lvlJc w:val="left"/>
      <w:lvlText w:val="(%1)"/>
      <w:numFmt w:val="lowerLetter"/>
      <w:start w:val="1"/>
    </w:lvl>
  </w:abstractNum>
  <w:abstractNum w:abstractNumId="375">
    <w:nsid w:val="6C11685A"/>
    <w:multiLevelType w:val="hybridMultilevel"/>
    <w:lvl w:ilvl="0">
      <w:lvlJc w:val="left"/>
      <w:lvlText w:val="(%1)"/>
      <w:numFmt w:val="lowerLetter"/>
      <w:start w:val="9"/>
    </w:lvl>
  </w:abstractNum>
  <w:abstractNum w:abstractNumId="376">
    <w:nsid w:val="5E1EAE31"/>
    <w:multiLevelType w:val="hybridMultilevel"/>
    <w:lvl w:ilvl="0">
      <w:lvlJc w:val="left"/>
      <w:lvlText w:val="(%1)"/>
      <w:numFmt w:val="lowerLetter"/>
      <w:start w:val="3"/>
    </w:lvl>
  </w:abstractNum>
  <w:abstractNum w:abstractNumId="377">
    <w:nsid w:val="178E240D"/>
    <w:multiLevelType w:val="hybridMultilevel"/>
    <w:lvl w:ilvl="0">
      <w:lvlJc w:val="left"/>
      <w:lvlText w:val="(%1)"/>
      <w:numFmt w:val="lowerLetter"/>
      <w:start w:val="1"/>
    </w:lvl>
  </w:abstractNum>
  <w:abstractNum w:abstractNumId="378">
    <w:nsid w:val="5556A87B"/>
    <w:multiLevelType w:val="hybridMultilevel"/>
    <w:lvl w:ilvl="0">
      <w:lvlJc w:val="left"/>
      <w:lvlText w:val="(%1)"/>
      <w:numFmt w:val="lowerLetter"/>
      <w:start w:val="1"/>
    </w:lvl>
  </w:abstractNum>
  <w:abstractNum w:abstractNumId="379">
    <w:nsid w:val="28100A9C"/>
    <w:multiLevelType w:val="hybridMultilevel"/>
    <w:lvl w:ilvl="0">
      <w:lvlJc w:val="left"/>
      <w:lvlText w:val="(%1)"/>
      <w:numFmt w:val="lowerLetter"/>
      <w:start w:val="1"/>
    </w:lvl>
  </w:abstractNum>
  <w:abstractNum w:abstractNumId="380">
    <w:nsid w:val="D838636"/>
    <w:multiLevelType w:val="hybridMultilevel"/>
    <w:lvl w:ilvl="0">
      <w:lvlJc w:val="left"/>
      <w:lvlText w:val="(%1)"/>
      <w:numFmt w:val="lowerLetter"/>
      <w:start w:val="6"/>
    </w:lvl>
  </w:abstractNum>
  <w:abstractNum w:abstractNumId="381">
    <w:nsid w:val="71B82AED"/>
    <w:multiLevelType w:val="hybridMultilevel"/>
    <w:lvl w:ilvl="0">
      <w:lvlJc w:val="left"/>
      <w:lvlText w:val="%1."/>
      <w:numFmt w:val="decimal"/>
      <w:start w:val="9"/>
    </w:lvl>
  </w:abstractNum>
  <w:abstractNum w:abstractNumId="382">
    <w:nsid w:val="D15FACA"/>
    <w:multiLevelType w:val="hybridMultilevel"/>
    <w:lvl w:ilvl="0">
      <w:lvlJc w:val="left"/>
      <w:lvlText w:val="(%1)"/>
      <w:numFmt w:val="lowerLetter"/>
      <w:start w:val="1"/>
    </w:lvl>
  </w:abstractNum>
  <w:abstractNum w:abstractNumId="383">
    <w:nsid w:val="3D69565B"/>
    <w:multiLevelType w:val="hybridMultilevel"/>
    <w:lvl w:ilvl="0">
      <w:lvlJc w:val="left"/>
      <w:lvlText w:val="(%1)"/>
      <w:numFmt w:val="lowerLetter"/>
      <w:start w:val="4"/>
    </w:lvl>
  </w:abstractNum>
  <w:abstractNum w:abstractNumId="384">
    <w:nsid w:val="2299DCBC"/>
    <w:multiLevelType w:val="hybridMultilevel"/>
    <w:lvl w:ilvl="0">
      <w:lvlJc w:val="left"/>
      <w:lvlText w:val="(%1)"/>
      <w:numFmt w:val="lowerRoman"/>
      <w:start w:val="2"/>
    </w:lvl>
  </w:abstractNum>
  <w:abstractNum w:abstractNumId="385">
    <w:nsid w:val="19908D02"/>
    <w:multiLevelType w:val="hybridMultilevel"/>
    <w:lvl w:ilvl="0">
      <w:lvlJc w:val="left"/>
      <w:lvlText w:val="(%1)"/>
      <w:numFmt w:val="lowerLetter"/>
      <w:start w:val="1"/>
    </w:lvl>
  </w:abstractNum>
  <w:abstractNum w:abstractNumId="386">
    <w:nsid w:val="24D48BDB"/>
    <w:multiLevelType w:val="hybridMultilevel"/>
    <w:lvl w:ilvl="0">
      <w:lvlJc w:val="left"/>
      <w:lvlText w:val="(%1)"/>
      <w:numFmt w:val="lowerLetter"/>
      <w:start w:val="1"/>
    </w:lvl>
  </w:abstractNum>
  <w:abstractNum w:abstractNumId="387">
    <w:nsid w:val="542DA5B5"/>
    <w:multiLevelType w:val="hybridMultilevel"/>
    <w:lvl w:ilvl="0">
      <w:lvlJc w:val="left"/>
      <w:lvlText w:val="(%1)"/>
      <w:numFmt w:val="lowerLetter"/>
      <w:start w:val="1"/>
    </w:lvl>
  </w:abstractNum>
  <w:abstractNum w:abstractNumId="388">
    <w:nsid w:val="793753DE"/>
    <w:multiLevelType w:val="hybridMultilevel"/>
    <w:lvl w:ilvl="0">
      <w:lvlJc w:val="left"/>
      <w:lvlText w:val="(%1)"/>
      <w:numFmt w:val="lowerRoman"/>
      <w:start w:val="5"/>
    </w:lvl>
  </w:abstractNum>
  <w:abstractNum w:abstractNumId="389">
    <w:nsid w:val="1C67CB3D"/>
    <w:multiLevelType w:val="hybridMultilevel"/>
    <w:lvl w:ilvl="0">
      <w:lvlJc w:val="left"/>
      <w:lvlText w:val="(%1)"/>
      <w:numFmt w:val="lowerLetter"/>
      <w:start w:val="2"/>
    </w:lvl>
  </w:abstractNum>
  <w:abstractNum w:abstractNumId="390">
    <w:nsid w:val="40E29452"/>
    <w:multiLevelType w:val="hybridMultilevel"/>
    <w:lvl w:ilvl="0">
      <w:lvlJc w:val="left"/>
      <w:lvlText w:val="[***]"/>
      <w:numFmt w:val="bullet"/>
      <w:start w:val="1"/>
    </w:lvl>
  </w:abstractNum>
  <w:abstractNum w:abstractNumId="391">
    <w:nsid w:val="63A4AAB6"/>
    <w:multiLevelType w:val="hybridMultilevel"/>
    <w:lvl w:ilvl="0">
      <w:lvlJc w:val="left"/>
      <w:lvlText w:val="%1."/>
      <w:numFmt w:val="decimal"/>
      <w:start w:val="14"/>
    </w:lvl>
  </w:abstractNum>
  <w:abstractNum w:abstractNumId="392">
    <w:nsid w:val="77DA4A57"/>
    <w:multiLevelType w:val="hybridMultilevel"/>
    <w:lvl w:ilvl="0">
      <w:lvlJc w:val="left"/>
      <w:lvlText w:val="[***]"/>
      <w:numFmt w:val="bullet"/>
      <w:start w:val="1"/>
    </w:lvl>
  </w:abstractNum>
  <w:abstractNum w:abstractNumId="393">
    <w:nsid w:val="1230F102"/>
    <w:multiLevelType w:val="hybridMultilevel"/>
    <w:lvl w:ilvl="0">
      <w:lvlJc w:val="left"/>
      <w:lvlText w:val="[***]"/>
      <w:numFmt w:val="bullet"/>
      <w:start w:val="1"/>
    </w:lvl>
  </w:abstractNum>
  <w:abstractNum w:abstractNumId="394">
    <w:nsid w:val="25B57ED4"/>
    <w:multiLevelType w:val="hybridMultilevel"/>
    <w:lvl w:ilvl="0">
      <w:lvlJc w:val="left"/>
      <w:lvlText w:val="(%1)"/>
      <w:numFmt w:val="lowerLetter"/>
      <w:start w:val="1"/>
    </w:lvl>
  </w:abstractNum>
  <w:abstractNum w:abstractNumId="395">
    <w:nsid w:val="47CF16C4"/>
    <w:multiLevelType w:val="hybridMultilevel"/>
    <w:lvl w:ilvl="0">
      <w:lvlJc w:val="left"/>
      <w:lvlText w:val="(%1)"/>
      <w:numFmt w:val="decimal"/>
      <w:start w:val="1"/>
    </w:lvl>
  </w:abstractNum>
  <w:abstractNum w:abstractNumId="396">
    <w:nsid w:val="527FA04C"/>
    <w:multiLevelType w:val="hybridMultilevel"/>
    <w:lvl w:ilvl="0">
      <w:lvlJc w:val="left"/>
      <w:lvlText w:val="[***]"/>
      <w:numFmt w:val="bullet"/>
      <w:start w:val="1"/>
    </w:lvl>
  </w:abstractNum>
  <w:abstractNum w:abstractNumId="397">
    <w:nsid w:val="6FCC0624"/>
    <w:multiLevelType w:val="hybridMultilevel"/>
    <w:lvl w:ilvl="0">
      <w:lvlJc w:val="left"/>
      <w:lvlText w:val="%1."/>
      <w:numFmt w:val="decimal"/>
      <w:start w:val="1"/>
    </w:lvl>
  </w:abstractNum>
  <w:abstractNum w:abstractNumId="398">
    <w:nsid w:val="1DCDF795"/>
    <w:multiLevelType w:val="hybridMultilevel"/>
    <w:lvl w:ilvl="0">
      <w:lvlJc w:val="left"/>
      <w:lvlText w:val="%1."/>
      <w:numFmt w:val="decimal"/>
      <w:start w:val="2"/>
    </w:lvl>
  </w:abstractNum>
  <w:abstractNum w:abstractNumId="399">
    <w:nsid w:val="564580C8"/>
    <w:multiLevelType w:val="hybridMultilevel"/>
    <w:lvl w:ilvl="0">
      <w:lvlJc w:val="left"/>
      <w:lvlText w:val="%1."/>
      <w:numFmt w:val="decimal"/>
      <w:start w:val="3"/>
    </w:lvl>
  </w:abstractNum>
  <w:abstractNum w:abstractNumId="400">
    <w:nsid w:val="508ED897"/>
    <w:multiLevelType w:val="hybridMultilevel"/>
    <w:lvl w:ilvl="0">
      <w:lvlJc w:val="left"/>
      <w:lvlText w:val="%1."/>
      <w:numFmt w:val="decimal"/>
      <w:start w:val="4"/>
    </w:lvl>
  </w:abstractNum>
  <w:abstractNum w:abstractNumId="401">
    <w:nsid w:val="6A9126B5"/>
    <w:multiLevelType w:val="hybridMultilevel"/>
    <w:lvl w:ilvl="0">
      <w:lvlJc w:val="left"/>
      <w:lvlText w:val="(%1)"/>
      <w:numFmt w:val="decimal"/>
      <w:start w:val="30"/>
    </w:lvl>
  </w:abstractNum>
  <w:abstractNum w:abstractNumId="402">
    <w:nsid w:val="68104812"/>
    <w:multiLevelType w:val="hybridMultilevel"/>
    <w:lvl w:ilvl="0">
      <w:lvlJc w:val="left"/>
      <w:lvlText w:val="%1)"/>
      <w:numFmt w:val="lowerRoman"/>
      <w:start w:val="1"/>
    </w:lvl>
  </w:abstractNum>
  <w:abstractNum w:abstractNumId="403">
    <w:nsid w:val="62FB8680"/>
    <w:multiLevelType w:val="hybridMultilevel"/>
    <w:lvl w:ilvl="0">
      <w:lvlJc w:val="left"/>
      <w:lvlText w:val="%1."/>
      <w:numFmt w:val="decimal"/>
      <w:start w:val="5"/>
    </w:lvl>
  </w:abstractNum>
  <w:abstractNum w:abstractNumId="404">
    <w:nsid w:val="3A45530"/>
    <w:multiLevelType w:val="hybridMultilevel"/>
    <w:lvl w:ilvl="0">
      <w:lvlJc w:val="left"/>
      <w:lvlText w:val="(%1)"/>
      <w:numFmt w:val="decimal"/>
      <w:start w:val="1"/>
    </w:lvl>
  </w:abstractNum>
  <w:abstractNum w:abstractNumId="405">
    <w:nsid w:val="4B9275D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06">
    <w:nsid w:val="4F0CEEDB"/>
    <w:multiLevelType w:val="hybridMultilevel"/>
    <w:lvl w:ilvl="0">
      <w:lvlJc w:val="left"/>
      <w:lvlText w:val="(%1)"/>
      <w:numFmt w:val="lowerRoman"/>
      <w:start w:val="2"/>
    </w:lvl>
  </w:abstractNum>
  <w:abstractNum w:abstractNumId="407">
    <w:nsid w:val="61C30361"/>
    <w:multiLevelType w:val="hybridMultilevel"/>
    <w:lvl w:ilvl="0">
      <w:lvlJc w:val="left"/>
      <w:lvlText w:val="(%1)"/>
      <w:numFmt w:val="lowerLetter"/>
      <w:start w:val="3"/>
    </w:lvl>
    <w:lvl w:ilvl="1">
      <w:lvlJc w:val="left"/>
      <w:lvlText w:val="-"/>
      <w:numFmt w:val="bullet"/>
      <w:start w:val="1"/>
    </w:lvl>
  </w:abstractNum>
  <w:abstractNum w:abstractNumId="408">
    <w:nsid w:val="632099E0"/>
    <w:multiLevelType w:val="hybridMultilevel"/>
    <w:lvl w:ilvl="0">
      <w:lvlJc w:val="left"/>
      <w:lvlText w:val="%1)"/>
      <w:numFmt w:val="lowerRoman"/>
      <w:start w:val="1"/>
    </w:lvl>
  </w:abstractNum>
  <w:abstractNum w:abstractNumId="409">
    <w:nsid w:val="24639756"/>
    <w:multiLevelType w:val="hybridMultilevel"/>
    <w:lvl w:ilvl="0">
      <w:lvlJc w:val="left"/>
      <w:lvlText w:val="%1."/>
      <w:numFmt w:val="decimal"/>
      <w:start w:val="7"/>
    </w:lvl>
  </w:abstractNum>
  <w:abstractNum w:abstractNumId="410">
    <w:nsid w:val="9D30DFD"/>
    <w:multiLevelType w:val="hybridMultilevel"/>
    <w:lvl w:ilvl="0">
      <w:lvlJc w:val="left"/>
      <w:lvlText w:val="%1."/>
      <w:numFmt w:val="decimal"/>
      <w:start w:val="8"/>
    </w:lvl>
  </w:abstractNum>
  <w:abstractNum w:abstractNumId="411">
    <w:nsid w:val="70A42016"/>
    <w:multiLevelType w:val="hybridMultilevel"/>
    <w:lvl w:ilvl="0">
      <w:lvlJc w:val="left"/>
      <w:lvlText w:val="%1."/>
      <w:numFmt w:val="decimal"/>
      <w:start w:val="9"/>
    </w:lvl>
  </w:abstractNum>
  <w:abstractNum w:abstractNumId="412">
    <w:nsid w:val="161BC243"/>
    <w:multiLevelType w:val="hybridMultilevel"/>
    <w:lvl w:ilvl="0">
      <w:lvlJc w:val="left"/>
      <w:lvlText w:val="%1"/>
      <w:numFmt w:val="decimal"/>
      <w:start w:val="1"/>
    </w:lvl>
    <w:lvl w:ilvl="1">
      <w:lvlJc w:val="left"/>
      <w:lvlText w:val="%2)"/>
      <w:numFmt w:val="lowerRoman"/>
      <w:start w:val="1"/>
    </w:lvl>
  </w:abstractNum>
  <w:abstractNum w:abstractNumId="413">
    <w:nsid w:val="16E908C8"/>
    <w:multiLevelType w:val="hybridMultilevel"/>
    <w:lvl w:ilvl="0">
      <w:lvlJc w:val="left"/>
      <w:lvlText w:val="%1."/>
      <w:numFmt w:val="decimal"/>
      <w:start w:val="10"/>
    </w:lvl>
    <w:lvl w:ilvl="1">
      <w:lvlJc w:val="left"/>
      <w:lvlText w:val="%2"/>
      <w:numFmt w:val="lowerRoman"/>
      <w:start w:val="1"/>
    </w:lvl>
  </w:abstractNum>
  <w:abstractNum w:abstractNumId="414">
    <w:nsid w:val="2E0D7671"/>
    <w:multiLevelType w:val="hybridMultilevel"/>
    <w:lvl w:ilvl="0">
      <w:lvlJc w:val="left"/>
      <w:lvlText w:val="%1."/>
      <w:numFmt w:val="decimal"/>
      <w:start w:val="11"/>
    </w:lvl>
  </w:abstractNum>
  <w:abstractNum w:abstractNumId="415">
    <w:nsid w:val="38B59EFF"/>
    <w:multiLevelType w:val="hybridMultilevel"/>
    <w:lvl w:ilvl="0">
      <w:lvlJc w:val="left"/>
      <w:lvlText w:val="%1."/>
      <w:numFmt w:val="decimal"/>
      <w:start w:val="12"/>
    </w:lvl>
  </w:abstractNum>
  <w:abstractNum w:abstractNumId="416">
    <w:nsid w:val="307995CA"/>
    <w:multiLevelType w:val="hybridMultilevel"/>
    <w:lvl w:ilvl="0">
      <w:lvlJc w:val="left"/>
      <w:lvlText w:val="%1."/>
      <w:numFmt w:val="decimal"/>
      <w:start w:val="13"/>
    </w:lvl>
  </w:abstractNum>
  <w:abstractNum w:abstractNumId="417">
    <w:nsid w:val="52E2024D"/>
    <w:multiLevelType w:val="hybridMultilevel"/>
    <w:lvl w:ilvl="0">
      <w:lvlJc w:val="left"/>
      <w:lvlText w:val="%1."/>
      <w:numFmt w:val="decimal"/>
      <w:start w:val="14"/>
    </w:lvl>
  </w:abstractNum>
  <w:abstractNum w:abstractNumId="418">
    <w:nsid w:val="CE344B5"/>
    <w:multiLevelType w:val="hybridMultilevel"/>
    <w:lvl w:ilvl="0">
      <w:lvlJc w:val="left"/>
      <w:lvlText w:val="(%1)"/>
      <w:numFmt w:val="lowerRoman"/>
      <w:start w:val="1"/>
    </w:lvl>
  </w:abstractNum>
  <w:abstractNum w:abstractNumId="419">
    <w:nsid w:val="29B0E9A8"/>
    <w:multiLevelType w:val="hybridMultilevel"/>
    <w:lvl w:ilvl="0">
      <w:lvlJc w:val="left"/>
      <w:lvlText w:val="%1."/>
      <w:numFmt w:val="decimal"/>
      <w:start w:val="15"/>
    </w:lvl>
  </w:abstractNum>
  <w:abstractNum w:abstractNumId="420">
    <w:nsid w:val="6F49CD8A"/>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421">
    <w:nsid w:val="4DC5D907"/>
    <w:multiLevelType w:val="hybridMultilevel"/>
    <w:lvl w:ilvl="0">
      <w:lvlJc w:val="left"/>
      <w:lvlText w:val="(%1)"/>
      <w:numFmt w:val="decimal"/>
      <w:start w:val="3"/>
    </w:lvl>
  </w:abstractNum>
  <w:abstractNum w:abstractNumId="422">
    <w:nsid w:val="D55945E"/>
    <w:multiLevelType w:val="hybridMultilevel"/>
    <w:lvl w:ilvl="0">
      <w:lvlJc w:val="left"/>
      <w:lvlText w:val="(%1)"/>
      <w:numFmt w:val="decimal"/>
      <w:start w:val="5"/>
    </w:lvl>
    <w:lvl w:ilvl="1">
      <w:lvlJc w:val="left"/>
      <w:lvlText w:val="-"/>
      <w:numFmt w:val="bullet"/>
      <w:start w:val="1"/>
    </w:lvl>
  </w:abstractNum>
  <w:abstractNum w:abstractNumId="423">
    <w:nsid w:val="672417E1"/>
    <w:multiLevelType w:val="hybridMultilevel"/>
    <w:lvl w:ilvl="0">
      <w:lvlJc w:val="left"/>
      <w:lvlText w:val="%1"/>
      <w:numFmt w:val="decimal"/>
      <w:start w:val="1"/>
    </w:lvl>
    <w:lvl w:ilvl="1">
      <w:lvlJc w:val="left"/>
      <w:lvlText w:val="(%2)"/>
      <w:numFmt w:val="decimal"/>
      <w:start w:val="9"/>
    </w:lvl>
  </w:abstractNum>
  <w:abstractNum w:abstractNumId="424">
    <w:nsid w:val="5FF6CA09"/>
    <w:multiLevelType w:val="hybridMultilevel"/>
    <w:lvl w:ilvl="0">
      <w:lvlJc w:val="left"/>
      <w:lvlText w:val="%1."/>
      <w:numFmt w:val="decimal"/>
      <w:start w:val="18"/>
    </w:lvl>
    <w:lvl w:ilvl="1">
      <w:lvlJc w:val="left"/>
      <w:lvlText w:val="%2"/>
      <w:numFmt w:val="decimal"/>
      <w:start w:val="1"/>
    </w:lvl>
  </w:abstractNum>
  <w:abstractNum w:abstractNumId="425">
    <w:nsid w:val="330B1333"/>
    <w:multiLevelType w:val="hybridMultilevel"/>
    <w:lvl w:ilvl="0">
      <w:lvlJc w:val="left"/>
      <w:lvlText w:val="%1."/>
      <w:numFmt w:val="decimal"/>
      <w:start w:val="19"/>
    </w:lvl>
  </w:abstractNum>
  <w:abstractNum w:abstractNumId="426">
    <w:nsid w:val="2EF32EA6"/>
    <w:multiLevelType w:val="hybridMultilevel"/>
    <w:lvl w:ilvl="0">
      <w:lvlJc w:val="left"/>
      <w:lvlText w:val="%1."/>
      <w:numFmt w:val="decimal"/>
      <w:start w:val="20"/>
    </w:lvl>
  </w:abstractNum>
  <w:abstractNum w:abstractNumId="427">
    <w:nsid w:val="32766A55"/>
    <w:multiLevelType w:val="hybridMultilevel"/>
    <w:lvl w:ilvl="0">
      <w:lvlJc w:val="left"/>
      <w:lvlText w:val="%1."/>
      <w:numFmt w:val="decimal"/>
      <w:start w:val="21"/>
    </w:lvl>
  </w:abstractNum>
  <w:abstractNum w:abstractNumId="428">
    <w:nsid w:val="22D71957"/>
    <w:multiLevelType w:val="hybridMultilevel"/>
    <w:lvl w:ilvl="0">
      <w:lvlJc w:val="left"/>
      <w:lvlText w:val="%1."/>
      <w:numFmt w:val="decimal"/>
      <w:start w:val="22"/>
    </w:lvl>
  </w:abstractNum>
  <w:abstractNum w:abstractNumId="429">
    <w:nsid w:val="4CC1263B"/>
    <w:multiLevelType w:val="hybridMultilevel"/>
    <w:lvl w:ilvl="0">
      <w:lvlJc w:val="left"/>
      <w:lvlText w:val="(%1)"/>
      <w:numFmt w:val="lowerLetter"/>
      <w:start w:val="1"/>
    </w:lvl>
    <w:lvl w:ilvl="1">
      <w:lvlJc w:val="left"/>
      <w:lvlText w:val="-"/>
      <w:numFmt w:val="bullet"/>
      <w:start w:val="1"/>
    </w:lvl>
  </w:abstractNum>
  <w:abstractNum w:abstractNumId="430">
    <w:nsid w:val="8BBEB1D"/>
    <w:multiLevelType w:val="hybridMultilevel"/>
    <w:lvl w:ilvl="0">
      <w:lvlJc w:val="left"/>
      <w:lvlText w:val="(%1)"/>
      <w:numFmt w:val="lowerLetter"/>
      <w:start w:val="2"/>
    </w:lvl>
  </w:abstractNum>
  <w:abstractNum w:abstractNumId="431">
    <w:nsid w:val="7365F1EE"/>
    <w:multiLevelType w:val="hybridMultilevel"/>
    <w:lvl w:ilvl="0">
      <w:lvlJc w:val="left"/>
      <w:lvlText w:val="(%1)"/>
      <w:numFmt w:val="lowerLetter"/>
      <w:start w:val="1"/>
    </w:lvl>
    <w:lvl w:ilvl="1">
      <w:lvlJc w:val="left"/>
      <w:lvlText w:val="-"/>
      <w:numFmt w:val="bullet"/>
      <w:start w:val="1"/>
    </w:lvl>
  </w:abstractNum>
  <w:abstractNum w:abstractNumId="432">
    <w:nsid w:val="37524CF0"/>
    <w:multiLevelType w:val="hybridMultilevel"/>
    <w:lvl w:ilvl="0">
      <w:lvlJc w:val="left"/>
      <w:lvlText w:val="(%1)"/>
      <w:numFmt w:val="lowerLetter"/>
      <w:start w:val="2"/>
    </w:lvl>
  </w:abstractNum>
  <w:abstractNum w:abstractNumId="433">
    <w:nsid w:val="70CC332F"/>
    <w:multiLevelType w:val="hybridMultilevel"/>
    <w:lvl w:ilvl="0">
      <w:lvlJc w:val="left"/>
      <w:lvlText w:val="(%1)"/>
      <w:numFmt w:val="lowerLetter"/>
      <w:start w:val="1"/>
    </w:lvl>
  </w:abstractNum>
  <w:abstractNum w:abstractNumId="434">
    <w:nsid w:val="5661786E"/>
    <w:multiLevelType w:val="hybridMultilevel"/>
    <w:lvl w:ilvl="0">
      <w:lvlJc w:val="left"/>
      <w:lvlText w:val="\emdash "/>
      <w:numFmt w:val="bullet"/>
      <w:start w:val="1"/>
    </w:lvl>
  </w:abstractNum>
  <w:abstractNum w:abstractNumId="435">
    <w:nsid w:val="3AF6A220"/>
    <w:multiLevelType w:val="hybridMultilevel"/>
    <w:lvl w:ilvl="0">
      <w:lvlJc w:val="left"/>
      <w:lvlText w:val="(%1)"/>
      <w:numFmt w:val="lowerLetter"/>
      <w:start w:val="1"/>
    </w:lvl>
  </w:abstractNum>
  <w:abstractNum w:abstractNumId="436">
    <w:nsid w:val="3C5EA902"/>
    <w:multiLevelType w:val="hybridMultilevel"/>
    <w:lvl w:ilvl="0">
      <w:lvlJc w:val="left"/>
      <w:lvlText w:val="(%1)"/>
      <w:numFmt w:val="lowerLetter"/>
      <w:start w:val="1"/>
    </w:lvl>
  </w:abstractNum>
  <w:abstractNum w:abstractNumId="437">
    <w:nsid w:val="256E6749"/>
    <w:multiLevelType w:val="hybridMultilevel"/>
    <w:lvl w:ilvl="0">
      <w:lvlJc w:val="left"/>
      <w:lvlText w:val="(%1)"/>
      <w:numFmt w:val="lowerLetter"/>
      <w:start w:val="25"/>
    </w:lvl>
  </w:abstractNum>
  <w:abstractNum w:abstractNumId="438">
    <w:nsid w:val="1CB9A581"/>
    <w:multiLevelType w:val="hybridMultilevel"/>
    <w:lvl w:ilvl="0">
      <w:lvlJc w:val="left"/>
      <w:lvlText w:val="(%1)"/>
      <w:numFmt w:val="lowerLetter"/>
      <w:start w:val="1"/>
    </w:lvl>
  </w:abstractNum>
  <w:abstractNum w:abstractNumId="439">
    <w:nsid w:val="1F7F42E2"/>
    <w:multiLevelType w:val="hybridMultilevel"/>
    <w:lvl w:ilvl="0">
      <w:lvlJc w:val="left"/>
      <w:lvlText w:val="%1"/>
      <w:numFmt w:val="upperLetter"/>
      <w:start w:val="35"/>
    </w:lvl>
    <w:lvl w:ilvl="1">
      <w:lvlJc w:val="left"/>
      <w:lvlText w:val="-"/>
      <w:numFmt w:val="bullet"/>
      <w:start w:val="1"/>
    </w:lvl>
  </w:abstractNum>
  <w:abstractNum w:abstractNumId="440">
    <w:nsid w:val="49D1FEA0"/>
    <w:multiLevelType w:val="hybridMultilevel"/>
    <w:lvl w:ilvl="0">
      <w:lvlJc w:val="left"/>
      <w:lvlText w:val="(%1)"/>
      <w:numFmt w:val="lowerLetter"/>
      <w:start w:val="1"/>
    </w:lvl>
    <w:lvl w:ilvl="1">
      <w:lvlJc w:val="left"/>
      <w:lvlText w:val="-"/>
      <w:numFmt w:val="bullet"/>
      <w:start w:val="1"/>
    </w:lvl>
  </w:abstractNum>
  <w:abstractNum w:abstractNumId="441">
    <w:nsid w:val="268CB37F"/>
    <w:multiLevelType w:val="hybridMultilevel"/>
    <w:lvl w:ilvl="0">
      <w:lvlJc w:val="left"/>
      <w:lvlText w:val="(%1)"/>
      <w:numFmt w:val="lowerLetter"/>
      <w:start w:val="1"/>
    </w:lvl>
    <w:lvl w:ilvl="1">
      <w:lvlJc w:val="left"/>
      <w:lvlText w:val="-"/>
      <w:numFmt w:val="bullet"/>
      <w:start w:val="1"/>
    </w:lvl>
  </w:abstractNum>
  <w:abstractNum w:abstractNumId="442">
    <w:nsid w:val="102362F8"/>
    <w:multiLevelType w:val="hybridMultilevel"/>
    <w:lvl w:ilvl="0">
      <w:lvlJc w:val="left"/>
      <w:lvlText w:val="(%1)"/>
      <w:numFmt w:val="lowerLetter"/>
      <w:start w:val="1"/>
    </w:lvl>
  </w:abstractNum>
  <w:abstractNum w:abstractNumId="443">
    <w:nsid w:val="5FEDC0E3"/>
    <w:multiLevelType w:val="hybridMultilevel"/>
    <w:lvl w:ilvl="0">
      <w:lvlJc w:val="left"/>
      <w:lvlText w:val="(%1)"/>
      <w:numFmt w:val="lowerLetter"/>
      <w:start w:val="1"/>
    </w:lvl>
    <w:lvl w:ilvl="1">
      <w:lvlJc w:val="left"/>
      <w:lvlText w:val="-"/>
      <w:numFmt w:val="bullet"/>
      <w:start w:val="1"/>
    </w:lvl>
  </w:abstractNum>
  <w:abstractNum w:abstractNumId="444">
    <w:nsid w:val="3D75BC47"/>
    <w:multiLevelType w:val="hybridMultilevel"/>
    <w:lvl w:ilvl="0">
      <w:lvlJc w:val="left"/>
      <w:lvlText w:val="(%1)"/>
      <w:numFmt w:val="lowerLetter"/>
      <w:start w:val="2"/>
    </w:lvl>
  </w:abstractNum>
  <w:abstractNum w:abstractNumId="445">
    <w:nsid w:val="3E30D969"/>
    <w:multiLevelType w:val="hybridMultilevel"/>
    <w:lvl w:ilvl="0">
      <w:lvlJc w:val="left"/>
      <w:lvlText w:val="(%1)"/>
      <w:numFmt w:val="lowerLetter"/>
      <w:start w:val="1"/>
    </w:lvl>
    <w:lvl w:ilvl="1">
      <w:lvlJc w:val="left"/>
      <w:lvlText w:val="-"/>
      <w:numFmt w:val="bullet"/>
      <w:start w:val="1"/>
    </w:lvl>
  </w:abstractNum>
  <w:abstractNum w:abstractNumId="446">
    <w:nsid w:val="18A35FE3"/>
    <w:multiLevelType w:val="hybridMultilevel"/>
    <w:lvl w:ilvl="0">
      <w:lvlJc w:val="left"/>
      <w:lvlText w:val="(%1)"/>
      <w:numFmt w:val="lowerLetter"/>
      <w:start w:val="2"/>
    </w:lvl>
    <w:lvl w:ilvl="1">
      <w:lvlJc w:val="left"/>
      <w:lvlText w:val="(%2)"/>
      <w:numFmt w:val="lowerRoman"/>
      <w:start w:val="1"/>
    </w:lvl>
  </w:abstractNum>
  <w:abstractNum w:abstractNumId="447">
    <w:nsid w:val="6DEF5211"/>
    <w:multiLevelType w:val="hybridMultilevel"/>
    <w:lvl w:ilvl="0">
      <w:lvlJc w:val="left"/>
      <w:lvlText w:val="(%1)"/>
      <w:numFmt w:val="lowerLetter"/>
      <w:start w:val="1"/>
    </w:lvl>
  </w:abstractNum>
  <w:abstractNum w:abstractNumId="448">
    <w:nsid w:val="1112DBB6"/>
    <w:multiLevelType w:val="hybridMultilevel"/>
    <w:lvl w:ilvl="0">
      <w:lvlJc w:val="left"/>
      <w:lvlText w:val="(%1)"/>
      <w:numFmt w:val="lowerLetter"/>
      <w:start w:val="1"/>
    </w:lvl>
    <w:lvl w:ilvl="1">
      <w:lvlJc w:val="left"/>
      <w:lvlText w:val="-"/>
      <w:numFmt w:val="bullet"/>
      <w:start w:val="1"/>
    </w:lvl>
  </w:abstractNum>
  <w:abstractNum w:abstractNumId="449">
    <w:nsid w:val="2586A498"/>
    <w:multiLevelType w:val="hybridMultilevel"/>
    <w:lvl w:ilvl="0">
      <w:lvlJc w:val="left"/>
      <w:lvlText w:val="(%1)"/>
      <w:numFmt w:val="lowerLetter"/>
      <w:start w:val="2"/>
    </w:lvl>
  </w:abstractNum>
  <w:abstractNum w:abstractNumId="450">
    <w:nsid w:val="17A03BB9"/>
    <w:multiLevelType w:val="hybridMultilevel"/>
    <w:lvl w:ilvl="0">
      <w:lvlJc w:val="left"/>
      <w:lvlText w:val="(%1)"/>
      <w:numFmt w:val="lowerLetter"/>
      <w:start w:val="1"/>
    </w:lvl>
    <w:lvl w:ilvl="1">
      <w:lvlJc w:val="left"/>
      <w:lvlText w:val="-"/>
      <w:numFmt w:val="bullet"/>
      <w:start w:val="1"/>
    </w:lvl>
  </w:abstractNum>
  <w:abstractNum w:abstractNumId="451">
    <w:nsid w:val="5CA941"/>
    <w:multiLevelType w:val="hybridMultilevel"/>
    <w:lvl w:ilvl="0">
      <w:lvlJc w:val="left"/>
      <w:lvlText w:val="(%1)"/>
      <w:numFmt w:val="lowerLetter"/>
      <w:start w:val="4"/>
    </w:lvl>
  </w:abstractNum>
  <w:abstractNum w:abstractNumId="452">
    <w:nsid w:val="734C7D9F"/>
    <w:multiLevelType w:val="hybridMultilevel"/>
    <w:lvl w:ilvl="0">
      <w:lvlJc w:val="left"/>
      <w:lvlText w:val="(%1)"/>
      <w:numFmt w:val="lowerLetter"/>
      <w:start w:val="1"/>
    </w:lvl>
  </w:abstractNum>
  <w:abstractNum w:abstractNumId="453">
    <w:nsid w:val="24F5D018"/>
    <w:multiLevelType w:val="hybridMultilevel"/>
    <w:lvl w:ilvl="0">
      <w:lvlJc w:val="left"/>
      <w:lvlText w:val="(%1)"/>
      <w:numFmt w:val="lowerLetter"/>
      <w:start w:val="1"/>
    </w:lvl>
  </w:abstractNum>
  <w:abstractNum w:abstractNumId="454">
    <w:nsid w:val="6780C122"/>
    <w:multiLevelType w:val="hybridMultilevel"/>
    <w:lvl w:ilvl="0">
      <w:lvlJc w:val="left"/>
      <w:lvlText w:val="(%1)"/>
      <w:numFmt w:val="lowerLetter"/>
      <w:start w:val="1"/>
    </w:lvl>
    <w:lvl w:ilvl="1">
      <w:lvlJc w:val="left"/>
      <w:lvlText w:val="-"/>
      <w:numFmt w:val="bullet"/>
      <w:start w:val="1"/>
    </w:lvl>
  </w:abstractNum>
  <w:abstractNum w:abstractNumId="455">
    <w:nsid w:val="534347A8"/>
    <w:multiLevelType w:val="hybridMultilevel"/>
    <w:lvl w:ilvl="0">
      <w:lvlJc w:val="left"/>
      <w:lvlText w:val="(%1)"/>
      <w:numFmt w:val="lowerLetter"/>
      <w:start w:val="3"/>
    </w:lvl>
    <w:lvl w:ilvl="1">
      <w:lvlJc w:val="left"/>
      <w:lvlText w:val="(%2)"/>
      <w:numFmt w:val="lowerRoman"/>
      <w:start w:val="1"/>
    </w:lvl>
  </w:abstractNum>
  <w:abstractNum w:abstractNumId="456">
    <w:nsid w:val="5800E34B"/>
    <w:multiLevelType w:val="hybridMultilevel"/>
    <w:lvl w:ilvl="0">
      <w:lvlJc w:val="left"/>
      <w:lvlText w:val="(%1)"/>
      <w:numFmt w:val="lowerLetter"/>
      <w:start w:val="1"/>
    </w:lvl>
    <w:lvl w:ilvl="1">
      <w:lvlJc w:val="left"/>
      <w:lvlText w:val="-"/>
      <w:numFmt w:val="bullet"/>
      <w:start w:val="1"/>
    </w:lvl>
  </w:abstractNum>
  <w:abstractNum w:abstractNumId="457">
    <w:nsid w:val="1673EFC8"/>
    <w:multiLevelType w:val="hybridMultilevel"/>
    <w:lvl w:ilvl="0">
      <w:lvlJc w:val="left"/>
      <w:lvlText w:val="(%1)"/>
      <w:numFmt w:val="lowerLetter"/>
      <w:start w:val="1"/>
    </w:lvl>
  </w:abstractNum>
  <w:abstractNum w:abstractNumId="458">
    <w:nsid w:val="5B9B1FD"/>
    <w:multiLevelType w:val="hybridMultilevel"/>
    <w:lvl w:ilvl="0">
      <w:lvlJc w:val="left"/>
      <w:lvlText w:val="(%1)"/>
      <w:numFmt w:val="lowerLetter"/>
      <w:start w:val="1"/>
    </w:lvl>
    <w:lvl w:ilvl="1">
      <w:lvlJc w:val="left"/>
      <w:lvlText w:val="-"/>
      <w:numFmt w:val="bullet"/>
      <w:start w:val="1"/>
    </w:lvl>
  </w:abstractNum>
  <w:abstractNum w:abstractNumId="459">
    <w:nsid w:val="7AD7FCA2"/>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460">
    <w:nsid w:val="63351604"/>
    <w:multiLevelType w:val="hybridMultilevel"/>
    <w:lvl w:ilvl="0">
      <w:lvlJc w:val="left"/>
      <w:lvlText w:val="(%1)"/>
      <w:numFmt w:val="upperLetter"/>
      <w:start w:val="24"/>
    </w:lvl>
    <w:lvl w:ilvl="1">
      <w:lvlJc w:val="left"/>
      <w:lvlText w:val="(%2)"/>
      <w:numFmt w:val="lowerLetter"/>
      <w:start w:val="3"/>
    </w:lvl>
    <w:lvl w:ilvl="2">
      <w:lvlJc w:val="left"/>
      <w:lvlText w:val="(%3)"/>
      <w:numFmt w:val="lowerRoman"/>
      <w:start w:val="2"/>
    </w:lvl>
    <w:lvl w:ilvl="3">
      <w:lvlJc w:val="left"/>
      <w:lvlText w:val="-"/>
      <w:numFmt w:val="bullet"/>
      <w:start w:val="1"/>
    </w:lvl>
  </w:abstractNum>
  <w:abstractNum w:abstractNumId="461">
    <w:nsid w:val="E759D1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62">
    <w:nsid w:val="6E3DEE90"/>
    <w:multiLevelType w:val="hybridMultilevel"/>
    <w:lvl w:ilvl="0">
      <w:lvlJc w:val="left"/>
      <w:lvlText w:val="[***]"/>
      <w:numFmt w:val="bullet"/>
      <w:start w:val="1"/>
    </w:lvl>
    <w:lvl w:ilvl="1">
      <w:lvlJc w:val="left"/>
      <w:lvlText w:val="(%2)"/>
      <w:numFmt w:val="lowerLetter"/>
      <w:start w:val="1"/>
    </w:lvl>
  </w:abstractNum>
  <w:abstractNum w:abstractNumId="463">
    <w:nsid w:val="1A8762F4"/>
    <w:multiLevelType w:val="hybridMultilevel"/>
    <w:lvl w:ilvl="0">
      <w:lvlJc w:val="left"/>
      <w:lvlText w:val="[***]"/>
      <w:numFmt w:val="bullet"/>
      <w:start w:val="1"/>
    </w:lvl>
    <w:lvl w:ilvl="1">
      <w:lvlJc w:val="left"/>
      <w:lvlText w:val="(%2)"/>
      <w:numFmt w:val="lowerLetter"/>
      <w:start w:val="3"/>
    </w:lvl>
  </w:abstractNum>
  <w:abstractNum w:abstractNumId="464">
    <w:nsid w:val="7F41D04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65">
    <w:nsid w:val="449F66FE"/>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466">
    <w:nsid w:val="557E0515"/>
    <w:multiLevelType w:val="hybridMultilevel"/>
    <w:lvl w:ilvl="0">
      <w:lvlJc w:val="left"/>
      <w:lvlText w:val="(%1)"/>
      <w:numFmt w:val="lowerRoman"/>
      <w:start w:val="3"/>
    </w:lvl>
  </w:abstractNum>
  <w:abstractNum w:abstractNumId="467">
    <w:nsid w:val="3BA0794B"/>
    <w:multiLevelType w:val="hybridMultilevel"/>
    <w:lvl w:ilvl="0">
      <w:lvlJc w:val="left"/>
      <w:lvlText w:val="(%1)"/>
      <w:numFmt w:val="lowerLetter"/>
      <w:start w:val="2"/>
    </w:lvl>
    <w:lvl w:ilvl="1">
      <w:lvlJc w:val="left"/>
      <w:lvlText w:val="-"/>
      <w:numFmt w:val="bullet"/>
      <w:start w:val="1"/>
    </w:lvl>
  </w:abstractNum>
  <w:abstractNum w:abstractNumId="468">
    <w:nsid w:val="6A0DCE48"/>
    <w:multiLevelType w:val="hybridMultilevel"/>
    <w:lvl w:ilvl="0">
      <w:lvlJc w:val="left"/>
      <w:lvlText w:val="(%1)"/>
      <w:numFmt w:val="lowerLetter"/>
      <w:start w:val="1"/>
    </w:lvl>
    <w:lvl w:ilvl="1">
      <w:lvlJc w:val="left"/>
      <w:lvlText w:val="-"/>
      <w:numFmt w:val="bullet"/>
      <w:start w:val="1"/>
    </w:lvl>
  </w:abstractNum>
  <w:abstractNum w:abstractNumId="469">
    <w:nsid w:val="7237AA96"/>
    <w:multiLevelType w:val="hybridMultilevel"/>
    <w:lvl w:ilvl="0">
      <w:lvlJc w:val="left"/>
      <w:lvlText w:val="(%1)"/>
      <w:numFmt w:val="lowerLetter"/>
      <w:start w:val="10"/>
    </w:lvl>
  </w:abstractNum>
  <w:abstractNum w:abstractNumId="470">
    <w:nsid w:val="5B1FBC2D"/>
    <w:multiLevelType w:val="hybridMultilevel"/>
    <w:lvl w:ilvl="0">
      <w:lvlJc w:val="left"/>
      <w:lvlText w:val="(%1)"/>
      <w:numFmt w:val="lowerLetter"/>
      <w:start w:val="1"/>
    </w:lvl>
    <w:lvl w:ilvl="1">
      <w:lvlJc w:val="left"/>
      <w:lvlText w:val="-"/>
      <w:numFmt w:val="bullet"/>
      <w:start w:val="1"/>
    </w:lvl>
  </w:abstractNum>
  <w:abstractNum w:abstractNumId="471">
    <w:nsid w:val="33DFCCE8"/>
    <w:multiLevelType w:val="hybridMultilevel"/>
    <w:lvl w:ilvl="0">
      <w:lvlJc w:val="left"/>
      <w:lvlText w:val="(%1)"/>
      <w:numFmt w:val="lowerLetter"/>
      <w:start w:val="2"/>
    </w:lvl>
  </w:abstractNum>
  <w:abstractNum w:abstractNumId="472">
    <w:nsid w:val="18C45E15"/>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473">
    <w:nsid w:val="6B431F25"/>
    <w:multiLevelType w:val="hybridMultilevel"/>
    <w:lvl w:ilvl="0">
      <w:lvlJc w:val="left"/>
      <w:lvlText w:val="[***]"/>
      <w:numFmt w:val="bullet"/>
      <w:start w:val="1"/>
    </w:lvl>
    <w:lvl w:ilvl="1">
      <w:lvlJc w:val="left"/>
      <w:lvlText w:val="(%2)"/>
      <w:numFmt w:val="lowerLetter"/>
      <w:start w:val="3"/>
    </w:lvl>
    <w:lvl w:ilvl="2">
      <w:lvlJc w:val="left"/>
      <w:lvlText w:val="-"/>
      <w:numFmt w:val="bullet"/>
      <w:start w:val="1"/>
    </w:lvl>
  </w:abstractNum>
  <w:abstractNum w:abstractNumId="474">
    <w:nsid w:val="13CD8DC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75">
    <w:nsid w:val="563A1A5C"/>
    <w:multiLevelType w:val="hybridMultilevel"/>
    <w:lvl w:ilvl="0">
      <w:lvlJc w:val="left"/>
      <w:lvlText w:val="(%1)"/>
      <w:numFmt w:val="lowerLetter"/>
      <w:start w:val="4"/>
    </w:lvl>
    <w:lvl w:ilvl="1">
      <w:lvlJc w:val="left"/>
      <w:lvlText w:val="(%2)"/>
      <w:numFmt w:val="lowerRoman"/>
      <w:start w:val="1"/>
    </w:lvl>
  </w:abstractNum>
  <w:abstractNum w:abstractNumId="476">
    <w:nsid w:val="2973F88F"/>
    <w:multiLevelType w:val="hybridMultilevel"/>
    <w:lvl w:ilvl="0">
      <w:lvlJc w:val="left"/>
      <w:lvlText w:val="(%1)"/>
      <w:numFmt w:val="lowerLetter"/>
      <w:start w:val="2"/>
    </w:lvl>
    <w:lvl w:ilvl="1">
      <w:lvlJc w:val="left"/>
      <w:lvlText w:val="-"/>
      <w:numFmt w:val="bullet"/>
      <w:start w:val="1"/>
    </w:lvl>
  </w:abstractNum>
  <w:abstractNum w:abstractNumId="477">
    <w:nsid w:val="2C70EDAE"/>
    <w:multiLevelType w:val="hybridMultilevel"/>
    <w:lvl w:ilvl="0">
      <w:lvlJc w:val="left"/>
      <w:lvlText w:val="(%1)"/>
      <w:numFmt w:val="lowerLetter"/>
      <w:start w:val="1"/>
    </w:lvl>
  </w:abstractNum>
  <w:abstractNum w:abstractNumId="478">
    <w:nsid w:val="44296C6D"/>
    <w:multiLevelType w:val="hybridMultilevel"/>
    <w:lvl w:ilvl="0">
      <w:lvlJc w:val="left"/>
      <w:lvlText w:val="%1"/>
      <w:numFmt w:val="upperLetter"/>
      <w:start w:val="1"/>
    </w:lvl>
    <w:lvl w:ilvl="1">
      <w:lvlJc w:val="left"/>
      <w:lvlText w:val="(%2)"/>
      <w:numFmt w:val="lowerLetter"/>
      <w:start w:val="1"/>
    </w:lvl>
  </w:abstractNum>
  <w:abstractNum w:abstractNumId="479">
    <w:nsid w:val="3A86D445"/>
    <w:multiLevelType w:val="hybridMultilevel"/>
    <w:lvl w:ilvl="0">
      <w:lvlJc w:val="left"/>
      <w:lvlText w:val="(%1)"/>
      <w:numFmt w:val="upperLetter"/>
      <w:start w:val="1"/>
    </w:lvl>
    <w:lvl w:ilvl="1">
      <w:lvlJc w:val="left"/>
      <w:lvlText w:val="(%2)"/>
      <w:numFmt w:val="lowerLetter"/>
      <w:start w:val="2"/>
    </w:lvl>
  </w:abstractNum>
  <w:abstractNum w:abstractNumId="480">
    <w:nsid w:val="51F79246"/>
    <w:multiLevelType w:val="hybridMultilevel"/>
    <w:lvl w:ilvl="0">
      <w:lvlJc w:val="left"/>
      <w:lvlText w:val="(%1)"/>
      <w:numFmt w:val="lowerLetter"/>
      <w:start w:val="2"/>
    </w:lvl>
  </w:abstractNum>
  <w:abstractNum w:abstractNumId="481">
    <w:nsid w:val="5BC9A827"/>
    <w:multiLevelType w:val="hybridMultilevel"/>
    <w:lvl w:ilvl="0">
      <w:lvlJc w:val="left"/>
      <w:lvlText w:val="[***]"/>
      <w:numFmt w:val="bullet"/>
      <w:start w:val="1"/>
    </w:lvl>
  </w:abstractNum>
  <w:abstractNum w:abstractNumId="482">
    <w:nsid w:val="3AE37D86"/>
    <w:multiLevelType w:val="hybridMultilevel"/>
    <w:lvl w:ilvl="0">
      <w:lvlJc w:val="left"/>
      <w:lvlText w:val="(%1)"/>
      <w:numFmt w:val="lowerLetter"/>
      <w:start w:val="1"/>
    </w:lvl>
  </w:abstractNum>
  <w:abstractNum w:abstractNumId="483">
    <w:nsid w:val="45440FE5"/>
    <w:multiLevelType w:val="hybridMultilevel"/>
    <w:lvl w:ilvl="0">
      <w:lvlJc w:val="left"/>
      <w:lvlText w:val="(%1)"/>
      <w:numFmt w:val="lowerLetter"/>
      <w:start w:val="2"/>
    </w:lvl>
  </w:abstractNum>
  <w:abstractNum w:abstractNumId="484">
    <w:nsid w:val="BF783F"/>
    <w:multiLevelType w:val="hybridMultilevel"/>
    <w:lvl w:ilvl="0">
      <w:lvlJc w:val="left"/>
      <w:lvlText w:val="(%1)"/>
      <w:numFmt w:val="lowerLetter"/>
      <w:start w:val="1"/>
    </w:lvl>
    <w:lvl w:ilvl="1">
      <w:lvlJc w:val="left"/>
      <w:lvlText w:val="-"/>
      <w:numFmt w:val="bullet"/>
      <w:start w:val="1"/>
    </w:lvl>
  </w:abstractNum>
  <w:abstractNum w:abstractNumId="485">
    <w:nsid w:val="22643EA9"/>
    <w:multiLevelType w:val="hybridMultilevel"/>
    <w:lvl w:ilvl="0">
      <w:lvlJc w:val="left"/>
      <w:lvlText w:val="(%1)"/>
      <w:numFmt w:val="lowerLetter"/>
      <w:start w:val="1"/>
    </w:lvl>
    <w:lvl w:ilvl="1">
      <w:lvlJc w:val="left"/>
      <w:lvlText w:val="(%2)"/>
      <w:numFmt w:val="lowerRoman"/>
      <w:start w:val="1"/>
    </w:lvl>
  </w:abstractNum>
  <w:abstractNum w:abstractNumId="486">
    <w:nsid w:val="1887578D"/>
    <w:multiLevelType w:val="hybridMultilevel"/>
    <w:lvl w:ilvl="0">
      <w:lvlJc w:val="left"/>
      <w:lvlText w:val="(%1)"/>
      <w:numFmt w:val="lowerLetter"/>
      <w:start w:val="4"/>
    </w:lvl>
  </w:abstractNum>
  <w:abstractNum w:abstractNumId="487">
    <w:nsid w:val="58C05B8A"/>
    <w:multiLevelType w:val="hybridMultilevel"/>
    <w:lvl w:ilvl="0">
      <w:lvlJc w:val="left"/>
      <w:lvlText w:val="(%1)"/>
      <w:numFmt w:val="lowerLetter"/>
      <w:start w:val="1"/>
    </w:lvl>
    <w:lvl w:ilvl="1">
      <w:lvlJc w:val="left"/>
      <w:lvlText w:val="-"/>
      <w:numFmt w:val="bullet"/>
      <w:start w:val="1"/>
    </w:lvl>
  </w:abstractNum>
  <w:abstractNum w:abstractNumId="488">
    <w:nsid w:val="38D82E71"/>
    <w:multiLevelType w:val="hybridMultilevel"/>
    <w:lvl w:ilvl="0">
      <w:lvlJc w:val="left"/>
      <w:lvlText w:val="[***]"/>
      <w:numFmt w:val="bullet"/>
      <w:start w:val="1"/>
    </w:lvl>
    <w:lvl w:ilvl="1">
      <w:lvlJc w:val="left"/>
      <w:lvlText w:val="(%2)"/>
      <w:numFmt w:val="lowerLetter"/>
      <w:start w:val="2"/>
    </w:lvl>
  </w:abstractNum>
  <w:abstractNum w:abstractNumId="489">
    <w:nsid w:val="1E41098A"/>
    <w:multiLevelType w:val="hybridMultilevel"/>
    <w:lvl w:ilvl="0">
      <w:lvlJc w:val="left"/>
      <w:lvlText w:val="(%1)"/>
      <w:numFmt w:val="lowerLetter"/>
      <w:start w:val="1"/>
    </w:lvl>
    <w:lvl w:ilvl="1">
      <w:lvlJc w:val="left"/>
      <w:lvlText w:val="-"/>
      <w:numFmt w:val="bullet"/>
      <w:start w:val="1"/>
    </w:lvl>
  </w:abstractNum>
  <w:abstractNum w:abstractNumId="490">
    <w:nsid w:val="5398582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491">
    <w:nsid w:val="1C0D4475"/>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92">
    <w:nsid w:val="2CB6A6A4"/>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493">
    <w:nsid w:val="41D646BC"/>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494">
    <w:nsid w:val="3694A76A"/>
    <w:multiLevelType w:val="hybridMultilevel"/>
    <w:lvl w:ilvl="0">
      <w:lvlJc w:val="left"/>
      <w:lvlText w:val="(%1)"/>
      <w:numFmt w:val="lowerLetter"/>
      <w:start w:val="6"/>
    </w:lvl>
    <w:lvl w:ilvl="1">
      <w:lvlJc w:val="left"/>
      <w:lvlText w:val="-"/>
      <w:numFmt w:val="bullet"/>
      <w:start w:val="1"/>
    </w:lvl>
  </w:abstractNum>
  <w:abstractNum w:abstractNumId="495">
    <w:nsid w:val="2BF876EE"/>
    <w:multiLevelType w:val="hybridMultilevel"/>
    <w:lvl w:ilvl="0">
      <w:lvlJc w:val="left"/>
      <w:lvlText w:val="(%1)"/>
      <w:numFmt w:val="lowerLetter"/>
      <w:start w:val="1"/>
    </w:lvl>
  </w:abstractNum>
  <w:abstractNum w:abstractNumId="496">
    <w:nsid w:val="675ADBA"/>
    <w:multiLevelType w:val="hybridMultilevel"/>
    <w:lvl w:ilvl="0">
      <w:lvlJc w:val="left"/>
      <w:lvlText w:val="(%1)"/>
      <w:numFmt w:val="lowerLetter"/>
      <w:start w:val="2"/>
    </w:lvl>
  </w:abstractNum>
  <w:abstractNum w:abstractNumId="497">
    <w:nsid w:val="C12AC7F"/>
    <w:multiLevelType w:val="hybridMultilevel"/>
    <w:lvl w:ilvl="0">
      <w:lvlJc w:val="left"/>
      <w:lvlText w:val="[***]"/>
      <w:numFmt w:val="bullet"/>
      <w:start w:val="1"/>
    </w:lvl>
  </w:abstractNum>
  <w:abstractNum w:abstractNumId="498">
    <w:nsid w:val="6798F039"/>
    <w:multiLevelType w:val="hybridMultilevel"/>
    <w:lvl w:ilvl="0">
      <w:lvlJc w:val="left"/>
      <w:lvlText w:val="(%1)"/>
      <w:numFmt w:val="lowerLetter"/>
      <w:start w:val="1"/>
    </w:lvl>
  </w:abstractNum>
  <w:abstractNum w:abstractNumId="499">
    <w:nsid w:val="70837C02"/>
    <w:multiLevelType w:val="hybridMultilevel"/>
    <w:lvl w:ilvl="0">
      <w:lvlJc w:val="left"/>
      <w:lvlText w:val="(%1)"/>
      <w:numFmt w:val="lowerLetter"/>
      <w:start w:val="6"/>
    </w:lvl>
  </w:abstractNum>
  <w:abstractNum w:abstractNumId="500">
    <w:nsid w:val="7E4A5715"/>
    <w:multiLevelType w:val="hybridMultilevel"/>
    <w:lvl w:ilvl="0">
      <w:lvlJc w:val="left"/>
      <w:lvlText w:val="(%1)"/>
      <w:numFmt w:val="lowerLetter"/>
      <w:start w:val="1"/>
    </w:lvl>
  </w:abstractNum>
  <w:abstractNum w:abstractNumId="501">
    <w:nsid w:val="42B8AC67"/>
    <w:multiLevelType w:val="hybridMultilevel"/>
    <w:lvl w:ilvl="0">
      <w:lvlJc w:val="left"/>
      <w:lvlText w:val="%1"/>
      <w:numFmt w:val="lowerLetter"/>
      <w:start w:val="1"/>
    </w:lvl>
    <w:lvl w:ilvl="1">
      <w:lvlJc w:val="left"/>
      <w:lvlText w:val="(%2)"/>
      <w:numFmt w:val="lowerLetter"/>
      <w:start w:val="1"/>
    </w:lvl>
  </w:abstractNum>
  <w:abstractNum w:abstractNumId="502">
    <w:nsid w:val="246348EA"/>
    <w:multiLevelType w:val="hybridMultilevel"/>
    <w:lvl w:ilvl="0">
      <w:lvlJc w:val="left"/>
      <w:lvlText w:val="(%1)"/>
      <w:numFmt w:val="lowerLetter"/>
      <w:start w:val="35"/>
    </w:lvl>
    <w:lvl w:ilvl="1">
      <w:lvlJc w:val="left"/>
      <w:lvlText w:val="%2"/>
      <w:numFmt w:val="lowerLetter"/>
      <w:start w:val="1"/>
    </w:lvl>
  </w:abstractNum>
  <w:abstractNum w:abstractNumId="503">
    <w:nsid w:val="170EB52B"/>
    <w:multiLevelType w:val="hybridMultilevel"/>
    <w:lvl w:ilvl="0">
      <w:lvlJc w:val="left"/>
      <w:lvlText w:val="(%1)"/>
      <w:numFmt w:val="lowerRoman"/>
      <w:start w:val="1"/>
    </w:lvl>
  </w:abstractNum>
  <w:abstractNum w:abstractNumId="504">
    <w:nsid w:val="2DFBCB8C"/>
    <w:multiLevelType w:val="hybridMultilevel"/>
    <w:lvl w:ilvl="0">
      <w:lvlJc w:val="left"/>
      <w:lvlText w:val="(%1)"/>
      <w:numFmt w:val="lowerLetter"/>
      <w:start w:val="1"/>
    </w:lvl>
  </w:abstractNum>
  <w:abstractNum w:abstractNumId="505">
    <w:nsid w:val="3830D6B6"/>
    <w:multiLevelType w:val="hybridMultilevel"/>
    <w:lvl w:ilvl="0">
      <w:lvlJc w:val="left"/>
      <w:lvlText w:val="(%1)"/>
      <w:numFmt w:val="lowerLetter"/>
      <w:start w:val="1"/>
    </w:lvl>
    <w:lvl w:ilvl="1">
      <w:lvlJc w:val="left"/>
      <w:lvlText w:val="-"/>
      <w:numFmt w:val="bullet"/>
      <w:start w:val="1"/>
    </w:lvl>
  </w:abstractNum>
  <w:abstractNum w:abstractNumId="506">
    <w:nsid w:val="6D48CF87"/>
    <w:multiLevelType w:val="hybridMultilevel"/>
    <w:lvl w:ilvl="0">
      <w:lvlJc w:val="left"/>
      <w:lvlText w:val="(%1)"/>
      <w:numFmt w:val="lowerLetter"/>
      <w:start w:val="1"/>
    </w:lvl>
  </w:abstractNum>
  <w:abstractNum w:abstractNumId="507">
    <w:nsid w:val="576FC41B"/>
    <w:multiLevelType w:val="hybridMultilevel"/>
    <w:lvl w:ilvl="0">
      <w:lvlJc w:val="left"/>
      <w:lvlText w:val="(%1)"/>
      <w:numFmt w:val="lowerLetter"/>
      <w:start w:val="1"/>
    </w:lvl>
    <w:lvl w:ilvl="1">
      <w:lvlJc w:val="left"/>
      <w:lvlText w:val="-"/>
      <w:numFmt w:val="bullet"/>
      <w:start w:val="1"/>
    </w:lvl>
  </w:abstractNum>
  <w:abstractNum w:abstractNumId="508">
    <w:nsid w:val="64A1C464"/>
    <w:multiLevelType w:val="hybridMultilevel"/>
    <w:lvl w:ilvl="0">
      <w:lvlJc w:val="left"/>
      <w:lvlText w:val="(%1)"/>
      <w:numFmt w:val="lowerLetter"/>
      <w:start w:val="5"/>
    </w:lvl>
  </w:abstractNum>
  <w:abstractNum w:abstractNumId="509">
    <w:nsid w:val="31723BF5"/>
    <w:multiLevelType w:val="hybridMultilevel"/>
    <w:lvl w:ilvl="0">
      <w:lvlJc w:val="left"/>
      <w:lvlText w:val="(%1)"/>
      <w:numFmt w:val="lowerLetter"/>
      <w:start w:val="1"/>
    </w:lvl>
    <w:lvl w:ilvl="1">
      <w:lvlJc w:val="left"/>
      <w:lvlText w:val="-"/>
      <w:numFmt w:val="bullet"/>
      <w:start w:val="1"/>
    </w:lvl>
  </w:abstractNum>
  <w:abstractNum w:abstractNumId="510">
    <w:nsid w:val="11F69861"/>
    <w:multiLevelType w:val="hybridMultilevel"/>
    <w:lvl w:ilvl="0">
      <w:lvlJc w:val="left"/>
      <w:lvlText w:val="(%1)"/>
      <w:numFmt w:val="lowerLetter"/>
      <w:start w:val="3"/>
    </w:lvl>
  </w:abstractNum>
  <w:abstractNum w:abstractNumId="511">
    <w:nsid w:val="369956AB"/>
    <w:multiLevelType w:val="hybridMultilevel"/>
    <w:lvl w:ilvl="0">
      <w:lvlJc w:val="left"/>
      <w:lvlText w:val="(%1)"/>
      <w:numFmt w:val="decimal"/>
      <w:start w:val="10"/>
    </w:lvl>
  </w:abstractNum>
  <w:abstractNum w:abstractNumId="512">
    <w:nsid w:val="D3BE41C"/>
    <w:multiLevelType w:val="hybridMultilevel"/>
    <w:lvl w:ilvl="0">
      <w:lvlJc w:val="left"/>
      <w:lvlText w:val="(%1)"/>
      <w:numFmt w:val="lowerLetter"/>
      <w:start w:val="1"/>
    </w:lvl>
  </w:abstractNum>
  <w:abstractNum w:abstractNumId="513">
    <w:nsid w:val="4CDA15E7"/>
    <w:multiLevelType w:val="hybridMultilevel"/>
    <w:lvl w:ilvl="0">
      <w:lvlJc w:val="left"/>
      <w:lvlText w:val="(%1)"/>
      <w:numFmt w:val="lowerLetter"/>
      <w:start w:val="2"/>
    </w:lvl>
    <w:lvl w:ilvl="1">
      <w:lvlJc w:val="left"/>
      <w:lvlText w:val="-"/>
      <w:numFmt w:val="bullet"/>
      <w:start w:val="1"/>
    </w:lvl>
  </w:abstractNum>
  <w:abstractNum w:abstractNumId="514">
    <w:nsid w:val="7BDD6690"/>
    <w:multiLevelType w:val="hybridMultilevel"/>
    <w:lvl w:ilvl="0">
      <w:lvlJc w:val="left"/>
      <w:lvlText w:val="(%1)"/>
      <w:numFmt w:val="lowerLetter"/>
      <w:start w:val="1"/>
    </w:lvl>
  </w:abstractNum>
  <w:abstractNum w:abstractNumId="515">
    <w:nsid w:val="DFB5C5B"/>
    <w:multiLevelType w:val="hybridMultilevel"/>
    <w:lvl w:ilvl="0">
      <w:lvlJc w:val="left"/>
      <w:lvlText w:val="(%1)"/>
      <w:numFmt w:val="lowerLetter"/>
      <w:start w:val="1"/>
    </w:lvl>
  </w:abstractNum>
  <w:abstractNum w:abstractNumId="516">
    <w:nsid w:val="6F3E5490"/>
    <w:multiLevelType w:val="hybridMultilevel"/>
    <w:lvl w:ilvl="0">
      <w:lvlJc w:val="left"/>
      <w:lvlText w:val="(%1)"/>
      <w:numFmt w:val="lowerLetter"/>
      <w:start w:val="3"/>
    </w:lvl>
  </w:abstractNum>
  <w:abstractNum w:abstractNumId="517">
    <w:nsid w:val="1464BE1E"/>
    <w:multiLevelType w:val="hybridMultilevel"/>
    <w:lvl w:ilvl="0">
      <w:lvlJc w:val="left"/>
      <w:lvlText w:val="(%1)"/>
      <w:numFmt w:val="lowerLetter"/>
      <w:start w:val="5"/>
    </w:lvl>
  </w:abstractNum>
  <w:abstractNum w:abstractNumId="518">
    <w:nsid w:val="66BBB7E5"/>
    <w:multiLevelType w:val="hybridMultilevel"/>
    <w:lvl w:ilvl="0">
      <w:lvlJc w:val="left"/>
      <w:lvlText w:val="-"/>
      <w:numFmt w:val="bullet"/>
      <w:start w:val="1"/>
    </w:lvl>
    <w:lvl w:ilvl="1">
      <w:lvlJc w:val="left"/>
      <w:lvlText w:val="-"/>
      <w:numFmt w:val="bullet"/>
      <w:start w:val="1"/>
    </w:lvl>
  </w:abstractNum>
  <w:abstractNum w:abstractNumId="519">
    <w:nsid w:val="28168302"/>
    <w:multiLevelType w:val="hybridMultilevel"/>
    <w:lvl w:ilvl="0">
      <w:lvlJc w:val="left"/>
      <w:lvlText w:val="(%1)"/>
      <w:numFmt w:val="lowerLetter"/>
      <w:start w:val="1"/>
    </w:lvl>
  </w:abstractNum>
  <w:abstractNum w:abstractNumId="520">
    <w:nsid w:val="32A5C7A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jpe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2020-05-29T16:32:11Z</dcterms:created>
  <dcterms:modified xsi:type="dcterms:W3CDTF">2020-05-29T16:32:11Z</dcterms:modified>
</cp:coreProperties>
</file>