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tabs>
          <w:tab w:leader="none" w:pos="12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3"/>
          <w:szCs w:val="13"/>
          <w:color w:val="auto"/>
        </w:rPr>
        <w:t>)</w:t>
      </w:r>
      <w:r>
        <w:rPr>
          <w:rFonts w:ascii="Arial" w:cs="Arial" w:eastAsia="Arial" w:hAnsi="Arial"/>
          <w:sz w:val="20"/>
          <w:szCs w:val="20"/>
          <w:color w:val="auto"/>
          <w:vertAlign w:val="superscript"/>
        </w:rPr>
        <w:t>1</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right"/>
        <w:ind w:right="4500"/>
        <w:spacing w:after="0"/>
        <w:rPr>
          <w:sz w:val="20"/>
          <w:szCs w:val="20"/>
          <w:color w:val="auto"/>
        </w:rPr>
      </w:pPr>
      <w:r>
        <w:rPr>
          <w:rFonts w:ascii="Arial" w:cs="Arial" w:eastAsia="Arial" w:hAnsi="Arial"/>
          <w:sz w:val="18"/>
          <w:szCs w:val="18"/>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right"/>
        <w:ind w:right="456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988,610</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988,610</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988,610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6"/>
              </w:rPr>
              <w:t>BVF I GP LLC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988,610</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988,610</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650"/>
              <w:spacing w:after="0"/>
              <w:rPr>
                <w:sz w:val="20"/>
                <w:szCs w:val="20"/>
                <w:color w:val="auto"/>
              </w:rPr>
            </w:pPr>
            <w:r>
              <w:rPr>
                <w:rFonts w:ascii="Arial" w:cs="Arial" w:eastAsia="Arial" w:hAnsi="Arial"/>
                <w:sz w:val="18"/>
                <w:szCs w:val="18"/>
                <w:color w:val="auto"/>
              </w:rPr>
              <w:t>988,610</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769,195</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769,195</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769,195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769,195</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769,195</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769,195</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135,693</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135,693</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135,693</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BVF Partners OS Ltd.</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50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5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500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135,693</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135,693</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1840" w:hanging="1026"/>
        <w:spacing w:after="0"/>
        <w:tabs>
          <w:tab w:leader="none" w:pos="1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650"/>
              <w:spacing w:after="0"/>
              <w:rPr>
                <w:sz w:val="20"/>
                <w:szCs w:val="20"/>
                <w:color w:val="auto"/>
              </w:rPr>
            </w:pPr>
            <w:r>
              <w:rPr>
                <w:rFonts w:ascii="Arial" w:cs="Arial" w:eastAsia="Arial" w:hAnsi="Arial"/>
                <w:sz w:val="18"/>
                <w:szCs w:val="18"/>
                <w:color w:val="auto"/>
              </w:rPr>
              <w:t>135,693</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1,757,805</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1,757,805</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1,757,805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4.8%</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-4619625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1,944,546</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5.3%</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BVF Inc.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6780" w:type="dxa"/>
            <w:vAlign w:val="bottom"/>
            <w:gridSpan w:val="2"/>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506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276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50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276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50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76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510"/>
              <w:spacing w:after="0"/>
              <w:rPr>
                <w:sz w:val="20"/>
                <w:szCs w:val="20"/>
                <w:color w:val="auto"/>
              </w:rPr>
            </w:pPr>
            <w:r>
              <w:rPr>
                <w:rFonts w:ascii="Arial" w:cs="Arial" w:eastAsia="Arial" w:hAnsi="Arial"/>
                <w:sz w:val="18"/>
                <w:szCs w:val="18"/>
                <w:color w:val="auto"/>
              </w:rPr>
              <w:t>1,944,546</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8200" w:type="dxa"/>
            <w:vAlign w:val="bottom"/>
          </w:tcPr>
          <w:p>
            <w:pPr>
              <w:ind w:left="4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40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200" w:type="dxa"/>
            <w:vAlign w:val="bottom"/>
          </w:tcPr>
          <w:p>
            <w:pPr>
              <w:ind w:left="4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left="2280" w:right="6900" w:hanging="1512"/>
        <w:spacing w:after="0" w:line="527" w:lineRule="auto"/>
        <w:tabs>
          <w:tab w:leader="none" w:pos="18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1,944,546</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1,944,546</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Repare Therapeutics Inc., a Canada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7210 Frederick-Banting, Suite 100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St-Laurent, Québec, Canada H4S 2A1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OS Ltd. (“Partners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GP Holdings LLC (“BVF GPH”)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no par value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760273102</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4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460" w:type="dxa"/>
            <w:vAlign w:val="bottom"/>
          </w:tcPr>
          <w:p>
            <w:pPr>
              <w:ind w:left="320"/>
              <w:spacing w:after="0"/>
              <w:rPr>
                <w:sz w:val="20"/>
                <w:szCs w:val="20"/>
                <w:color w:val="auto"/>
              </w:rPr>
            </w:pPr>
            <w:r>
              <w:rPr>
                <w:rFonts w:ascii="Arial" w:cs="Arial" w:eastAsia="Arial" w:hAnsi="Arial"/>
                <w:sz w:val="18"/>
                <w:szCs w:val="18"/>
                <w:color w:val="auto"/>
                <w:w w:val="96"/>
              </w:rPr>
              <w:t>Group, in accordance with Rule 240.13d-1(b)(1)(ii)(K). If filing as a non-U.S. institution in accordance with</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Rule 240.13d-1(b)(1)(ii)(J), please specify the type of institution: ____</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June 29, 2020, (i) BVF beneficially owned 988,610 Shares, (ii) BVF2 beneficially owned 769,195 Shares and (iii) Trading Fund OS beneficially owned 135,693.</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BVF GP, as the general partner of BVF, may be deemed to beneficially own the 988,610 Shares beneficially owned by BVF.</w:t>
      </w:r>
    </w:p>
    <w:p>
      <w:pPr>
        <w:spacing w:after="0" w:line="225" w:lineRule="exact"/>
        <w:rPr>
          <w:sz w:val="20"/>
          <w:szCs w:val="20"/>
          <w:color w:val="auto"/>
        </w:rPr>
      </w:pPr>
    </w:p>
    <w:p>
      <w:pPr>
        <w:ind w:left="5540" w:right="680" w:hanging="4229"/>
        <w:spacing w:after="0" w:line="527" w:lineRule="auto"/>
        <w:rPr>
          <w:sz w:val="20"/>
          <w:szCs w:val="20"/>
          <w:color w:val="auto"/>
        </w:rPr>
      </w:pPr>
      <w:r>
        <w:rPr>
          <w:rFonts w:ascii="Arial" w:cs="Arial" w:eastAsia="Arial" w:hAnsi="Arial"/>
          <w:sz w:val="18"/>
          <w:szCs w:val="18"/>
          <w:color w:val="auto"/>
        </w:rPr>
        <w:t>BVF2 GP, as the general partner of BVF2, may be deemed to beneficially own the 769,195 Shares beneficially owned by BVF2.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135,693 Shares beneficially owned by Trading Fund OS.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GPH, as the sole member of each of BVF GP and BVF2 GP, may be deemed to beneficially own the 1,757,805 Shares beneficially owned in the aggregate by BVF and BVF2.</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Partners, as the investment manager of BVF, BVF2 and Trading Fund OS, and the sole member of Partners OS, may be deemed to beneficially own the 1,944,546 Shares beneficially owned in the aggregate by BVF, BVF2, Trading Fund OS, and a certain Partners managed account (the “Partners Managed Account”), including 51,048 Shares held in the Partners Managed Account.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BVF Inc., as the general partner of Partners, may be deemed to beneficially own the 1,944,546 Shares beneficially owned by Partners.</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1,944,546 Shares beneficially owned by BVF Inc.</w:t>
      </w:r>
    </w:p>
    <w:p>
      <w:pPr>
        <w:spacing w:after="0" w:line="170"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7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36,668,085 Shares outstanding, as disclosed in the Issuer’s Prospectus on Form 424B4 filed with the Securities and Exchange Commission on June 19, 2020.</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June 29, 2020, (i) BVF beneficially owned approximately 2.7% of the outstanding Shares, (ii) BVF2 beneficially owned approximately 2.1% of the outstanding Shares, (iii) Trading Fund OS beneficially owned less than 1% of the outstanding Shares, (iv) BVF GP may be deemed to beneficially own approximately 2.7% of the outstanding Shares, (v) BVF2 GP may be deemed to beneficially own approximately 2.1% of the outstanding Shares, (vi) Partners OS may be deemed to beneficially own less than 1% of the outstanding Shares, (vii) BVF GPH may be deemed to beneficially own approximately 4.8% of the outstanding Shares, and (viii) each of Partners, BVF Inc. and Mr. Lampert may be deemed to beneficially own approximately 5.3% of the outstanding Shares (less than 1% of the outstanding Shares are held in the Partners Managed Account).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See Cover Pages Items 5-9.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beneficially owned by BVF Inc., BVF2, Trading Fund OS and the Partners Managed Account.</w:t>
      </w:r>
    </w:p>
    <w:p>
      <w:pPr>
        <w:spacing w:after="0" w:line="170"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680"/>
          </w:cols>
          <w:pgMar w:left="320" w:top="226" w:right="35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The undersigned hereby agree that the Statement on Schedule 13G dated June 29, 2020 with respect to the shares of Common Shares, no par value, of Repare Therapeutics Inc., and any further amendments thereto executed by each and any of the undersigned shall be filed on behalf of each of the undersigned pursuant to and in accordance with the provisions of Rule 13d-1(k)(1) under the Securities Exchange Act of 1934, as amended.</w:t>
      </w: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5572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sectPr>
      <w:pgSz w:w="11900" w:h="16838" w:orient="portrait"/>
      <w:cols w:equalWidth="0" w:num="2">
        <w:col w:w="4920" w:space="720"/>
        <w:col w:w="560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decimal"/>
      <w:start w:val="12"/>
    </w:lvl>
  </w:abstractNum>
  <w:abstractNum w:abstractNumId="5">
    <w:nsid w:val="1BEFD79F"/>
    <w:multiLevelType w:val="hybridMultilevel"/>
    <w:lvl w:ilvl="0">
      <w:lvlJc w:val="left"/>
      <w:lvlText w:val="9"/>
      <w:numFmt w:val="bullet"/>
      <w:start w:val="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4"/>
      <w:numFmt w:val="bullet"/>
      <w:start w:val="1"/>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2020-06-30T07:41:06Z</dcterms:created>
  <dcterms:modified xsi:type="dcterms:W3CDTF">2020-06-30T07:41:06Z</dcterms:modified>
</cp:coreProperties>
</file>