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Georgia" w:cs="Georgia" w:eastAsia="Georgia" w:hAnsi="Georgia"/>
          <w:sz w:val="22"/>
          <w:szCs w:val="22"/>
          <w:b w:val="1"/>
          <w:bCs w:val="1"/>
          <w:color w:val="auto"/>
        </w:rPr>
        <w:t>UNITED STATES</w:t>
      </w:r>
    </w:p>
    <w:p>
      <w:pPr>
        <w:spacing w:after="0" w:line="7"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SECURITIES AND EXCHANGE COMMISSION</w:t>
      </w:r>
    </w:p>
    <w:p>
      <w:pPr>
        <w:jc w:val="center"/>
        <w:ind w:right="-59"/>
        <w:spacing w:after="0" w:line="238" w:lineRule="auto"/>
        <w:rPr>
          <w:sz w:val="20"/>
          <w:szCs w:val="20"/>
          <w:color w:val="auto"/>
        </w:rPr>
      </w:pPr>
      <w:r>
        <w:rPr>
          <w:rFonts w:ascii="Georgia" w:cs="Georgia" w:eastAsia="Georgia" w:hAnsi="Georgia"/>
          <w:sz w:val="20"/>
          <w:szCs w:val="20"/>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SCHEDULE 13G</w:t>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b w:val="1"/>
          <w:bCs w:val="1"/>
          <w:color w:val="auto"/>
        </w:rPr>
        <w:t>Under the Securities Exchange Act of 1934</w:t>
      </w:r>
    </w:p>
    <w:p>
      <w:pPr>
        <w:jc w:val="center"/>
        <w:ind w:right="-59"/>
        <w:spacing w:after="0" w:line="236" w:lineRule="auto"/>
        <w:rPr>
          <w:sz w:val="20"/>
          <w:szCs w:val="20"/>
          <w:color w:val="auto"/>
        </w:rPr>
      </w:pPr>
      <w:r>
        <w:rPr>
          <w:rFonts w:ascii="Georgia" w:cs="Georgia" w:eastAsia="Georgia" w:hAnsi="Georgia"/>
          <w:sz w:val="20"/>
          <w:szCs w:val="20"/>
          <w:b w:val="1"/>
          <w:bCs w:val="1"/>
          <w:color w:val="auto"/>
        </w:rPr>
        <w:t>(Amendment No. 2)*</w:t>
      </w: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Repare Therapeutics Inc.</w:t>
      </w:r>
    </w:p>
    <w:p>
      <w:pPr>
        <w:jc w:val="center"/>
        <w:ind w:right="-59"/>
        <w:spacing w:after="0" w:line="238" w:lineRule="auto"/>
        <w:rPr>
          <w:sz w:val="20"/>
          <w:szCs w:val="20"/>
          <w:color w:val="auto"/>
        </w:rPr>
      </w:pPr>
      <w:r>
        <w:rPr>
          <w:rFonts w:ascii="Georgia" w:cs="Georgia" w:eastAsia="Georgia" w:hAnsi="Georgia"/>
          <w:sz w:val="20"/>
          <w:szCs w:val="20"/>
          <w:color w:val="auto"/>
        </w:rPr>
        <w:t>(Name of Issuer)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Common Stock, no par value</w:t>
      </w:r>
    </w:p>
    <w:p>
      <w:pPr>
        <w:jc w:val="center"/>
        <w:ind w:right="-59"/>
        <w:spacing w:after="0" w:line="238" w:lineRule="auto"/>
        <w:rPr>
          <w:sz w:val="20"/>
          <w:szCs w:val="20"/>
          <w:color w:val="auto"/>
        </w:rPr>
      </w:pPr>
      <w:r>
        <w:rPr>
          <w:rFonts w:ascii="Georgia" w:cs="Georgia" w:eastAsia="Georgia" w:hAnsi="Georgia"/>
          <w:sz w:val="20"/>
          <w:szCs w:val="20"/>
          <w:color w:val="auto"/>
        </w:rPr>
        <w:t>(Title of Class of Securities)</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760273102</w:t>
      </w:r>
    </w:p>
    <w:p>
      <w:pPr>
        <w:jc w:val="center"/>
        <w:ind w:right="-59"/>
        <w:spacing w:after="0" w:line="238" w:lineRule="auto"/>
        <w:rPr>
          <w:sz w:val="20"/>
          <w:szCs w:val="20"/>
          <w:color w:val="auto"/>
        </w:rPr>
      </w:pPr>
      <w:r>
        <w:rPr>
          <w:rFonts w:ascii="Georgia" w:cs="Georgia" w:eastAsia="Georgia" w:hAnsi="Georgia"/>
          <w:sz w:val="20"/>
          <w:szCs w:val="20"/>
          <w:color w:val="auto"/>
        </w:rPr>
        <w:t>(CUSIP Number)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December 31, 2022</w:t>
      </w:r>
    </w:p>
    <w:p>
      <w:pPr>
        <w:jc w:val="center"/>
        <w:ind w:right="-59"/>
        <w:spacing w:after="0" w:line="238" w:lineRule="auto"/>
        <w:rPr>
          <w:sz w:val="20"/>
          <w:szCs w:val="20"/>
          <w:color w:val="auto"/>
        </w:rPr>
      </w:pPr>
      <w:r>
        <w:rPr>
          <w:rFonts w:ascii="Georgia" w:cs="Georgia" w:eastAsia="Georgia" w:hAnsi="Georgia"/>
          <w:sz w:val="20"/>
          <w:szCs w:val="20"/>
          <w:color w:val="auto"/>
        </w:rPr>
        <w:t>(Date of Event which Requires Filing of this Statement)</w:t>
      </w:r>
    </w:p>
    <w:p>
      <w:pPr>
        <w:spacing w:after="0" w:line="399" w:lineRule="exact"/>
        <w:rPr>
          <w:sz w:val="24"/>
          <w:szCs w:val="24"/>
          <w:color w:val="auto"/>
        </w:rPr>
      </w:pPr>
    </w:p>
    <w:p>
      <w:pPr>
        <w:spacing w:after="0"/>
        <w:rPr>
          <w:sz w:val="20"/>
          <w:szCs w:val="20"/>
          <w:color w:val="auto"/>
        </w:rPr>
      </w:pPr>
      <w:r>
        <w:rPr>
          <w:rFonts w:ascii="Georgia" w:cs="Georgia" w:eastAsia="Georgia" w:hAnsi="Georgia"/>
          <w:sz w:val="18"/>
          <w:szCs w:val="18"/>
          <w:color w:val="auto"/>
        </w:rPr>
        <w:t>Check the appropriate box to designate the rule pursuant to which this Schedule is filed:</w:t>
      </w:r>
    </w:p>
    <w:p>
      <w:pPr>
        <w:spacing w:after="0" w:line="350" w:lineRule="exact"/>
        <w:rPr>
          <w:sz w:val="24"/>
          <w:szCs w:val="24"/>
          <w:color w:val="auto"/>
        </w:rPr>
      </w:pPr>
    </w:p>
    <w:p>
      <w:pPr>
        <w:jc w:val="both"/>
        <w:ind w:left="4620" w:right="4560" w:firstLine="10"/>
        <w:spacing w:after="0" w:line="237" w:lineRule="auto"/>
        <w:tabs>
          <w:tab w:leader="none" w:pos="4926"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Rule 13d-1(b) [ ] Rule 13d-1(c) [ ] Rule 13d-1(d)</w:t>
      </w:r>
    </w:p>
    <w:p>
      <w:pPr>
        <w:spacing w:after="0" w:line="366" w:lineRule="exact"/>
        <w:rPr>
          <w:rFonts w:ascii="Georgia" w:cs="Georgia" w:eastAsia="Georgia" w:hAnsi="Georgia"/>
          <w:sz w:val="18"/>
          <w:szCs w:val="18"/>
          <w:color w:val="auto"/>
        </w:rPr>
      </w:pPr>
    </w:p>
    <w:p>
      <w:pPr>
        <w:spacing w:after="0" w:line="237" w:lineRule="auto"/>
        <w:rPr>
          <w:rFonts w:ascii="Georgia" w:cs="Georgia" w:eastAsia="Georgia" w:hAnsi="Georgia"/>
          <w:sz w:val="18"/>
          <w:szCs w:val="18"/>
          <w:color w:val="auto"/>
        </w:rPr>
      </w:pPr>
      <w:r>
        <w:rPr>
          <w:rFonts w:ascii="Georgia" w:cs="Georgia" w:eastAsia="Georgia" w:hAnsi="Georgia"/>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66" w:lineRule="exact"/>
        <w:rPr>
          <w:sz w:val="24"/>
          <w:szCs w:val="24"/>
          <w:color w:val="auto"/>
        </w:rPr>
      </w:pPr>
    </w:p>
    <w:p>
      <w:pPr>
        <w:ind w:right="100"/>
        <w:spacing w:after="0" w:line="237" w:lineRule="auto"/>
        <w:rPr>
          <w:sz w:val="20"/>
          <w:szCs w:val="20"/>
          <w:color w:val="auto"/>
        </w:rPr>
      </w:pPr>
      <w:r>
        <w:rPr>
          <w:rFonts w:ascii="Georgia" w:cs="Georgia" w:eastAsia="Georgia" w:hAnsi="Georgia"/>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80"/>
          </w:cols>
          <w:pgMar w:left="320" w:top="246" w:right="999" w:bottom="1440" w:gutter="0" w:footer="0" w:header="0"/>
        </w:sectPr>
      </w:pPr>
    </w:p>
    <w:bookmarkStart w:id="1" w:name="page2"/>
    <w:bookmarkEnd w:id="1"/>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208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20878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20" w:right="7000" w:hanging="374"/>
        <w:spacing w:after="0" w:line="237" w:lineRule="auto"/>
        <w:tabs>
          <w:tab w:leader="none" w:pos="620" w:val="left"/>
        </w:tabs>
        <w:numPr>
          <w:ilvl w:val="0"/>
          <w:numId w:val="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CHI Advisors LLC</w:t>
      </w:r>
    </w:p>
    <w:p>
      <w:pPr>
        <w:spacing w:after="0" w:line="189"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spacing w:after="0" w:line="132" w:lineRule="exact"/>
        <w:rPr>
          <w:sz w:val="20"/>
          <w:szCs w:val="20"/>
          <w:color w:val="auto"/>
        </w:rPr>
      </w:pPr>
    </w:p>
    <w:p>
      <w:pPr>
        <w:ind w:left="620" w:hanging="385"/>
        <w:spacing w:after="0"/>
        <w:tabs>
          <w:tab w:leader="none" w:pos="620" w:val="left"/>
        </w:tabs>
        <w:numPr>
          <w:ilvl w:val="0"/>
          <w:numId w:val="3"/>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4"/>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760" w:hanging="386"/>
        <w:spacing w:after="0" w:line="237" w:lineRule="auto"/>
        <w:tabs>
          <w:tab w:leader="none" w:pos="620" w:val="left"/>
        </w:tabs>
        <w:numPr>
          <w:ilvl w:val="0"/>
          <w:numId w:val="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Delaware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continue"/>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480" w:type="dxa"/>
            <w:vAlign w:val="bottom"/>
            <w:vMerge w:val="restart"/>
          </w:tcPr>
          <w:p>
            <w:pPr>
              <w:ind w:left="60"/>
              <w:spacing w:after="0" w:line="203" w:lineRule="exact"/>
              <w:rPr>
                <w:sz w:val="20"/>
                <w:szCs w:val="20"/>
                <w:color w:val="auto"/>
              </w:rPr>
            </w:pPr>
            <w:r>
              <w:rPr>
                <w:rFonts w:ascii="Georgia" w:cs="Georgia" w:eastAsia="Georgia" w:hAnsi="Georgia"/>
                <w:sz w:val="18"/>
                <w:szCs w:val="18"/>
                <w:color w:val="auto"/>
              </w:rPr>
              <w:t>2,800,126</w:t>
            </w:r>
          </w:p>
        </w:tc>
        <w:tc>
          <w:tcPr>
            <w:tcW w:w="0" w:type="dxa"/>
            <w:vAlign w:val="bottom"/>
          </w:tcPr>
          <w:p>
            <w:pPr>
              <w:spacing w:after="0"/>
              <w:rPr>
                <w:sz w:val="1"/>
                <w:szCs w:val="1"/>
                <w:color w:val="auto"/>
              </w:rPr>
            </w:pPr>
          </w:p>
        </w:tc>
      </w:tr>
      <w:tr>
        <w:trPr>
          <w:trHeight w:val="82"/>
        </w:trPr>
        <w:tc>
          <w:tcPr>
            <w:tcW w:w="1640" w:type="dxa"/>
            <w:vAlign w:val="bottom"/>
            <w:tcBorders>
              <w:right w:val="single" w:sz="8" w:color="auto"/>
            </w:tcBorders>
            <w:vMerge w:val="restart"/>
          </w:tcPr>
          <w:p>
            <w:pPr>
              <w:jc w:val="center"/>
              <w:spacing w:after="0" w:line="145" w:lineRule="exact"/>
              <w:rPr>
                <w:sz w:val="20"/>
                <w:szCs w:val="20"/>
                <w:color w:val="auto"/>
              </w:rPr>
            </w:pPr>
            <w:r>
              <w:rPr>
                <w:rFonts w:ascii="Georgia" w:cs="Georgia" w:eastAsia="Georgia" w:hAnsi="Georgia"/>
                <w:sz w:val="17"/>
                <w:szCs w:val="17"/>
                <w:b w:val="1"/>
                <w:bCs w:val="1"/>
                <w:color w:val="auto"/>
              </w:rPr>
              <w:t>SHARES</w:t>
            </w:r>
          </w:p>
        </w:tc>
        <w:tc>
          <w:tcPr>
            <w:tcW w:w="520" w:type="dxa"/>
            <w:vAlign w:val="bottom"/>
            <w:tcBorders>
              <w:right w:val="single" w:sz="8" w:color="auto"/>
            </w:tcBorders>
          </w:tcPr>
          <w:p>
            <w:pPr>
              <w:spacing w:after="0"/>
              <w:rPr>
                <w:sz w:val="7"/>
                <w:szCs w:val="7"/>
                <w:color w:val="auto"/>
              </w:rPr>
            </w:pPr>
          </w:p>
        </w:tc>
        <w:tc>
          <w:tcPr>
            <w:tcW w:w="8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2,800,126</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2,800,126</w:t>
      </w:r>
    </w:p>
    <w:p>
      <w:pPr>
        <w:spacing w:after="0" w:line="150" w:lineRule="exact"/>
        <w:rPr>
          <w:sz w:val="20"/>
          <w:szCs w:val="20"/>
          <w:color w:val="auto"/>
        </w:rPr>
      </w:pPr>
    </w:p>
    <w:p>
      <w:pPr>
        <w:ind w:left="620" w:right="1860" w:hanging="429"/>
        <w:spacing w:after="0" w:line="237" w:lineRule="auto"/>
        <w:tabs>
          <w:tab w:leader="none" w:pos="620" w:val="left"/>
        </w:tabs>
        <w:numPr>
          <w:ilvl w:val="0"/>
          <w:numId w:val="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6.67%</w:t>
      </w:r>
    </w:p>
    <w:p>
      <w:pPr>
        <w:spacing w:after="0" w:line="150" w:lineRule="exact"/>
        <w:rPr>
          <w:sz w:val="20"/>
          <w:szCs w:val="20"/>
          <w:color w:val="auto"/>
        </w:rPr>
      </w:pPr>
    </w:p>
    <w:p>
      <w:pPr>
        <w:ind w:left="620" w:right="7100" w:hanging="424"/>
        <w:spacing w:after="0" w:line="237" w:lineRule="auto"/>
        <w:tabs>
          <w:tab w:leader="none" w:pos="620"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IA</w:t>
      </w:r>
    </w:p>
    <w:p>
      <w:pPr>
        <w:sectPr>
          <w:pgSz w:w="11900" w:h="16838" w:orient="portrait"/>
          <w:cols w:equalWidth="0" w:num="1">
            <w:col w:w="10640"/>
          </w:cols>
          <w:pgMar w:left="320" w:top="958" w:right="939" w:bottom="1440" w:gutter="0" w:footer="0" w:header="0"/>
        </w:sectPr>
      </w:pPr>
    </w:p>
    <w:bookmarkStart w:id="2" w:name="page3"/>
    <w:bookmarkEnd w:id="2"/>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r>
    </w:p>
    <w:p>
      <w:pPr>
        <w:ind w:left="300"/>
        <w:spacing w:after="0"/>
        <w:rPr>
          <w:sz w:val="20"/>
          <w:szCs w:val="20"/>
          <w:color w:val="auto"/>
        </w:rPr>
      </w:pPr>
      <w:r>
        <w:rPr>
          <w:rFonts w:ascii="Georgia" w:cs="Georgia" w:eastAsia="Georgia" w:hAnsi="Georgia"/>
          <w:sz w:val="18"/>
          <w:szCs w:val="18"/>
          <w:b w:val="1"/>
          <w:bCs w:val="1"/>
          <w:color w:val="auto"/>
        </w:rPr>
        <w:t>CUSIP No.: 760273102</w:t>
      </w:r>
    </w:p>
    <w:p>
      <w:pPr>
        <w:spacing w:after="0" w:line="200" w:lineRule="exact"/>
        <w:rPr>
          <w:sz w:val="20"/>
          <w:szCs w:val="20"/>
          <w:color w:val="auto"/>
        </w:rPr>
      </w:pPr>
    </w:p>
    <w:p>
      <w:pPr>
        <w:spacing w:after="0" w:line="33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1(a).</w:t>
      </w:r>
      <w:r>
        <w:rPr>
          <w:sz w:val="20"/>
          <w:szCs w:val="20"/>
          <w:color w:val="auto"/>
        </w:rPr>
        <w:tab/>
      </w:r>
      <w:r>
        <w:rPr>
          <w:rFonts w:ascii="Georgia" w:cs="Georgia" w:eastAsia="Georgia" w:hAnsi="Georgia"/>
          <w:sz w:val="17"/>
          <w:szCs w:val="17"/>
          <w:b w:val="1"/>
          <w:bCs w:val="1"/>
          <w:color w:val="auto"/>
        </w:rPr>
        <w:t>NAME OF ISSUER: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Repare Therapeutics Inc.</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1(b).</w:t>
      </w:r>
      <w:r>
        <w:rPr>
          <w:sz w:val="20"/>
          <w:szCs w:val="20"/>
          <w:color w:val="auto"/>
        </w:rPr>
        <w:tab/>
      </w:r>
      <w:r>
        <w:rPr>
          <w:rFonts w:ascii="Georgia" w:cs="Georgia" w:eastAsia="Georgia" w:hAnsi="Georgia"/>
          <w:sz w:val="17"/>
          <w:szCs w:val="17"/>
          <w:b w:val="1"/>
          <w:bCs w:val="1"/>
          <w:color w:val="auto"/>
        </w:rPr>
        <w:t>ADDRESS OF ISSUER'S PRINCIPAL EXECUTIVE OFFICES: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7210 Frederick-Banting, Suite 100</w:t>
      </w:r>
    </w:p>
    <w:p>
      <w:pPr>
        <w:ind w:left="1160"/>
        <w:spacing w:after="0" w:line="238" w:lineRule="auto"/>
        <w:rPr>
          <w:sz w:val="20"/>
          <w:szCs w:val="20"/>
          <w:color w:val="auto"/>
        </w:rPr>
      </w:pPr>
      <w:r>
        <w:rPr>
          <w:rFonts w:ascii="Georgia" w:cs="Georgia" w:eastAsia="Georgia" w:hAnsi="Georgia"/>
          <w:sz w:val="18"/>
          <w:szCs w:val="18"/>
          <w:color w:val="auto"/>
        </w:rPr>
        <w:t>St-Laurent, Qubec, Canada H4S 2A1</w:t>
      </w:r>
    </w:p>
    <w:p>
      <w:pPr>
        <w:spacing w:after="0" w:line="228" w:lineRule="exact"/>
        <w:rPr>
          <w:sz w:val="20"/>
          <w:szCs w:val="20"/>
          <w:color w:val="auto"/>
        </w:rPr>
      </w:pPr>
    </w:p>
    <w:p>
      <w:pPr>
        <w:jc w:val="center"/>
        <w:ind w:right="6700"/>
        <w:spacing w:after="0"/>
        <w:rPr>
          <w:sz w:val="20"/>
          <w:szCs w:val="20"/>
          <w:color w:val="auto"/>
        </w:rPr>
      </w:pPr>
      <w:r>
        <w:rPr>
          <w:rFonts w:ascii="Georgia" w:cs="Georgia" w:eastAsia="Georgia" w:hAnsi="Georgia"/>
          <w:sz w:val="18"/>
          <w:szCs w:val="18"/>
          <w:b w:val="1"/>
          <w:bCs w:val="1"/>
          <w:color w:val="auto"/>
        </w:rPr>
        <w:t>ITEM 2(a).  NAME OF PERSON FILING:</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CHI Advisors LLC</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2(b).  ADDRESS OF PRINCIPAL BUSINESS OFFICE OR, IF NONE, RESIDENCE:</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599 Lexington Avenue, 19th Floor</w:t>
      </w:r>
    </w:p>
    <w:p>
      <w:pPr>
        <w:ind w:left="1160"/>
        <w:spacing w:after="0" w:line="238" w:lineRule="auto"/>
        <w:rPr>
          <w:sz w:val="20"/>
          <w:szCs w:val="20"/>
          <w:color w:val="auto"/>
        </w:rPr>
      </w:pPr>
      <w:r>
        <w:rPr>
          <w:rFonts w:ascii="Georgia" w:cs="Georgia" w:eastAsia="Georgia" w:hAnsi="Georgia"/>
          <w:sz w:val="18"/>
          <w:szCs w:val="18"/>
          <w:color w:val="auto"/>
        </w:rPr>
        <w:t>New York, NY 10022</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2(c).  CITIZENSHIP: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Delaware</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2(d).  TITLE OF CLASS OF SECURITIES: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Common Stock, no par value</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2(e).  CUSIP NUMBER: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760273102</w:t>
      </w:r>
    </w:p>
    <w:p>
      <w:pPr>
        <w:spacing w:after="0" w:line="229" w:lineRule="exact"/>
        <w:rPr>
          <w:sz w:val="20"/>
          <w:szCs w:val="20"/>
          <w:color w:val="auto"/>
        </w:rPr>
      </w:pPr>
    </w:p>
    <w:p>
      <w:pPr>
        <w:ind w:left="1160" w:right="360" w:hanging="1160"/>
        <w:spacing w:after="0" w:line="237" w:lineRule="auto"/>
        <w:tabs>
          <w:tab w:leader="none" w:pos="1140" w:val="left"/>
        </w:tabs>
        <w:rPr>
          <w:sz w:val="20"/>
          <w:szCs w:val="20"/>
          <w:color w:val="auto"/>
        </w:rPr>
      </w:pPr>
      <w:r>
        <w:rPr>
          <w:rFonts w:ascii="Georgia" w:cs="Georgia" w:eastAsia="Georgia" w:hAnsi="Georgia"/>
          <w:sz w:val="18"/>
          <w:szCs w:val="18"/>
          <w:b w:val="1"/>
          <w:bCs w:val="1"/>
          <w:color w:val="auto"/>
        </w:rPr>
        <w:t>ITEM 3.</w:t>
      </w:r>
      <w:r>
        <w:rPr>
          <w:sz w:val="20"/>
          <w:szCs w:val="20"/>
          <w:color w:val="auto"/>
        </w:rPr>
        <w:tab/>
      </w:r>
      <w:r>
        <w:rPr>
          <w:rFonts w:ascii="Georgia" w:cs="Georgia" w:eastAsia="Georgia" w:hAnsi="Georgia"/>
          <w:sz w:val="18"/>
          <w:szCs w:val="18"/>
          <w:b w:val="1"/>
          <w:bCs w:val="1"/>
          <w:color w:val="auto"/>
        </w:rPr>
        <w:t>IF THIS STATEMENT IS FILED PURSUANT TO SECTION 240.13d-1(b), or 13d-2(b) or (c) CHECK WHETHER THE PERSON FILING IS A:</w:t>
      </w:r>
    </w:p>
    <w:p>
      <w:pPr>
        <w:spacing w:after="0" w:line="135" w:lineRule="exact"/>
        <w:rPr>
          <w:sz w:val="20"/>
          <w:szCs w:val="20"/>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]Broker or dealer registered under Section 15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Bank as defined in Section 3(a)(6)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Insurance company as defined in Section 3(a)(19) of the Act (15 U.S.C. 78c);</w:t>
      </w:r>
    </w:p>
    <w:p>
      <w:pPr>
        <w:spacing w:after="0" w:line="134" w:lineRule="exact"/>
        <w:rPr>
          <w:rFonts w:ascii="Georgia" w:cs="Georgia" w:eastAsia="Georgia" w:hAnsi="Georgia"/>
          <w:sz w:val="18"/>
          <w:szCs w:val="18"/>
          <w:color w:val="auto"/>
        </w:rPr>
      </w:pPr>
    </w:p>
    <w:p>
      <w:pPr>
        <w:ind w:left="2320" w:right="34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]Investment company registered under Section 8 of the Investment Company Act of 1940 (15 U.S.C 80a-8);</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[X]</w:t>
      </w:r>
      <w:r>
        <w:rPr>
          <w:rFonts w:ascii="Georgia" w:cs="Georgia" w:eastAsia="Georgia" w:hAnsi="Georgia"/>
          <w:sz w:val="17"/>
          <w:szCs w:val="17"/>
          <w:color w:val="auto"/>
        </w:rPr>
        <w:t>An investment adviser in accordance with 240.13d-1(b)(1)(ii)(E);</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employee benefit plan or endowment fund in accordance with 240.13d-1(b)(1)(ii)(F);</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parent holding company or control person in accordance with 240.13d-1(b)(1)(ii)(G);</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savings associations as defined in Section 3(b) of the Federal Deposit Insurance Act (12 U.S.C. 1813);</w:t>
      </w:r>
    </w:p>
    <w:p>
      <w:pPr>
        <w:spacing w:after="0" w:line="134" w:lineRule="exact"/>
        <w:rPr>
          <w:rFonts w:ascii="Georgia" w:cs="Georgia" w:eastAsia="Georgia" w:hAnsi="Georgia"/>
          <w:sz w:val="18"/>
          <w:szCs w:val="18"/>
          <w:color w:val="auto"/>
        </w:rPr>
      </w:pPr>
    </w:p>
    <w:p>
      <w:pPr>
        <w:ind w:left="2320" w:right="20" w:hanging="1162"/>
        <w:spacing w:after="0" w:line="237" w:lineRule="auto"/>
        <w:tabs>
          <w:tab w:leader="none" w:pos="1607"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]A church plan that is excluded from the definition of an investment company under Section 3(c)(14) of the Investment Company Act of 1940 (15 U.S.C. 80a-3);</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non-U.S. institution in accordance with 240.13d-1(b)(1)(ii)(J);</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10"/>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Group, in accordance with 240.13d-1(b)(1)(ii)(K). If filing as a non-U.S. institution in accordance with</w:t>
      </w:r>
    </w:p>
    <w:p>
      <w:pPr>
        <w:ind w:left="23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240.13d1(b)(1)(ii)(J), please specify the type of institution:</w:t>
      </w:r>
    </w:p>
    <w:p>
      <w:pPr>
        <w:spacing w:after="0" w:line="200" w:lineRule="exact"/>
        <w:rPr>
          <w:sz w:val="20"/>
          <w:szCs w:val="20"/>
          <w:color w:val="auto"/>
        </w:rPr>
      </w:pPr>
    </w:p>
    <w:p>
      <w:pPr>
        <w:spacing w:after="0" w:line="244"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4.</w:t>
      </w:r>
      <w:r>
        <w:rPr>
          <w:sz w:val="20"/>
          <w:szCs w:val="20"/>
          <w:color w:val="auto"/>
        </w:rPr>
        <w:tab/>
      </w:r>
      <w:r>
        <w:rPr>
          <w:rFonts w:ascii="Georgia" w:cs="Georgia" w:eastAsia="Georgia" w:hAnsi="Georgia"/>
          <w:sz w:val="17"/>
          <w:szCs w:val="17"/>
          <w:b w:val="1"/>
          <w:bCs w:val="1"/>
          <w:color w:val="auto"/>
        </w:rPr>
        <w:t>OWNERSHIP</w:t>
      </w:r>
    </w:p>
    <w:p>
      <w:pPr>
        <w:spacing w:after="0" w:line="134" w:lineRule="exact"/>
        <w:rPr>
          <w:sz w:val="20"/>
          <w:szCs w:val="20"/>
          <w:color w:val="auto"/>
        </w:rPr>
      </w:pPr>
    </w:p>
    <w:p>
      <w:pPr>
        <w:ind w:left="1160" w:right="120"/>
        <w:spacing w:after="0" w:line="237" w:lineRule="auto"/>
        <w:rPr>
          <w:sz w:val="20"/>
          <w:szCs w:val="20"/>
          <w:color w:val="auto"/>
        </w:rPr>
      </w:pPr>
      <w:r>
        <w:rPr>
          <w:rFonts w:ascii="Georgia" w:cs="Georgia" w:eastAsia="Georgia" w:hAnsi="Georgia"/>
          <w:sz w:val="18"/>
          <w:szCs w:val="18"/>
          <w:color w:val="auto"/>
        </w:rPr>
        <w:t>The information required by this item is set forth in Rows 5 through 9 and 11 of the cover page to this Schedule 13G. The ownership percentage reported is based on 41,961,510 outstanding shares of Common Stock, no par value, as reported by the Issuer in its Form 10-Q for the quarterly period ended September 30, 2022 filed with the Securities and Exchange Commission on November 9, 2022.</w:t>
      </w:r>
    </w:p>
    <w:p>
      <w:pPr>
        <w:spacing w:after="0" w:line="136"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(a) Amount beneficially owned:</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2,800,126</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(b) Percent of class:</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6.67%</w:t>
      </w:r>
    </w:p>
    <w:p>
      <w:pPr>
        <w:spacing w:after="0" w:line="133" w:lineRule="exact"/>
        <w:rPr>
          <w:sz w:val="20"/>
          <w:szCs w:val="20"/>
          <w:color w:val="auto"/>
        </w:rPr>
      </w:pPr>
    </w:p>
    <w:p>
      <w:pPr>
        <w:ind w:left="1460" w:hanging="302"/>
        <w:spacing w:after="0"/>
        <w:tabs>
          <w:tab w:leader="none" w:pos="1460" w:val="left"/>
        </w:tabs>
        <w:numPr>
          <w:ilvl w:val="0"/>
          <w:numId w:val="11"/>
        </w:numPr>
        <w:rPr>
          <w:rFonts w:ascii="Georgia" w:cs="Georgia" w:eastAsia="Georgia" w:hAnsi="Georgia"/>
          <w:sz w:val="18"/>
          <w:szCs w:val="18"/>
          <w:b w:val="1"/>
          <w:bCs w:val="1"/>
          <w:color w:val="auto"/>
        </w:rPr>
      </w:pPr>
      <w:r>
        <w:rPr>
          <w:rFonts w:ascii="Georgia" w:cs="Georgia" w:eastAsia="Georgia" w:hAnsi="Georgia"/>
          <w:sz w:val="18"/>
          <w:szCs w:val="18"/>
          <w:b w:val="1"/>
          <w:bCs w:val="1"/>
          <w:color w:val="auto"/>
        </w:rPr>
        <w:t>Number of shares as to which the person has:</w:t>
      </w:r>
    </w:p>
    <w:p>
      <w:pPr>
        <w:spacing w:after="0" w:line="132" w:lineRule="exact"/>
        <w:rPr>
          <w:rFonts w:ascii="Georgia" w:cs="Georgia" w:eastAsia="Georgia" w:hAnsi="Georgia"/>
          <w:sz w:val="18"/>
          <w:szCs w:val="18"/>
          <w:b w:val="1"/>
          <w:bCs w:val="1"/>
          <w:color w:val="auto"/>
        </w:rPr>
      </w:pPr>
    </w:p>
    <w:p>
      <w:pPr>
        <w:ind w:left="1460"/>
        <w:spacing w:after="0"/>
        <w:rPr>
          <w:rFonts w:ascii="Georgia" w:cs="Georgia" w:eastAsia="Georgia" w:hAnsi="Georgia"/>
          <w:sz w:val="18"/>
          <w:szCs w:val="18"/>
          <w:b w:val="1"/>
          <w:bCs w:val="1"/>
          <w:color w:val="auto"/>
        </w:rPr>
      </w:pPr>
      <w:r>
        <w:rPr>
          <w:rFonts w:ascii="Georgia" w:cs="Georgia" w:eastAsia="Georgia" w:hAnsi="Georgia"/>
          <w:sz w:val="18"/>
          <w:szCs w:val="18"/>
          <w:color w:val="auto"/>
        </w:rPr>
        <w:t>(i) sole power to vote or to direct the vote:</w:t>
      </w:r>
    </w:p>
    <w:p>
      <w:pPr>
        <w:spacing w:after="0" w:line="200" w:lineRule="exact"/>
        <w:rPr>
          <w:sz w:val="20"/>
          <w:szCs w:val="20"/>
          <w:color w:val="auto"/>
        </w:rPr>
      </w:pPr>
    </w:p>
    <w:p>
      <w:pPr>
        <w:spacing w:after="0" w:line="272" w:lineRule="exact"/>
        <w:rPr>
          <w:sz w:val="20"/>
          <w:szCs w:val="20"/>
          <w:color w:val="auto"/>
        </w:rPr>
      </w:pPr>
    </w:p>
    <w:p>
      <w:pPr>
        <w:ind w:left="1460" w:right="5380" w:firstLine="8"/>
        <w:spacing w:after="0" w:line="394" w:lineRule="auto"/>
        <w:tabs>
          <w:tab w:leader="none" w:pos="1744"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shared power to vote or to direct the vote: CHI Advisors LLC :</w:t>
      </w:r>
    </w:p>
    <w:p>
      <w:pPr>
        <w:sectPr>
          <w:pgSz w:w="11900" w:h="16898" w:orient="portrait"/>
          <w:cols w:equalWidth="0" w:num="1">
            <w:col w:w="10440"/>
          </w:cols>
          <w:pgMar w:left="400" w:top="958" w:right="1059" w:bottom="0" w:gutter="0" w:footer="0" w:header="0"/>
        </w:sectPr>
      </w:pPr>
    </w:p>
    <w:bookmarkStart w:id="3" w:name="page4"/>
    <w:bookmarkEnd w:id="3"/>
    <w:p>
      <w:pPr>
        <w:ind w:left="1460"/>
        <w:spacing w:after="0"/>
        <w:rPr>
          <w:sz w:val="20"/>
          <w:szCs w:val="20"/>
          <w:color w:val="auto"/>
        </w:rPr>
      </w:pPr>
      <w:r>
        <w:rPr>
          <w:rFonts w:ascii="Georgia" w:cs="Georgia" w:eastAsia="Georgia" w:hAnsi="Georgia"/>
          <w:sz w:val="18"/>
          <w:szCs w:val="18"/>
          <w:color w:val="auto"/>
        </w:rPr>
        <w:t>(iii) sole power to dispose or direct the disposition of:</w:t>
      </w:r>
    </w:p>
    <w:p>
      <w:pPr>
        <w:spacing w:after="0" w:line="133"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CHI Advisors LLC : 2,800,126</w:t>
      </w:r>
    </w:p>
    <w:p>
      <w:pPr>
        <w:spacing w:after="0" w:line="134" w:lineRule="exact"/>
        <w:rPr>
          <w:sz w:val="20"/>
          <w:szCs w:val="20"/>
          <w:color w:val="auto"/>
        </w:rPr>
      </w:pPr>
    </w:p>
    <w:p>
      <w:pPr>
        <w:ind w:left="1460" w:right="4280" w:firstLine="8"/>
        <w:spacing w:after="0" w:line="394" w:lineRule="auto"/>
        <w:tabs>
          <w:tab w:leader="none" w:pos="1780" w:val="left"/>
        </w:tabs>
        <w:numPr>
          <w:ilvl w:val="0"/>
          <w:numId w:val="13"/>
        </w:numPr>
        <w:rPr>
          <w:rFonts w:ascii="Georgia" w:cs="Georgia" w:eastAsia="Georgia" w:hAnsi="Georgia"/>
          <w:sz w:val="18"/>
          <w:szCs w:val="18"/>
          <w:color w:val="auto"/>
        </w:rPr>
      </w:pPr>
      <w:r>
        <w:rPr>
          <w:rFonts w:ascii="Georgia" w:cs="Georgia" w:eastAsia="Georgia" w:hAnsi="Georgia"/>
          <w:sz w:val="18"/>
          <w:szCs w:val="18"/>
          <w:color w:val="auto"/>
        </w:rPr>
        <w:t>shared power to dispose or to direct the disposition of: CHI Advisors LLC :</w:t>
      </w:r>
    </w:p>
    <w:p>
      <w:pPr>
        <w:spacing w:after="0" w:line="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5.</w:t>
      </w:r>
      <w:r>
        <w:rPr>
          <w:sz w:val="20"/>
          <w:szCs w:val="20"/>
          <w:color w:val="auto"/>
        </w:rPr>
        <w:tab/>
      </w:r>
      <w:r>
        <w:rPr>
          <w:rFonts w:ascii="Georgia" w:cs="Georgia" w:eastAsia="Georgia" w:hAnsi="Georgia"/>
          <w:sz w:val="17"/>
          <w:szCs w:val="17"/>
          <w:b w:val="1"/>
          <w:bCs w:val="1"/>
          <w:color w:val="auto"/>
        </w:rPr>
        <w:t>OWNERSHIP OF FIVE PERCENT OR LESS OF A CLASS:</w:t>
      </w:r>
    </w:p>
    <w:p>
      <w:pPr>
        <w:spacing w:after="0" w:line="94" w:lineRule="exact"/>
        <w:rPr>
          <w:sz w:val="20"/>
          <w:szCs w:val="20"/>
          <w:color w:val="auto"/>
        </w:rPr>
      </w:pPr>
    </w:p>
    <w:p>
      <w:pPr>
        <w:ind w:left="1160" w:right="180"/>
        <w:spacing w:after="0" w:line="237" w:lineRule="auto"/>
        <w:rPr>
          <w:sz w:val="20"/>
          <w:szCs w:val="20"/>
          <w:color w:val="auto"/>
        </w:rPr>
      </w:pPr>
      <w:r>
        <w:rPr>
          <w:rFonts w:ascii="Georgia" w:cs="Georgia" w:eastAsia="Georgia" w:hAnsi="Georgia"/>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29"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6.</w:t>
      </w:r>
      <w:r>
        <w:rPr>
          <w:sz w:val="20"/>
          <w:szCs w:val="20"/>
          <w:color w:val="auto"/>
        </w:rPr>
        <w:tab/>
      </w:r>
      <w:r>
        <w:rPr>
          <w:rFonts w:ascii="Georgia" w:cs="Georgia" w:eastAsia="Georgia" w:hAnsi="Georgia"/>
          <w:sz w:val="17"/>
          <w:szCs w:val="17"/>
          <w:b w:val="1"/>
          <w:bCs w:val="1"/>
          <w:color w:val="auto"/>
        </w:rPr>
        <w:t>OWNERSHIP OF MORE THAN FIVE PERCENT ON BEHALF OF ANOTHER PERSON:</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7.</w:t>
      </w:r>
      <w:r>
        <w:rPr>
          <w:sz w:val="20"/>
          <w:szCs w:val="20"/>
          <w:color w:val="auto"/>
        </w:rPr>
        <w:tab/>
      </w:r>
      <w:r>
        <w:rPr>
          <w:rFonts w:ascii="Georgia" w:cs="Georgia" w:eastAsia="Georgia" w:hAnsi="Georgia"/>
          <w:sz w:val="17"/>
          <w:szCs w:val="17"/>
          <w:b w:val="1"/>
          <w:bCs w:val="1"/>
          <w:color w:val="auto"/>
        </w:rPr>
        <w:t>IDENTIFICATION AND CLASSIFICATION OF THE SUBSIDIARY WHICH ACQUIRED THE</w:t>
      </w:r>
    </w:p>
    <w:p>
      <w:pPr>
        <w:ind w:left="1160"/>
        <w:spacing w:after="0" w:line="238" w:lineRule="auto"/>
        <w:rPr>
          <w:sz w:val="20"/>
          <w:szCs w:val="20"/>
          <w:color w:val="auto"/>
        </w:rPr>
      </w:pPr>
      <w:r>
        <w:rPr>
          <w:rFonts w:ascii="Georgia" w:cs="Georgia" w:eastAsia="Georgia" w:hAnsi="Georgia"/>
          <w:sz w:val="18"/>
          <w:szCs w:val="18"/>
          <w:b w:val="1"/>
          <w:bCs w:val="1"/>
          <w:color w:val="auto"/>
        </w:rPr>
        <w:t>SECURITY BEING REPORTED ON BY THE PARENT HOLDING COMPANY:</w:t>
      </w:r>
    </w:p>
    <w:p>
      <w:pPr>
        <w:spacing w:after="0" w:line="9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8.</w:t>
      </w:r>
      <w:r>
        <w:rPr>
          <w:sz w:val="20"/>
          <w:szCs w:val="20"/>
          <w:color w:val="auto"/>
        </w:rPr>
        <w:tab/>
      </w:r>
      <w:r>
        <w:rPr>
          <w:rFonts w:ascii="Georgia" w:cs="Georgia" w:eastAsia="Georgia" w:hAnsi="Georgia"/>
          <w:sz w:val="17"/>
          <w:szCs w:val="17"/>
          <w:b w:val="1"/>
          <w:bCs w:val="1"/>
          <w:color w:val="auto"/>
        </w:rPr>
        <w:t>IDENTIFICATION AND CLASSIFICATION OF MEMBERS OF THE GROUP: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9.</w:t>
      </w:r>
      <w:r>
        <w:rPr>
          <w:sz w:val="20"/>
          <w:szCs w:val="20"/>
          <w:color w:val="auto"/>
        </w:rPr>
        <w:tab/>
      </w:r>
      <w:r>
        <w:rPr>
          <w:rFonts w:ascii="Georgia" w:cs="Georgia" w:eastAsia="Georgia" w:hAnsi="Georgia"/>
          <w:sz w:val="17"/>
          <w:szCs w:val="17"/>
          <w:b w:val="1"/>
          <w:bCs w:val="1"/>
          <w:color w:val="auto"/>
        </w:rPr>
        <w:t>NOTICE OF DISSOLUTION OF GROUP: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Not applicable.</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10.</w:t>
        <w:tab/>
        <w:t>CERTIFICATION:</w:t>
      </w:r>
    </w:p>
    <w:p>
      <w:pPr>
        <w:spacing w:after="0" w:line="94" w:lineRule="exact"/>
        <w:rPr>
          <w:sz w:val="20"/>
          <w:szCs w:val="20"/>
          <w:color w:val="auto"/>
        </w:rPr>
      </w:pPr>
    </w:p>
    <w:p>
      <w:pPr>
        <w:jc w:val="both"/>
        <w:ind w:left="1160"/>
        <w:spacing w:after="0" w:line="237" w:lineRule="auto"/>
        <w:rPr>
          <w:sz w:val="20"/>
          <w:szCs w:val="20"/>
          <w:color w:val="auto"/>
        </w:rPr>
      </w:pPr>
      <w:r>
        <w:rPr>
          <w:rFonts w:ascii="Georgia" w:cs="Georgia" w:eastAsia="Georgia" w:hAnsi="Georgia"/>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380"/>
          </w:cols>
          <w:pgMar w:left="400" w:top="135" w:right="1119" w:bottom="1440" w:gutter="0" w:footer="0" w:header="0"/>
        </w:sectPr>
      </w:pPr>
    </w:p>
    <w:bookmarkStart w:id="4" w:name="page5"/>
    <w:bookmarkEnd w:id="4"/>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760273102</w:t>
      </w:r>
    </w:p>
    <w:p>
      <w:pPr>
        <w:spacing w:after="0" w:line="200" w:lineRule="exact"/>
        <w:rPr>
          <w:sz w:val="20"/>
          <w:szCs w:val="20"/>
          <w:color w:val="auto"/>
        </w:rPr>
      </w:pPr>
    </w:p>
    <w:p>
      <w:pPr>
        <w:spacing w:after="0" w:line="220" w:lineRule="exact"/>
        <w:rPr>
          <w:sz w:val="20"/>
          <w:szCs w:val="20"/>
          <w:color w:val="auto"/>
        </w:rPr>
      </w:pPr>
    </w:p>
    <w:p>
      <w:pPr>
        <w:jc w:val="center"/>
        <w:ind w:right="-459"/>
        <w:spacing w:after="0"/>
        <w:rPr>
          <w:sz w:val="20"/>
          <w:szCs w:val="20"/>
          <w:color w:val="auto"/>
        </w:rPr>
      </w:pPr>
      <w:r>
        <w:rPr>
          <w:rFonts w:ascii="Georgia" w:cs="Georgia" w:eastAsia="Georgia" w:hAnsi="Georgia"/>
          <w:sz w:val="22"/>
          <w:szCs w:val="22"/>
          <w:b w:val="1"/>
          <w:bCs w:val="1"/>
          <w:color w:val="auto"/>
        </w:rPr>
        <w:t>SIGNATURE</w:t>
      </w:r>
    </w:p>
    <w:p>
      <w:pPr>
        <w:spacing w:after="0" w:line="376" w:lineRule="exact"/>
        <w:rPr>
          <w:sz w:val="20"/>
          <w:szCs w:val="20"/>
          <w:color w:val="auto"/>
        </w:rPr>
      </w:pPr>
    </w:p>
    <w:p>
      <w:pPr>
        <w:ind w:left="460"/>
        <w:spacing w:after="0"/>
        <w:rPr>
          <w:sz w:val="20"/>
          <w:szCs w:val="20"/>
          <w:color w:val="auto"/>
        </w:rPr>
      </w:pPr>
      <w:r>
        <w:rPr>
          <w:rFonts w:ascii="Georgia" w:cs="Georgia" w:eastAsia="Georgia" w:hAnsi="Georgia"/>
          <w:sz w:val="14"/>
          <w:szCs w:val="14"/>
          <w:color w:val="auto"/>
        </w:rPr>
        <w:t>After reasonable inquiry and to the best of my knowledge and belief, I certify that the information set forth in this statement is true, complete and correct.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40" w:type="dxa"/>
            <w:vAlign w:val="bottom"/>
          </w:tcPr>
          <w:p>
            <w:pPr>
              <w:spacing w:after="0"/>
              <w:rPr>
                <w:sz w:val="20"/>
                <w:szCs w:val="20"/>
                <w:color w:val="auto"/>
              </w:rPr>
            </w:pPr>
            <w:r>
              <w:rPr>
                <w:rFonts w:ascii="Georgia" w:cs="Georgia" w:eastAsia="Georgia" w:hAnsi="Georgia"/>
                <w:sz w:val="16"/>
                <w:szCs w:val="16"/>
                <w:color w:val="auto"/>
              </w:rPr>
              <w:t>February 13 2023</w:t>
            </w:r>
          </w:p>
        </w:tc>
        <w:tc>
          <w:tcPr>
            <w:tcW w:w="6100" w:type="dxa"/>
            <w:vAlign w:val="bottom"/>
            <w:gridSpan w:val="2"/>
          </w:tcPr>
          <w:p>
            <w:pPr>
              <w:ind w:left="960"/>
              <w:spacing w:after="0"/>
              <w:rPr>
                <w:sz w:val="20"/>
                <w:szCs w:val="20"/>
                <w:color w:val="auto"/>
              </w:rPr>
            </w:pPr>
            <w:r>
              <w:rPr>
                <w:rFonts w:ascii="Georgia" w:cs="Georgia" w:eastAsia="Georgia" w:hAnsi="Georgia"/>
                <w:sz w:val="16"/>
                <w:szCs w:val="16"/>
                <w:color w:val="auto"/>
              </w:rPr>
              <w:t>CHI Advisors LLC</w:t>
            </w:r>
          </w:p>
        </w:tc>
      </w:tr>
      <w:tr>
        <w:trPr>
          <w:trHeight w:val="283"/>
        </w:trPr>
        <w:tc>
          <w:tcPr>
            <w:tcW w:w="2240" w:type="dxa"/>
            <w:vAlign w:val="bottom"/>
          </w:tcPr>
          <w:p>
            <w:pPr>
              <w:spacing w:after="0"/>
              <w:rPr>
                <w:sz w:val="24"/>
                <w:szCs w:val="24"/>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By:</w:t>
            </w:r>
          </w:p>
        </w:tc>
        <w:tc>
          <w:tcPr>
            <w:tcW w:w="4480" w:type="dxa"/>
            <w:vAlign w:val="bottom"/>
            <w:tcBorders>
              <w:bottom w:val="single" w:sz="8" w:color="auto"/>
            </w:tcBorders>
          </w:tcPr>
          <w:p>
            <w:pPr>
              <w:spacing w:after="0"/>
              <w:rPr>
                <w:sz w:val="20"/>
                <w:szCs w:val="20"/>
                <w:color w:val="auto"/>
              </w:rPr>
            </w:pPr>
            <w:r>
              <w:rPr>
                <w:rFonts w:ascii="Georgia" w:cs="Georgia" w:eastAsia="Georgia" w:hAnsi="Georgia"/>
                <w:sz w:val="16"/>
                <w:szCs w:val="16"/>
                <w:color w:val="auto"/>
              </w:rPr>
              <w:t>/s/ Ashley Latourelle</w:t>
            </w:r>
          </w:p>
        </w:tc>
      </w:tr>
      <w:tr>
        <w:trPr>
          <w:trHeight w:val="263"/>
        </w:trPr>
        <w:tc>
          <w:tcPr>
            <w:tcW w:w="2240" w:type="dxa"/>
            <w:vAlign w:val="bottom"/>
          </w:tcPr>
          <w:p>
            <w:pPr>
              <w:spacing w:after="0"/>
              <w:rPr>
                <w:sz w:val="22"/>
                <w:szCs w:val="22"/>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Name:</w:t>
            </w:r>
          </w:p>
        </w:tc>
        <w:tc>
          <w:tcPr>
            <w:tcW w:w="4480" w:type="dxa"/>
            <w:vAlign w:val="bottom"/>
          </w:tcPr>
          <w:p>
            <w:pPr>
              <w:spacing w:after="0"/>
              <w:rPr>
                <w:sz w:val="20"/>
                <w:szCs w:val="20"/>
                <w:color w:val="auto"/>
              </w:rPr>
            </w:pPr>
            <w:r>
              <w:rPr>
                <w:rFonts w:ascii="Georgia" w:cs="Georgia" w:eastAsia="Georgia" w:hAnsi="Georgia"/>
                <w:sz w:val="16"/>
                <w:szCs w:val="16"/>
                <w:color w:val="auto"/>
              </w:rPr>
              <w:t>Ashley Latourelle</w:t>
            </w:r>
          </w:p>
        </w:tc>
      </w:tr>
      <w:tr>
        <w:trPr>
          <w:trHeight w:val="270"/>
        </w:trPr>
        <w:tc>
          <w:tcPr>
            <w:tcW w:w="2240" w:type="dxa"/>
            <w:vAlign w:val="bottom"/>
          </w:tcPr>
          <w:p>
            <w:pPr>
              <w:spacing w:after="0"/>
              <w:rPr>
                <w:sz w:val="23"/>
                <w:szCs w:val="23"/>
                <w:color w:val="auto"/>
              </w:rPr>
            </w:pPr>
          </w:p>
        </w:tc>
        <w:tc>
          <w:tcPr>
            <w:tcW w:w="1620" w:type="dxa"/>
            <w:vAlign w:val="bottom"/>
          </w:tcPr>
          <w:p>
            <w:pPr>
              <w:ind w:left="960"/>
              <w:spacing w:after="0"/>
              <w:rPr>
                <w:sz w:val="20"/>
                <w:szCs w:val="20"/>
                <w:color w:val="auto"/>
              </w:rPr>
            </w:pPr>
            <w:r>
              <w:rPr>
                <w:rFonts w:ascii="Georgia" w:cs="Georgia" w:eastAsia="Georgia" w:hAnsi="Georgia"/>
                <w:sz w:val="16"/>
                <w:szCs w:val="16"/>
                <w:color w:val="auto"/>
              </w:rPr>
              <w:t>Title:</w:t>
            </w:r>
          </w:p>
        </w:tc>
        <w:tc>
          <w:tcPr>
            <w:tcW w:w="4480" w:type="dxa"/>
            <w:vAlign w:val="bottom"/>
          </w:tcPr>
          <w:p>
            <w:pPr>
              <w:spacing w:after="0"/>
              <w:rPr>
                <w:sz w:val="20"/>
                <w:szCs w:val="20"/>
                <w:color w:val="auto"/>
              </w:rPr>
            </w:pPr>
            <w:r>
              <w:rPr>
                <w:rFonts w:ascii="Georgia" w:cs="Georgia" w:eastAsia="Georgia" w:hAnsi="Georgia"/>
                <w:sz w:val="16"/>
                <w:szCs w:val="16"/>
                <w:color w:val="auto"/>
              </w:rPr>
              <w:t>Chief Compliance Officer</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Georgia" w:cs="Georgia" w:eastAsia="Georgia" w:hAnsi="Georgia"/>
          <w:sz w:val="16"/>
          <w:szCs w:val="16"/>
          <w:color w:val="auto"/>
        </w:rPr>
        <w:t>Attention — Intentional misstatements or omissions of fact constitute Federal criminal violations (See 18 U.S.C. 1001).</w:t>
      </w:r>
    </w:p>
    <w:sectPr>
      <w:pgSz w:w="11900" w:h="16838" w:orient="portrait"/>
      <w:cols w:equalWidth="0" w:num="1">
        <w:col w:w="10180"/>
      </w:cols>
      <w:pgMar w:left="320" w:top="958"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2]"/>
      <w:numFmt w:val="upperLetter"/>
      <w:start w:val="24"/>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2"/>
      <w:numFmt w:val="bullet"/>
      <w:start w:val="1"/>
    </w:lvl>
    <w:lvl w:ilvl="1">
      <w:lvlJc w:val="left"/>
      <w:lvlText w:val="(%2)"/>
      <w:numFmt w:val="lowerLetter"/>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9"/>
      <w:numFmt w:val="bullet"/>
      <w:start w:val="1"/>
    </w:lvl>
  </w:abstractNum>
  <w:abstractNum w:abstractNumId="6">
    <w:nsid w:val="4DB127F8"/>
    <w:multiLevelType w:val="hybridMultilevel"/>
    <w:lvl w:ilvl="0">
      <w:lvlJc w:val="left"/>
      <w:lvlText w:val="%1"/>
      <w:numFmt w:val="decimal"/>
      <w:start w:val="10"/>
    </w:lvl>
  </w:abstractNum>
  <w:abstractNum w:abstractNumId="7">
    <w:nsid w:val="216231B"/>
    <w:multiLevelType w:val="hybridMultilevel"/>
    <w:lvl w:ilvl="0">
      <w:lvlJc w:val="left"/>
      <w:lvlText w:val="%1"/>
      <w:numFmt w:val="decimal"/>
      <w:start w:val="11"/>
    </w:lvl>
  </w:abstractNum>
  <w:abstractNum w:abstractNumId="8">
    <w:nsid w:val="1F16E9E8"/>
    <w:multiLevelType w:val="hybridMultilevel"/>
    <w:lvl w:ilvl="0">
      <w:lvlJc w:val="left"/>
      <w:lvlText w:val="%1"/>
      <w:numFmt w:val="decimal"/>
      <w:start w:val="12"/>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abstractNum>
  <w:abstractNum w:abstractNumId="11">
    <w:nsid w:val="140E0F76"/>
    <w:multiLevelType w:val="hybridMultilevel"/>
    <w:lvl w:ilvl="0">
      <w:lvlJc w:val="left"/>
      <w:lvlText w:val="(%1)"/>
      <w:numFmt w:val="lowerRoman"/>
      <w:start w:val="2"/>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2023-02-13T11:09:57Z</dcterms:created>
  <dcterms:modified xsi:type="dcterms:W3CDTF">2023-02-13T11:09:57Z</dcterms:modified>
</cp:coreProperties>
</file>