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84"/>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SCHEDULE 14A INFORMATION</w:t>
      </w:r>
    </w:p>
    <w:p>
      <w:pPr>
        <w:spacing w:after="0" w:line="30" w:lineRule="exact"/>
        <w:rPr>
          <w:sz w:val="24"/>
          <w:szCs w:val="24"/>
          <w:color w:val="auto"/>
        </w:rPr>
      </w:pPr>
    </w:p>
    <w:p>
      <w:pPr>
        <w:jc w:val="center"/>
        <w:ind w:right="-984"/>
        <w:spacing w:after="0"/>
        <w:rPr>
          <w:sz w:val="20"/>
          <w:szCs w:val="20"/>
          <w:color w:val="auto"/>
        </w:rPr>
      </w:pPr>
      <w:r>
        <w:rPr>
          <w:rFonts w:ascii="Times New Roman" w:cs="Times New Roman" w:eastAsia="Times New Roman" w:hAnsi="Times New Roman"/>
          <w:sz w:val="22"/>
          <w:szCs w:val="22"/>
          <w:b w:val="1"/>
          <w:bCs w:val="1"/>
          <w:color w:val="auto"/>
        </w:rPr>
        <w:t>Proxy Statement Pursuant to Section 14(a) of the</w:t>
      </w:r>
    </w:p>
    <w:p>
      <w:pPr>
        <w:jc w:val="center"/>
        <w:ind w:right="-984"/>
        <w:spacing w:after="0" w:line="230" w:lineRule="auto"/>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1" w:lineRule="exact"/>
        <w:rPr>
          <w:sz w:val="24"/>
          <w:szCs w:val="24"/>
          <w:color w:val="auto"/>
        </w:rPr>
      </w:pPr>
    </w:p>
    <w:p>
      <w:pPr>
        <w:jc w:val="center"/>
        <w:ind w:right="-984"/>
        <w:spacing w:after="0"/>
        <w:tabs>
          <w:tab w:leader="none" w:pos="180" w:val="left"/>
        </w:tabs>
        <w:rPr>
          <w:sz w:val="20"/>
          <w:szCs w:val="20"/>
          <w:color w:val="auto"/>
        </w:rPr>
      </w:pPr>
      <w:r>
        <w:rPr>
          <w:rFonts w:ascii="Times New Roman" w:cs="Times New Roman" w:eastAsia="Times New Roman" w:hAnsi="Times New Roman"/>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ind w:left="4"/>
        <w:spacing w:after="0" w:line="207" w:lineRule="exact"/>
        <w:rPr>
          <w:sz w:val="20"/>
          <w:szCs w:val="20"/>
          <w:color w:val="auto"/>
        </w:rPr>
      </w:pPr>
      <w:r>
        <w:rPr>
          <w:rFonts w:ascii="Times New Roman" w:cs="Times New Roman" w:eastAsia="Times New Roman" w:hAnsi="Times New Roman"/>
          <w:sz w:val="18"/>
          <w:szCs w:val="18"/>
          <w:color w:val="auto"/>
        </w:rPr>
        <w:t xml:space="preserve">Filed by the Registrant </w:t>
      </w:r>
      <w:r>
        <w:rPr>
          <w:rFonts w:ascii="MS PGothic" w:cs="MS PGothic" w:eastAsia="MS PGothic" w:hAnsi="MS PGothic"/>
          <w:sz w:val="18"/>
          <w:szCs w:val="18"/>
          <w:color w:val="auto"/>
        </w:rPr>
        <w:t>☒</w:t>
      </w:r>
    </w:p>
    <w:p>
      <w:pPr>
        <w:spacing w:after="0" w:line="225" w:lineRule="exact"/>
        <w:rPr>
          <w:sz w:val="24"/>
          <w:szCs w:val="24"/>
          <w:color w:val="auto"/>
        </w:rPr>
      </w:pPr>
    </w:p>
    <w:p>
      <w:pPr>
        <w:ind w:left="4"/>
        <w:spacing w:after="0" w:line="207" w:lineRule="exact"/>
        <w:rPr>
          <w:sz w:val="20"/>
          <w:szCs w:val="20"/>
          <w:color w:val="auto"/>
        </w:rPr>
      </w:pPr>
      <w:r>
        <w:rPr>
          <w:rFonts w:ascii="Times New Roman" w:cs="Times New Roman" w:eastAsia="Times New Roman" w:hAnsi="Times New Roman"/>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200" w:lineRule="exact"/>
        <w:rPr>
          <w:sz w:val="24"/>
          <w:szCs w:val="24"/>
          <w:color w:val="auto"/>
        </w:rPr>
      </w:pPr>
    </w:p>
    <w:p>
      <w:pPr>
        <w:spacing w:after="0" w:line="270"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Check the appropriate box:</w:t>
      </w:r>
    </w:p>
    <w:p>
      <w:pPr>
        <w:spacing w:after="0" w:line="252"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Preliminary Proxy Statement</w:t>
      </w:r>
    </w:p>
    <w:p>
      <w:pPr>
        <w:spacing w:after="0" w:line="248"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Confidential, for Use of the Commission Only (as permitted by Rule 14a-6(e)(2))</w:t>
      </w:r>
    </w:p>
    <w:p>
      <w:pPr>
        <w:spacing w:after="0" w:line="256"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Definitive Proxy Statement</w:t>
      </w:r>
    </w:p>
    <w:p>
      <w:pPr>
        <w:spacing w:after="0" w:line="252"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Definitive Additional Materials</w:t>
      </w:r>
    </w:p>
    <w:p>
      <w:pPr>
        <w:spacing w:after="0" w:line="252" w:lineRule="exact"/>
        <w:rPr>
          <w:sz w:val="24"/>
          <w:szCs w:val="24"/>
          <w:color w:val="auto"/>
        </w:rPr>
      </w:pPr>
    </w:p>
    <w:p>
      <w:pPr>
        <w:ind w:left="424" w:hanging="424"/>
        <w:spacing w:after="0"/>
        <w:tabs>
          <w:tab w:leader="none" w:pos="424" w:val="left"/>
        </w:tabs>
        <w:numPr>
          <w:ilvl w:val="0"/>
          <w:numId w:val="3"/>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 240.14a-12</w:t>
      </w:r>
    </w:p>
    <w:p>
      <w:pPr>
        <w:spacing w:after="0" w:line="196" w:lineRule="exact"/>
        <w:rPr>
          <w:sz w:val="24"/>
          <w:szCs w:val="24"/>
          <w:color w:val="auto"/>
        </w:rPr>
      </w:pPr>
    </w:p>
    <w:p>
      <w:pPr>
        <w:jc w:val="center"/>
        <w:ind w:right="-984"/>
        <w:spacing w:after="0"/>
        <w:rPr>
          <w:sz w:val="20"/>
          <w:szCs w:val="20"/>
          <w:color w:val="auto"/>
        </w:rPr>
      </w:pPr>
      <w:r>
        <w:rPr>
          <w:rFonts w:ascii="Times New Roman" w:cs="Times New Roman" w:eastAsia="Times New Roman" w:hAnsi="Times New Roman"/>
          <w:sz w:val="32"/>
          <w:szCs w:val="32"/>
          <w:b w:val="1"/>
          <w:bCs w:val="1"/>
          <w:color w:val="auto"/>
        </w:rPr>
        <w:t>REPARE THERAPEUTICS INC.</w:t>
      </w:r>
    </w:p>
    <w:p>
      <w:pPr>
        <w:spacing w:after="0" w:line="45" w:lineRule="exact"/>
        <w:rPr>
          <w:sz w:val="24"/>
          <w:szCs w:val="24"/>
          <w:color w:val="auto"/>
        </w:rPr>
      </w:pPr>
    </w:p>
    <w:p>
      <w:pPr>
        <w:jc w:val="center"/>
        <w:ind w:right="-984"/>
        <w:spacing w:after="0"/>
        <w:rPr>
          <w:sz w:val="20"/>
          <w:szCs w:val="20"/>
          <w:color w:val="auto"/>
        </w:rPr>
      </w:pPr>
      <w:r>
        <w:rPr>
          <w:rFonts w:ascii="Times New Roman" w:cs="Times New Roman" w:eastAsia="Times New Roman" w:hAnsi="Times New Roman"/>
          <w:sz w:val="18"/>
          <w:szCs w:val="18"/>
          <w:b w:val="1"/>
          <w:bCs w:val="1"/>
          <w:color w:val="auto"/>
        </w:rPr>
        <w:t>(Name of Registrant as Specified In Its Charter)</w:t>
      </w:r>
    </w:p>
    <w:p>
      <w:pPr>
        <w:spacing w:after="0" w:line="201" w:lineRule="exact"/>
        <w:rPr>
          <w:sz w:val="24"/>
          <w:szCs w:val="24"/>
          <w:color w:val="auto"/>
        </w:rPr>
      </w:pPr>
    </w:p>
    <w:p>
      <w:pPr>
        <w:ind w:left="2704"/>
        <w:spacing w:after="0"/>
        <w:rPr>
          <w:sz w:val="20"/>
          <w:szCs w:val="20"/>
          <w:color w:val="auto"/>
        </w:rPr>
      </w:pPr>
      <w:r>
        <w:rPr>
          <w:rFonts w:ascii="Times New Roman" w:cs="Times New Roman" w:eastAsia="Times New Roman" w:hAnsi="Times New Roman"/>
          <w:sz w:val="17"/>
          <w:szCs w:val="17"/>
          <w:b w:val="1"/>
          <w:bCs w:val="1"/>
          <w:color w:val="auto"/>
        </w:rPr>
        <w:t>(Name of Person(s) Filing Proxy Statement if Other Than the Registrant)</w:t>
      </w:r>
    </w:p>
    <w:p>
      <w:pPr>
        <w:spacing w:after="0" w:line="241"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Payment of Filing Fee (Check the appropriate box)</w:t>
      </w:r>
    </w:p>
    <w:p>
      <w:pPr>
        <w:spacing w:after="0" w:line="252" w:lineRule="exact"/>
        <w:rPr>
          <w:sz w:val="24"/>
          <w:szCs w:val="24"/>
          <w:color w:val="auto"/>
        </w:rPr>
      </w:pPr>
    </w:p>
    <w:p>
      <w:pPr>
        <w:ind w:left="424" w:hanging="424"/>
        <w:spacing w:after="0"/>
        <w:tabs>
          <w:tab w:leader="none" w:pos="424" w:val="left"/>
        </w:tabs>
        <w:numPr>
          <w:ilvl w:val="0"/>
          <w:numId w:val="4"/>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No fee required.</w:t>
      </w:r>
    </w:p>
    <w:p>
      <w:pPr>
        <w:spacing w:after="0" w:line="252" w:lineRule="exact"/>
        <w:rPr>
          <w:sz w:val="24"/>
          <w:szCs w:val="24"/>
          <w:color w:val="auto"/>
        </w:rPr>
      </w:pPr>
    </w:p>
    <w:p>
      <w:pPr>
        <w:ind w:left="424" w:hanging="424"/>
        <w:spacing w:after="0"/>
        <w:tabs>
          <w:tab w:leader="none" w:pos="424" w:val="left"/>
        </w:tabs>
        <w:numPr>
          <w:ilvl w:val="0"/>
          <w:numId w:val="5"/>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Fee paid previously with preliminary materials.</w:t>
      </w:r>
    </w:p>
    <w:p>
      <w:pPr>
        <w:spacing w:after="0" w:line="252" w:lineRule="exact"/>
        <w:rPr>
          <w:rFonts w:ascii="MS PGothic" w:cs="MS PGothic" w:eastAsia="MS PGothic" w:hAnsi="MS PGothic"/>
          <w:sz w:val="18"/>
          <w:szCs w:val="18"/>
          <w:color w:val="auto"/>
        </w:rPr>
      </w:pPr>
    </w:p>
    <w:p>
      <w:pPr>
        <w:ind w:left="424" w:hanging="424"/>
        <w:spacing w:after="0"/>
        <w:tabs>
          <w:tab w:leader="none" w:pos="424" w:val="left"/>
        </w:tabs>
        <w:numPr>
          <w:ilvl w:val="0"/>
          <w:numId w:val="5"/>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Fee computed on table in exhibit required by Item 25(b) per Exchange Act Rules 14a-6(i)(1) and 0-11.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180340</wp:posOffset>
            </wp:positionV>
            <wp:extent cx="69951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222885</wp:posOffset>
            </wp:positionV>
            <wp:extent cx="69951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023"/>
          </w:cols>
          <w:pgMar w:left="436" w:top="511" w:right="1440" w:bottom="1440" w:gutter="0" w:footer="0" w:header="0"/>
        </w:sectPr>
      </w:pPr>
    </w:p>
    <w:bookmarkStart w:id="1" w:name="page2"/>
    <w:bookmarkEnd w:id="1"/>
    <w:p>
      <w:pPr>
        <w:jc w:val="center"/>
        <w:ind w:left="5720"/>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Repare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306070</wp:posOffset>
            </wp:positionH>
            <wp:positionV relativeFrom="paragraph">
              <wp:posOffset>-140335</wp:posOffset>
            </wp:positionV>
            <wp:extent cx="805815" cy="2482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05815" cy="248285"/>
                    </a:xfrm>
                    <a:prstGeom prst="rect">
                      <a:avLst/>
                    </a:prstGeom>
                    <a:noFill/>
                  </pic:spPr>
                </pic:pic>
              </a:graphicData>
            </a:graphic>
          </wp:anchor>
        </w:drawing>
      </w:r>
    </w:p>
    <w:p>
      <w:pPr>
        <w:jc w:val="center"/>
        <w:ind w:left="5720"/>
        <w:spacing w:after="0"/>
        <w:rPr>
          <w:sz w:val="20"/>
          <w:szCs w:val="20"/>
          <w:color w:val="auto"/>
        </w:rPr>
      </w:pPr>
      <w:r>
        <w:rPr>
          <w:rFonts w:ascii="Times New Roman" w:cs="Times New Roman" w:eastAsia="Times New Roman" w:hAnsi="Times New Roman"/>
          <w:sz w:val="22"/>
          <w:szCs w:val="22"/>
          <w:b w:val="1"/>
          <w:bCs w:val="1"/>
          <w:color w:val="auto"/>
        </w:rPr>
        <w:t>Important Notice Regarding the Availability</w:t>
      </w:r>
    </w:p>
    <w:p>
      <w:pPr>
        <w:jc w:val="center"/>
        <w:ind w:left="5720"/>
        <w:spacing w:after="0" w:line="189" w:lineRule="auto"/>
        <w:rPr>
          <w:sz w:val="20"/>
          <w:szCs w:val="20"/>
          <w:color w:val="auto"/>
        </w:rPr>
      </w:pPr>
      <w:r>
        <w:rPr>
          <w:rFonts w:ascii="Times New Roman" w:cs="Times New Roman" w:eastAsia="Times New Roman" w:hAnsi="Times New Roman"/>
          <w:sz w:val="22"/>
          <w:szCs w:val="22"/>
          <w:b w:val="1"/>
          <w:bCs w:val="1"/>
          <w:color w:val="auto"/>
        </w:rPr>
        <w:t>of Proxy Materials</w:t>
      </w:r>
    </w:p>
    <w:p>
      <w:pPr>
        <w:spacing w:after="0"/>
        <w:rPr>
          <w:sz w:val="20"/>
          <w:szCs w:val="20"/>
          <w:color w:val="auto"/>
        </w:rPr>
      </w:pPr>
      <w:r>
        <w:rPr>
          <w:rFonts w:ascii="Times New Roman" w:cs="Times New Roman" w:eastAsia="Times New Roman" w:hAnsi="Times New Roman"/>
          <w:sz w:val="14"/>
          <w:szCs w:val="14"/>
          <w:color w:val="auto"/>
        </w:rPr>
        <w:t>P.O. BOX 8016, CARY, NC 27512-9903</w:t>
      </w:r>
    </w:p>
    <w:p>
      <w:pPr>
        <w:spacing w:after="0" w:line="9" w:lineRule="exact"/>
        <w:rPr>
          <w:sz w:val="20"/>
          <w:szCs w:val="20"/>
          <w:color w:val="auto"/>
        </w:rPr>
      </w:pPr>
    </w:p>
    <w:p>
      <w:pPr>
        <w:jc w:val="center"/>
        <w:ind w:left="5720"/>
        <w:spacing w:after="0"/>
        <w:rPr>
          <w:sz w:val="20"/>
          <w:szCs w:val="20"/>
          <w:color w:val="auto"/>
        </w:rPr>
      </w:pPr>
      <w:r>
        <w:rPr>
          <w:rFonts w:ascii="Times New Roman" w:cs="Times New Roman" w:eastAsia="Times New Roman" w:hAnsi="Times New Roman"/>
          <w:sz w:val="18"/>
          <w:szCs w:val="18"/>
          <w:b w:val="1"/>
          <w:bCs w:val="1"/>
          <w:color w:val="auto"/>
        </w:rPr>
        <w:t>Shareholders Meeting to be held on</w:t>
      </w:r>
    </w:p>
    <w:p>
      <w:pPr>
        <w:spacing w:after="0" w:line="7" w:lineRule="exact"/>
        <w:rPr>
          <w:sz w:val="20"/>
          <w:szCs w:val="20"/>
          <w:color w:val="auto"/>
        </w:rPr>
      </w:pPr>
    </w:p>
    <w:p>
      <w:pPr>
        <w:jc w:val="center"/>
        <w:ind w:left="5720"/>
        <w:spacing w:after="0"/>
        <w:rPr>
          <w:sz w:val="20"/>
          <w:szCs w:val="20"/>
          <w:color w:val="auto"/>
        </w:rPr>
      </w:pPr>
      <w:r>
        <w:rPr>
          <w:rFonts w:ascii="Times New Roman" w:cs="Times New Roman" w:eastAsia="Times New Roman" w:hAnsi="Times New Roman"/>
          <w:sz w:val="18"/>
          <w:szCs w:val="18"/>
          <w:b w:val="1"/>
          <w:bCs w:val="1"/>
          <w:color w:val="auto"/>
        </w:rPr>
        <w:t>May 13, 2022</w:t>
      </w:r>
    </w:p>
    <w:p>
      <w:pPr>
        <w:spacing w:after="0" w:line="9" w:lineRule="exact"/>
        <w:rPr>
          <w:sz w:val="20"/>
          <w:szCs w:val="20"/>
          <w:color w:val="auto"/>
        </w:rPr>
      </w:pPr>
    </w:p>
    <w:p>
      <w:pPr>
        <w:jc w:val="center"/>
        <w:ind w:left="5720"/>
        <w:spacing w:after="0"/>
        <w:rPr>
          <w:sz w:val="20"/>
          <w:szCs w:val="20"/>
          <w:color w:val="auto"/>
        </w:rPr>
      </w:pPr>
      <w:r>
        <w:rPr>
          <w:rFonts w:ascii="Times New Roman" w:cs="Times New Roman" w:eastAsia="Times New Roman" w:hAnsi="Times New Roman"/>
          <w:sz w:val="18"/>
          <w:szCs w:val="18"/>
          <w:b w:val="1"/>
          <w:bCs w:val="1"/>
          <w:color w:val="auto"/>
        </w:rPr>
        <w:t>For Shareholders of record as of March 21, 2022</w:t>
      </w:r>
    </w:p>
    <w:p>
      <w:pPr>
        <w:spacing w:after="0" w:line="106"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b w:val="1"/>
          <w:bCs w:val="1"/>
          <w:color w:val="auto"/>
        </w:rPr>
        <w:t>This communication presents only an overview of the more complete proxy materials</w:t>
      </w:r>
    </w:p>
    <w:p>
      <w:pPr>
        <w:ind w:left="5740"/>
        <w:spacing w:after="0" w:line="229" w:lineRule="auto"/>
        <w:rPr>
          <w:sz w:val="20"/>
          <w:szCs w:val="20"/>
          <w:color w:val="auto"/>
        </w:rPr>
      </w:pPr>
      <w:r>
        <w:rPr>
          <w:rFonts w:ascii="Times New Roman" w:cs="Times New Roman" w:eastAsia="Times New Roman" w:hAnsi="Times New Roman"/>
          <w:sz w:val="14"/>
          <w:szCs w:val="14"/>
          <w:b w:val="1"/>
          <w:bCs w:val="1"/>
          <w:color w:val="auto"/>
        </w:rPr>
        <w:t>that are available to you on the Internet. This is not a ballot. You cannot use this</w:t>
      </w:r>
    </w:p>
    <w:p>
      <w:pPr>
        <w:ind w:left="5740"/>
        <w:spacing w:after="0" w:line="221" w:lineRule="auto"/>
        <w:rPr>
          <w:sz w:val="20"/>
          <w:szCs w:val="20"/>
          <w:color w:val="auto"/>
        </w:rPr>
      </w:pPr>
      <w:r>
        <w:rPr>
          <w:rFonts w:ascii="Times New Roman" w:cs="Times New Roman" w:eastAsia="Times New Roman" w:hAnsi="Times New Roman"/>
          <w:sz w:val="14"/>
          <w:szCs w:val="14"/>
          <w:b w:val="1"/>
          <w:bCs w:val="1"/>
          <w:color w:val="auto"/>
        </w:rPr>
        <w:t>notice to vote your shares. We encourage you to access and review all of the important</w:t>
      </w:r>
    </w:p>
    <w:p>
      <w:pPr>
        <w:ind w:left="5740"/>
        <w:spacing w:after="0" w:line="222" w:lineRule="auto"/>
        <w:rPr>
          <w:sz w:val="20"/>
          <w:szCs w:val="20"/>
          <w:color w:val="auto"/>
        </w:rPr>
      </w:pPr>
      <w:r>
        <w:rPr>
          <w:rFonts w:ascii="Times New Roman" w:cs="Times New Roman" w:eastAsia="Times New Roman" w:hAnsi="Times New Roman"/>
          <w:sz w:val="14"/>
          <w:szCs w:val="14"/>
          <w:b w:val="1"/>
          <w:bCs w:val="1"/>
          <w:color w:val="auto"/>
        </w:rPr>
        <w:t>information contained in the proxy materials before voting. To appoint a third party</w:t>
      </w:r>
    </w:p>
    <w:p>
      <w:pPr>
        <w:ind w:left="5740"/>
        <w:spacing w:after="0" w:line="221" w:lineRule="auto"/>
        <w:rPr>
          <w:sz w:val="20"/>
          <w:szCs w:val="20"/>
          <w:color w:val="auto"/>
        </w:rPr>
      </w:pPr>
      <w:r>
        <w:rPr>
          <w:rFonts w:ascii="Times New Roman" w:cs="Times New Roman" w:eastAsia="Times New Roman" w:hAnsi="Times New Roman"/>
          <w:sz w:val="14"/>
          <w:szCs w:val="14"/>
          <w:b w:val="1"/>
          <w:bCs w:val="1"/>
          <w:color w:val="auto"/>
        </w:rPr>
        <w:t>proxyholder, a shareholder of record must return its proxy card by mail in</w:t>
      </w:r>
    </w:p>
    <w:p>
      <w:pPr>
        <w:ind w:left="5740"/>
        <w:spacing w:after="0" w:line="222" w:lineRule="auto"/>
        <w:rPr>
          <w:sz w:val="20"/>
          <w:szCs w:val="20"/>
          <w:color w:val="auto"/>
        </w:rPr>
      </w:pPr>
      <w:r>
        <w:rPr>
          <w:rFonts w:ascii="Times New Roman" w:cs="Times New Roman" w:eastAsia="Times New Roman" w:hAnsi="Times New Roman"/>
          <w:sz w:val="14"/>
          <w:szCs w:val="14"/>
          <w:b w:val="1"/>
          <w:bCs w:val="1"/>
          <w:color w:val="auto"/>
        </w:rPr>
        <w:t>accordance with the instructions provided in the proxy materials by no later than by</w:t>
      </w:r>
    </w:p>
    <w:p>
      <w:pPr>
        <w:ind w:left="5740"/>
        <w:spacing w:after="0"/>
        <w:rPr>
          <w:sz w:val="20"/>
          <w:szCs w:val="20"/>
          <w:color w:val="auto"/>
        </w:rPr>
      </w:pPr>
      <w:r>
        <w:rPr>
          <w:rFonts w:ascii="Times New Roman" w:cs="Times New Roman" w:eastAsia="Times New Roman" w:hAnsi="Times New Roman"/>
          <w:sz w:val="14"/>
          <w:szCs w:val="14"/>
          <w:b w:val="1"/>
          <w:bCs w:val="1"/>
          <w:color w:val="auto"/>
        </w:rPr>
        <w:t>10:00 A.M., Eastern Time, on May 11, 2022.</w:t>
      </w:r>
    </w:p>
    <w:p>
      <w:pPr>
        <w:spacing w:after="0" w:line="9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b w:val="1"/>
          <w:bCs w:val="1"/>
          <w:color w:val="auto"/>
        </w:rPr>
        <w:t>To view the proxy materials, and to obtain directions to attend the meeting, go to:</w:t>
      </w:r>
    </w:p>
    <w:p>
      <w:pPr>
        <w:spacing w:after="0" w:line="6"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b w:val="1"/>
          <w:bCs w:val="1"/>
          <w:color w:val="auto"/>
        </w:rPr>
        <w:t>www.proxydocs.com/RPTX</w:t>
      </w:r>
    </w:p>
    <w:p>
      <w:pPr>
        <w:spacing w:after="0" w:line="9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b w:val="1"/>
          <w:bCs w:val="1"/>
          <w:color w:val="auto"/>
        </w:rPr>
        <w:t>To vote your proxy while visiting this site, you will need the 12 digit control number in</w:t>
      </w:r>
    </w:p>
    <w:p>
      <w:pPr>
        <w:spacing w:after="0" w:line="6"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b w:val="1"/>
          <w:bCs w:val="1"/>
          <w:color w:val="auto"/>
        </w:rPr>
        <w:t>the box below.</w:t>
      </w:r>
    </w:p>
    <w:p>
      <w:pPr>
        <w:spacing w:after="0" w:line="93"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4"/>
          <w:szCs w:val="14"/>
          <w:color w:val="auto"/>
        </w:rPr>
        <w:t>Under United States Securities and Exchange Commission rules, proxy materials do not</w:t>
      </w:r>
    </w:p>
    <w:p>
      <w:pPr>
        <w:ind w:left="5740"/>
        <w:spacing w:after="0" w:line="226" w:lineRule="auto"/>
        <w:rPr>
          <w:sz w:val="20"/>
          <w:szCs w:val="20"/>
          <w:color w:val="auto"/>
        </w:rPr>
      </w:pPr>
      <w:r>
        <w:rPr>
          <w:rFonts w:ascii="Times New Roman" w:cs="Times New Roman" w:eastAsia="Times New Roman" w:hAnsi="Times New Roman"/>
          <w:sz w:val="14"/>
          <w:szCs w:val="14"/>
          <w:color w:val="auto"/>
        </w:rPr>
        <w:t>have to be delivered in paper. Proxy materials can be distributed by making them available</w:t>
      </w:r>
    </w:p>
    <w:p>
      <w:pPr>
        <w:ind w:left="5740"/>
        <w:spacing w:after="0"/>
        <w:rPr>
          <w:sz w:val="20"/>
          <w:szCs w:val="20"/>
          <w:color w:val="auto"/>
        </w:rPr>
      </w:pPr>
      <w:r>
        <w:rPr>
          <w:rFonts w:ascii="Times New Roman" w:cs="Times New Roman" w:eastAsia="Times New Roman" w:hAnsi="Times New Roman"/>
          <w:sz w:val="14"/>
          <w:szCs w:val="14"/>
          <w:color w:val="auto"/>
        </w:rPr>
        <w:t>on the internet.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4360545</wp:posOffset>
            </wp:positionH>
            <wp:positionV relativeFrom="paragraph">
              <wp:posOffset>159385</wp:posOffset>
            </wp:positionV>
            <wp:extent cx="1877060" cy="2057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7706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5"/>
          <w:szCs w:val="25"/>
          <w:b w:val="1"/>
          <w:bCs w:val="1"/>
          <w:color w:val="auto"/>
        </w:rPr>
        <w:t>For a convenient way to view proxy materials and VOTE go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400050</wp:posOffset>
            </wp:positionH>
            <wp:positionV relativeFrom="paragraph">
              <wp:posOffset>-172085</wp:posOffset>
            </wp:positionV>
            <wp:extent cx="62064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0649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-52070</wp:posOffset>
            </wp:positionV>
            <wp:extent cx="325755" cy="694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25755" cy="694690"/>
                    </a:xfrm>
                    <a:prstGeom prst="rect">
                      <a:avLst/>
                    </a:prstGeom>
                    <a:noFill/>
                  </pic:spPr>
                </pic:pic>
              </a:graphicData>
            </a:graphic>
          </wp:anchor>
        </w:drawing>
        <w:drawing>
          <wp:anchor simplePos="0" relativeHeight="251657728" behindDoc="1" locked="0" layoutInCell="0" allowOverlap="1">
            <wp:simplePos x="0" y="0"/>
            <wp:positionH relativeFrom="column">
              <wp:posOffset>6675120</wp:posOffset>
            </wp:positionH>
            <wp:positionV relativeFrom="paragraph">
              <wp:posOffset>-60960</wp:posOffset>
            </wp:positionV>
            <wp:extent cx="317500" cy="7029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7500" cy="702945"/>
                    </a:xfrm>
                    <a:prstGeom prst="rect">
                      <a:avLst/>
                    </a:prstGeom>
                    <a:noFill/>
                  </pic:spPr>
                </pic:pic>
              </a:graphicData>
            </a:graphic>
          </wp:anchor>
        </w:drawing>
      </w:r>
    </w:p>
    <w:p>
      <w:pPr>
        <w:spacing w:after="0" w:line="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5"/>
          <w:szCs w:val="25"/>
          <w:b w:val="1"/>
          <w:bCs w:val="1"/>
          <w:color w:val="auto"/>
        </w:rPr>
        <w:t>www.proxydocs.com/RPTX</w:t>
      </w:r>
    </w:p>
    <w:p>
      <w:pPr>
        <w:spacing w:after="0" w:line="9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Have the 12 digit control number located in the shaded box above available</w:t>
      </w:r>
    </w:p>
    <w:p>
      <w:pPr>
        <w:spacing w:after="0" w:line="1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when you access the website and follow the instructions.</w:t>
      </w:r>
    </w:p>
    <w:p>
      <w:pPr>
        <w:spacing w:after="0" w:line="239" w:lineRule="exact"/>
        <w:rPr>
          <w:sz w:val="20"/>
          <w:szCs w:val="20"/>
          <w:color w:val="auto"/>
        </w:rPr>
      </w:pPr>
    </w:p>
    <w:p>
      <w:pPr>
        <w:jc w:val="both"/>
        <w:ind w:left="740" w:right="680"/>
        <w:spacing w:after="0" w:line="243" w:lineRule="auto"/>
        <w:rPr>
          <w:sz w:val="20"/>
          <w:szCs w:val="20"/>
          <w:color w:val="auto"/>
        </w:rPr>
      </w:pPr>
      <w:r>
        <w:rPr>
          <w:rFonts w:ascii="Times New Roman" w:cs="Times New Roman" w:eastAsia="Times New Roman" w:hAnsi="Times New Roman"/>
          <w:sz w:val="14"/>
          <w:szCs w:val="14"/>
          <w:i w:val="1"/>
          <w:iCs w:val="1"/>
          <w:color w:val="auto"/>
        </w:rPr>
        <w:t>If you want to receive a paper or e-mail copy of the proxy materials, you must request one. There is no charge to you for requesting a copy. In order to receive a paper package in time for the deadline to submit voting instructions, as applicable, and this year’s meeting, you must make this request on or before 5:00 PM, Eastern Time, on May 3,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400050</wp:posOffset>
            </wp:positionH>
            <wp:positionV relativeFrom="paragraph">
              <wp:posOffset>-302895</wp:posOffset>
            </wp:positionV>
            <wp:extent cx="62064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06490" cy="8255"/>
                    </a:xfrm>
                    <a:prstGeom prst="rect">
                      <a:avLst/>
                    </a:prstGeom>
                    <a:noFill/>
                  </pic:spPr>
                </pic:pic>
              </a:graphicData>
            </a:graphic>
          </wp:anchor>
        </w:drawing>
      </w:r>
    </w:p>
    <w:p>
      <w:pPr>
        <w:spacing w:after="0" w:line="1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To order paper materials, use one of the following methods.</w:t>
      </w:r>
    </w:p>
    <w:p>
      <w:pPr>
        <w:spacing w:after="0" w:line="254" w:lineRule="exact"/>
        <w:rPr>
          <w:sz w:val="20"/>
          <w:szCs w:val="20"/>
          <w:color w:val="auto"/>
        </w:rPr>
      </w:pPr>
    </w:p>
    <w:tbl>
      <w:tblPr>
        <w:tblLayout w:type="fixed"/>
        <w:tblInd w:w="70" w:type="dxa"/>
        <w:tblCellMar>
          <w:top w:w="0" w:type="dxa"/>
          <w:left w:w="0" w:type="dxa"/>
          <w:bottom w:w="0" w:type="dxa"/>
          <w:right w:w="0" w:type="dxa"/>
        </w:tblCellMar>
      </w:tblPr>
      <w:tr>
        <w:trPr>
          <w:trHeight w:val="747"/>
        </w:trPr>
        <w:tc>
          <w:tcPr>
            <w:tcW w:w="4260" w:type="dxa"/>
            <w:vAlign w:val="bottom"/>
            <w:tcBorders>
              <w:top w:val="single" w:sz="8" w:color="auto"/>
              <w:left w:val="single" w:sz="8" w:color="auto"/>
              <w:right w:val="single" w:sz="8" w:color="auto"/>
            </w:tcBorders>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INTERNET</w:t>
            </w:r>
          </w:p>
        </w:tc>
        <w:tc>
          <w:tcPr>
            <w:tcW w:w="120" w:type="dxa"/>
            <w:vAlign w:val="bottom"/>
            <w:tcBorders>
              <w:right w:val="single" w:sz="8" w:color="auto"/>
            </w:tcBorders>
          </w:tcPr>
          <w:p>
            <w:pPr>
              <w:spacing w:after="0"/>
              <w:rPr>
                <w:sz w:val="24"/>
                <w:szCs w:val="24"/>
                <w:color w:val="auto"/>
              </w:rPr>
            </w:pPr>
          </w:p>
        </w:tc>
        <w:tc>
          <w:tcPr>
            <w:tcW w:w="2280" w:type="dxa"/>
            <w:vAlign w:val="bottom"/>
            <w:tcBorders>
              <w:top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b w:val="1"/>
                <w:bCs w:val="1"/>
                <w:color w:val="auto"/>
              </w:rPr>
              <w:t>TELEPHONE</w:t>
            </w:r>
          </w:p>
        </w:tc>
        <w:tc>
          <w:tcPr>
            <w:tcW w:w="120" w:type="dxa"/>
            <w:vAlign w:val="bottom"/>
            <w:tcBorders>
              <w:right w:val="single" w:sz="8" w:color="auto"/>
            </w:tcBorders>
          </w:tcPr>
          <w:p>
            <w:pPr>
              <w:spacing w:after="0"/>
              <w:rPr>
                <w:sz w:val="24"/>
                <w:szCs w:val="24"/>
                <w:color w:val="auto"/>
              </w:rPr>
            </w:pPr>
          </w:p>
        </w:tc>
        <w:tc>
          <w:tcPr>
            <w:tcW w:w="4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 E-MAIL</w:t>
            </w:r>
          </w:p>
        </w:tc>
      </w:tr>
      <w:tr>
        <w:trPr>
          <w:trHeight w:val="259"/>
        </w:trPr>
        <w:tc>
          <w:tcPr>
            <w:tcW w:w="4260" w:type="dxa"/>
            <w:vAlign w:val="bottom"/>
            <w:tcBorders>
              <w:left w:val="single" w:sz="8" w:color="auto"/>
              <w:bottom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www.investorelections.com/RPTX</w:t>
            </w:r>
          </w:p>
        </w:tc>
        <w:tc>
          <w:tcPr>
            <w:tcW w:w="120" w:type="dxa"/>
            <w:vAlign w:val="bottom"/>
            <w:tcBorders>
              <w:right w:val="single" w:sz="8" w:color="auto"/>
            </w:tcBorders>
          </w:tcPr>
          <w:p>
            <w:pPr>
              <w:spacing w:after="0"/>
              <w:rPr>
                <w:sz w:val="22"/>
                <w:szCs w:val="22"/>
                <w:color w:val="auto"/>
              </w:rPr>
            </w:pPr>
          </w:p>
        </w:tc>
        <w:tc>
          <w:tcPr>
            <w:tcW w:w="2280" w:type="dxa"/>
            <w:vAlign w:val="bottom"/>
            <w:tcBorders>
              <w:bottom w:val="single" w:sz="8" w:color="auto"/>
              <w:right w:val="single" w:sz="8" w:color="auto"/>
            </w:tcBorders>
          </w:tcPr>
          <w:p>
            <w:pPr>
              <w:ind w:left="600"/>
              <w:spacing w:after="0"/>
              <w:rPr>
                <w:sz w:val="20"/>
                <w:szCs w:val="20"/>
                <w:color w:val="auto"/>
              </w:rPr>
            </w:pPr>
            <w:r>
              <w:rPr>
                <w:rFonts w:ascii="Times New Roman" w:cs="Times New Roman" w:eastAsia="Times New Roman" w:hAnsi="Times New Roman"/>
                <w:sz w:val="18"/>
                <w:szCs w:val="18"/>
                <w:b w:val="1"/>
                <w:bCs w:val="1"/>
                <w:color w:val="auto"/>
              </w:rPr>
              <w:t>(866) 648-8133</w:t>
            </w:r>
          </w:p>
        </w:tc>
        <w:tc>
          <w:tcPr>
            <w:tcW w:w="120" w:type="dxa"/>
            <w:vAlign w:val="bottom"/>
            <w:tcBorders>
              <w:right w:val="single" w:sz="8" w:color="auto"/>
            </w:tcBorders>
          </w:tcPr>
          <w:p>
            <w:pPr>
              <w:spacing w:after="0"/>
              <w:rPr>
                <w:sz w:val="22"/>
                <w:szCs w:val="22"/>
                <w:color w:val="auto"/>
              </w:rPr>
            </w:pPr>
          </w:p>
        </w:tc>
        <w:tc>
          <w:tcPr>
            <w:tcW w:w="4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paper@investorelections.com</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1291590</wp:posOffset>
            </wp:positionH>
            <wp:positionV relativeFrom="paragraph">
              <wp:posOffset>-513715</wp:posOffset>
            </wp:positionV>
            <wp:extent cx="2743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74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3486150</wp:posOffset>
            </wp:positionH>
            <wp:positionV relativeFrom="paragraph">
              <wp:posOffset>-616585</wp:posOffset>
            </wp:positionV>
            <wp:extent cx="154305" cy="274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4305" cy="274320"/>
                    </a:xfrm>
                    <a:prstGeom prst="rect">
                      <a:avLst/>
                    </a:prstGeom>
                    <a:noFill/>
                  </pic:spPr>
                </pic:pic>
              </a:graphicData>
            </a:graphic>
          </wp:anchor>
        </w:drawing>
        <w:drawing>
          <wp:anchor simplePos="0" relativeHeight="251657728" behindDoc="1" locked="0" layoutInCell="0" allowOverlap="1">
            <wp:simplePos x="0" y="0"/>
            <wp:positionH relativeFrom="column">
              <wp:posOffset>5535295</wp:posOffset>
            </wp:positionH>
            <wp:positionV relativeFrom="paragraph">
              <wp:posOffset>-616585</wp:posOffset>
            </wp:positionV>
            <wp:extent cx="257175" cy="282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57175" cy="282575"/>
                    </a:xfrm>
                    <a:prstGeom prst="rect">
                      <a:avLst/>
                    </a:prstGeom>
                    <a:noFill/>
                  </pic:spPr>
                </pic:pic>
              </a:graphicData>
            </a:graphic>
          </wp:anchor>
        </w:drawing>
      </w:r>
    </w:p>
    <w:p>
      <w:pPr>
        <w:sectPr>
          <w:pgSz w:w="11900" w:h="16838" w:orient="portrait"/>
          <w:cols w:equalWidth="0" w:num="1">
            <w:col w:w="11000"/>
          </w:cols>
          <w:pgMar w:left="440" w:top="257" w:right="459" w:bottom="1440" w:gutter="0" w:footer="0" w:header="0"/>
        </w:sectPr>
      </w:pPr>
    </w:p>
    <w:p>
      <w:pPr>
        <w:ind w:left="480"/>
        <w:spacing w:after="0" w:line="248" w:lineRule="auto"/>
        <w:rPr>
          <w:sz w:val="20"/>
          <w:szCs w:val="20"/>
          <w:color w:val="auto"/>
        </w:rPr>
      </w:pPr>
      <w:r>
        <w:rPr>
          <w:rFonts w:ascii="Times New Roman" w:cs="Times New Roman" w:eastAsia="Times New Roman" w:hAnsi="Times New Roman"/>
          <w:sz w:val="14"/>
          <w:szCs w:val="14"/>
          <w:color w:val="auto"/>
        </w:rPr>
        <w:t>When requesting via the Internet or telephone you will need the 12 digit control number located in the shaded box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wp:posOffset>
            </wp:positionH>
            <wp:positionV relativeFrom="paragraph">
              <wp:posOffset>302895</wp:posOffset>
            </wp:positionV>
            <wp:extent cx="6926580" cy="16459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26580" cy="16459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left="-8" w:right="100" w:firstLine="8"/>
        <w:spacing w:after="0" w:line="226" w:lineRule="auto"/>
        <w:tabs>
          <w:tab w:leader="none" w:pos="86" w:val="left"/>
        </w:tabs>
        <w:numPr>
          <w:ilvl w:val="0"/>
          <w:numId w:val="6"/>
        </w:numPr>
        <w:rPr>
          <w:rFonts w:ascii="Times New Roman" w:cs="Times New Roman" w:eastAsia="Times New Roman" w:hAnsi="Times New Roman"/>
          <w:sz w:val="13"/>
          <w:szCs w:val="13"/>
          <w:color w:val="auto"/>
        </w:rPr>
      </w:pPr>
      <w:r>
        <w:rPr>
          <w:rFonts w:ascii="Times New Roman" w:cs="Times New Roman" w:eastAsia="Times New Roman" w:hAnsi="Times New Roman"/>
          <w:sz w:val="13"/>
          <w:szCs w:val="13"/>
          <w:color w:val="auto"/>
        </w:rPr>
        <w:t>If requesting material by e-mail, please send a blank e-mail with the 12 digit control number (located above) in the subject line. No other requests, instructions OR other inquiries should be included with your e-mail requesting material.</w:t>
      </w:r>
    </w:p>
    <w:p>
      <w:pPr>
        <w:spacing w:after="0" w:line="200" w:lineRule="exact"/>
        <w:rPr>
          <w:sz w:val="20"/>
          <w:szCs w:val="20"/>
          <w:color w:val="auto"/>
        </w:rPr>
      </w:pPr>
    </w:p>
    <w:p>
      <w:pPr>
        <w:sectPr>
          <w:pgSz w:w="11900" w:h="16838" w:orient="portrait"/>
          <w:cols w:equalWidth="0" w:num="2">
            <w:col w:w="6360" w:space="568"/>
            <w:col w:w="4072"/>
          </w:cols>
          <w:pgMar w:left="440" w:top="257" w:right="459" w:bottom="1440" w:gutter="0" w:footer="0" w:header="0"/>
          <w:type w:val="continuous"/>
        </w:sectPr>
      </w:pPr>
    </w:p>
    <w:p>
      <w:pPr>
        <w:spacing w:after="0" w:line="15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Repare Therapeutics Inc.</w:t>
      </w:r>
    </w:p>
    <w:p>
      <w:pPr>
        <w:spacing w:after="0" w:line="8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4"/>
          <w:szCs w:val="14"/>
          <w:b w:val="1"/>
          <w:bCs w:val="1"/>
          <w:color w:val="auto"/>
        </w:rPr>
        <w:t xml:space="preserve">Meeting Type: </w:t>
      </w:r>
      <w:r>
        <w:rPr>
          <w:rFonts w:ascii="Times New Roman" w:cs="Times New Roman" w:eastAsia="Times New Roman" w:hAnsi="Times New Roman"/>
          <w:sz w:val="14"/>
          <w:szCs w:val="14"/>
          <w:color w:val="auto"/>
        </w:rPr>
        <w:t>Annual Meeting of Shareholders</w:t>
      </w:r>
    </w:p>
    <w:p>
      <w:pPr>
        <w:ind w:left="220"/>
        <w:spacing w:after="0" w:line="229" w:lineRule="auto"/>
        <w:rPr>
          <w:sz w:val="20"/>
          <w:szCs w:val="20"/>
          <w:color w:val="auto"/>
        </w:rPr>
      </w:pPr>
      <w:r>
        <w:rPr>
          <w:rFonts w:ascii="Times New Roman" w:cs="Times New Roman" w:eastAsia="Times New Roman" w:hAnsi="Times New Roman"/>
          <w:sz w:val="14"/>
          <w:szCs w:val="14"/>
          <w:b w:val="1"/>
          <w:bCs w:val="1"/>
          <w:color w:val="auto"/>
        </w:rPr>
        <w:t>Date</w:t>
      </w:r>
      <w:r>
        <w:rPr>
          <w:rFonts w:ascii="Times New Roman" w:cs="Times New Roman" w:eastAsia="Times New Roman" w:hAnsi="Times New Roman"/>
          <w:sz w:val="14"/>
          <w:szCs w:val="14"/>
          <w:color w:val="auto"/>
        </w:rPr>
        <w:t>: Friday, May 13, 2022</w:t>
      </w:r>
    </w:p>
    <w:p>
      <w:pPr>
        <w:ind w:left="220"/>
        <w:spacing w:after="0" w:line="221" w:lineRule="auto"/>
        <w:rPr>
          <w:sz w:val="20"/>
          <w:szCs w:val="20"/>
          <w:color w:val="auto"/>
        </w:rPr>
      </w:pPr>
      <w:r>
        <w:rPr>
          <w:rFonts w:ascii="Times New Roman" w:cs="Times New Roman" w:eastAsia="Times New Roman" w:hAnsi="Times New Roman"/>
          <w:sz w:val="14"/>
          <w:szCs w:val="14"/>
          <w:b w:val="1"/>
          <w:bCs w:val="1"/>
          <w:color w:val="auto"/>
        </w:rPr>
        <w:t>Time</w:t>
      </w:r>
      <w:r>
        <w:rPr>
          <w:rFonts w:ascii="Times New Roman" w:cs="Times New Roman" w:eastAsia="Times New Roman" w:hAnsi="Times New Roman"/>
          <w:sz w:val="14"/>
          <w:szCs w:val="14"/>
          <w:color w:val="auto"/>
        </w:rPr>
        <w:t>: 4:00 PM, Eastern Time</w:t>
      </w:r>
    </w:p>
    <w:p>
      <w:pPr>
        <w:ind w:left="220"/>
        <w:spacing w:after="0" w:line="222" w:lineRule="auto"/>
        <w:rPr>
          <w:sz w:val="20"/>
          <w:szCs w:val="20"/>
          <w:color w:val="auto"/>
        </w:rPr>
      </w:pPr>
      <w:r>
        <w:rPr>
          <w:rFonts w:ascii="Times New Roman" w:cs="Times New Roman" w:eastAsia="Times New Roman" w:hAnsi="Times New Roman"/>
          <w:sz w:val="14"/>
          <w:szCs w:val="14"/>
          <w:b w:val="1"/>
          <w:bCs w:val="1"/>
          <w:color w:val="auto"/>
        </w:rPr>
        <w:t xml:space="preserve">Place: </w:t>
      </w:r>
      <w:r>
        <w:rPr>
          <w:rFonts w:ascii="Times New Roman" w:cs="Times New Roman" w:eastAsia="Times New Roman" w:hAnsi="Times New Roman"/>
          <w:sz w:val="14"/>
          <w:szCs w:val="14"/>
          <w:color w:val="auto"/>
        </w:rPr>
        <w:t>Annual Meeting to be held live via live webcast - please visit</w:t>
      </w:r>
    </w:p>
    <w:p>
      <w:pPr>
        <w:ind w:left="680"/>
        <w:spacing w:after="0"/>
        <w:rPr>
          <w:sz w:val="20"/>
          <w:szCs w:val="20"/>
          <w:color w:val="auto"/>
        </w:rPr>
      </w:pPr>
      <w:r>
        <w:rPr>
          <w:rFonts w:ascii="Times New Roman" w:cs="Times New Roman" w:eastAsia="Times New Roman" w:hAnsi="Times New Roman"/>
          <w:sz w:val="14"/>
          <w:szCs w:val="14"/>
          <w:color w:val="auto"/>
        </w:rPr>
        <w:t>www.proxydocs.com/RPTX for more details.</w:t>
      </w:r>
    </w:p>
    <w:p>
      <w:pPr>
        <w:spacing w:after="0" w:line="22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4"/>
          <w:szCs w:val="14"/>
          <w:color w:val="auto"/>
        </w:rPr>
        <w:t>For information about this notice, please call (888) 464-5457.</w:t>
      </w:r>
    </w:p>
    <w:p>
      <w:pPr>
        <w:spacing w:after="0" w:line="23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b w:val="1"/>
          <w:bCs w:val="1"/>
          <w:color w:val="auto"/>
        </w:rPr>
        <w:t>You must pre-register to attend the meeting online and/or participate at www.proxydocs.com/RPTX.</w:t>
      </w:r>
    </w:p>
    <w:p>
      <w:pPr>
        <w:spacing w:after="0" w:line="142"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18"/>
          <w:szCs w:val="18"/>
          <w:b w:val="1"/>
          <w:bCs w:val="1"/>
          <w:color w:val="auto"/>
        </w:rPr>
        <w:t>SEE REVERSE FOR FULL AGENDA</w:t>
      </w:r>
    </w:p>
    <w:p>
      <w:pPr>
        <w:sectPr>
          <w:pgSz w:w="11900" w:h="16838" w:orient="portrait"/>
          <w:cols w:equalWidth="0" w:num="1">
            <w:col w:w="11000"/>
          </w:cols>
          <w:pgMar w:left="440" w:top="257" w:right="459" w:bottom="1440" w:gutter="0" w:footer="0" w:header="0"/>
          <w:type w:val="continuous"/>
        </w:sectPr>
      </w:pPr>
    </w:p>
    <w:bookmarkStart w:id="2" w:name="page3"/>
    <w:bookmarkEnd w:id="2"/>
    <w:p>
      <w:pPr>
        <w:jc w:val="center"/>
        <w:ind w:right="-3"/>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Repare Therapeutics Inc.</w:t>
      </w:r>
    </w:p>
    <w:p>
      <w:pPr>
        <w:spacing w:after="0" w:line="115" w:lineRule="exact"/>
        <w:rPr>
          <w:sz w:val="20"/>
          <w:szCs w:val="20"/>
          <w:color w:val="auto"/>
        </w:rPr>
      </w:pPr>
    </w:p>
    <w:p>
      <w:pPr>
        <w:ind w:left="4004"/>
        <w:spacing w:after="0"/>
        <w:rPr>
          <w:sz w:val="20"/>
          <w:szCs w:val="20"/>
          <w:color w:val="auto"/>
        </w:rPr>
      </w:pPr>
      <w:r>
        <w:rPr>
          <w:rFonts w:ascii="Times New Roman" w:cs="Times New Roman" w:eastAsia="Times New Roman" w:hAnsi="Times New Roman"/>
          <w:sz w:val="22"/>
          <w:szCs w:val="22"/>
          <w:b w:val="1"/>
          <w:bCs w:val="1"/>
          <w:color w:val="auto"/>
        </w:rPr>
        <w:t>Annual Meeting of Shareholders</w:t>
      </w:r>
    </w:p>
    <w:p>
      <w:pPr>
        <w:spacing w:after="0" w:line="21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THE BOARD OF DIRECTORS RECOMMENDS A VOTE:</w:t>
      </w:r>
    </w:p>
    <w:p>
      <w:pPr>
        <w:spacing w:after="0" w:line="3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18"/>
          <w:szCs w:val="18"/>
          <w:b w:val="1"/>
          <w:bCs w:val="1"/>
          <w:color w:val="auto"/>
        </w:rPr>
        <w:t xml:space="preserve">FOR </w:t>
      </w:r>
      <w:r>
        <w:rPr>
          <w:rFonts w:ascii="Times New Roman" w:cs="Times New Roman" w:eastAsia="Times New Roman" w:hAnsi="Times New Roman"/>
          <w:sz w:val="18"/>
          <w:szCs w:val="18"/>
          <w:color w:val="auto"/>
        </w:rPr>
        <w:t>ON PROPOSALS 1, 2 AND 4</w:t>
      </w:r>
    </w:p>
    <w:p>
      <w:pPr>
        <w:spacing w:after="0" w:line="9"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18"/>
          <w:szCs w:val="18"/>
          <w:b w:val="1"/>
          <w:bCs w:val="1"/>
          <w:color w:val="auto"/>
        </w:rPr>
        <w:t xml:space="preserve">EVERY 1 YEAR </w:t>
      </w:r>
      <w:r>
        <w:rPr>
          <w:rFonts w:ascii="Times New Roman" w:cs="Times New Roman" w:eastAsia="Times New Roman" w:hAnsi="Times New Roman"/>
          <w:sz w:val="18"/>
          <w:szCs w:val="18"/>
          <w:color w:val="auto"/>
        </w:rPr>
        <w:t>ON PROPOSAL 3</w:t>
      </w:r>
    </w:p>
    <w:p>
      <w:pPr>
        <w:spacing w:after="0" w:line="200" w:lineRule="exact"/>
        <w:rPr>
          <w:sz w:val="20"/>
          <w:szCs w:val="20"/>
          <w:color w:val="auto"/>
        </w:rPr>
      </w:pPr>
    </w:p>
    <w:p>
      <w:pPr>
        <w:spacing w:after="0" w:line="216" w:lineRule="exact"/>
        <w:rPr>
          <w:sz w:val="20"/>
          <w:szCs w:val="20"/>
          <w:color w:val="auto"/>
        </w:rPr>
      </w:pPr>
    </w:p>
    <w:p>
      <w:pPr>
        <w:ind w:left="584"/>
        <w:spacing w:after="0"/>
        <w:rPr>
          <w:sz w:val="20"/>
          <w:szCs w:val="20"/>
          <w:color w:val="auto"/>
        </w:rPr>
      </w:pPr>
      <w:r>
        <w:rPr>
          <w:rFonts w:ascii="Times New Roman" w:cs="Times New Roman" w:eastAsia="Times New Roman" w:hAnsi="Times New Roman"/>
          <w:sz w:val="14"/>
          <w:szCs w:val="14"/>
          <w:b w:val="1"/>
          <w:bCs w:val="1"/>
          <w:color w:val="auto"/>
        </w:rPr>
        <w:t>PROPOSAL</w:t>
      </w:r>
    </w:p>
    <w:p>
      <w:pPr>
        <w:spacing w:after="0" w:line="115" w:lineRule="exact"/>
        <w:rPr>
          <w:sz w:val="20"/>
          <w:szCs w:val="20"/>
          <w:color w:val="auto"/>
        </w:rPr>
      </w:pPr>
    </w:p>
    <w:p>
      <w:pPr>
        <w:ind w:left="544" w:right="220" w:hanging="544"/>
        <w:spacing w:after="0" w:line="282" w:lineRule="auto"/>
        <w:tabs>
          <w:tab w:leader="none" w:pos="5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elect three Class II directors to our Board of Directors, each to hold office until our Annual Meeting of Shareholders in 2025. The Board of Directors intends to present for election the following three current director nominees as Class II directors:</w:t>
      </w:r>
    </w:p>
    <w:p>
      <w:pPr>
        <w:spacing w:after="0" w:line="67" w:lineRule="exact"/>
        <w:rPr>
          <w:rFonts w:ascii="Times New Roman" w:cs="Times New Roman" w:eastAsia="Times New Roman" w:hAnsi="Times New Roman"/>
          <w:sz w:val="18"/>
          <w:szCs w:val="18"/>
          <w:color w:val="auto"/>
        </w:rPr>
      </w:pPr>
    </w:p>
    <w:p>
      <w:pPr>
        <w:ind w:left="5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1.01 David Bonita, M.D.</w:t>
      </w:r>
    </w:p>
    <w:p>
      <w:pPr>
        <w:spacing w:after="0" w:line="130" w:lineRule="exact"/>
        <w:rPr>
          <w:rFonts w:ascii="Times New Roman" w:cs="Times New Roman" w:eastAsia="Times New Roman" w:hAnsi="Times New Roman"/>
          <w:sz w:val="18"/>
          <w:szCs w:val="18"/>
          <w:color w:val="auto"/>
        </w:rPr>
      </w:pPr>
    </w:p>
    <w:p>
      <w:pPr>
        <w:ind w:left="5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1.02 Thomas Civik</w:t>
      </w:r>
    </w:p>
    <w:p>
      <w:pPr>
        <w:spacing w:after="0" w:line="130" w:lineRule="exact"/>
        <w:rPr>
          <w:rFonts w:ascii="Times New Roman" w:cs="Times New Roman" w:eastAsia="Times New Roman" w:hAnsi="Times New Roman"/>
          <w:sz w:val="18"/>
          <w:szCs w:val="18"/>
          <w:color w:val="auto"/>
        </w:rPr>
      </w:pPr>
    </w:p>
    <w:p>
      <w:pPr>
        <w:ind w:left="5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1.03 Carol A. Schafer</w:t>
      </w:r>
    </w:p>
    <w:p>
      <w:pPr>
        <w:spacing w:after="0" w:line="252" w:lineRule="exact"/>
        <w:rPr>
          <w:rFonts w:ascii="Times New Roman" w:cs="Times New Roman" w:eastAsia="Times New Roman" w:hAnsi="Times New Roman"/>
          <w:sz w:val="18"/>
          <w:szCs w:val="18"/>
          <w:color w:val="auto"/>
        </w:rPr>
      </w:pPr>
    </w:p>
    <w:p>
      <w:pPr>
        <w:ind w:left="544" w:hanging="544"/>
        <w:spacing w:after="0"/>
        <w:tabs>
          <w:tab w:leader="none" w:pos="5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approve, on a non-binding, advisory basis, the compensation of our named executive officers;</w:t>
      </w:r>
    </w:p>
    <w:p>
      <w:pPr>
        <w:spacing w:after="0" w:line="130" w:lineRule="exact"/>
        <w:rPr>
          <w:rFonts w:ascii="Times New Roman" w:cs="Times New Roman" w:eastAsia="Times New Roman" w:hAnsi="Times New Roman"/>
          <w:sz w:val="18"/>
          <w:szCs w:val="18"/>
          <w:color w:val="auto"/>
        </w:rPr>
      </w:pPr>
    </w:p>
    <w:p>
      <w:pPr>
        <w:ind w:left="544" w:right="400" w:hanging="544"/>
        <w:spacing w:after="0" w:line="282" w:lineRule="auto"/>
        <w:tabs>
          <w:tab w:leader="none" w:pos="5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recommend, on a non-binding, advisory basis, the preferred frequency of future advisory votes on compensation of our named executive officers;</w:t>
      </w:r>
    </w:p>
    <w:p>
      <w:pPr>
        <w:spacing w:after="0" w:line="67" w:lineRule="exact"/>
        <w:rPr>
          <w:rFonts w:ascii="Times New Roman" w:cs="Times New Roman" w:eastAsia="Times New Roman" w:hAnsi="Times New Roman"/>
          <w:sz w:val="18"/>
          <w:szCs w:val="18"/>
          <w:color w:val="auto"/>
        </w:rPr>
      </w:pPr>
    </w:p>
    <w:p>
      <w:pPr>
        <w:ind w:left="544" w:right="360" w:hanging="544"/>
        <w:spacing w:after="0" w:line="282" w:lineRule="auto"/>
        <w:tabs>
          <w:tab w:leader="none" w:pos="5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appoint Ernst &amp; Young LLP as our independent registered public accounting firm (the “auditor”) for the fiscal year ending December 31, 2022, and to authorize the Board of Directors to fix the auditor’s remuneration; and</w:t>
      </w:r>
    </w:p>
    <w:p>
      <w:pPr>
        <w:spacing w:after="0" w:line="67" w:lineRule="exact"/>
        <w:rPr>
          <w:rFonts w:ascii="Times New Roman" w:cs="Times New Roman" w:eastAsia="Times New Roman" w:hAnsi="Times New Roman"/>
          <w:sz w:val="18"/>
          <w:szCs w:val="18"/>
          <w:color w:val="auto"/>
        </w:rPr>
      </w:pPr>
    </w:p>
    <w:p>
      <w:pPr>
        <w:ind w:left="544" w:hanging="544"/>
        <w:spacing w:after="0"/>
        <w:tabs>
          <w:tab w:leader="none" w:pos="5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conduct any other business properly brought before the Annual Meeting.</w:t>
      </w:r>
    </w:p>
    <w:p>
      <w:pPr>
        <w:spacing w:after="0" w:line="333" w:lineRule="exact"/>
        <w:rPr>
          <w:rFonts w:ascii="Times New Roman" w:cs="Times New Roman" w:eastAsia="Times New Roman" w:hAnsi="Times New Roman"/>
          <w:sz w:val="18"/>
          <w:szCs w:val="18"/>
          <w:color w:val="auto"/>
        </w:rPr>
      </w:pPr>
    </w:p>
    <w:p>
      <w:pPr>
        <w:ind w:left="5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additional information, see “Proposal 1: Election of Directors”, “Proposal 2: Advisory Vote On Executive Compensation”, “Proposal 3:</w:t>
      </w:r>
    </w:p>
    <w:p>
      <w:pPr>
        <w:spacing w:after="0" w:line="27" w:lineRule="exact"/>
        <w:rPr>
          <w:rFonts w:ascii="Times New Roman" w:cs="Times New Roman" w:eastAsia="Times New Roman" w:hAnsi="Times New Roman"/>
          <w:sz w:val="18"/>
          <w:szCs w:val="18"/>
          <w:color w:val="auto"/>
        </w:rPr>
      </w:pPr>
    </w:p>
    <w:p>
      <w:pPr>
        <w:ind w:left="544"/>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Advisory Vote on the Frequency of Solicitation of Advisory Shareholder Approval of Executive Compensation”, and “Proposal 4: Ratification of Selection of Independent Registered Public Accounting Firm” of the proxy statement for the 2022 Annual Meeting of Shareholders of Repare Therapeutics Inc.</w:t>
      </w:r>
    </w:p>
    <w:sectPr>
      <w:pgSz w:w="11900" w:h="16838" w:orient="portrait"/>
      <w:cols w:equalWidth="0" w:num="1">
        <w:col w:w="11004"/>
      </w:cols>
      <w:pgMar w:left="436" w:top="259"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2022-04-01T15:13:52Z</dcterms:created>
  <dcterms:modified xsi:type="dcterms:W3CDTF">2022-04-01T15:13:52Z</dcterms:modified>
</cp:coreProperties>
</file>