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Repare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760273102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2,727,606</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2,727,606</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2,727,606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6.50%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2,727,606</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2,727,606</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2,727,606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6.50%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2,727,606</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2,727,606</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2,727,606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6.50%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r>
        <w:trPr>
          <w:trHeight w:val="43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304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Repare Therapeutics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7210 Frederick-Banting, Suite 100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St-Laurent, Québec, Canada H4S 2A1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Capital, LP</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Biotechnology Master Fund, Ltd.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Kroin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Greenwich Ave, 3rd Floor, Greenwich, CT 06830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Walkers Corporate Limited, 190 Elgin Ave, George Town, KY1-9001, Cayman Islands</w:t>
      </w:r>
    </w:p>
    <w:p>
      <w:pPr>
        <w:spacing w:after="0" w:line="20" w:lineRule="exact"/>
        <w:rPr>
          <w:rFonts w:ascii="Times New Roman" w:cs="Times New Roman" w:eastAsia="Times New Roman" w:hAnsi="Times New Roman"/>
          <w:sz w:val="17"/>
          <w:szCs w:val="17"/>
          <w:color w:val="auto"/>
        </w:rPr>
      </w:pPr>
    </w:p>
    <w:p>
      <w:pPr>
        <w:ind w:left="1120" w:hanging="32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Deep Track Capital, LP, 200 Greenwich Ave, 3rd Floor, 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Common shares, no par value (the “Common shares”)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760273102</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4572635</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6 of 9 Pages</w:t>
      </w:r>
    </w:p>
    <w:p>
      <w:pPr>
        <w:spacing w:after="0" w:line="374" w:lineRule="exact"/>
        <w:rPr>
          <w:sz w:val="20"/>
          <w:szCs w:val="20"/>
          <w:color w:val="auto"/>
        </w:rPr>
      </w:pPr>
    </w:p>
    <w:p>
      <w:pPr>
        <w:sectPr>
          <w:pgSz w:w="11900" w:h="16838" w:orient="portrait"/>
          <w:cols w:equalWidth="0" w:num="2">
            <w:col w:w="9060" w:space="720"/>
            <w:col w:w="1460"/>
          </w:cols>
          <w:pgMar w:left="320" w:top="663" w:right="339" w:bottom="73"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22"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53"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107"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37"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8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37"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ectPr>
          <w:pgSz w:w="11900" w:h="16838" w:orient="portrait"/>
          <w:cols w:equalWidth="0" w:num="1">
            <w:col w:w="11240"/>
          </w:cols>
          <w:pgMar w:left="320" w:top="663" w:right="339" w:bottom="73" w:gutter="0" w:footer="0" w:header="0"/>
          <w:type w:val="continuous"/>
        </w:sectPr>
      </w:pPr>
    </w:p>
    <w:bookmarkStart w:id="5" w:name="page6"/>
    <w:bookmarkEnd w:id="5"/>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Common shares as of December 31, 2022, is incorporated by reference to items (5) - (9) and (11) of the cover page of the respective Reporting Person.</w:t>
      </w:r>
    </w:p>
    <w:p>
      <w:pPr>
        <w:spacing w:after="0" w:line="5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amount beneficially owned by each Reporting Person is determined based on 41,961,510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p>
      <w:pPr>
        <w:sectPr>
          <w:pgSz w:w="11900" w:h="16838" w:orient="portrait"/>
          <w:cols w:equalWidth="0" w:num="1">
            <w:col w:w="11240"/>
          </w:cols>
          <w:pgMar w:left="320" w:top="730"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760273102</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2023</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2023-02-14T07:59:48Z</dcterms:created>
  <dcterms:modified xsi:type="dcterms:W3CDTF">2023-02-14T07:59:48Z</dcterms:modified>
</cp:coreProperties>
</file>