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Repare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160" w:type="dxa"/>
            <w:vAlign w:val="bottom"/>
          </w:tcPr>
          <w:p>
            <w:pPr>
              <w:jc w:val="center"/>
              <w:ind w:right="2379"/>
              <w:spacing w:after="0"/>
              <w:rPr>
                <w:sz w:val="20"/>
                <w:szCs w:val="20"/>
                <w:color w:val="auto"/>
              </w:rPr>
            </w:pPr>
            <w:r>
              <w:rPr>
                <w:rFonts w:ascii="Arial" w:cs="Arial" w:eastAsia="Arial" w:hAnsi="Arial"/>
                <w:sz w:val="18"/>
                <w:szCs w:val="18"/>
                <w:b w:val="1"/>
                <w:bCs w:val="1"/>
                <w:color w:val="auto"/>
                <w:w w:val="87"/>
              </w:rPr>
              <w:t>Québec</w:t>
            </w:r>
          </w:p>
        </w:tc>
        <w:tc>
          <w:tcPr>
            <w:tcW w:w="2340" w:type="dxa"/>
            <w:vAlign w:val="bottom"/>
          </w:tcPr>
          <w:p>
            <w:pPr>
              <w:ind w:left="160"/>
              <w:spacing w:after="0"/>
              <w:rPr>
                <w:sz w:val="20"/>
                <w:szCs w:val="20"/>
                <w:color w:val="auto"/>
              </w:rPr>
            </w:pPr>
            <w:r>
              <w:rPr>
                <w:rFonts w:ascii="Arial" w:cs="Arial" w:eastAsia="Arial" w:hAnsi="Arial"/>
                <w:sz w:val="18"/>
                <w:szCs w:val="18"/>
                <w:b w:val="1"/>
                <w:bCs w:val="1"/>
                <w:color w:val="auto"/>
              </w:rPr>
              <w:t>001-39335</w:t>
            </w:r>
          </w:p>
        </w:tc>
        <w:tc>
          <w:tcPr>
            <w:tcW w:w="2500" w:type="dxa"/>
            <w:vAlign w:val="bottom"/>
          </w:tcPr>
          <w:p>
            <w:pPr>
              <w:jc w:val="center"/>
              <w:ind w:left="1281"/>
              <w:spacing w:after="0"/>
              <w:rPr>
                <w:sz w:val="20"/>
                <w:szCs w:val="20"/>
                <w:color w:val="auto"/>
              </w:rPr>
            </w:pPr>
            <w:r>
              <w:rPr>
                <w:rFonts w:ascii="Arial" w:cs="Arial" w:eastAsia="Arial" w:hAnsi="Arial"/>
                <w:sz w:val="18"/>
                <w:szCs w:val="18"/>
                <w:b w:val="1"/>
                <w:bCs w:val="1"/>
                <w:color w:val="auto"/>
                <w:w w:val="89"/>
              </w:rPr>
              <w:t>Not applicable</w:t>
            </w:r>
          </w:p>
        </w:tc>
      </w:tr>
      <w:tr>
        <w:trPr>
          <w:trHeight w:val="148"/>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4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60" w:type="dxa"/>
            <w:vAlign w:val="bottom"/>
          </w:tcPr>
          <w:p>
            <w:pPr>
              <w:jc w:val="center"/>
              <w:ind w:left="1199"/>
              <w:spacing w:after="0"/>
              <w:rPr>
                <w:sz w:val="20"/>
                <w:szCs w:val="20"/>
                <w:color w:val="auto"/>
              </w:rPr>
            </w:pPr>
            <w:r>
              <w:rPr>
                <w:rFonts w:ascii="Arial" w:cs="Arial" w:eastAsia="Arial" w:hAnsi="Arial"/>
                <w:sz w:val="18"/>
                <w:szCs w:val="18"/>
                <w:b w:val="1"/>
                <w:bCs w:val="1"/>
                <w:color w:val="auto"/>
                <w:w w:val="91"/>
              </w:rPr>
              <w:t>7210 Frederick-Banting, Suite 100</w:t>
            </w:r>
          </w:p>
        </w:tc>
        <w:tc>
          <w:tcPr>
            <w:tcW w:w="23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5"/>
        </w:trPr>
        <w:tc>
          <w:tcPr>
            <w:tcW w:w="4160" w:type="dxa"/>
            <w:vAlign w:val="bottom"/>
          </w:tcPr>
          <w:p>
            <w:pPr>
              <w:jc w:val="center"/>
              <w:ind w:left="1199"/>
              <w:spacing w:after="0"/>
              <w:rPr>
                <w:sz w:val="20"/>
                <w:szCs w:val="20"/>
                <w:color w:val="auto"/>
              </w:rPr>
            </w:pPr>
            <w:r>
              <w:rPr>
                <w:rFonts w:ascii="Arial" w:cs="Arial" w:eastAsia="Arial" w:hAnsi="Arial"/>
                <w:sz w:val="18"/>
                <w:szCs w:val="18"/>
                <w:b w:val="1"/>
                <w:bCs w:val="1"/>
                <w:color w:val="auto"/>
                <w:w w:val="91"/>
              </w:rPr>
              <w:t>St-Laurent, Québec, Canada</w:t>
            </w:r>
          </w:p>
        </w:tc>
        <w:tc>
          <w:tcPr>
            <w:tcW w:w="2340" w:type="dxa"/>
            <w:vAlign w:val="bottom"/>
          </w:tcPr>
          <w:p>
            <w:pPr>
              <w:spacing w:after="0"/>
              <w:rPr>
                <w:sz w:val="19"/>
                <w:szCs w:val="19"/>
                <w:color w:val="auto"/>
              </w:rPr>
            </w:pPr>
          </w:p>
        </w:tc>
        <w:tc>
          <w:tcPr>
            <w:tcW w:w="2500" w:type="dxa"/>
            <w:vAlign w:val="bottom"/>
          </w:tcPr>
          <w:p>
            <w:pPr>
              <w:jc w:val="center"/>
              <w:ind w:left="1281"/>
              <w:spacing w:after="0"/>
              <w:rPr>
                <w:sz w:val="20"/>
                <w:szCs w:val="20"/>
                <w:color w:val="auto"/>
              </w:rPr>
            </w:pPr>
            <w:r>
              <w:rPr>
                <w:rFonts w:ascii="Arial" w:cs="Arial" w:eastAsia="Arial" w:hAnsi="Arial"/>
                <w:sz w:val="18"/>
                <w:szCs w:val="18"/>
                <w:b w:val="1"/>
                <w:bCs w:val="1"/>
                <w:color w:val="auto"/>
                <w:w w:val="95"/>
              </w:rPr>
              <w:t>H4S 2A1</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4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80" w:hanging="405"/>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75"/>
        <w:spacing w:after="0" w:line="449"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gridSpan w:val="2"/>
          </w:tcPr>
          <w:p>
            <w:pPr>
              <w:ind w:left="1560"/>
              <w:spacing w:after="0" w:line="149" w:lineRule="exact"/>
              <w:rPr>
                <w:sz w:val="20"/>
                <w:szCs w:val="20"/>
                <w:color w:val="auto"/>
              </w:rPr>
            </w:pPr>
            <w:r>
              <w:rPr>
                <w:rFonts w:ascii="Arial" w:cs="Arial" w:eastAsia="Arial" w:hAnsi="Arial"/>
                <w:sz w:val="14"/>
                <w:szCs w:val="14"/>
                <w:b w:val="1"/>
                <w:bCs w:val="1"/>
                <w:color w:val="auto"/>
              </w:rPr>
              <w:t>Trading</w:t>
            </w:r>
          </w:p>
        </w:tc>
        <w:tc>
          <w:tcPr>
            <w:tcW w:w="3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40" w:type="dxa"/>
            <w:vAlign w:val="bottom"/>
            <w:gridSpan w:val="2"/>
            <w:vMerge w:val="continue"/>
          </w:tcPr>
          <w:p>
            <w:pPr>
              <w:spacing w:after="0"/>
              <w:rPr>
                <w:sz w:val="16"/>
                <w:szCs w:val="16"/>
                <w:color w:val="auto"/>
              </w:rPr>
            </w:pPr>
          </w:p>
        </w:tc>
        <w:tc>
          <w:tcPr>
            <w:tcW w:w="3700" w:type="dxa"/>
            <w:vAlign w:val="bottom"/>
            <w:gridSpan w:val="2"/>
          </w:tcPr>
          <w:p>
            <w:pPr>
              <w:ind w:left="1580"/>
              <w:spacing w:after="0"/>
              <w:rPr>
                <w:sz w:val="20"/>
                <w:szCs w:val="20"/>
                <w:color w:val="auto"/>
              </w:rPr>
            </w:pPr>
            <w:r>
              <w:rPr>
                <w:rFonts w:ascii="Arial" w:cs="Arial" w:eastAsia="Arial" w:hAnsi="Arial"/>
                <w:sz w:val="14"/>
                <w:szCs w:val="14"/>
                <w:b w:val="1"/>
                <w:bCs w:val="1"/>
                <w:color w:val="auto"/>
              </w:rPr>
              <w:t>Symbol</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ind w:left="1580"/>
              <w:spacing w:after="0"/>
              <w:rPr>
                <w:sz w:val="20"/>
                <w:szCs w:val="20"/>
                <w:color w:val="auto"/>
              </w:rPr>
            </w:pPr>
            <w:r>
              <w:rPr>
                <w:rFonts w:ascii="Arial" w:cs="Arial" w:eastAsia="Arial" w:hAnsi="Arial"/>
                <w:sz w:val="18"/>
                <w:szCs w:val="18"/>
                <w:color w:val="auto"/>
              </w:rPr>
              <w:t>RPTX</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March 4, 2021, Repare Therapeutics Inc. (the “Company”) issued a press release announcing its recent business highlights and financial results for the three and twelve months ended December 31, 2020. A copy of the press release is furnished hereto as Exhibit 99.1 and is incorporated herein by reference.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40"/>
        <w:spacing w:after="0"/>
        <w:tabs>
          <w:tab w:leader="none" w:pos="10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tbl>
      <w:tblPr>
        <w:tblLayout w:type="fixed"/>
        <w:tblInd w:w="642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Lloyd M. Segal</w:t>
            </w:r>
          </w:p>
        </w:tc>
      </w:tr>
      <w:tr>
        <w:trPr>
          <w:trHeight w:val="215"/>
        </w:trPr>
        <w:tc>
          <w:tcPr>
            <w:tcW w:w="6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Lloyd M. Segal</w:t>
            </w:r>
          </w:p>
        </w:tc>
      </w:tr>
      <w:tr>
        <w:trPr>
          <w:trHeight w:val="230"/>
        </w:trPr>
        <w:tc>
          <w:tcPr>
            <w:tcW w:w="6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March 4, 2021</w:t>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0883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88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Repare Therapeutics Provides Business Update and Reports Fourth Quarter and Full Year 2020 Financial Results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Initiated patient recruitment of PARP-inhibitor combination arm of RP-3500 TRESR Phase 1/2 clinical trial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Initiated IND-enabling studies for RP-6306, the Company’s CCNE-1 synthetic-lethal inhibitor program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Phase 1 clinical trial for RP-6306 is anticipated to commence in 2Q 2021, reflecting a further accelerated timeline for clinical trial start</w:t>
      </w:r>
    </w:p>
    <w:p>
      <w:pPr>
        <w:spacing w:after="0" w:line="241" w:lineRule="exact"/>
        <w:rPr>
          <w:sz w:val="20"/>
          <w:szCs w:val="20"/>
          <w:color w:val="auto"/>
        </w:rPr>
      </w:pPr>
    </w:p>
    <w:p>
      <w:pPr>
        <w:jc w:val="center"/>
        <w:ind w:left="1180" w:right="120"/>
        <w:spacing w:after="0" w:line="260" w:lineRule="auto"/>
        <w:rPr>
          <w:sz w:val="20"/>
          <w:szCs w:val="20"/>
          <w:color w:val="auto"/>
        </w:rPr>
      </w:pPr>
      <w:r>
        <w:rPr>
          <w:rFonts w:ascii="Arial" w:cs="Arial" w:eastAsia="Arial" w:hAnsi="Arial"/>
          <w:sz w:val="20"/>
          <w:szCs w:val="20"/>
          <w:i w:val="1"/>
          <w:iCs w:val="1"/>
          <w:color w:val="auto"/>
        </w:rPr>
        <w:t>Company to host Virtual Investor Day on Thursday, April 8th to detail RP-6306 clinical program and provide perspectives from two distinguished physicians</w:t>
      </w:r>
    </w:p>
    <w:p>
      <w:pPr>
        <w:spacing w:after="0" w:line="24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Cambridge, MA &amp; Montreal, QC, March 4, 2021 (BUSINESS WIRE) </w:t>
      </w:r>
      <w:r>
        <w:rPr>
          <w:rFonts w:ascii="Arial" w:cs="Arial" w:eastAsia="Arial" w:hAnsi="Arial"/>
          <w:sz w:val="22"/>
          <w:szCs w:val="22"/>
          <w:color w:val="auto"/>
        </w:rPr>
        <w:t>-- Repare Therapeutics Inc. (“Repare”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(Nasdaq: RPTX), a leading clinical-stage precision oncology company enabled by its proprietary synthetic lethality approach to the discovery and development of novel therapeutics, today reported financial results for the fourth quarter and full year ended December 31, 2020.</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met or exceeded key business and program milestones in 2020. In the first half, we secured more than $300 million in new balance sheet capital from our IPO and from the up-front payments associated with our Bristol Myers Squibb collaboration, all of which we believe will accelerate program progress. In the second half, we continued to execute on our strategic goals by successfully launching our Phase 1/2 clinical trial for RP-3500, which is currently enrolling patients. 10 sites have been activated across North America and Europe,” said Lloyd M. Segal, President and Chief Executive Officer of Repare. “We continue to advance our discovery platform and have now designated our second clinical program, RP-6306, for which we have initiated IND-enabling studies.”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Mr. Segal added: “2021 will be a pivotal year for Repare. We have already expanded the scope of our RP-3500 trial with the initiation of patient recruitment of the PARP-inhibitor combination portion of our study, and by virtue of our execution to-date, we have re-affirmed our expectation to release initial results for the monotherapy portion of the trial in the second half of the year. In addition, we now expect to bring our CCNE1 synthetic lethal target development program, RP-6306, into the clinic in the second quarter of this year, a quarter ahead of previously announced guidance, and look forward to discussing it in more detail during our RP-6306-focused Virtual Investor Day on Thursday, April 8th. Finally, we continue to leverage our proprietary, genome-wide, CRISPR-enabled SNIPRx</w:t>
      </w:r>
      <w:r>
        <w:rPr>
          <w:rFonts w:ascii="Arial" w:cs="Arial" w:eastAsia="Arial" w:hAnsi="Arial"/>
          <w:sz w:val="17"/>
          <w:szCs w:val="17"/>
          <w:color w:val="auto"/>
        </w:rPr>
        <w:t>®</w:t>
      </w:r>
      <w:r>
        <w:rPr>
          <w:rFonts w:ascii="Arial" w:cs="Arial" w:eastAsia="Arial" w:hAnsi="Arial"/>
          <w:sz w:val="19"/>
          <w:szCs w:val="19"/>
          <w:color w:val="auto"/>
        </w:rPr>
        <w:t xml:space="preserve"> platform and are now actively pursuing eight discovery-stage inhibitor programs in addition to other candidates that are part of our ongoing collaboration with Bristol Myers Squibb.”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2020 Highlights and 2021 Outlook:</w:t>
      </w:r>
    </w:p>
    <w:p>
      <w:pPr>
        <w:spacing w:after="0" w:line="233" w:lineRule="exact"/>
        <w:rPr>
          <w:sz w:val="20"/>
          <w:szCs w:val="20"/>
          <w:color w:val="auto"/>
        </w:rPr>
      </w:pPr>
    </w:p>
    <w:p>
      <w:pPr>
        <w:ind w:left="840" w:right="20" w:hanging="414"/>
        <w:spacing w:after="0" w:line="241" w:lineRule="auto"/>
        <w:tabs>
          <w:tab w:leader="none" w:pos="8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Initiated a Phase 1/2 clinical trial evaluating RP-3500 as a monotherapy and in combination with Pfizer's PARPi, talazoparib</w:t>
      </w:r>
      <w:r>
        <w:rPr>
          <w:rFonts w:ascii="Arial" w:cs="Arial" w:eastAsia="Arial" w:hAnsi="Arial"/>
          <w:sz w:val="22"/>
          <w:szCs w:val="22"/>
          <w:color w:val="auto"/>
        </w:rPr>
        <w:t>,</w:t>
      </w:r>
      <w:r>
        <w:rPr>
          <w:rFonts w:ascii="Arial" w:cs="Arial" w:eastAsia="Arial" w:hAnsi="Arial"/>
          <w:sz w:val="22"/>
          <w:szCs w:val="22"/>
          <w:b w:val="1"/>
          <w:bCs w:val="1"/>
          <w:color w:val="auto"/>
        </w:rPr>
        <w:t xml:space="preserve"> in patients with solid tumors.</w:t>
      </w:r>
    </w:p>
    <w:p>
      <w:pPr>
        <w:spacing w:after="0" w:line="1" w:lineRule="exact"/>
        <w:rPr>
          <w:rFonts w:ascii="Arial" w:cs="Arial" w:eastAsia="Arial" w:hAnsi="Arial"/>
          <w:sz w:val="22"/>
          <w:szCs w:val="22"/>
          <w:color w:val="auto"/>
        </w:rPr>
      </w:pPr>
    </w:p>
    <w:p>
      <w:pPr>
        <w:ind w:left="1700" w:hanging="418"/>
        <w:spacing w:after="0" w:line="222"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In July 2020, the Company began dosing in a Phase 1/2 clinical trial of RP-3500, a potent and selective oral</w:t>
      </w:r>
      <w:r>
        <w:rPr>
          <w:rFonts w:ascii="Courier New" w:cs="Courier New" w:eastAsia="Courier New" w:hAnsi="Courier New"/>
          <w:sz w:val="22"/>
          <w:szCs w:val="22"/>
          <w:color w:val="auto"/>
        </w:rPr>
        <w:t xml:space="preserve"> </w:t>
      </w:r>
      <w:r>
        <w:rPr>
          <w:rFonts w:ascii="Arial" w:cs="Arial" w:eastAsia="Arial" w:hAnsi="Arial"/>
          <w:sz w:val="22"/>
          <w:szCs w:val="22"/>
          <w:color w:val="auto"/>
        </w:rPr>
        <w:t>small molecule inhibitor of ATR (Ataxia-Telangiectasia and Rad3-related protein kinase) for the treatment of solid tumors in patients with specific genome instability-related genetic alterations, including those in the ATM gene (ataxia telangiectasia mutated kinase).</w:t>
      </w:r>
    </w:p>
    <w:p>
      <w:pPr>
        <w:ind w:left="1700" w:hanging="418"/>
        <w:spacing w:after="0" w:line="219"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Repare has now activated 10 clinical trial sites across North America and Europe, and is now actively</w:t>
      </w:r>
      <w:r>
        <w:rPr>
          <w:rFonts w:ascii="Courier New" w:cs="Courier New" w:eastAsia="Courier New" w:hAnsi="Courier New"/>
          <w:sz w:val="22"/>
          <w:szCs w:val="22"/>
          <w:color w:val="auto"/>
        </w:rPr>
        <w:t xml:space="preserve"> </w:t>
      </w:r>
      <w:r>
        <w:rPr>
          <w:rFonts w:ascii="Arial" w:cs="Arial" w:eastAsia="Arial" w:hAnsi="Arial"/>
          <w:sz w:val="22"/>
          <w:szCs w:val="22"/>
          <w:color w:val="auto"/>
        </w:rPr>
        <w:t>screening patients to evaluate RP-3500 in a combination arm with Pfizer’s PARP inhibitor, talazoparib, in addition to monotherapy.</w:t>
      </w:r>
    </w:p>
    <w:p>
      <w:pPr>
        <w:spacing w:after="0" w:line="1" w:lineRule="exact"/>
        <w:rPr>
          <w:rFonts w:ascii="Arial" w:cs="Arial" w:eastAsia="Arial" w:hAnsi="Arial"/>
          <w:sz w:val="22"/>
          <w:szCs w:val="22"/>
          <w:color w:val="auto"/>
        </w:rPr>
      </w:pPr>
    </w:p>
    <w:p>
      <w:pPr>
        <w:ind w:left="1280"/>
        <w:spacing w:after="0"/>
        <w:rPr>
          <w:rFonts w:ascii="Arial" w:cs="Arial" w:eastAsia="Arial" w:hAnsi="Arial"/>
          <w:sz w:val="22"/>
          <w:szCs w:val="22"/>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Initial results are expected to be reported in the monotherapy arm of the trial in the second half of 2021.</w:t>
      </w:r>
    </w:p>
    <w:p>
      <w:pPr>
        <w:spacing w:after="0" w:line="226" w:lineRule="exact"/>
        <w:rPr>
          <w:rFonts w:ascii="Arial" w:cs="Arial" w:eastAsia="Arial" w:hAnsi="Arial"/>
          <w:sz w:val="22"/>
          <w:szCs w:val="22"/>
          <w:color w:val="auto"/>
        </w:rPr>
      </w:pPr>
    </w:p>
    <w:p>
      <w:pPr>
        <w:ind w:left="840" w:hanging="414"/>
        <w:spacing w:after="0"/>
        <w:tabs>
          <w:tab w:leader="none" w:pos="8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Advanced RP-6306, our CCNE-1 synthetic lethal inhibitor program, into IND enabling studies.</w:t>
      </w:r>
    </w:p>
    <w:p>
      <w:pPr>
        <w:spacing w:after="0" w:line="13" w:lineRule="exact"/>
        <w:rPr>
          <w:sz w:val="20"/>
          <w:szCs w:val="20"/>
          <w:color w:val="auto"/>
        </w:rPr>
      </w:pPr>
    </w:p>
    <w:p>
      <w:pPr>
        <w:jc w:val="both"/>
        <w:ind w:left="1700" w:hanging="423"/>
        <w:spacing w:after="0" w:line="229" w:lineRule="auto"/>
        <w:tabs>
          <w:tab w:leader="none" w:pos="1700" w:val="left"/>
        </w:tabs>
        <w:numPr>
          <w:ilvl w:val="1"/>
          <w:numId w:val="3"/>
        </w:numPr>
        <w:rPr>
          <w:rFonts w:ascii="Courier New" w:cs="Courier New" w:eastAsia="Courier New" w:hAnsi="Courier New"/>
          <w:sz w:val="22"/>
          <w:szCs w:val="22"/>
          <w:color w:val="auto"/>
        </w:rPr>
      </w:pPr>
      <w:r>
        <w:rPr>
          <w:rFonts w:ascii="Arial" w:cs="Arial" w:eastAsia="Arial" w:hAnsi="Arial"/>
          <w:sz w:val="22"/>
          <w:szCs w:val="22"/>
          <w:color w:val="auto"/>
        </w:rPr>
        <w:t>The Company anticipates initiating a Phase 1 clinical trial for RP-6306 in the second quarter of 2021, ahead of its previously announced guidance, and plans to host a Virtual Investor Day on Thursday, April 8, 2021 to further discuss this program.</w:t>
      </w:r>
    </w:p>
    <w:p>
      <w:pPr>
        <w:spacing w:after="0" w:line="206" w:lineRule="exact"/>
        <w:rPr>
          <w:rFonts w:ascii="Courier New" w:cs="Courier New" w:eastAsia="Courier New" w:hAnsi="Courier New"/>
          <w:sz w:val="22"/>
          <w:szCs w:val="22"/>
          <w:color w:val="auto"/>
        </w:rPr>
      </w:pPr>
    </w:p>
    <w:p>
      <w:pPr>
        <w:ind w:left="840" w:hanging="414"/>
        <w:spacing w:after="0"/>
        <w:tabs>
          <w:tab w:leader="none" w:pos="84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Advanced the development of our earlier stage discovery programs</w:t>
      </w:r>
    </w:p>
    <w:p>
      <w:pPr>
        <w:spacing w:after="0" w:line="14" w:lineRule="exact"/>
        <w:rPr>
          <w:rFonts w:ascii="Arial" w:cs="Arial" w:eastAsia="Arial" w:hAnsi="Arial"/>
          <w:sz w:val="22"/>
          <w:szCs w:val="22"/>
          <w:color w:val="auto"/>
        </w:rPr>
      </w:pPr>
    </w:p>
    <w:p>
      <w:pPr>
        <w:jc w:val="both"/>
        <w:ind w:left="1700" w:hanging="423"/>
        <w:spacing w:after="0" w:line="224" w:lineRule="auto"/>
        <w:tabs>
          <w:tab w:leader="none" w:pos="1700" w:val="left"/>
        </w:tabs>
        <w:numPr>
          <w:ilvl w:val="1"/>
          <w:numId w:val="3"/>
        </w:numPr>
        <w:rPr>
          <w:rFonts w:ascii="Courier New" w:cs="Courier New" w:eastAsia="Courier New" w:hAnsi="Courier New"/>
          <w:sz w:val="22"/>
          <w:szCs w:val="22"/>
          <w:color w:val="auto"/>
        </w:rPr>
      </w:pPr>
      <w:r>
        <w:rPr>
          <w:rFonts w:ascii="Arial" w:cs="Arial" w:eastAsia="Arial" w:hAnsi="Arial"/>
          <w:sz w:val="22"/>
          <w:szCs w:val="22"/>
          <w:color w:val="auto"/>
        </w:rPr>
        <w:t>Repare is actively pursuing eight discovery pipeline initiatives in addition to its ongoing collaboration with Bristol Myers Squibb. Several of these synthetic lethal discovery targets have progressed into active chemistry programs.</w:t>
      </w:r>
    </w:p>
    <w:p>
      <w:pPr>
        <w:spacing w:after="0" w:line="2" w:lineRule="exact"/>
        <w:rPr>
          <w:rFonts w:ascii="Courier New" w:cs="Courier New" w:eastAsia="Courier New" w:hAnsi="Courier New"/>
          <w:sz w:val="22"/>
          <w:szCs w:val="22"/>
          <w:color w:val="auto"/>
        </w:rPr>
      </w:pPr>
    </w:p>
    <w:p>
      <w:pPr>
        <w:ind w:left="1700" w:hanging="423"/>
        <w:spacing w:after="0" w:line="228" w:lineRule="auto"/>
        <w:tabs>
          <w:tab w:leader="none" w:pos="1700" w:val="left"/>
        </w:tabs>
        <w:numPr>
          <w:ilvl w:val="1"/>
          <w:numId w:val="3"/>
        </w:numPr>
        <w:rPr>
          <w:rFonts w:ascii="Courier New" w:cs="Courier New" w:eastAsia="Courier New" w:hAnsi="Courier New"/>
          <w:sz w:val="22"/>
          <w:szCs w:val="22"/>
          <w:color w:val="auto"/>
        </w:rPr>
      </w:pPr>
      <w:r>
        <w:rPr>
          <w:rFonts w:ascii="Arial" w:cs="Arial" w:eastAsia="Arial" w:hAnsi="Arial"/>
          <w:sz w:val="22"/>
          <w:szCs w:val="22"/>
          <w:color w:val="auto"/>
        </w:rPr>
        <w:t>The Company is now expected to initiate IND enabling studies in H1 2022 for its third synthetic lethal asset, its Polθ inhibitor program, versus previously announced guidance of H2 2021.</w:t>
      </w:r>
    </w:p>
    <w:p>
      <w:pPr>
        <w:spacing w:after="0" w:line="205" w:lineRule="exact"/>
        <w:rPr>
          <w:rFonts w:ascii="Courier New" w:cs="Courier New" w:eastAsia="Courier New" w:hAnsi="Courier New"/>
          <w:sz w:val="22"/>
          <w:szCs w:val="22"/>
          <w:color w:val="auto"/>
        </w:rPr>
      </w:pPr>
    </w:p>
    <w:p>
      <w:pPr>
        <w:ind w:left="840" w:hanging="414"/>
        <w:spacing w:after="0"/>
        <w:tabs>
          <w:tab w:leader="none" w:pos="84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Corporate Updates</w:t>
      </w:r>
    </w:p>
    <w:p>
      <w:pPr>
        <w:spacing w:after="0" w:line="14" w:lineRule="exact"/>
        <w:rPr>
          <w:rFonts w:ascii="Arial" w:cs="Arial" w:eastAsia="Arial" w:hAnsi="Arial"/>
          <w:sz w:val="22"/>
          <w:szCs w:val="22"/>
          <w:color w:val="auto"/>
        </w:rPr>
      </w:pPr>
    </w:p>
    <w:p>
      <w:pPr>
        <w:ind w:left="1700" w:right="20" w:hanging="423"/>
        <w:spacing w:after="0" w:line="228" w:lineRule="auto"/>
        <w:tabs>
          <w:tab w:leader="none" w:pos="1700" w:val="left"/>
        </w:tabs>
        <w:numPr>
          <w:ilvl w:val="1"/>
          <w:numId w:val="3"/>
        </w:numPr>
        <w:rPr>
          <w:rFonts w:ascii="Courier New" w:cs="Courier New" w:eastAsia="Courier New" w:hAnsi="Courier New"/>
          <w:sz w:val="22"/>
          <w:szCs w:val="22"/>
          <w:color w:val="auto"/>
        </w:rPr>
      </w:pPr>
      <w:r>
        <w:rPr>
          <w:rFonts w:ascii="Arial" w:cs="Arial" w:eastAsia="Arial" w:hAnsi="Arial"/>
          <w:sz w:val="22"/>
          <w:szCs w:val="22"/>
          <w:color w:val="auto"/>
        </w:rPr>
        <w:t>In December 2020, the Company was added to the NASDAQ Biotechnology Index® (NASDAQ: ^NBI). Repare's addition to the NBI became effective on Monday, 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988060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Fourth Quarter and Full Year 2020 Financial Results:</w:t>
      </w:r>
    </w:p>
    <w:p>
      <w:pPr>
        <w:spacing w:after="0" w:line="234" w:lineRule="exact"/>
        <w:rPr>
          <w:sz w:val="20"/>
          <w:szCs w:val="20"/>
          <w:color w:val="auto"/>
        </w:rPr>
      </w:pPr>
    </w:p>
    <w:p>
      <w:pPr>
        <w:ind w:left="840" w:hanging="414"/>
        <w:spacing w:after="0" w:line="256" w:lineRule="auto"/>
        <w:tabs>
          <w:tab w:leader="none" w:pos="84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Cash and cash equivalents, restricted cash and marketable securities: </w:t>
      </w:r>
      <w:r>
        <w:rPr>
          <w:rFonts w:ascii="Arial" w:cs="Arial" w:eastAsia="Arial" w:hAnsi="Arial"/>
          <w:sz w:val="22"/>
          <w:szCs w:val="22"/>
          <w:color w:val="auto"/>
        </w:rPr>
        <w:t>Cash and cash equivalents, restricted cash</w:t>
      </w:r>
      <w:r>
        <w:rPr>
          <w:rFonts w:ascii="Arial" w:cs="Arial" w:eastAsia="Arial" w:hAnsi="Arial"/>
          <w:sz w:val="22"/>
          <w:szCs w:val="22"/>
          <w:b w:val="1"/>
          <w:bCs w:val="1"/>
          <w:color w:val="auto"/>
        </w:rPr>
        <w:t xml:space="preserve"> </w:t>
      </w:r>
      <w:r>
        <w:rPr>
          <w:rFonts w:ascii="Arial" w:cs="Arial" w:eastAsia="Arial" w:hAnsi="Arial"/>
          <w:sz w:val="22"/>
          <w:szCs w:val="22"/>
          <w:color w:val="auto"/>
        </w:rPr>
        <w:t>and marketable securities as of December 31, 2020 were $333.9 million.</w:t>
      </w:r>
    </w:p>
    <w:p>
      <w:pPr>
        <w:spacing w:after="0" w:line="189" w:lineRule="exact"/>
        <w:rPr>
          <w:rFonts w:ascii="Arial" w:cs="Arial" w:eastAsia="Arial" w:hAnsi="Arial"/>
          <w:sz w:val="22"/>
          <w:szCs w:val="22"/>
          <w:color w:val="auto"/>
        </w:rPr>
      </w:pPr>
    </w:p>
    <w:p>
      <w:pPr>
        <w:jc w:val="both"/>
        <w:ind w:left="840" w:hanging="414"/>
        <w:spacing w:after="0" w:line="289" w:lineRule="auto"/>
        <w:tabs>
          <w:tab w:leader="none" w:pos="84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Research and development expenses, net of tax credits (Net R&amp;D): </w:t>
      </w:r>
      <w:r>
        <w:rPr>
          <w:rFonts w:ascii="Arial" w:cs="Arial" w:eastAsia="Arial" w:hAnsi="Arial"/>
          <w:sz w:val="19"/>
          <w:szCs w:val="19"/>
          <w:color w:val="auto"/>
        </w:rPr>
        <w:t>Net R&amp;D expenses were $40.1 million and</w:t>
      </w:r>
      <w:r>
        <w:rPr>
          <w:rFonts w:ascii="Arial" w:cs="Arial" w:eastAsia="Arial" w:hAnsi="Arial"/>
          <w:sz w:val="19"/>
          <w:szCs w:val="19"/>
          <w:b w:val="1"/>
          <w:bCs w:val="1"/>
          <w:color w:val="auto"/>
        </w:rPr>
        <w:t xml:space="preserve"> </w:t>
      </w:r>
      <w:r>
        <w:rPr>
          <w:rFonts w:ascii="Arial" w:cs="Arial" w:eastAsia="Arial" w:hAnsi="Arial"/>
          <w:sz w:val="19"/>
          <w:szCs w:val="19"/>
          <w:color w:val="auto"/>
        </w:rPr>
        <w:t>$21.0 million for the years ended December 31, 2020 and 2019, respectively. The increase in R&amp;D expenses year over year was primarily due to increases in development costs related to the Company’s RP-3500 and RP-6306 programs, as well as increases in personnel related expenses and certain other R&amp;D expenses.</w:t>
      </w:r>
    </w:p>
    <w:p>
      <w:pPr>
        <w:spacing w:after="0" w:line="162" w:lineRule="exact"/>
        <w:rPr>
          <w:rFonts w:ascii="Arial" w:cs="Arial" w:eastAsia="Arial" w:hAnsi="Arial"/>
          <w:sz w:val="19"/>
          <w:szCs w:val="19"/>
          <w:color w:val="auto"/>
        </w:rPr>
      </w:pPr>
    </w:p>
    <w:p>
      <w:pPr>
        <w:jc w:val="both"/>
        <w:ind w:left="840" w:hanging="414"/>
        <w:spacing w:after="0" w:line="254" w:lineRule="auto"/>
        <w:tabs>
          <w:tab w:leader="none" w:pos="84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General and administrative (G&amp;A) expenses: </w:t>
      </w:r>
      <w:r>
        <w:rPr>
          <w:rFonts w:ascii="Arial" w:cs="Arial" w:eastAsia="Arial" w:hAnsi="Arial"/>
          <w:sz w:val="21"/>
          <w:szCs w:val="21"/>
          <w:color w:val="auto"/>
        </w:rPr>
        <w:t>G&amp;A expenses were $14.3 million and $5.4 million for the years</w:t>
      </w:r>
      <w:r>
        <w:rPr>
          <w:rFonts w:ascii="Arial" w:cs="Arial" w:eastAsia="Arial" w:hAnsi="Arial"/>
          <w:sz w:val="21"/>
          <w:szCs w:val="21"/>
          <w:b w:val="1"/>
          <w:bCs w:val="1"/>
          <w:color w:val="auto"/>
        </w:rPr>
        <w:t xml:space="preserve"> </w:t>
      </w:r>
      <w:r>
        <w:rPr>
          <w:rFonts w:ascii="Arial" w:cs="Arial" w:eastAsia="Arial" w:hAnsi="Arial"/>
          <w:sz w:val="21"/>
          <w:szCs w:val="21"/>
          <w:color w:val="auto"/>
        </w:rPr>
        <w:t>ended December 31, 2020 and 2019, respectively. The increase in G&amp;A expenses year over year was due to increases in payroll and personnel costs as well as increases in legal, professional and D&amp;O insurance costs, all of which increased as a result of our the Company’s recent IPO and transition to a public company.</w:t>
      </w:r>
    </w:p>
    <w:p>
      <w:pPr>
        <w:spacing w:after="0" w:line="192" w:lineRule="exact"/>
        <w:rPr>
          <w:rFonts w:ascii="Arial" w:cs="Arial" w:eastAsia="Arial" w:hAnsi="Arial"/>
          <w:sz w:val="21"/>
          <w:szCs w:val="21"/>
          <w:color w:val="auto"/>
        </w:rPr>
      </w:pPr>
    </w:p>
    <w:p>
      <w:pPr>
        <w:ind w:left="840" w:hanging="414"/>
        <w:spacing w:after="0" w:line="256" w:lineRule="auto"/>
        <w:tabs>
          <w:tab w:leader="none" w:pos="84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$53.4 million, or $2.66 per share in the year ended December 31, 2020 and $27.2 million, or</w:t>
      </w:r>
      <w:r>
        <w:rPr>
          <w:rFonts w:ascii="Arial" w:cs="Arial" w:eastAsia="Arial" w:hAnsi="Arial"/>
          <w:sz w:val="22"/>
          <w:szCs w:val="22"/>
          <w:b w:val="1"/>
          <w:bCs w:val="1"/>
          <w:color w:val="auto"/>
        </w:rPr>
        <w:t xml:space="preserve"> </w:t>
      </w:r>
      <w:r>
        <w:rPr>
          <w:rFonts w:ascii="Arial" w:cs="Arial" w:eastAsia="Arial" w:hAnsi="Arial"/>
          <w:sz w:val="22"/>
          <w:szCs w:val="22"/>
          <w:color w:val="auto"/>
        </w:rPr>
        <w:t>$17.81 per share, in the year ended 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Details for RP-6306-focused Virtual Investor Day on Thursday, April 8, 2021</w:t>
      </w:r>
    </w:p>
    <w:p>
      <w:pPr>
        <w:spacing w:after="0" w:line="239"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Repare Therapeutics will host a RP-6306-focused Virtual Investor Day on Thursday, April 8, 2021 at 10:30 a.m.ET to discuss RP-6306, a CCNE-1 synthetic lethal inhibitor undergoing IND-enabling studies. The Company anticipates commencing a Phase 1 clinical trial in the second quarter of 2021, a quarter earlier than previously announced guidance. Repare Therapeutics’ executive management team will be joined by two distinguished physicians:</w:t>
      </w:r>
    </w:p>
    <w:p>
      <w:pPr>
        <w:spacing w:after="0" w:line="174" w:lineRule="exact"/>
        <w:rPr>
          <w:sz w:val="20"/>
          <w:szCs w:val="20"/>
          <w:color w:val="auto"/>
        </w:rPr>
      </w:pPr>
    </w:p>
    <w:p>
      <w:pPr>
        <w:ind w:left="840" w:right="180" w:hanging="414"/>
        <w:spacing w:after="0" w:line="23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22"/>
          <w:szCs w:val="22"/>
          <w:color w:val="auto"/>
        </w:rPr>
        <w:t>Carol Aghajaian, MD – Chief, Gynecologic Medical Oncology Service, Professor of Medicine, Weill Cornell Medical College, Memorial Sloan Kettering Cancer Center; and</w:t>
      </w:r>
    </w:p>
    <w:p>
      <w:pPr>
        <w:ind w:left="840" w:right="240" w:hanging="414"/>
        <w:spacing w:after="0" w:line="23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22"/>
          <w:szCs w:val="22"/>
          <w:color w:val="auto"/>
        </w:rPr>
        <w:t>Timothy Yap, MBBS, PhD, FRCP, Department of Investigational Cancer Therapeutics, Division of Cancer Medicine, MD Anderson Center</w:t>
      </w:r>
    </w:p>
    <w:p>
      <w:pPr>
        <w:spacing w:after="0" w:line="1" w:lineRule="exact"/>
        <w:rPr>
          <w:sz w:val="20"/>
          <w:szCs w:val="20"/>
          <w:color w:val="auto"/>
        </w:rPr>
      </w:pPr>
    </w:p>
    <w:p>
      <w:pPr>
        <w:ind w:right="260"/>
        <w:spacing w:after="0" w:line="308" w:lineRule="auto"/>
        <w:rPr>
          <w:sz w:val="20"/>
          <w:szCs w:val="20"/>
          <w:color w:val="auto"/>
        </w:rPr>
      </w:pPr>
      <w:r>
        <w:rPr>
          <w:rFonts w:ascii="Arial" w:cs="Arial" w:eastAsia="Arial" w:hAnsi="Arial"/>
          <w:sz w:val="19"/>
          <w:szCs w:val="19"/>
          <w:color w:val="auto"/>
        </w:rPr>
        <w:t>To access the conference call, please dial (833) 638-9655 or (602) 585-9856 (international) at least 10 minutes prior to the start time and refer to conference ID 1093819. Presentation slides will be available to download from the Company’s website.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Therapeutics’ SNIPRx® Platform</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Repare’s SNIPRx® platform is a genome-wide CRISPR-based screening approach that utilizes proprietary isogenic cell lines to identify novel and known synthetic lethal gene pairs and the corresponding patients who are most likely to benefit from the Company’s therapies based on the genetic profile of their tumors. Repare’s platform enables the development of precision therapeutics in patients whose tumors contain one or more genomic alterations identified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spacing w:after="0" w:line="251" w:lineRule="auto"/>
        <w:rPr>
          <w:sz w:val="20"/>
          <w:szCs w:val="20"/>
          <w:color w:val="auto"/>
        </w:rPr>
      </w:pPr>
      <w:r>
        <w:rPr>
          <w:rFonts w:ascii="Arial" w:cs="Arial" w:eastAsia="Arial" w:hAnsi="Arial"/>
          <w:sz w:val="22"/>
          <w:szCs w:val="22"/>
          <w:color w:val="auto"/>
        </w:rPr>
        <w:t xml:space="preserve">SNIPRx® screening, in order to selectively target those patients most likely to achieve clinical benefit from resulting product </w:t>
      </w:r>
      <w:r>
        <w:rPr>
          <w:rFonts w:ascii="Arial" w:cs="Arial" w:eastAsia="Arial" w:hAnsi="Arial"/>
          <w:sz w:val="22"/>
          <w:szCs w:val="22"/>
          <w:color w:val="auto"/>
        </w:rPr>
        <w:t>candidates.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Therapeutics, Inc.</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Repare Therapeutics is a leading clinical-stage precision oncology company enabled by its proprietary synthetic lethality approach to the discovery and development of novel therapeutics. The Company utilizes its genome-wide, CRISPR-enabled SNIPRx® platform to systematically discover and develop highly targeted cancer therapies focused on genomic instability, including DNA damage repair. The Company’s pipeline includes its lead product candidate RP-3500, a potential leading ATR inhibitor currently in Phase 1/2 clinical development, as well as RP-6306, a CCNE1-SL inhibitor, and a Polθ inhibitor program. For more information, please visit reparerx.com.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SNIPRx® is a registered trademark of Repare Therapeutics Inc.</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discovery of potential product candidates using SNIPRx® platform; the clinical development of the Company’s pipeline and its research and development programs, including the anticipated timing, anticipated patient enrollment, trial outcomes or associated costs of its clinical trials of RP-3500 and RP-6306; and success of the Company’s collaborations with Bristol Myers Squibb and Ono Pharmaceuticals, including the development of preclinical assets pursuant to the collaborations.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impacts of the COVID-19 pandemic on the Company’s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in the section titled "Risk Factors" in the Company’s Annual Report on Form 10-K for the year ended December 31, 2020 filed with the Securities and Exchange Commission (“SEC”) on March 4, 2021. The Company expressly disclaims any obligation to update any forward-looking statements contained herein, whether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any new information, future events, changed circumstances or otherwise, except as otherwise required by law.</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Repare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Steve Forte</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line="230" w:lineRule="auto"/>
        <w:rPr>
          <w:sz w:val="20"/>
          <w:szCs w:val="20"/>
          <w:color w:val="auto"/>
        </w:rPr>
      </w:pPr>
      <w:r>
        <w:rPr>
          <w:rFonts w:ascii="Arial" w:cs="Arial" w:eastAsia="Arial" w:hAnsi="Arial"/>
          <w:sz w:val="22"/>
          <w:szCs w:val="22"/>
          <w:color w:val="auto"/>
        </w:rPr>
        <w:t>Repare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info@reparerx.com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Kimberly Minarovich</w:t>
      </w:r>
    </w:p>
    <w:p>
      <w:pPr>
        <w:spacing w:after="0" w:line="238" w:lineRule="auto"/>
        <w:rPr>
          <w:sz w:val="20"/>
          <w:szCs w:val="20"/>
          <w:color w:val="auto"/>
        </w:rPr>
      </w:pPr>
      <w:r>
        <w:rPr>
          <w:rFonts w:ascii="Arial" w:cs="Arial" w:eastAsia="Arial" w:hAnsi="Arial"/>
          <w:sz w:val="22"/>
          <w:szCs w:val="22"/>
          <w:color w:val="auto"/>
        </w:rPr>
        <w:t>Argot Partners</w:t>
      </w:r>
    </w:p>
    <w:p>
      <w:pPr>
        <w:spacing w:after="0"/>
        <w:rPr>
          <w:sz w:val="20"/>
          <w:szCs w:val="20"/>
          <w:color w:val="auto"/>
        </w:rPr>
      </w:pPr>
      <w:r>
        <w:rPr>
          <w:rFonts w:ascii="Arial" w:cs="Arial" w:eastAsia="Arial" w:hAnsi="Arial"/>
          <w:sz w:val="22"/>
          <w:szCs w:val="22"/>
          <w:color w:val="auto"/>
        </w:rPr>
        <w:t>repare@argotpartners.com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David Rosen</w:t>
      </w:r>
    </w:p>
    <w:p>
      <w:pPr>
        <w:spacing w:after="0" w:line="238" w:lineRule="auto"/>
        <w:rPr>
          <w:sz w:val="20"/>
          <w:szCs w:val="20"/>
          <w:color w:val="auto"/>
        </w:rPr>
      </w:pPr>
      <w:r>
        <w:rPr>
          <w:rFonts w:ascii="Arial" w:cs="Arial" w:eastAsia="Arial" w:hAnsi="Arial"/>
          <w:sz w:val="22"/>
          <w:szCs w:val="22"/>
          <w:color w:val="auto"/>
        </w:rPr>
        <w:t>Argot Partners</w:t>
      </w:r>
    </w:p>
    <w:p>
      <w:pPr>
        <w:spacing w:after="0" w:line="230" w:lineRule="auto"/>
        <w:rPr>
          <w:sz w:val="20"/>
          <w:szCs w:val="20"/>
          <w:color w:val="auto"/>
        </w:rPr>
      </w:pPr>
      <w:r>
        <w:rPr>
          <w:rFonts w:ascii="Arial" w:cs="Arial" w:eastAsia="Arial" w:hAnsi="Arial"/>
          <w:sz w:val="22"/>
          <w:szCs w:val="22"/>
          <w:color w:val="auto"/>
        </w:rPr>
        <w:t>david.rosen@argotpartners.com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212-600-1902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75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209"/>
        </w:trPr>
        <w:tc>
          <w:tcPr>
            <w:tcW w:w="7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10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326,184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94,797</w:t>
            </w:r>
          </w:p>
        </w:tc>
        <w:tc>
          <w:tcPr>
            <w:tcW w:w="20" w:type="dxa"/>
            <w:vAlign w:val="bottom"/>
          </w:tcPr>
          <w:p>
            <w:pPr>
              <w:spacing w:after="0"/>
              <w:rPr>
                <w:sz w:val="19"/>
                <w:szCs w:val="19"/>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7,526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 tax credits receivable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2,011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1,080</w:t>
            </w:r>
          </w:p>
        </w:tc>
        <w:tc>
          <w:tcPr>
            <w:tcW w:w="20" w:type="dxa"/>
            <w:vAlign w:val="bottom"/>
          </w:tcPr>
          <w:p>
            <w:pPr>
              <w:spacing w:after="0"/>
              <w:rPr>
                <w:sz w:val="19"/>
                <w:szCs w:val="19"/>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Other receivables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4,153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1,976</w:t>
            </w: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6,678</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719</w:t>
            </w:r>
          </w:p>
        </w:tc>
        <w:tc>
          <w:tcPr>
            <w:tcW w:w="20" w:type="dxa"/>
            <w:vAlign w:val="bottom"/>
          </w:tcPr>
          <w:p>
            <w:pPr>
              <w:spacing w:after="0"/>
              <w:rPr>
                <w:sz w:val="19"/>
                <w:szCs w:val="19"/>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346,552</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98,572</w:t>
            </w:r>
          </w:p>
        </w:tc>
        <w:tc>
          <w:tcPr>
            <w:tcW w:w="20" w:type="dxa"/>
            <w:vAlign w:val="bottom"/>
          </w:tcPr>
          <w:p>
            <w:pPr>
              <w:spacing w:after="0"/>
              <w:rPr>
                <w:sz w:val="17"/>
                <w:szCs w:val="17"/>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3,948</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2,390</w:t>
            </w:r>
          </w:p>
        </w:tc>
        <w:tc>
          <w:tcPr>
            <w:tcW w:w="20" w:type="dxa"/>
            <w:vAlign w:val="bottom"/>
          </w:tcPr>
          <w:p>
            <w:pPr>
              <w:spacing w:after="0"/>
              <w:rPr>
                <w:sz w:val="19"/>
                <w:szCs w:val="19"/>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212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4,674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1,034</w:t>
            </w:r>
          </w:p>
        </w:tc>
        <w:tc>
          <w:tcPr>
            <w:tcW w:w="20" w:type="dxa"/>
            <w:vAlign w:val="bottom"/>
          </w:tcPr>
          <w:p>
            <w:pPr>
              <w:spacing w:after="0"/>
              <w:rPr>
                <w:sz w:val="19"/>
                <w:szCs w:val="19"/>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1,412</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9"/>
                <w:szCs w:val="19"/>
                <w:color w:val="auto"/>
              </w:rPr>
            </w:pPr>
          </w:p>
        </w:tc>
      </w:tr>
      <w:tr>
        <w:trPr>
          <w:trHeight w:val="246"/>
        </w:trPr>
        <w:tc>
          <w:tcPr>
            <w:tcW w:w="75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10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357,086</w:t>
            </w:r>
          </w:p>
        </w:tc>
        <w:tc>
          <w:tcPr>
            <w:tcW w:w="160" w:type="dxa"/>
            <w:vAlign w:val="bottom"/>
          </w:tcPr>
          <w:p>
            <w:pPr>
              <w:spacing w:after="0"/>
              <w:rPr>
                <w:sz w:val="21"/>
                <w:szCs w:val="21"/>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102,695</w:t>
            </w:r>
          </w:p>
        </w:tc>
        <w:tc>
          <w:tcPr>
            <w:tcW w:w="20" w:type="dxa"/>
            <w:vAlign w:val="bottom"/>
          </w:tcPr>
          <w:p>
            <w:pPr>
              <w:spacing w:after="0"/>
              <w:rPr>
                <w:sz w:val="21"/>
                <w:szCs w:val="21"/>
                <w:color w:val="auto"/>
              </w:rPr>
            </w:pPr>
          </w:p>
        </w:tc>
      </w:tr>
      <w:tr>
        <w:trPr>
          <w:trHeight w:val="186"/>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CONVERTIBLE PREFERRED SHARES AND</w:t>
            </w:r>
          </w:p>
        </w:tc>
        <w:tc>
          <w:tcPr>
            <w:tcW w:w="16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75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SHAREHOLDERS’ EQUITY (DEFICIT)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10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2,251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2,127</w:t>
            </w:r>
          </w:p>
        </w:tc>
        <w:tc>
          <w:tcPr>
            <w:tcW w:w="20" w:type="dxa"/>
            <w:vAlign w:val="bottom"/>
          </w:tcPr>
          <w:p>
            <w:pPr>
              <w:spacing w:after="0"/>
              <w:rPr>
                <w:sz w:val="19"/>
                <w:szCs w:val="19"/>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5,975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1,276</w:t>
            </w: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current portion</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697</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625</w:t>
            </w:r>
          </w:p>
        </w:tc>
        <w:tc>
          <w:tcPr>
            <w:tcW w:w="20" w:type="dxa"/>
            <w:vAlign w:val="bottom"/>
          </w:tcPr>
          <w:p>
            <w:pPr>
              <w:spacing w:after="0"/>
              <w:rPr>
                <w:sz w:val="19"/>
                <w:szCs w:val="19"/>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Deferred revenue, current portion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2,073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 payable</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9"/>
                <w:szCs w:val="19"/>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11,014</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4,246</w:t>
            </w:r>
          </w:p>
        </w:tc>
        <w:tc>
          <w:tcPr>
            <w:tcW w:w="20" w:type="dxa"/>
            <w:vAlign w:val="bottom"/>
          </w:tcPr>
          <w:p>
            <w:pPr>
              <w:spacing w:after="0"/>
              <w:rPr>
                <w:sz w:val="17"/>
                <w:szCs w:val="17"/>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net of current portion</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3,308</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439</w:t>
            </w:r>
          </w:p>
        </w:tc>
        <w:tc>
          <w:tcPr>
            <w:tcW w:w="20" w:type="dxa"/>
            <w:vAlign w:val="bottom"/>
          </w:tcPr>
          <w:p>
            <w:pPr>
              <w:spacing w:after="0"/>
              <w:rPr>
                <w:sz w:val="19"/>
                <w:szCs w:val="19"/>
                <w:color w:val="auto"/>
              </w:rPr>
            </w:pPr>
          </w:p>
        </w:tc>
      </w:tr>
      <w:tr>
        <w:trPr>
          <w:trHeight w:val="213"/>
        </w:trPr>
        <w:tc>
          <w:tcPr>
            <w:tcW w:w="7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revenue, net of current portion</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55,934</w:t>
            </w:r>
          </w:p>
        </w:tc>
        <w:tc>
          <w:tcPr>
            <w:tcW w:w="16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8,142</w:t>
            </w:r>
          </w:p>
        </w:tc>
        <w:tc>
          <w:tcPr>
            <w:tcW w:w="20" w:type="dxa"/>
            <w:vAlign w:val="bottom"/>
          </w:tcPr>
          <w:p>
            <w:pPr>
              <w:spacing w:after="0"/>
              <w:rPr>
                <w:sz w:val="18"/>
                <w:szCs w:val="18"/>
                <w:color w:val="auto"/>
              </w:rPr>
            </w:pPr>
          </w:p>
        </w:tc>
      </w:tr>
      <w:tr>
        <w:trPr>
          <w:trHeight w:val="207"/>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70,256</w:t>
            </w:r>
          </w:p>
        </w:tc>
        <w:tc>
          <w:tcPr>
            <w:tcW w:w="1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12,827</w:t>
            </w:r>
          </w:p>
        </w:tc>
        <w:tc>
          <w:tcPr>
            <w:tcW w:w="20" w:type="dxa"/>
            <w:vAlign w:val="bottom"/>
          </w:tcPr>
          <w:p>
            <w:pPr>
              <w:spacing w:after="0"/>
              <w:rPr>
                <w:sz w:val="17"/>
                <w:szCs w:val="17"/>
                <w:color w:val="auto"/>
              </w:rPr>
            </w:pPr>
          </w:p>
        </w:tc>
      </w:tr>
      <w:tr>
        <w:trPr>
          <w:trHeight w:val="206"/>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Series A convertible Preferred Shares, no par value per share; 0 shares and unlimited</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authorized as of December 31, 2020 and 2019, respectively; 0 shares and</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11,090,135 shares issued and outstanding as of December 31, 2020 and 2019,</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respectively; liquidation and redemption value of $0 and $52,750 as of</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7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December 31, 2020 and 2019, respectively</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53,749</w:t>
            </w:r>
          </w:p>
        </w:tc>
        <w:tc>
          <w:tcPr>
            <w:tcW w:w="20" w:type="dxa"/>
            <w:vAlign w:val="bottom"/>
          </w:tcPr>
          <w:p>
            <w:pPr>
              <w:spacing w:after="0"/>
              <w:rPr>
                <w:sz w:val="18"/>
                <w:szCs w:val="18"/>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6"/>
                <w:szCs w:val="16"/>
                <w:color w:val="auto"/>
              </w:rPr>
              <w:t>Series B convertible Preferred Shares, no par value per share; 0 shares and unlimited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6"/>
                <w:szCs w:val="16"/>
                <w:color w:val="auto"/>
              </w:rPr>
              <w:t>shares authorized as of December 31, 2020 and 2019, respectively; 0 shares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6"/>
                <w:szCs w:val="16"/>
                <w:color w:val="auto"/>
              </w:rPr>
              <w:t>10,468,258 shares issued and outstanding as of December 31, 2020 and 2019,</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6"/>
                <w:szCs w:val="16"/>
                <w:color w:val="auto"/>
              </w:rPr>
              <w:t>respectively; liquidation and redemption value of $0 and $82,496 as of</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75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December 31, 2020 and 2019, respectively</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82,248</w:t>
            </w:r>
          </w:p>
        </w:tc>
        <w:tc>
          <w:tcPr>
            <w:tcW w:w="20" w:type="dxa"/>
            <w:vAlign w:val="bottom"/>
          </w:tcPr>
          <w:p>
            <w:pPr>
              <w:spacing w:after="0"/>
              <w:rPr>
                <w:sz w:val="18"/>
                <w:szCs w:val="18"/>
                <w:color w:val="auto"/>
              </w:rPr>
            </w:pPr>
          </w:p>
        </w:tc>
      </w:tr>
      <w:tr>
        <w:trPr>
          <w:trHeight w:val="213"/>
        </w:trPr>
        <w:tc>
          <w:tcPr>
            <w:tcW w:w="7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CONVERTIBLE PREFERRED SHARES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135,997</w:t>
            </w:r>
          </w:p>
        </w:tc>
        <w:tc>
          <w:tcPr>
            <w:tcW w:w="20" w:type="dxa"/>
            <w:vAlign w:val="bottom"/>
          </w:tcPr>
          <w:p>
            <w:pPr>
              <w:spacing w:after="0"/>
              <w:rPr>
                <w:sz w:val="18"/>
                <w:szCs w:val="18"/>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6"/>
                <w:szCs w:val="16"/>
                <w:b w:val="1"/>
                <w:bCs w:val="1"/>
                <w:color w:val="auto"/>
              </w:rPr>
              <w:t>SHAREHOLDERS’ EQUITY (DEFICIT):</w:t>
            </w:r>
          </w:p>
        </w:tc>
        <w:tc>
          <w:tcPr>
            <w:tcW w:w="1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shares, no par value per share; unlimited shares authorized and 0 shares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as December 31, 2020 and 2019, respectively; 0 shares issued and</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outstanding as of December 31, 2020, and 2019, respectively</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6"/>
        </w:trPr>
        <w:tc>
          <w:tcPr>
            <w:tcW w:w="7560" w:type="dxa"/>
            <w:vAlign w:val="bottom"/>
          </w:tcPr>
          <w:p>
            <w:pPr>
              <w:ind w:left="260"/>
              <w:spacing w:after="0"/>
              <w:rPr>
                <w:sz w:val="20"/>
                <w:szCs w:val="20"/>
                <w:color w:val="auto"/>
              </w:rPr>
            </w:pPr>
            <w:r>
              <w:rPr>
                <w:rFonts w:ascii="Arial" w:cs="Arial" w:eastAsia="Arial" w:hAnsi="Arial"/>
                <w:sz w:val="16"/>
                <w:szCs w:val="16"/>
                <w:color w:val="auto"/>
              </w:rPr>
              <w:t>Common shares, no par value per share; unlimited shares authorized as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560" w:type="dxa"/>
            <w:vAlign w:val="bottom"/>
          </w:tcPr>
          <w:p>
            <w:pPr>
              <w:ind w:left="380"/>
              <w:spacing w:after="0"/>
              <w:rPr>
                <w:sz w:val="20"/>
                <w:szCs w:val="20"/>
                <w:color w:val="auto"/>
              </w:rPr>
            </w:pPr>
            <w:r>
              <w:rPr>
                <w:rFonts w:ascii="Arial" w:cs="Arial" w:eastAsia="Arial" w:hAnsi="Arial"/>
                <w:sz w:val="16"/>
                <w:szCs w:val="16"/>
                <w:color w:val="auto"/>
              </w:rPr>
              <w:t>of December 31, 2020 and 2019; 36,902,924 and 1,528,374 shares issued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7560" w:type="dxa"/>
            <w:vAlign w:val="bottom"/>
          </w:tcPr>
          <w:p>
            <w:pPr>
              <w:ind w:left="380"/>
              <w:spacing w:after="0"/>
              <w:rPr>
                <w:sz w:val="20"/>
                <w:szCs w:val="20"/>
                <w:color w:val="auto"/>
              </w:rPr>
            </w:pPr>
            <w:r>
              <w:rPr>
                <w:rFonts w:ascii="Arial" w:cs="Arial" w:eastAsia="Arial" w:hAnsi="Arial"/>
                <w:sz w:val="16"/>
                <w:szCs w:val="16"/>
                <w:color w:val="auto"/>
              </w:rPr>
              <w:t>outstanding as of December 31, 2020 and 2019, respectively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384,313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19"/>
        </w:trPr>
        <w:tc>
          <w:tcPr>
            <w:tcW w:w="7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5,875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3,811</w:t>
            </w:r>
          </w:p>
        </w:tc>
        <w:tc>
          <w:tcPr>
            <w:tcW w:w="20" w:type="dxa"/>
            <w:vAlign w:val="bottom"/>
          </w:tcPr>
          <w:p>
            <w:pPr>
              <w:spacing w:after="0"/>
              <w:rPr>
                <w:sz w:val="19"/>
                <w:szCs w:val="19"/>
                <w:color w:val="auto"/>
              </w:rPr>
            </w:pPr>
          </w:p>
        </w:tc>
      </w:tr>
      <w:tr>
        <w:trPr>
          <w:trHeight w:val="213"/>
        </w:trPr>
        <w:tc>
          <w:tcPr>
            <w:tcW w:w="7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(103,358)</w:t>
            </w:r>
          </w:p>
        </w:tc>
        <w:tc>
          <w:tcPr>
            <w:tcW w:w="16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(49,941)</w:t>
            </w:r>
          </w:p>
        </w:tc>
        <w:tc>
          <w:tcPr>
            <w:tcW w:w="20" w:type="dxa"/>
            <w:vAlign w:val="bottom"/>
          </w:tcPr>
          <w:p>
            <w:pPr>
              <w:spacing w:after="0"/>
              <w:rPr>
                <w:sz w:val="18"/>
                <w:szCs w:val="18"/>
                <w:color w:val="auto"/>
              </w:rPr>
            </w:pPr>
          </w:p>
        </w:tc>
      </w:tr>
      <w:tr>
        <w:trPr>
          <w:trHeight w:val="213"/>
        </w:trPr>
        <w:tc>
          <w:tcPr>
            <w:tcW w:w="7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SHAREHOLDERS’ EQUITY (DEFICIT)</w:t>
            </w:r>
          </w:p>
        </w:tc>
        <w:tc>
          <w:tcPr>
            <w:tcW w:w="1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286,830</w:t>
            </w:r>
          </w:p>
        </w:tc>
        <w:tc>
          <w:tcPr>
            <w:tcW w:w="16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(46,129)</w:t>
            </w:r>
          </w:p>
        </w:tc>
        <w:tc>
          <w:tcPr>
            <w:tcW w:w="20" w:type="dxa"/>
            <w:vAlign w:val="bottom"/>
          </w:tcPr>
          <w:p>
            <w:pPr>
              <w:spacing w:after="0"/>
              <w:rPr>
                <w:sz w:val="18"/>
                <w:szCs w:val="18"/>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6"/>
                <w:szCs w:val="16"/>
                <w:b w:val="1"/>
                <w:bCs w:val="1"/>
                <w:color w:val="auto"/>
              </w:rPr>
              <w:t>TOTAL LIABILITIES, CONVERTIBLE PREFERRED SHARES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7560" w:type="dxa"/>
            <w:vAlign w:val="bottom"/>
          </w:tcPr>
          <w:p>
            <w:pPr>
              <w:ind w:left="120"/>
              <w:spacing w:after="0"/>
              <w:rPr>
                <w:sz w:val="20"/>
                <w:szCs w:val="20"/>
                <w:color w:val="auto"/>
              </w:rPr>
            </w:pPr>
            <w:r>
              <w:rPr>
                <w:rFonts w:ascii="Arial" w:cs="Arial" w:eastAsia="Arial" w:hAnsi="Arial"/>
                <w:sz w:val="16"/>
                <w:szCs w:val="16"/>
                <w:b w:val="1"/>
                <w:bCs w:val="1"/>
                <w:color w:val="auto"/>
              </w:rPr>
              <w:t>SHAREHOLDERS’ EQUITY (DEFICIT)</w:t>
            </w:r>
          </w:p>
        </w:tc>
        <w:tc>
          <w:tcPr>
            <w:tcW w:w="1100" w:type="dxa"/>
            <w:vAlign w:val="bottom"/>
            <w:gridSpan w:val="2"/>
          </w:tcPr>
          <w:p>
            <w:pPr>
              <w:jc w:val="right"/>
              <w:ind w:right="768"/>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357,086</w:t>
            </w:r>
          </w:p>
        </w:tc>
        <w:tc>
          <w:tcPr>
            <w:tcW w:w="160" w:type="dxa"/>
            <w:vAlign w:val="bottom"/>
          </w:tcPr>
          <w:p>
            <w:pPr>
              <w:spacing w:after="0"/>
              <w:rPr>
                <w:sz w:val="18"/>
                <w:szCs w:val="18"/>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102,695</w:t>
            </w:r>
          </w:p>
        </w:tc>
        <w:tc>
          <w:tcPr>
            <w:tcW w:w="2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9"/>
        </w:trPr>
        <w:tc>
          <w:tcPr>
            <w:tcW w:w="7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December 31,</w:t>
            </w:r>
          </w:p>
        </w:tc>
        <w:tc>
          <w:tcPr>
            <w:tcW w:w="1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agreements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net of tax credits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Realized and unrealized (loss) gain on foreign exchange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Series A Preferred Share tranche</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obligation</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(15,261)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(8,331)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(53,417)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196"/>
        </w:trPr>
        <w:tc>
          <w:tcPr>
            <w:tcW w:w="58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shareholders</w:t>
            </w: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36,782,807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1,528,374</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20,045,602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2021-03-04T16:25:21Z</dcterms:created>
  <dcterms:modified xsi:type="dcterms:W3CDTF">2021-03-04T16:25:21Z</dcterms:modified>
</cp:coreProperties>
</file>