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9" w:lineRule="exact"/>
        <w:rPr>
          <w:sz w:val="24"/>
          <w:szCs w:val="24"/>
          <w:color w:val="auto"/>
        </w:rPr>
      </w:pPr>
    </w:p>
    <w:p>
      <w:pPr>
        <w:ind w:left="3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1"/>
          <w:szCs w:val="11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-237490</wp:posOffset>
            </wp:positionV>
            <wp:extent cx="129540" cy="129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1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6"/>
        </w:trPr>
        <w:tc>
          <w:tcPr>
            <w:tcW w:w="6260" w:type="dxa"/>
            <w:vAlign w:val="bottom"/>
          </w:tcPr>
          <w:p>
            <w:pPr>
              <w:jc w:val="center"/>
              <w:ind w:right="2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6260" w:type="dxa"/>
            <w:vAlign w:val="bottom"/>
            <w:vMerge w:val="restart"/>
          </w:tcPr>
          <w:p>
            <w:pPr>
              <w:jc w:val="center"/>
              <w:ind w:right="237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7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62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6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60" w:type="dxa"/>
            <w:vAlign w:val="bottom"/>
            <w:vMerge w:val="restart"/>
          </w:tcPr>
          <w:p>
            <w:pPr>
              <w:jc w:val="center"/>
              <w:ind w:right="217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62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jc w:val="right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6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6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6260" w:type="dxa"/>
            <w:vAlign w:val="bottom"/>
            <w:vMerge w:val="restart"/>
          </w:tcPr>
          <w:p>
            <w:pPr>
              <w:jc w:val="center"/>
              <w:ind w:right="2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7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2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5280025</wp:posOffset>
            </wp:positionH>
            <wp:positionV relativeFrom="paragraph">
              <wp:posOffset>-596900</wp:posOffset>
            </wp:positionV>
            <wp:extent cx="8255" cy="5975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3971290</wp:posOffset>
            </wp:positionH>
            <wp:positionV relativeFrom="paragraph">
              <wp:posOffset>-605155</wp:posOffset>
            </wp:positionV>
            <wp:extent cx="8255" cy="6057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3995420</wp:posOffset>
            </wp:positionH>
            <wp:positionV relativeFrom="paragraph">
              <wp:posOffset>-581025</wp:posOffset>
            </wp:positionV>
            <wp:extent cx="1268095" cy="5575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-1649095</wp:posOffset>
            </wp:positionH>
            <wp:positionV relativeFrom="paragraph">
              <wp:posOffset>34290</wp:posOffset>
            </wp:positionV>
            <wp:extent cx="6969760" cy="17202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760" cy="172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20" w:space="380"/>
            <w:col w:w="8480"/>
          </w:cols>
          <w:pgMar w:left="460" w:top="216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0"/>
          <w:szCs w:val="20"/>
          <w:u w:val="single" w:color="auto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0"/>
            <w:szCs w:val="20"/>
            <w:u w:val="single" w:color="auto"/>
            <w:color w:val="0000EE"/>
          </w:rPr>
          <w:t>Koehler Maria</w:t>
        </w:r>
      </w:hyperlink>
    </w:p>
    <w:p>
      <w:pPr>
        <w:spacing w:after="0" w:line="29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C/O REPARE THERAPEUTICS INC.</w:t>
      </w:r>
    </w:p>
    <w:p>
      <w:pPr>
        <w:spacing w:after="0" w:line="5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0000FF"/>
        </w:rPr>
        <w:t>7210 FREDERICK-BANTING, SUITE 100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0"/>
          <w:szCs w:val="20"/>
          <w:color w:val="0000EE"/>
        </w:rPr>
      </w:pPr>
      <w:hyperlink r:id="rId14">
        <w:r>
          <w:rPr>
            <w:rFonts w:ascii="Times New Roman" w:cs="Times New Roman" w:eastAsia="Times New Roman" w:hAnsi="Times New Roman"/>
            <w:sz w:val="20"/>
            <w:szCs w:val="20"/>
            <w:u w:val="single" w:color="auto"/>
            <w:color w:val="0000EE"/>
          </w:rPr>
          <w:t>Repare Therapeutics Inc.</w:t>
        </w:r>
        <w:r>
          <w:rPr>
            <w:rFonts w:ascii="Times New Roman" w:cs="Times New Roman" w:eastAsia="Times New Roman" w:hAnsi="Times New Roman"/>
            <w:sz w:val="20"/>
            <w:szCs w:val="20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0"/>
          <w:szCs w:val="20"/>
          <w:color w:val="000000"/>
        </w:rPr>
        <w:t>[</w:t>
      </w:r>
      <w:r>
        <w:rPr>
          <w:rFonts w:ascii="Times New Roman" w:cs="Times New Roman" w:eastAsia="Times New Roman" w:hAnsi="Times New Roman"/>
          <w:sz w:val="20"/>
          <w:szCs w:val="20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6"/>
          <w:szCs w:val="16"/>
          <w:color w:val="0000FF"/>
        </w:rPr>
        <w:t>RPTX</w:t>
      </w:r>
      <w:r>
        <w:rPr>
          <w:rFonts w:ascii="Times New Roman" w:cs="Times New Roman" w:eastAsia="Times New Roman" w:hAnsi="Times New Roman"/>
          <w:sz w:val="20"/>
          <w:szCs w:val="20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000000"/>
        </w:rPr>
        <w:t>]</w:t>
      </w:r>
    </w:p>
    <w:p>
      <w:pPr>
        <w:spacing w:after="0" w:line="3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02/08/2021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5" w:right="660" w:hanging="5"/>
        <w:spacing w:after="0" w:line="255" w:lineRule="auto"/>
        <w:tabs>
          <w:tab w:leader="none" w:pos="146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tbl>
      <w:tblPr>
        <w:tblLayout w:type="fixed"/>
        <w:tblInd w:w="18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1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3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66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EVP, Chief Medical Officer</w:t>
      </w:r>
    </w:p>
    <w:p>
      <w:pPr>
        <w:spacing w:after="0" w:line="37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180" w:space="720"/>
            <w:col w:w="3115" w:space="720"/>
            <w:col w:w="3345"/>
          </w:cols>
          <w:pgMar w:left="460" w:top="216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40" w:type="dxa"/>
            <w:vAlign w:val="bottom"/>
            <w:gridSpan w:val="7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680" w:type="dxa"/>
            <w:vAlign w:val="bottom"/>
            <w:gridSpan w:val="11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80" w:type="dxa"/>
            <w:vAlign w:val="bottom"/>
            <w:gridSpan w:val="11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20" w:type="dxa"/>
            <w:vAlign w:val="bottom"/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ST-LAURENT   A8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H4S 2A1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8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8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6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820" w:type="dxa"/>
            <w:vAlign w:val="bottom"/>
            <w:gridSpan w:val="2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8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Table I - Non-Derivative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3.</w:t>
            </w:r>
          </w:p>
        </w:tc>
        <w:tc>
          <w:tcPr>
            <w:tcW w:w="2020" w:type="dxa"/>
            <w:vAlign w:val="bottom"/>
            <w:gridSpan w:val="4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820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60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  Disposed Of (D) (Instr. 3, 4 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if any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(A) or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Price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2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40" w:type="dxa"/>
            <w:vAlign w:val="bottom"/>
            <w:gridSpan w:val="11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2.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4.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5. Number of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3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3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if any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8)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Acquired (A)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 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98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Amount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 V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(A)</w:t>
            </w: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Title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Number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of Shares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Employee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125,000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760" w:type="dxa"/>
            <w:vAlign w:val="bottom"/>
          </w:tcPr>
          <w:p>
            <w:pPr>
              <w:ind w:left="20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36.91</w:t>
            </w:r>
          </w:p>
        </w:tc>
        <w:tc>
          <w:tcPr>
            <w:tcW w:w="1060" w:type="dxa"/>
            <w:vAlign w:val="bottom"/>
          </w:tcPr>
          <w:p>
            <w:pPr>
              <w:ind w:left="24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02/08/2021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125,000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02/08/2031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16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0.00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2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125,000</w:t>
            </w:r>
          </w:p>
        </w:tc>
        <w:tc>
          <w:tcPr>
            <w:tcW w:w="640" w:type="dxa"/>
            <w:vAlign w:val="bottom"/>
          </w:tcPr>
          <w:p>
            <w:pPr>
              <w:ind w:left="3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6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-2640965</wp:posOffset>
            </wp:positionV>
            <wp:extent cx="7034530" cy="27781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530" cy="277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0000FF"/>
        </w:rPr>
        <w:t>buy)</w:t>
      </w: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 w:right="240"/>
        <w:spacing w:after="0" w:line="250" w:lineRule="auto"/>
        <w:tabs>
          <w:tab w:leader="none" w:pos="167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Twenty-five percent (25%) of the shares subject to the option shall vest on February 5, 2022, and one thirty-sixth (1/36th) of the remaining shares subject to the option shall vest each month thereafter, subject to Reporting Person continuing to provide service through each such date.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29" w:lineRule="exact"/>
        <w:rPr>
          <w:sz w:val="24"/>
          <w:szCs w:val="24"/>
          <w:color w:val="auto"/>
        </w:rPr>
      </w:pP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/s/ Steve Forte, Attorney-in-Fact 02/10/2021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4184650</wp:posOffset>
            </wp:positionH>
            <wp:positionV relativeFrom="paragraph">
              <wp:posOffset>-10160</wp:posOffset>
            </wp:positionV>
            <wp:extent cx="187579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jc w:val="both"/>
        <w:ind w:left="40" w:right="3700"/>
        <w:spacing w:after="0" w:line="330" w:lineRule="auto"/>
        <w:tabs>
          <w:tab w:leader="none" w:pos="174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6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3" Type="http://schemas.openxmlformats.org/officeDocument/2006/relationships/hyperlink" Target="http://www.sec.gov/cgi-bin/browse-edgar?action=getcompany&amp;CIK=0001815378" TargetMode="External"/><Relationship Id="rId14" Type="http://schemas.openxmlformats.org/officeDocument/2006/relationships/hyperlink" Target="http://www.sec.gov/cgi-bin/browse-edgar?action=getcompany&amp;CIK=000180815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2021-02-10T20:07:40Z</dcterms:created>
  <dcterms:modified xsi:type="dcterms:W3CDTF">2021-02-10T20:07:40Z</dcterms:modified>
</cp:coreProperties>
</file>