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-233045</wp:posOffset>
            </wp:positionV>
            <wp:extent cx="129540" cy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6260" w:type="dxa"/>
            <w:vAlign w:val="bottom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3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260" w:type="dxa"/>
            <w:vAlign w:val="bottom"/>
            <w:vMerge w:val="restart"/>
          </w:tcPr>
          <w:p>
            <w:pPr>
              <w:jc w:val="center"/>
              <w:ind w:right="2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5280025</wp:posOffset>
            </wp:positionH>
            <wp:positionV relativeFrom="paragraph">
              <wp:posOffset>-596900</wp:posOffset>
            </wp:positionV>
            <wp:extent cx="8255" cy="5975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3971290</wp:posOffset>
            </wp:positionH>
            <wp:positionV relativeFrom="paragraph">
              <wp:posOffset>-605155</wp:posOffset>
            </wp:positionV>
            <wp:extent cx="8255" cy="6057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3995420</wp:posOffset>
            </wp:positionH>
            <wp:positionV relativeFrom="paragraph">
              <wp:posOffset>-581025</wp:posOffset>
            </wp:positionV>
            <wp:extent cx="1268095" cy="557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-1649095</wp:posOffset>
            </wp:positionH>
            <wp:positionV relativeFrom="paragraph">
              <wp:posOffset>26670</wp:posOffset>
            </wp:positionV>
            <wp:extent cx="6969760" cy="17202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20" w:space="380"/>
            <w:col w:w="8480"/>
          </w:cols>
          <w:pgMar w:left="460" w:top="220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Segal Lloyd Mitchell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REPARE THERAPEUTICS INC.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7210 FREDERICK-BANTING, SUITE 100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8"/>
          <w:szCs w:val="18"/>
          <w:color w:val="0000EE"/>
        </w:rPr>
      </w:pPr>
      <w:hyperlink r:id="rId14">
        <w:r>
          <w:rPr>
            <w:rFonts w:ascii="Arial" w:cs="Arial" w:eastAsia="Arial" w:hAnsi="Arial"/>
            <w:sz w:val="18"/>
            <w:szCs w:val="18"/>
            <w:u w:val="single" w:color="auto"/>
            <w:color w:val="0000EE"/>
          </w:rPr>
          <w:t>Repare Therapeutics Inc.</w:t>
        </w:r>
        <w:r>
          <w:rPr>
            <w:rFonts w:ascii="Arial" w:cs="Arial" w:eastAsia="Arial" w:hAnsi="Arial"/>
            <w:sz w:val="18"/>
            <w:szCs w:val="18"/>
            <w:color w:val="0000EE"/>
          </w:rPr>
          <w:t xml:space="preserve"> </w:t>
        </w:r>
      </w:hyperlink>
      <w:r>
        <w:rPr>
          <w:rFonts w:ascii="Arial" w:cs="Arial" w:eastAsia="Arial" w:hAnsi="Arial"/>
          <w:sz w:val="18"/>
          <w:szCs w:val="18"/>
          <w:color w:val="000000"/>
        </w:rPr>
        <w:t>[</w:t>
      </w:r>
      <w:r>
        <w:rPr>
          <w:rFonts w:ascii="Arial" w:cs="Arial" w:eastAsia="Arial" w:hAnsi="Arial"/>
          <w:sz w:val="18"/>
          <w:szCs w:val="18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RPTX</w:t>
      </w:r>
      <w:r>
        <w:rPr>
          <w:rFonts w:ascii="Arial" w:cs="Arial" w:eastAsia="Arial" w:hAnsi="Arial"/>
          <w:sz w:val="18"/>
          <w:szCs w:val="18"/>
          <w:color w:val="0000EE"/>
        </w:rPr>
        <w:t xml:space="preserve"> </w:t>
      </w:r>
      <w:r>
        <w:rPr>
          <w:rFonts w:ascii="Arial" w:cs="Arial" w:eastAsia="Arial" w:hAnsi="Arial"/>
          <w:sz w:val="18"/>
          <w:szCs w:val="18"/>
          <w:color w:val="000000"/>
        </w:rPr>
        <w:t>]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06/18/2020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" w:right="660" w:hanging="5"/>
        <w:spacing w:after="0" w:line="235" w:lineRule="auto"/>
        <w:tabs>
          <w:tab w:leader="none" w:pos="146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5" w:lineRule="exact"/>
        <w:rPr>
          <w:sz w:val="24"/>
          <w:szCs w:val="24"/>
          <w:color w:val="auto"/>
        </w:rPr>
      </w:pPr>
    </w:p>
    <w:tbl>
      <w:tblPr>
        <w:tblLayout w:type="fixed"/>
        <w:tblInd w:w="18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3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9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CEO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15" w:space="720"/>
            <w:col w:w="3345"/>
          </w:cols>
          <w:pgMar w:left="460" w:top="220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80" w:type="dxa"/>
            <w:vAlign w:val="bottom"/>
            <w:gridSpan w:val="11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gridSpan w:val="11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ST-LAURENT   A8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H4S 2A1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354,668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60" w:type="dxa"/>
            <w:vAlign w:val="bottom"/>
          </w:tcPr>
          <w:p>
            <w:pPr>
              <w:ind w:left="28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20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06/18/2020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354,668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06/18/2030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354,668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1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-2640965</wp:posOffset>
            </wp:positionV>
            <wp:extent cx="7034530" cy="27781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277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" w:right="400"/>
        <w:spacing w:after="0" w:line="243" w:lineRule="auto"/>
        <w:tabs>
          <w:tab w:leader="none" w:pos="167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Twenty-five percent (25%) of the shares subject to the option shall vest on June 18, 2021, and one thirty-sixth (1/36th) of the remaining shares subject to the option shall vest each month thereafter, subject to Reporting Person continuing to provide service through each such date.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Steve Forte, Attorney-in-Fact 06/19/2020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-12700</wp:posOffset>
            </wp:positionV>
            <wp:extent cx="18757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both"/>
        <w:ind w:left="40" w:right="3700"/>
        <w:spacing w:after="0" w:line="328" w:lineRule="auto"/>
        <w:tabs>
          <w:tab w:leader="none" w:pos="174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0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477123" TargetMode="External"/><Relationship Id="rId14" Type="http://schemas.openxmlformats.org/officeDocument/2006/relationships/hyperlink" Target="http://www.sec.gov/cgi-bin/browse-edgar?action=getcompany&amp;CIK=000180815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2020-06-19T07:09:16Z</dcterms:created>
  <dcterms:modified xsi:type="dcterms:W3CDTF">2020-06-19T07:09:16Z</dcterms:modified>
</cp:coreProperties>
</file>