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00"/>
          </w:cols>
          <w:pgMar w:left="460" w:top="225" w:right="47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Jerel Davis</w:t>
              </w:r>
            </w:hyperlink>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Repare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RPTX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700" w:type="dxa"/>
            <w:vAlign w:val="bottom"/>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Borders>
              <w:bottom w:val="single" w:sz="8" w:color="2C2C2C"/>
            </w:tcBorders>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7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REPARE THERAPEUTICS INC.</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01/29/2021</w:t>
            </w:r>
          </w:p>
        </w:tc>
        <w:tc>
          <w:tcPr>
            <w:tcW w:w="1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7210 FREDERICK-BANTING, SUITE 100</w:t>
            </w:r>
          </w:p>
        </w:tc>
        <w:tc>
          <w:tcPr>
            <w:tcW w:w="80" w:type="dxa"/>
            <w:vAlign w:val="bottom"/>
          </w:tcPr>
          <w:p>
            <w:pPr>
              <w:spacing w:after="0"/>
              <w:rPr>
                <w:sz w:val="12"/>
                <w:szCs w:val="12"/>
                <w:color w:val="auto"/>
              </w:rPr>
            </w:pPr>
          </w:p>
        </w:tc>
        <w:tc>
          <w:tcPr>
            <w:tcW w:w="382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25" w:right="479" w:bottom="37"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7"/>
          <w:szCs w:val="17"/>
          <w:color w:val="0000FF"/>
        </w:rPr>
        <w:t>ST-LAURENT</w:t>
        <w:tab/>
        <w:t>A8</w:t>
      </w:r>
    </w:p>
    <w:p>
      <w:pPr>
        <w:spacing w:after="0" w:line="34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38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257175</wp:posOffset>
            </wp:positionV>
            <wp:extent cx="696404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7547610"/>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7213" w:space="720"/>
            <w:col w:w="3027"/>
          </w:cols>
          <w:pgMar w:left="460" w:top="225" w:right="479" w:bottom="37"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168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jc w:val="center"/>
              <w:ind w:left="49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24"/>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263,278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2,114,947</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24"/>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56,868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56,868</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24"/>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(5)</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7,919</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63,619</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24"/>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(7)</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9"/>
              </w:rPr>
              <w:t>1,711</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58,579</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24"/>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(8)</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8,766</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70,422</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(10)</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1,893</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60,472</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60,472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tcBorders>
              <w:bottom w:val="single" w:sz="8" w:color="2C2C2C"/>
            </w:tcBorders>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1,820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4,619</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(13)</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20,037</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160,958</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(14)</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(15)</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4,328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9"/>
              </w:rPr>
              <w:t>4,328</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(16)</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(17)</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4,328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(16)</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tcBorders>
              <w:bottom w:val="single" w:sz="8" w:color="2C2C2C"/>
            </w:tcBorders>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(18)</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2,764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7,383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(19)</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250,000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2,894,451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(20)</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(21)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5,000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9"/>
              </w:rPr>
              <w:t>5,000</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(22)</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(23)</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5,000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(22)</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tcBorders>
              <w:bottom w:val="single" w:sz="8" w:color="2C2C2C"/>
            </w:tcBorders>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(24)</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687</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8,070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(25)</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4,313</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9"/>
              </w:rPr>
              <w:t>4,313</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(26)</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(27)</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4,313</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(26)</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Arial" w:cs="Arial" w:eastAsia="Arial" w:hAnsi="Arial"/>
                <w:sz w:val="17"/>
                <w:szCs w:val="17"/>
                <w:color w:val="0000FF"/>
                <w:w w:val="91"/>
              </w:rPr>
              <w:t>01/29/2021</w:t>
            </w:r>
          </w:p>
        </w:tc>
        <w:tc>
          <w:tcPr>
            <w:tcW w:w="1140" w:type="dxa"/>
            <w:vAlign w:val="bottom"/>
          </w:tcPr>
          <w:p>
            <w:pPr>
              <w:spacing w:after="0"/>
              <w:rPr>
                <w:sz w:val="22"/>
                <w:szCs w:val="22"/>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(28)</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508,282</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(29)</w:t>
            </w:r>
          </w:p>
        </w:tc>
        <w:tc>
          <w:tcPr>
            <w:tcW w:w="0" w:type="dxa"/>
            <w:vAlign w:val="bottom"/>
          </w:tcPr>
          <w:p>
            <w:pPr>
              <w:spacing w:after="0"/>
              <w:rPr>
                <w:sz w:val="1"/>
                <w:szCs w:val="1"/>
                <w:color w:val="auto"/>
              </w:rPr>
            </w:pPr>
          </w:p>
        </w:tc>
      </w:tr>
      <w:tr>
        <w:trPr>
          <w:trHeight w:val="161"/>
        </w:trPr>
        <w:tc>
          <w:tcPr>
            <w:tcW w:w="2400" w:type="dxa"/>
            <w:vAlign w:val="bottom"/>
            <w:tcBorders>
              <w:bottom w:val="single" w:sz="8" w:color="808080"/>
            </w:tcBorders>
          </w:tcPr>
          <w:p>
            <w:pPr>
              <w:spacing w:after="0"/>
              <w:rPr>
                <w:sz w:val="14"/>
                <w:szCs w:val="14"/>
                <w:color w:val="auto"/>
              </w:rPr>
            </w:pPr>
          </w:p>
        </w:tc>
        <w:tc>
          <w:tcPr>
            <w:tcW w:w="168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25" w:right="479" w:bottom="37"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25387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2538730"/>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57150</wp:posOffset>
            </wp:positionV>
            <wp:extent cx="6946900" cy="676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67691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2"/>
                <w:szCs w:val="22"/>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01/29/2021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(30)</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751</w:t>
            </w:r>
          </w:p>
        </w:tc>
        <w:tc>
          <w:tcPr>
            <w:tcW w:w="42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Pr>
          <w:p>
            <w:pPr>
              <w:spacing w:after="0"/>
              <w:rPr>
                <w:sz w:val="22"/>
                <w:szCs w:val="22"/>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751</w:t>
            </w:r>
          </w:p>
        </w:tc>
        <w:tc>
          <w:tcPr>
            <w:tcW w:w="340" w:type="dxa"/>
            <w:vAlign w:val="bottom"/>
          </w:tcPr>
          <w:p>
            <w:pPr>
              <w:spacing w:after="0"/>
              <w:rPr>
                <w:sz w:val="22"/>
                <w:szCs w:val="22"/>
                <w:color w:val="auto"/>
              </w:rPr>
            </w:pPr>
          </w:p>
        </w:tc>
        <w:tc>
          <w:tcPr>
            <w:tcW w:w="540" w:type="dxa"/>
            <w:vAlign w:val="bottom"/>
            <w:vMerge w:val="restart"/>
          </w:tcPr>
          <w:p>
            <w:pPr>
              <w:jc w:val="center"/>
              <w:ind w:right="328"/>
              <w:spacing w:after="0"/>
              <w:rPr>
                <w:sz w:val="20"/>
                <w:szCs w:val="20"/>
                <w:color w:val="auto"/>
              </w:rPr>
            </w:pPr>
            <w:r>
              <w:rPr>
                <w:rFonts w:ascii="Arial" w:cs="Arial" w:eastAsia="Arial" w:hAnsi="Arial"/>
                <w:sz w:val="17"/>
                <w:szCs w:val="17"/>
                <w:color w:val="0000FF"/>
              </w:rPr>
              <w:t>I</w:t>
            </w:r>
          </w:p>
        </w:tc>
        <w:tc>
          <w:tcPr>
            <w:tcW w:w="340" w:type="dxa"/>
            <w:vAlign w:val="bottom"/>
          </w:tcPr>
          <w:p>
            <w:pPr>
              <w:ind w:left="60"/>
              <w:spacing w:after="0"/>
              <w:rPr>
                <w:sz w:val="20"/>
                <w:szCs w:val="20"/>
                <w:color w:val="auto"/>
              </w:rPr>
            </w:pPr>
            <w:r>
              <w:rPr>
                <w:rFonts w:ascii="Arial" w:cs="Arial" w:eastAsia="Arial" w:hAnsi="Arial"/>
                <w:sz w:val="17"/>
                <w:szCs w:val="17"/>
                <w:color w:val="0000FF"/>
                <w:w w:val="85"/>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01/29/2021</w:t>
            </w:r>
          </w:p>
        </w:tc>
        <w:tc>
          <w:tcPr>
            <w:tcW w:w="4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(32)</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751</w:t>
            </w:r>
          </w:p>
        </w:tc>
        <w:tc>
          <w:tcPr>
            <w:tcW w:w="42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58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gridSpan w:val="2"/>
            <w:vMerge w:val="restart"/>
          </w:tcPr>
          <w:p>
            <w:pPr>
              <w:jc w:val="center"/>
              <w:ind w:left="425"/>
              <w:spacing w:after="0"/>
              <w:rPr>
                <w:sz w:val="20"/>
                <w:szCs w:val="20"/>
                <w:color w:val="auto"/>
              </w:rPr>
            </w:pPr>
            <w:r>
              <w:rPr>
                <w:rFonts w:ascii="Arial" w:cs="Arial" w:eastAsia="Arial" w:hAnsi="Arial"/>
                <w:sz w:val="17"/>
                <w:szCs w:val="17"/>
                <w:color w:val="0000FF"/>
              </w:rPr>
              <w:t>0</w:t>
            </w: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jc w:val="center"/>
              <w:ind w:right="328"/>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top w:val="single" w:sz="8" w:color="2C2C2C"/>
              <w:bottom w:val="single" w:sz="8" w:color="2C2C2C"/>
            </w:tcBorders>
          </w:tcPr>
          <w:p>
            <w:pPr>
              <w:spacing w:after="0"/>
              <w:rPr>
                <w:sz w:val="24"/>
                <w:szCs w:val="24"/>
                <w:color w:val="auto"/>
              </w:rPr>
            </w:pPr>
          </w:p>
        </w:tc>
        <w:tc>
          <w:tcPr>
            <w:tcW w:w="1500" w:type="dxa"/>
            <w:vAlign w:val="bottom"/>
            <w:tcBorders>
              <w:top w:val="single" w:sz="8" w:color="2C2C2C"/>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01/29/2021</w:t>
            </w:r>
          </w:p>
        </w:tc>
        <w:tc>
          <w:tcPr>
            <w:tcW w:w="4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(33)</w:t>
            </w:r>
          </w:p>
        </w:tc>
        <w:tc>
          <w:tcPr>
            <w:tcW w:w="7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84"/>
              </w:rPr>
              <w:t>6</w:t>
            </w:r>
          </w:p>
        </w:tc>
        <w:tc>
          <w:tcPr>
            <w:tcW w:w="42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580" w:type="dxa"/>
            <w:vAlign w:val="bottom"/>
            <w:tcBorders>
              <w:top w:val="single" w:sz="8" w:color="2C2C2C"/>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8,076</w:t>
            </w:r>
          </w:p>
        </w:tc>
        <w:tc>
          <w:tcPr>
            <w:tcW w:w="34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2"/>
                <w:szCs w:val="22"/>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01/29/2021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(34)</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745</w:t>
            </w:r>
          </w:p>
        </w:tc>
        <w:tc>
          <w:tcPr>
            <w:tcW w:w="42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Pr>
          <w:p>
            <w:pPr>
              <w:spacing w:after="0"/>
              <w:rPr>
                <w:sz w:val="22"/>
                <w:szCs w:val="22"/>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745</w:t>
            </w:r>
          </w:p>
        </w:tc>
        <w:tc>
          <w:tcPr>
            <w:tcW w:w="340" w:type="dxa"/>
            <w:vAlign w:val="bottom"/>
          </w:tcPr>
          <w:p>
            <w:pPr>
              <w:spacing w:after="0"/>
              <w:rPr>
                <w:sz w:val="22"/>
                <w:szCs w:val="22"/>
                <w:color w:val="auto"/>
              </w:rPr>
            </w:pPr>
          </w:p>
        </w:tc>
        <w:tc>
          <w:tcPr>
            <w:tcW w:w="540" w:type="dxa"/>
            <w:vAlign w:val="bottom"/>
            <w:vMerge w:val="restart"/>
          </w:tcPr>
          <w:p>
            <w:pPr>
              <w:jc w:val="center"/>
              <w:ind w:right="328"/>
              <w:spacing w:after="0"/>
              <w:rPr>
                <w:sz w:val="20"/>
                <w:szCs w:val="20"/>
                <w:color w:val="auto"/>
              </w:rPr>
            </w:pPr>
            <w:r>
              <w:rPr>
                <w:rFonts w:ascii="Arial" w:cs="Arial" w:eastAsia="Arial" w:hAnsi="Arial"/>
                <w:sz w:val="17"/>
                <w:szCs w:val="17"/>
                <w:color w:val="0000FF"/>
              </w:rPr>
              <w:t>I</w:t>
            </w:r>
          </w:p>
        </w:tc>
        <w:tc>
          <w:tcPr>
            <w:tcW w:w="340" w:type="dxa"/>
            <w:vAlign w:val="bottom"/>
          </w:tcPr>
          <w:p>
            <w:pPr>
              <w:ind w:left="60"/>
              <w:spacing w:after="0"/>
              <w:rPr>
                <w:sz w:val="20"/>
                <w:szCs w:val="20"/>
                <w:color w:val="auto"/>
              </w:rPr>
            </w:pPr>
            <w:r>
              <w:rPr>
                <w:rFonts w:ascii="Arial" w:cs="Arial" w:eastAsia="Arial" w:hAnsi="Arial"/>
                <w:sz w:val="17"/>
                <w:szCs w:val="17"/>
                <w:color w:val="0000FF"/>
                <w:w w:val="85"/>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01/29/2021</w:t>
            </w:r>
          </w:p>
        </w:tc>
        <w:tc>
          <w:tcPr>
            <w:tcW w:w="4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(36)</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745</w:t>
            </w:r>
          </w:p>
        </w:tc>
        <w:tc>
          <w:tcPr>
            <w:tcW w:w="42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58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gridSpan w:val="2"/>
            <w:vMerge w:val="restart"/>
          </w:tcPr>
          <w:p>
            <w:pPr>
              <w:jc w:val="center"/>
              <w:ind w:left="425"/>
              <w:spacing w:after="0"/>
              <w:rPr>
                <w:sz w:val="20"/>
                <w:szCs w:val="20"/>
                <w:color w:val="auto"/>
              </w:rPr>
            </w:pPr>
            <w:r>
              <w:rPr>
                <w:rFonts w:ascii="Arial" w:cs="Arial" w:eastAsia="Arial" w:hAnsi="Arial"/>
                <w:sz w:val="17"/>
                <w:szCs w:val="17"/>
                <w:color w:val="0000FF"/>
              </w:rPr>
              <w:t>0</w:t>
            </w: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jc w:val="center"/>
              <w:ind w:right="328"/>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-3398520</wp:posOffset>
            </wp:positionV>
            <wp:extent cx="7031355" cy="3443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1355" cy="344360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pro-rata distribution, and not a purchase or sale, without additional consideration by Versant Venture Capital V, L.P. ("VVC V"), to its partners, pursuant to a Rule 10b5-1 trading plan.</w:t>
      </w:r>
    </w:p>
    <w:p>
      <w:pPr>
        <w:spacing w:after="0" w:line="61" w:lineRule="exact"/>
        <w:rPr>
          <w:rFonts w:ascii="Arial" w:cs="Arial" w:eastAsia="Arial" w:hAnsi="Arial"/>
          <w:sz w:val="12"/>
          <w:szCs w:val="12"/>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VVC V. Versant Ventures V, LLC ("VV V") is the sole general partner of VVC V. The Reporting Person, a member of the Issuer's board of directors, is a managing member of VV V and may be deemed to share voting and dispositive power over the shares held by VVC V. Each of VV V and the Reporting Person disclaims beneficial ownership of the shares held by VVC V, except to the extent of their respective pecuniary interests therein. The Reporting Person is a director of the Issuer and, accordingly files separate Section 16 reports.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VV V by virtue of the receipt of shares in the pro-rata in-kind distribution of common shares of the Issuer for no consideration by VVC V.</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VV V. The Reporting Person, a member of the Issuer's board of directors, is a managing member of VV V and may be deemed to share voting and dispositive power over the shares held by VV V; however, he disclaims beneficial ownership of such securities, except to the extent of his pecuniary interest therein. The Reporting Person is a director of the Issuer and, accordingly files separate Section 16 reports.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pro-rata distribution, and not a purchase or sale, without additional consideration by Versant Affiliates Fund V, L.P. ("VAF V"), to its partners, pursuant to a Rule 10b5-1 trading plan.</w:t>
      </w:r>
    </w:p>
    <w:p>
      <w:pPr>
        <w:spacing w:after="0" w:line="61" w:lineRule="exact"/>
        <w:rPr>
          <w:rFonts w:ascii="Arial" w:cs="Arial" w:eastAsia="Arial" w:hAnsi="Arial"/>
          <w:sz w:val="12"/>
          <w:szCs w:val="12"/>
          <w:color w:val="008000"/>
        </w:rPr>
      </w:pP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VAF V. VV V is the sole general partner of VAF V. The Reporting Person, a member of the Issuer's board of directors, is a managing member of VV V and may be deemed to share voting and dispositive power over the shares held by VAF V. Each of VV V and the Reporting Person disclaims beneficial ownership of the shares held by VAF V, except to the extent of their respective pecuniary interests therein. The Reporting Person is a director of the Issuer and, accordingly files separate Section 16 reports.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VV V by virtue of the receipt of shares in the pro-rata in-kind distribution of common shares of the Issuer for no consideration by VAF V.</w:t>
      </w:r>
    </w:p>
    <w:p>
      <w:pPr>
        <w:spacing w:after="0" w:line="50"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Versant Ophthalmic Affiliates Fund I, L.P. ("VOAF I"), to its partners, pursuant to a Rule 10b5-1 trading plan.</w:t>
      </w:r>
    </w:p>
    <w:p>
      <w:pPr>
        <w:spacing w:after="0" w:line="1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VOAF I. VV V is the sole general partner of VOAF I. The Reporting Person, a member of the Issuer's board of directors, is a managing member of VV V and may be deemed to share voting and dispositive power over the shares held by VOAF I. Each of VV V and the Reporting Person disclaims beneficial ownership of the shares held by VOAF I, except to the extent of their respective pecuniary interests therein. The Reporting Person is a director of the Issuer and, accordingly files separate Section 16 reports.</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VV V by virtue of the receipt of shares in the pro-rata in-kind distribution of common shares of the Issuer for no consideration by VOAF I.</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VV V, to its members.</w:t>
      </w:r>
    </w:p>
    <w:p>
      <w:pPr>
        <w:spacing w:after="0" w:line="50" w:lineRule="exact"/>
        <w:rPr>
          <w:rFonts w:ascii="Arial" w:cs="Arial" w:eastAsia="Arial" w:hAnsi="Arial"/>
          <w:sz w:val="13"/>
          <w:szCs w:val="13"/>
          <w:color w:val="008000"/>
        </w:rPr>
      </w:pPr>
    </w:p>
    <w:p>
      <w:pPr>
        <w:ind w:left="40" w:right="840" w:firstLine="7"/>
        <w:spacing w:after="0" w:line="266"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the Reporting Person by virtue of the receipt of shares as a result of the pro-rata in-kind distribution of common shares of the Issuer for no consideration by VV V.</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Versant Venture Capital V (Canada) LP ("VVC V (Canada)"), to its partners, pursuant to a Rule 10b5-1 trading plan.</w:t>
      </w:r>
    </w:p>
    <w:p>
      <w:pPr>
        <w:spacing w:after="0" w:line="15" w:lineRule="exact"/>
        <w:rPr>
          <w:rFonts w:ascii="Arial" w:cs="Arial" w:eastAsia="Arial" w:hAnsi="Arial"/>
          <w:sz w:val="13"/>
          <w:szCs w:val="13"/>
          <w:color w:val="008000"/>
        </w:rPr>
      </w:pPr>
    </w:p>
    <w:p>
      <w:pPr>
        <w:ind w:left="40" w:right="200" w:firstLine="7"/>
        <w:spacing w:after="0" w:line="272" w:lineRule="auto"/>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VVC V (Canada). Versant Ventures V (Canada) GP-GP, Inc. ("VV V (Canada) GP") is the sole general partner of Versant Ventures V (Canada), L.P. ("VV V (Canada)") and VV V (Canada) is the sole general partner of VVC V (Canada). The Reporting Person, a member of the Issuer's board of directors, is a director of VV V (Canada) GP and may be deemed to share voting and dispositive power over the shares held by VVC V (Canada). Each of VV V (Canada), VV V (Canada) GP and the Reporting Person disclaims beneficial ownership of the shares held by VVC V (Canada), except to the extent of their respective pecuniary interests therein. The Reporting Person is a director of the Issuer and, accordingly files separate Section 16 reports.</w:t>
      </w:r>
    </w:p>
    <w:p>
      <w:pPr>
        <w:spacing w:after="0" w:line="14" w:lineRule="exact"/>
        <w:rPr>
          <w:rFonts w:ascii="Arial" w:cs="Arial" w:eastAsia="Arial" w:hAnsi="Arial"/>
          <w:sz w:val="12"/>
          <w:szCs w:val="12"/>
          <w:color w:val="008000"/>
        </w:rPr>
      </w:pPr>
    </w:p>
    <w:p>
      <w:pPr>
        <w:ind w:left="40" w:right="340" w:firstLine="7"/>
        <w:spacing w:after="0" w:line="266"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VV V (Canada) by virtue of the receipt of shares in the pro-rata in-kind distribution of common shares of the Issuer for no consideration by VVC V (Canada).</w:t>
      </w:r>
    </w:p>
    <w:p>
      <w:pPr>
        <w:spacing w:after="0" w:line="15" w:lineRule="exact"/>
        <w:rPr>
          <w:rFonts w:ascii="Arial" w:cs="Arial" w:eastAsia="Arial" w:hAnsi="Arial"/>
          <w:sz w:val="13"/>
          <w:szCs w:val="13"/>
          <w:color w:val="008000"/>
        </w:rPr>
      </w:pPr>
    </w:p>
    <w:p>
      <w:pPr>
        <w:ind w:left="40" w:right="260" w:firstLine="7"/>
        <w:spacing w:after="0" w:line="281" w:lineRule="auto"/>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VV V (Canada). VV V (Canada) GP is the sole general partner of VV V (Canada). The Reporting Person, a member of the Issuer's board of directors, is a director of VV V (Canada) GP and may be deemed to share voting and dispositive power over the shares held by VV V (Canada). Each of VV V (Canada) GP and the Reporting Person disclaims beneficial ownership of the shares held by VV V (Canada), except to the extent of their respective pecuniary interests therein. The Reporting Person is a director of the Issuer and, accordingly files separate Section 16 reports.</w:t>
      </w:r>
    </w:p>
    <w:p>
      <w:pPr>
        <w:spacing w:after="0" w:line="8" w:lineRule="exact"/>
        <w:rPr>
          <w:rFonts w:ascii="Arial" w:cs="Arial" w:eastAsia="Arial" w:hAnsi="Arial"/>
          <w:sz w:val="12"/>
          <w:szCs w:val="12"/>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VV V (Canada), to its partners.</w:t>
      </w:r>
    </w:p>
    <w:p>
      <w:pPr>
        <w:spacing w:after="0" w:line="50" w:lineRule="exact"/>
        <w:rPr>
          <w:rFonts w:ascii="Arial" w:cs="Arial" w:eastAsia="Arial" w:hAnsi="Arial"/>
          <w:sz w:val="13"/>
          <w:szCs w:val="13"/>
          <w:color w:val="008000"/>
        </w:rPr>
      </w:pPr>
    </w:p>
    <w:p>
      <w:pPr>
        <w:ind w:left="40" w:right="840" w:firstLine="7"/>
        <w:spacing w:after="0" w:line="266"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the Reporting Person by virtue of the receipt of shares as a result of the pro-rata in-kind distribution of common shares of the Issuer for no consideration by VV V (Canada).</w:t>
      </w:r>
    </w:p>
    <w:p>
      <w:pPr>
        <w:spacing w:after="0" w:line="1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pro-rata distribution, and not a purchase or sale, without additional consideration by Versant Venture Capital VI, L.P. ("VVC VI"), to its partners, pursuant to a Rule 10b5-1 trading plan.</w:t>
      </w:r>
    </w:p>
    <w:p>
      <w:pPr>
        <w:spacing w:after="0" w:line="61" w:lineRule="exact"/>
        <w:rPr>
          <w:rFonts w:ascii="Arial" w:cs="Arial" w:eastAsia="Arial" w:hAnsi="Arial"/>
          <w:sz w:val="12"/>
          <w:szCs w:val="12"/>
          <w:color w:val="008000"/>
        </w:rPr>
      </w:pPr>
    </w:p>
    <w:p>
      <w:pPr>
        <w:ind w:left="40" w:right="160" w:firstLine="7"/>
        <w:spacing w:after="0" w:line="245"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VVC VI. Versant Ventures VI GP-GP, LLC ("VV VI GP") is the sole general partner of Versant Ventures VI GP, L.P. ("VV VI") and VV VI is the sole general partner of VVC VI. The Reporting Person, a member of the Issuer's board of directors, is a managing member of VV VI GP and may be deemed to share voting and dispositive power over the shares held by VVC VI. Each of VV VI GP, VV VI and the Reporting Person disclaims beneficial ownership of the shares held by VVC VI, except to the extent of their respective pecuniary interests therein. The Reporting Person is a director of the Issuer and, accordingly files separate Section 16 reports.</w:t>
      </w:r>
    </w:p>
    <w:p>
      <w:pPr>
        <w:spacing w:after="0" w:line="29"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VV VI by virtue of the receipt of shares in the pro-rata in-kind distribution of common shares of the Issuer for no consideration by VVC VI.</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VV VI. VV VI GP is the sole general partner of VV VI. The Reporting Person, a member of the Issuer's board of directors, is a managing member of VV VI GP and may be deemed to share voting and dispositive power over the shares held by VV VI. Each of VV VI GP and the Reporting Person disclaims beneficial ownership of the shares held by VV VI, except to the extent of their respective pecuniary interests therein. The Reporting Person is a director of the Issuer and, accordingly files separate Section 16 reports.</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VV VI, to its partners.</w:t>
      </w:r>
    </w:p>
    <w:p>
      <w:pPr>
        <w:spacing w:after="0" w:line="50" w:lineRule="exact"/>
        <w:rPr>
          <w:rFonts w:ascii="Arial" w:cs="Arial" w:eastAsia="Arial" w:hAnsi="Arial"/>
          <w:sz w:val="13"/>
          <w:szCs w:val="13"/>
          <w:color w:val="008000"/>
        </w:rPr>
      </w:pPr>
    </w:p>
    <w:p>
      <w:pPr>
        <w:ind w:left="40" w:right="840" w:firstLine="7"/>
        <w:spacing w:after="0" w:line="266"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the Reporting Person by virtue of the receipt of shares as a result of the pro-rata in-kind distribution of common shares of the Issuer for no consideration by VV VI.</w:t>
      </w:r>
    </w:p>
    <w:p>
      <w:pPr>
        <w:spacing w:after="0" w:line="1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VV VI GP by virtue of the receipt of shares in the pro-rata in-kind distribution of common shares of the Issuer for no consideration by VV VI.</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VV VI GP. The Reporting Person, a member of the Issuer's board of directors, is a managing member of VV VI GP and may be deemed to share voting and dispositive power over the shares held by VV VI GP; however, he disclaims beneficial ownership of such securities, except to the extent of his pecuniary interest therein. The Reporting Person is a director of the Issuer and, accordingly files separate Section 16 reports.</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VV VI GP, to its members.</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Versant Vantage I, L.P. ("VV I"), to its partners, pursuant to a Rule 10b5-1 trading plan.</w:t>
      </w:r>
    </w:p>
    <w:p>
      <w:pPr>
        <w:sectPr>
          <w:pgSz w:w="11900" w:h="16838" w:orient="portrait"/>
          <w:cols w:equalWidth="0" w:num="1">
            <w:col w:w="11080"/>
          </w:cols>
          <w:pgMar w:left="460" w:top="187" w:right="359" w:bottom="0" w:gutter="0" w:footer="0" w:header="0"/>
        </w:sectPr>
      </w:pPr>
    </w:p>
    <w:bookmarkStart w:id="2" w:name="page3"/>
    <w:bookmarkEnd w:id="2"/>
    <w:p>
      <w:pPr>
        <w:ind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held by VV I. Versant Vantage I GP-GP, LLC ("VV I GP-GP") is the sole general partner of Versant Vantage I GP, L.P. ("VV I GP") and VV I GP is the sole general partner of VV I. The Reporting Person, a member of the Issuer's board of directors, is a managing member of VV I GP-GP and may be deemed to share voting and dispositive power over the shares held by VV I. Each of VV I GP-GP, VV I GP and the Reporting Person disclaims beneficial ownership of the shares held by VV I, except to the extent of their respective pecuniary interests therein. The Reporting Person is a director of the Issuer and, accordingly files separate Section 16 reports.</w:t>
      </w:r>
    </w:p>
    <w:p>
      <w:pPr>
        <w:spacing w:after="0" w:line="29"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VV I GP by virtue of the receipt of shares in the pro-rata in-kind distribution of common shares of the Issuer for no consideration by VV I.</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held by VV I GP. VV I GP-GP is the sole general partner of VV I GP. The Reporting Person, a member of the Issuer's board of directors, is a managing member of VV I GP-GP and may be</w:t>
      </w:r>
    </w:p>
    <w:p>
      <w:pPr>
        <w:spacing w:after="0" w:line="18" w:lineRule="exact"/>
        <w:rPr>
          <w:rFonts w:ascii="Arial" w:cs="Arial" w:eastAsia="Arial" w:hAnsi="Arial"/>
          <w:sz w:val="12"/>
          <w:szCs w:val="12"/>
          <w:color w:val="008000"/>
        </w:rPr>
      </w:pPr>
    </w:p>
    <w:p>
      <w:pPr>
        <w:ind w:right="6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dispositive power over the shares held by VV I GP. Each of VV I GP-GP and the Reporting Person disclaims beneficial ownership of the shares held by VV I GP, except to the extent of their respective pecuniary interests therein. The Reporting Person is a director of the Issuer and, accordingly files separate Section 16 reports.</w:t>
      </w:r>
    </w:p>
    <w:p>
      <w:pPr>
        <w:spacing w:after="0" w:line="25" w:lineRule="exact"/>
        <w:rPr>
          <w:rFonts w:ascii="Arial" w:cs="Arial" w:eastAsia="Arial" w:hAnsi="Arial"/>
          <w:sz w:val="12"/>
          <w:szCs w:val="12"/>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VV I GP, to its partners.</w:t>
      </w:r>
    </w:p>
    <w:p>
      <w:pPr>
        <w:spacing w:after="0" w:line="50" w:lineRule="exact"/>
        <w:rPr>
          <w:rFonts w:ascii="Arial" w:cs="Arial" w:eastAsia="Arial" w:hAnsi="Arial"/>
          <w:sz w:val="13"/>
          <w:szCs w:val="13"/>
          <w:color w:val="008000"/>
        </w:rPr>
      </w:pPr>
    </w:p>
    <w:p>
      <w:pPr>
        <w:ind w:right="700"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the Reporting Person by virtue of the receipt of shares as a result of the pro-rata in-kind distribution of common shares of the Issuer for no consideration by VV I GP.</w:t>
      </w:r>
    </w:p>
    <w:p>
      <w:pPr>
        <w:spacing w:after="0" w:line="15"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Represents a change in the form of ownership of VV I GP-GP by virtue of the receipt of shares in the pro-rata in-kind distribution of common shares of the Issuer for no consideration by VV I GP.</w:t>
      </w:r>
    </w:p>
    <w:p>
      <w:pPr>
        <w:spacing w:after="0" w:line="61" w:lineRule="exact"/>
        <w:rPr>
          <w:rFonts w:ascii="Arial" w:cs="Arial" w:eastAsia="Arial" w:hAnsi="Arial"/>
          <w:sz w:val="12"/>
          <w:szCs w:val="12"/>
          <w:color w:val="008000"/>
        </w:rPr>
      </w:pPr>
    </w:p>
    <w:p>
      <w:pPr>
        <w:ind w:right="8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held by VV I GP-GP. The Reporting Person, a member of the Issuer's board of directors, is a managing member of VV I GP-GP and may be deemed to share voting and dispositive power over the shares held by VV I GP-GP; however, he disclaims beneficial ownership of such securities, except to the extent of his pecuniary interest therein. The Reporting Person is a director of the Issuer and, accordingly files separate Section 16 reports.</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VV I GP-GP, to its members.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86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Attorney-in-Fact for Jerel C.</w:t>
      </w:r>
      <w:r>
        <w:rPr>
          <w:sz w:val="20"/>
          <w:szCs w:val="20"/>
          <w:color w:val="auto"/>
        </w:rPr>
        <w:tab/>
      </w:r>
      <w:r>
        <w:rPr>
          <w:rFonts w:ascii="Arial" w:cs="Arial" w:eastAsia="Arial" w:hAnsi="Arial"/>
          <w:sz w:val="15"/>
          <w:szCs w:val="15"/>
          <w:color w:val="0000FF"/>
        </w:rPr>
        <w:t>02/02/2021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565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745958" TargetMode="External"/><Relationship Id="rId14"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2021-02-02T17:51:08Z</dcterms:created>
  <dcterms:modified xsi:type="dcterms:W3CDTF">2021-02-02T17:51:08Z</dcterms:modified>
</cp:coreProperties>
</file>